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D8" w:rsidRPr="00EC690C" w:rsidRDefault="009367D8" w:rsidP="00616AA6">
      <w:pPr>
        <w:jc w:val="center"/>
        <w:rPr>
          <w:b/>
          <w:color w:val="000000"/>
          <w:sz w:val="28"/>
          <w:szCs w:val="28"/>
        </w:rPr>
      </w:pPr>
      <w:r w:rsidRPr="00EC690C">
        <w:rPr>
          <w:b/>
          <w:sz w:val="28"/>
          <w:szCs w:val="28"/>
        </w:rPr>
        <w:t>Ministru kabineta noteikumu projekta „</w:t>
      </w:r>
      <w:r w:rsidRPr="00EC690C">
        <w:rPr>
          <w:b/>
          <w:bCs/>
          <w:sz w:val="28"/>
          <w:szCs w:val="28"/>
        </w:rPr>
        <w:t>Grozījumi Ministru kabineta 2010.gada 21. jūnija noteikumos Nr.568 „Noteikumi par Iekšlietu ministrijas sistēmas iestāžu un Ieslodzījuma vietu pārvaldes amatpersonu ar speciālajām dienesta pakāpēm mēnešalgu un speciālajām piemaksām”</w:t>
      </w:r>
      <w:r w:rsidRPr="00EC690C">
        <w:rPr>
          <w:b/>
          <w:sz w:val="28"/>
          <w:szCs w:val="28"/>
        </w:rPr>
        <w:t>”</w:t>
      </w:r>
    </w:p>
    <w:p w:rsidR="009367D8" w:rsidRPr="00EC690C" w:rsidRDefault="009367D8" w:rsidP="00CC496E">
      <w:pPr>
        <w:jc w:val="center"/>
        <w:rPr>
          <w:b/>
          <w:sz w:val="28"/>
          <w:szCs w:val="28"/>
        </w:rPr>
      </w:pPr>
      <w:r w:rsidRPr="00EC690C">
        <w:rPr>
          <w:b/>
          <w:sz w:val="28"/>
          <w:szCs w:val="28"/>
        </w:rPr>
        <w:t xml:space="preserve">sākotnējās ietekmes novērtējuma </w:t>
      </w:r>
      <w:smartTag w:uri="schemas-tilde-lv/tildestengine" w:element="veidnes">
        <w:smartTagPr>
          <w:attr w:name="text" w:val="ziņojums"/>
          <w:attr w:name="baseform" w:val="ziņojums"/>
          <w:attr w:name="id" w:val="-1"/>
        </w:smartTagPr>
        <w:r w:rsidRPr="00EC690C">
          <w:rPr>
            <w:b/>
            <w:sz w:val="28"/>
            <w:szCs w:val="28"/>
          </w:rPr>
          <w:t xml:space="preserve">ziņojums </w:t>
        </w:r>
      </w:smartTag>
      <w:r w:rsidRPr="00EC690C">
        <w:rPr>
          <w:b/>
          <w:sz w:val="28"/>
          <w:szCs w:val="28"/>
        </w:rPr>
        <w:t>(anotācija)</w:t>
      </w:r>
    </w:p>
    <w:p w:rsidR="009367D8" w:rsidRPr="00EC690C" w:rsidRDefault="009367D8" w:rsidP="00616AA6">
      <w:pPr>
        <w:pStyle w:val="BodyText"/>
        <w:rPr>
          <w:szCs w:val="28"/>
        </w:rPr>
      </w:pPr>
    </w:p>
    <w:tbl>
      <w:tblPr>
        <w:tblW w:w="10796"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
        <w:gridCol w:w="755"/>
        <w:gridCol w:w="33"/>
        <w:gridCol w:w="232"/>
        <w:gridCol w:w="1278"/>
        <w:gridCol w:w="1328"/>
        <w:gridCol w:w="42"/>
        <w:gridCol w:w="9"/>
        <w:gridCol w:w="271"/>
        <w:gridCol w:w="1628"/>
        <w:gridCol w:w="1713"/>
        <w:gridCol w:w="1713"/>
        <w:gridCol w:w="1123"/>
        <w:gridCol w:w="365"/>
      </w:tblGrid>
      <w:tr w:rsidR="009367D8" w:rsidRPr="00EC690C" w:rsidTr="00FA042E">
        <w:trPr>
          <w:gridBefore w:val="1"/>
          <w:wBefore w:w="306" w:type="dxa"/>
        </w:trPr>
        <w:tc>
          <w:tcPr>
            <w:tcW w:w="10490" w:type="dxa"/>
            <w:gridSpan w:val="13"/>
          </w:tcPr>
          <w:p w:rsidR="009367D8" w:rsidRPr="00EC690C" w:rsidRDefault="009367D8" w:rsidP="006F255D">
            <w:pPr>
              <w:pStyle w:val="BodyText"/>
              <w:rPr>
                <w:szCs w:val="28"/>
              </w:rPr>
            </w:pPr>
            <w:r w:rsidRPr="00EC690C">
              <w:rPr>
                <w:szCs w:val="28"/>
              </w:rPr>
              <w:t>I. Tiesību akta projekta izstrādes nepieciešamība</w:t>
            </w:r>
          </w:p>
        </w:tc>
      </w:tr>
      <w:tr w:rsidR="009367D8" w:rsidRPr="00EC690C" w:rsidTr="00FA042E">
        <w:trPr>
          <w:gridBefore w:val="1"/>
          <w:wBefore w:w="306" w:type="dxa"/>
        </w:trPr>
        <w:tc>
          <w:tcPr>
            <w:tcW w:w="1020" w:type="dxa"/>
            <w:gridSpan w:val="3"/>
          </w:tcPr>
          <w:p w:rsidR="009367D8" w:rsidRPr="00B820C5" w:rsidRDefault="009367D8" w:rsidP="00B820C5">
            <w:pPr>
              <w:pStyle w:val="naisf"/>
              <w:spacing w:before="0" w:after="0"/>
              <w:ind w:firstLine="0"/>
              <w:rPr>
                <w:color w:val="000000"/>
                <w:sz w:val="26"/>
                <w:szCs w:val="26"/>
              </w:rPr>
            </w:pPr>
            <w:r w:rsidRPr="00B820C5">
              <w:rPr>
                <w:color w:val="000000"/>
                <w:sz w:val="26"/>
                <w:szCs w:val="26"/>
              </w:rPr>
              <w:t>1.</w:t>
            </w:r>
          </w:p>
        </w:tc>
        <w:tc>
          <w:tcPr>
            <w:tcW w:w="2606" w:type="dxa"/>
            <w:gridSpan w:val="2"/>
          </w:tcPr>
          <w:p w:rsidR="009367D8" w:rsidRPr="00B820C5" w:rsidRDefault="009367D8" w:rsidP="00B820C5">
            <w:pPr>
              <w:pStyle w:val="naisf"/>
              <w:spacing w:before="0" w:after="0"/>
              <w:ind w:firstLine="0"/>
              <w:rPr>
                <w:color w:val="000000"/>
                <w:sz w:val="26"/>
                <w:szCs w:val="26"/>
              </w:rPr>
            </w:pPr>
            <w:r w:rsidRPr="00B820C5">
              <w:rPr>
                <w:color w:val="000000"/>
                <w:sz w:val="26"/>
                <w:szCs w:val="26"/>
              </w:rPr>
              <w:t>Pamatojums</w:t>
            </w:r>
          </w:p>
        </w:tc>
        <w:tc>
          <w:tcPr>
            <w:tcW w:w="6864" w:type="dxa"/>
            <w:gridSpan w:val="8"/>
          </w:tcPr>
          <w:p w:rsidR="009367D8" w:rsidRPr="00B820C5" w:rsidRDefault="009367D8" w:rsidP="00B820C5">
            <w:pPr>
              <w:pStyle w:val="naisf"/>
              <w:spacing w:before="0" w:after="0"/>
              <w:ind w:firstLine="0"/>
              <w:rPr>
                <w:color w:val="000000"/>
                <w:sz w:val="26"/>
                <w:szCs w:val="26"/>
              </w:rPr>
            </w:pPr>
            <w:r w:rsidRPr="00EC690C">
              <w:rPr>
                <w:sz w:val="28"/>
                <w:szCs w:val="28"/>
              </w:rPr>
              <w:t xml:space="preserve">  </w:t>
            </w:r>
            <w:r w:rsidRPr="00B820C5">
              <w:rPr>
                <w:color w:val="000000"/>
                <w:sz w:val="26"/>
                <w:szCs w:val="26"/>
              </w:rPr>
              <w:t>Ministru kabineta noteikumu projekts „Grozījumi Ministru kabineta 2010.gada 21.jūnija noteikumos Nr.568 „Noteikumi par Iekšlietu ministrijas sistēmas iestāžu un Ieslodzījuma vietu pārvaldes amatpersonu ar speciālajām dienesta pakāpēm mēnešalgu un speciālajām piemaksām”” (turpmāk – projekts) izstrādāts saistībā ar:</w:t>
            </w:r>
          </w:p>
          <w:p w:rsidR="004077ED" w:rsidRPr="001D4188" w:rsidRDefault="004077ED" w:rsidP="00947830">
            <w:pPr>
              <w:jc w:val="both"/>
              <w:rPr>
                <w:sz w:val="26"/>
                <w:szCs w:val="26"/>
              </w:rPr>
            </w:pPr>
            <w:r w:rsidRPr="001D4188">
              <w:rPr>
                <w:sz w:val="26"/>
                <w:szCs w:val="26"/>
              </w:rPr>
              <w:t xml:space="preserve">- Ministru kabineta 2013.gada 4.jūnija sēdē (prot. Nr.33,28.§, 6.punkts) doto uzdevumu – </w:t>
            </w:r>
            <w:r w:rsidR="006A756F" w:rsidRPr="001D4188">
              <w:rPr>
                <w:sz w:val="26"/>
                <w:szCs w:val="26"/>
              </w:rPr>
              <w:t>Iekšlietu ministrijai pēc tam, kad Ministru kabinetā būs izskatīts jautājums par jaunajām politikas iniciatīvām, ja nepieciešams, sagatavot un iesniegt noteiktā kārtībā Ministru kabinetā grozījumus Ministru kabineta 2010.gada 21.jūnija noteikumos Nr.568 „Noteikumi par Iekšlietu ministrijas sistēmas iestāžu un Ieslodzījuma vietu pārvaldes amatpersonu ar speciālajām dienesta pakāpēm mēnešalgu un speciālajām piemaksām”;</w:t>
            </w:r>
          </w:p>
          <w:p w:rsidR="009367D8" w:rsidRPr="00B820C5" w:rsidRDefault="009367D8" w:rsidP="00B820C5">
            <w:pPr>
              <w:pStyle w:val="naisf"/>
              <w:spacing w:before="0" w:after="0"/>
              <w:ind w:firstLine="0"/>
              <w:rPr>
                <w:color w:val="000000"/>
                <w:sz w:val="26"/>
                <w:szCs w:val="26"/>
              </w:rPr>
            </w:pPr>
            <w:r w:rsidRPr="00B820C5">
              <w:rPr>
                <w:color w:val="000000"/>
                <w:sz w:val="26"/>
                <w:szCs w:val="26"/>
              </w:rPr>
              <w:t>- Ministru kabineta 2013.gada 30.jūlija sēdē (prot. Nr. 41, 114.§, 6.</w:t>
            </w:r>
            <w:r w:rsidR="00C83D36">
              <w:rPr>
                <w:color w:val="000000"/>
                <w:sz w:val="26"/>
                <w:szCs w:val="26"/>
              </w:rPr>
              <w:t xml:space="preserve"> un 8.</w:t>
            </w:r>
            <w:r w:rsidRPr="00B820C5">
              <w:rPr>
                <w:color w:val="000000"/>
                <w:sz w:val="26"/>
                <w:szCs w:val="26"/>
              </w:rPr>
              <w:t>punkts) pieņemto lēmumu par minimālās mēneša darba algas paaugstināšanu no 200 latiem uz 225 latiem (320 EUR) ar 2014.gada 1.janvāri un papildu finansējuma piešķiršanu mēnešalgu palielināšanai</w:t>
            </w:r>
            <w:r w:rsidR="0018699D">
              <w:rPr>
                <w:color w:val="000000"/>
                <w:sz w:val="26"/>
                <w:szCs w:val="26"/>
              </w:rPr>
              <w:t>, kā arī Iekšlietu ministrijai doto uzdevumu – līdz 2013.gada 1.decembrim sagatavot grozījumus darba samaksu regulējošajos normatīvajos aktos, paredzot mēnešalgu paaugstināšanu atbilstoši Informatīvajā ziņojuma „Par ministriju iesniegtajiem jauno politikas iniciatīvu pasākumiem 2014., 2015. Un 2016.gadam” 2.tabulai un noteiktā kārtībā iesniegt izskatīšanai Ministru kabinetā;</w:t>
            </w:r>
            <w:r w:rsidRPr="00B820C5">
              <w:rPr>
                <w:color w:val="000000"/>
                <w:sz w:val="26"/>
                <w:szCs w:val="26"/>
              </w:rPr>
              <w:t xml:space="preserve"> </w:t>
            </w:r>
          </w:p>
          <w:p w:rsidR="009367D8" w:rsidRPr="00EC690C" w:rsidRDefault="009367D8" w:rsidP="00B820C5">
            <w:pPr>
              <w:pStyle w:val="naisf"/>
              <w:spacing w:before="0" w:after="0"/>
              <w:ind w:firstLine="0"/>
              <w:rPr>
                <w:sz w:val="28"/>
                <w:szCs w:val="28"/>
              </w:rPr>
            </w:pPr>
            <w:r w:rsidRPr="00B820C5">
              <w:rPr>
                <w:color w:val="000000"/>
                <w:sz w:val="26"/>
                <w:szCs w:val="26"/>
              </w:rPr>
              <w:t>- Ministru kabineta 2013.gada 8.augusta sēdē (prot. Nr. 43, 11.§, 9.punkts) atbalstīto valsts budžeta līdzekļu novirzīšanu valsts budžeta iestāžu atlīdzības fondu izlīdzināšanas uzsākšanai ar 2014.gada 1.janvāri un papildu finansējuma piešķiršanu zemāko mēnešalgu palielināšanai.</w:t>
            </w:r>
            <w:r w:rsidRPr="00EC690C">
              <w:rPr>
                <w:sz w:val="28"/>
                <w:szCs w:val="28"/>
              </w:rPr>
              <w:t xml:space="preserve">  </w:t>
            </w:r>
          </w:p>
        </w:tc>
      </w:tr>
      <w:tr w:rsidR="009367D8" w:rsidRPr="00EC690C" w:rsidTr="00FA042E">
        <w:trPr>
          <w:gridBefore w:val="1"/>
          <w:wBefore w:w="306" w:type="dxa"/>
        </w:trPr>
        <w:tc>
          <w:tcPr>
            <w:tcW w:w="1020" w:type="dxa"/>
            <w:gridSpan w:val="3"/>
          </w:tcPr>
          <w:p w:rsidR="009367D8" w:rsidRPr="00B820C5" w:rsidRDefault="009367D8" w:rsidP="00B820C5">
            <w:pPr>
              <w:pStyle w:val="naisf"/>
              <w:spacing w:before="0" w:after="0"/>
              <w:ind w:firstLine="0"/>
              <w:rPr>
                <w:color w:val="000000"/>
                <w:sz w:val="26"/>
                <w:szCs w:val="26"/>
              </w:rPr>
            </w:pPr>
            <w:r w:rsidRPr="00B820C5">
              <w:rPr>
                <w:color w:val="000000"/>
                <w:sz w:val="26"/>
                <w:szCs w:val="26"/>
              </w:rPr>
              <w:t>2.</w:t>
            </w:r>
          </w:p>
        </w:tc>
        <w:tc>
          <w:tcPr>
            <w:tcW w:w="2606" w:type="dxa"/>
            <w:gridSpan w:val="2"/>
          </w:tcPr>
          <w:p w:rsidR="009367D8" w:rsidRPr="00B820C5" w:rsidRDefault="009367D8" w:rsidP="00B820C5">
            <w:pPr>
              <w:pStyle w:val="naisf"/>
              <w:spacing w:before="0" w:after="0"/>
              <w:ind w:firstLine="0"/>
              <w:rPr>
                <w:color w:val="000000"/>
                <w:sz w:val="26"/>
                <w:szCs w:val="26"/>
              </w:rPr>
            </w:pPr>
            <w:r w:rsidRPr="00B820C5">
              <w:rPr>
                <w:color w:val="000000"/>
                <w:sz w:val="26"/>
                <w:szCs w:val="26"/>
              </w:rPr>
              <w:t>Pašreizējā situācija un problēmas</w:t>
            </w:r>
          </w:p>
        </w:tc>
        <w:tc>
          <w:tcPr>
            <w:tcW w:w="6864" w:type="dxa"/>
            <w:gridSpan w:val="8"/>
          </w:tcPr>
          <w:p w:rsidR="009367D8" w:rsidRPr="00B820C5" w:rsidRDefault="009367D8" w:rsidP="00B820C5">
            <w:pPr>
              <w:pStyle w:val="naisf"/>
              <w:spacing w:before="0" w:after="0"/>
              <w:ind w:firstLine="0"/>
              <w:rPr>
                <w:color w:val="000000"/>
                <w:sz w:val="26"/>
                <w:szCs w:val="26"/>
              </w:rPr>
            </w:pPr>
            <w:r w:rsidRPr="00B820C5">
              <w:rPr>
                <w:color w:val="000000"/>
                <w:sz w:val="26"/>
                <w:szCs w:val="26"/>
              </w:rPr>
              <w:t xml:space="preserve">  Ministru kabinets 2013.gada 6.augustā izdeva noteikumus Nr. 484 „Grozījumi Ministru kabineta 2010.gada 21. jūnija noteikumos Nr.568 „Noteikumi par Iekšlietu ministrijas sistēmas iestāžu un Ieslodzījuma vietu pārvaldes amatpersonu ar speciālajām dienesta pakāpēm mēnešalgu un speciālajām piemaksām”” (turpmāk – noteikumi Nr.484), kuriem bija </w:t>
            </w:r>
            <w:r w:rsidRPr="00B820C5">
              <w:rPr>
                <w:color w:val="000000"/>
                <w:sz w:val="26"/>
                <w:szCs w:val="26"/>
              </w:rPr>
              <w:lastRenderedPageBreak/>
              <w:t xml:space="preserve">paredzēts stāties spēkā ar 2014.gada 1.janvāri un kuri bija izdoti saistībā ar </w:t>
            </w:r>
            <w:proofErr w:type="spellStart"/>
            <w:r w:rsidRPr="00B820C5">
              <w:rPr>
                <w:color w:val="000000"/>
                <w:sz w:val="26"/>
                <w:szCs w:val="26"/>
              </w:rPr>
              <w:t>Euro</w:t>
            </w:r>
            <w:proofErr w:type="spellEnd"/>
            <w:r w:rsidRPr="00B820C5">
              <w:rPr>
                <w:color w:val="000000"/>
                <w:sz w:val="26"/>
                <w:szCs w:val="26"/>
              </w:rPr>
              <w:t xml:space="preserve"> ieviešanas kārtības likuma 30.pantu, saskaņā ar kuru ministrijām bija jāsagatavo to tiesību aktu grozījumu projektus, kurus nepieciešams pielāgot </w:t>
            </w:r>
            <w:proofErr w:type="spellStart"/>
            <w:r w:rsidRPr="006E56D8">
              <w:rPr>
                <w:i/>
                <w:color w:val="000000"/>
                <w:sz w:val="26"/>
                <w:szCs w:val="26"/>
              </w:rPr>
              <w:t>euro</w:t>
            </w:r>
            <w:proofErr w:type="spellEnd"/>
            <w:r w:rsidRPr="00B820C5">
              <w:rPr>
                <w:color w:val="000000"/>
                <w:sz w:val="26"/>
                <w:szCs w:val="26"/>
              </w:rPr>
              <w:t xml:space="preserve"> ieviešanai, kā arī Ministru kabineta 2012.gada 27.jūnija rīkojuma Nr.282 „Par „Koncepciju par normatīvo aktu sakārtošanu saistībā ar eiro ieviešanu Latvijā”” 7.1.apakšpunktu. Izskatot jautājumu par atbalstāmajām valsts budžeta jaunajām politikas iniciatīvām 2014., 2015. un 2016.gadam, Ministru kabinets pieņēma lēmumu piešķirt papildu finansējumu mēnešalgu palielināšanai ar 2014.gada 1.janvāri, kas noteikumos Nr.484 nav paredzēts. Ievērojot, ka noteikumi Nr.484 vēl nav stājušies spēkā, tie ir atceļami, vienlaikus projektā paredzot arī to noteikumu Nr.484 regulējumu, kas saistīts ar </w:t>
            </w:r>
            <w:proofErr w:type="spellStart"/>
            <w:r w:rsidRPr="006E56D8">
              <w:rPr>
                <w:i/>
                <w:color w:val="000000"/>
                <w:sz w:val="26"/>
                <w:szCs w:val="26"/>
              </w:rPr>
              <w:t>euro</w:t>
            </w:r>
            <w:proofErr w:type="spellEnd"/>
            <w:r w:rsidRPr="00B820C5">
              <w:rPr>
                <w:color w:val="000000"/>
                <w:sz w:val="26"/>
                <w:szCs w:val="26"/>
              </w:rPr>
              <w:t xml:space="preserve"> ieviešanu un netiek mainīts (noteikumu Nr.484 1.3.apakšpunkts). Saistībā ar Ministru kabineta pieņemtajiem lēmumiem par mēnešalgu palielināšanu no 2014.gada 1.janvāra nepieciešams izdarīt grozījumus Ministru kabineta 2010.gada 21.jūnija noteikumu Nr.568 „Noteikumi par Iekšlietu ministrijas sistēmas iestāžu un Ieslodzījuma vietu pārvaldes amatpersonu ar speciālajām dienesta pakāpēm mēnešalgu un speciālajām piemaksām” (turpmāk – noteikumi Nr.568) 9.punktā un 1.pielikumā.  </w:t>
            </w:r>
          </w:p>
          <w:p w:rsidR="009367D8" w:rsidRPr="00B820C5" w:rsidRDefault="009367D8" w:rsidP="00B820C5">
            <w:pPr>
              <w:pStyle w:val="naisf"/>
              <w:spacing w:before="0" w:after="0"/>
              <w:ind w:firstLine="0"/>
              <w:rPr>
                <w:color w:val="000000"/>
                <w:sz w:val="26"/>
                <w:szCs w:val="26"/>
              </w:rPr>
            </w:pPr>
            <w:r w:rsidRPr="00B820C5">
              <w:rPr>
                <w:color w:val="000000"/>
                <w:sz w:val="26"/>
                <w:szCs w:val="26"/>
              </w:rPr>
              <w:t xml:space="preserve">   Vienlaikus nepieciešams pilnveidot regulējumu, ievērojot notikušās izmaiņas iestāžu struktūrā, kā arī ievērojot citas identificētās problēmas:</w:t>
            </w:r>
          </w:p>
          <w:p w:rsidR="009367D8" w:rsidRPr="00B820C5" w:rsidRDefault="009367D8" w:rsidP="00B820C5">
            <w:pPr>
              <w:pStyle w:val="naisf"/>
              <w:spacing w:before="0" w:after="0"/>
              <w:ind w:firstLine="0"/>
              <w:rPr>
                <w:color w:val="000000"/>
                <w:sz w:val="26"/>
                <w:szCs w:val="26"/>
              </w:rPr>
            </w:pPr>
            <w:r w:rsidRPr="00B820C5">
              <w:rPr>
                <w:color w:val="000000"/>
                <w:sz w:val="26"/>
                <w:szCs w:val="26"/>
              </w:rPr>
              <w:t>- Valsts policijas koledžā ir izveidota filiāle, par ko Izglītības kvalitātes valsts dienests 2009.gada 27.jūlijā Valsts policijas koledžas Latgales filiālei izsniedza izglītības iestādes reģistrācijas apliecību. Līdz šim Valsts policijas koledžas Latgales filiāles vadītāja pienākumus saskaņā ar direktora izdotu pavēli pilda Valsts policijas koledžas Tiesību katedras lektore, jo Valsts policijas koledžā nav izveidots amats – filiāles vadītājs. Iekšlietu ministrijas Iekšējā audita nodaļas 2013.gada 15.maija audita ziņojumā Nr.5-1/4-2013 „Apmācības un kvalifikācijas paaugstināšanas nodrošināšana Valsts policijas koledžā” (turpmāk – Ziņojums) norādīts, ka Valsts policijas koledžas Latgales filiālē konstatētas pārvaldības līmeņa nekonsekvences, jo tās nenotiek saskaņā ar Augstskolu likuma normatīvo regulējumu. Saskaņā ar Augstskolu likuma 8.panta piekto daļu filiāles vadītājs rīkojas uz attiecīgās augstskolas izdotas pilnvaras pamata. Ziņojumā ieteikts, ka līdz 2013.gada 1.decembrim jāprecizē Valsts policijas koledžas struktūra un reglaments Latgales filiāles juridiskā statusa kontekstā;</w:t>
            </w:r>
          </w:p>
          <w:p w:rsidR="009367D8" w:rsidRPr="00B820C5" w:rsidRDefault="009367D8" w:rsidP="00B820C5">
            <w:pPr>
              <w:pStyle w:val="naisf"/>
              <w:spacing w:before="0" w:after="0"/>
              <w:ind w:firstLine="0"/>
              <w:rPr>
                <w:color w:val="000000"/>
                <w:sz w:val="26"/>
                <w:szCs w:val="26"/>
              </w:rPr>
            </w:pPr>
            <w:r w:rsidRPr="00B820C5">
              <w:rPr>
                <w:color w:val="000000"/>
                <w:sz w:val="26"/>
                <w:szCs w:val="26"/>
              </w:rPr>
              <w:t xml:space="preserve">- </w:t>
            </w:r>
            <w:r w:rsidR="00F65893" w:rsidRPr="00B820C5">
              <w:rPr>
                <w:color w:val="000000"/>
                <w:sz w:val="26"/>
                <w:szCs w:val="26"/>
              </w:rPr>
              <w:t>a</w:t>
            </w:r>
            <w:r w:rsidRPr="00B820C5">
              <w:rPr>
                <w:color w:val="000000"/>
                <w:sz w:val="26"/>
                <w:szCs w:val="26"/>
              </w:rPr>
              <w:t xml:space="preserve">nalizējot operatīvās situācijas pārvaldīšanu ikdienā Valsts policijas reģionālās struktūrvienības apkalpojamajā teritorijā, ir </w:t>
            </w:r>
            <w:r w:rsidRPr="00B820C5">
              <w:rPr>
                <w:color w:val="000000"/>
                <w:sz w:val="26"/>
                <w:szCs w:val="26"/>
              </w:rPr>
              <w:lastRenderedPageBreak/>
              <w:t>nācies secināt, ka amatpersonām, kas saskaņā ar amata pienākumiem vada operatīvās vadības struktūrvienības (turpmāk – OVS) darbu, pastāvošajā situācijā statuss nav atbilstošs noteiktajam funkciju un uzdevumu apjomam. Tā, Valsts policijas Rīgas reģiona pārvaldes Kārtības policijas pārvaldes Operatīvās vadības biroja 1.nodaļā diennakts laikā tiek saņemts ap tūkstoš telefona zvanu. OVS dežūrmaiņas vadītājam  - galvenajam inspektoram - šobrīd ir izveidojusies ievērojama darba slodze un liela atbildība, ko noteic pienākums organizēt, vadīt, kontrolēt visas dežūrmaiņas darbu ar apmēram tūkstoš paziņojumiem par notikumiem, kā arī atbildēt par dežūrmaiņai uzdoto uzdevumu izpildi.  Darba apjoma dēļ dežūrmaiņas vadītājam pastāvīgi nākas pieņemt atbildīgus un izšķirošus lēmumus -  pastāvīgi kontrolēt darbu ar paziņojumiem par likumpārkāpumiem un citiem  notikumiem reģiona apkalpojamajā teritorijā, organizēt operatīvās grupas izbraukšanu uz smagiem un sevišķi smagiem noziedzīgiem nodarījumiem, kā arī izbraukt uz šādu notikumu vietām,   koordinēt pakļautībā esošo OVS darbu un veikt citus uzdotos pienākumus. Šobrīd Valsts policijas Rīgas reģiona pārvaldes Kārtības policijas pārvaldes Operatīvās vadības biroja 1.nodaļas galvenajam inspektoram ir noteikta 9 B amata kategorija. Tomēr var uzskatīt, ka šai amatpersonai pašreiz noteiktais statuss nesasniedz tās pilnvaru un  atbildības apjomu. Lai operatīvās situācijas pārvaldīšanu nodrošinātu kompetentas amatpersonas ar attiecīgu statusu, būtu nepieciešams katras Valsts policijas reģionālās struktūrvienības, kā arī Valsts policijas Galvenās kārtības policijas pārvaldes sastāvā izveidot operatīvā dežuranta amata vietu kā tas jau ir paredzēts Valsts ugunsdzēsības un glābšanas dienestā</w:t>
            </w:r>
            <w:r w:rsidR="00F65893" w:rsidRPr="00B820C5">
              <w:rPr>
                <w:color w:val="000000"/>
                <w:sz w:val="26"/>
                <w:szCs w:val="26"/>
              </w:rPr>
              <w:t>;</w:t>
            </w:r>
          </w:p>
          <w:p w:rsidR="009367D8" w:rsidRPr="00B820C5" w:rsidRDefault="009367D8" w:rsidP="00B820C5">
            <w:pPr>
              <w:pStyle w:val="naisf"/>
              <w:spacing w:before="0" w:after="0"/>
              <w:ind w:firstLine="0"/>
              <w:rPr>
                <w:color w:val="000000"/>
                <w:sz w:val="26"/>
                <w:szCs w:val="26"/>
              </w:rPr>
            </w:pPr>
            <w:r w:rsidRPr="00B820C5">
              <w:rPr>
                <w:color w:val="000000"/>
                <w:sz w:val="26"/>
                <w:szCs w:val="26"/>
              </w:rPr>
              <w:t>- Iekšlietu ministrijas Iekšējā audita nodaļas 2013.gada 19.jūlija ziņojumā Nr.5-1/6-2013 norādīts, ka Valsts policijā nav skaidri definēti kritēriji, piešķirot speciālo piemaksu amatpersonām, kuras tieši veic, organizē vai vada speciālus pasākumus tiesībpārkāpumu novēršanā un atklāšanā. Norādīts, ka tikai daļēji izstrādāti vērtēšanas kritēriji, kas ietekmē un nosaka speciālās piemaksas apmēru. Nepieciešams noteikt Rīgas reģiona pārvaldes amatpersonām, kas operatīvi veic speciālus uzdevumus sabiedriskās kārtības nodrošināšanā, Valsts policijas amatpersonām, kuras apsargā vēstniecības un speciālos objektus un Valsts policijas amatpersonām, kuras tieši veic, organizē vai vada speciālus pasākumus tiesībpārkāpumu novēršanā un atklāšanā piemaksu nemainīgā apmērā, jo minētajiem amatiem nav iespējams izstrādāt novērtēšanas kritērijus, kas varētu ietekmēt speciālās piemaksas apmēru;</w:t>
            </w:r>
          </w:p>
          <w:p w:rsidR="009367D8" w:rsidRPr="00B820C5" w:rsidRDefault="009367D8" w:rsidP="00B820C5">
            <w:pPr>
              <w:pStyle w:val="naisf"/>
              <w:spacing w:before="0" w:after="0"/>
              <w:ind w:firstLine="0"/>
              <w:rPr>
                <w:color w:val="000000"/>
                <w:sz w:val="26"/>
                <w:szCs w:val="26"/>
              </w:rPr>
            </w:pPr>
            <w:r w:rsidRPr="00B820C5">
              <w:rPr>
                <w:color w:val="000000"/>
                <w:sz w:val="26"/>
                <w:szCs w:val="26"/>
              </w:rPr>
              <w:t xml:space="preserve">- Valsts un pašvaldību institūciju amatpersonu un darbinieku </w:t>
            </w:r>
            <w:r w:rsidRPr="00B820C5">
              <w:rPr>
                <w:color w:val="000000"/>
                <w:sz w:val="26"/>
                <w:szCs w:val="26"/>
              </w:rPr>
              <w:lastRenderedPageBreak/>
              <w:t xml:space="preserve">atlīdzības likuma (turpmāk </w:t>
            </w:r>
            <w:r w:rsidRPr="00B820C5">
              <w:rPr>
                <w:color w:val="000000"/>
                <w:sz w:val="26"/>
                <w:szCs w:val="26"/>
              </w:rPr>
              <w:softHyphen/>
              <w:t>– Atlīdzības likums) 15.panta otrā daļa nosaka, ka par īpašu risku šā likuma izpratnē uzskatāms amats (dienests, darbs), kas saskaņā ar darba vides risku novērtējumu ir saistīts ar tik lielā mērā paaugstinātu psiholoģisko vai fizisko slodzi vai risku darbinieka drošībai un veselībai, ka to nevar novērst vai samazināt līdz pieļaujamam līmenim ar darba aizsardzības pasākumiem.</w:t>
            </w:r>
          </w:p>
          <w:p w:rsidR="009367D8" w:rsidRPr="00B820C5" w:rsidRDefault="009367D8" w:rsidP="00B820C5">
            <w:pPr>
              <w:pStyle w:val="naisf"/>
              <w:spacing w:before="0" w:after="0"/>
              <w:ind w:firstLine="0"/>
              <w:rPr>
                <w:color w:val="000000"/>
                <w:sz w:val="26"/>
                <w:szCs w:val="26"/>
              </w:rPr>
            </w:pPr>
            <w:r w:rsidRPr="00B820C5">
              <w:rPr>
                <w:color w:val="000000"/>
                <w:sz w:val="26"/>
                <w:szCs w:val="26"/>
              </w:rPr>
              <w:tab/>
              <w:t>Atlīdzības likuma 19.panta trešajā un ceturtajā daļā ir noteiktas sociālās garantijas amatpersonai, kura, pildot ar dzīvības un veselības apdraudējumu (risku) saistītus amata (dienesta darba) pienākumus, cietusi nelaimes gadījumā. Minētā panta piektās daļas 3.apakšpunkts noteic, ka Iekšlietu ministrijas sistēmas iestādes amatpersonai ar speciālo dienesta pakāpi šā panta trešajā un ceturtajā daļā minētie pabalsti tiek izmaksāti, arī tajos gadījumos, ja amatpersona cietusi nelaimes gadījumā, veicot tiešas robežkontroles funkcijas, kā arī tieši kontrolējot ārzemnieku ieceļošanas, uzturēšanās, tranzīta un izceļošanas nosacījumu izpildi un atbilstoši tiem turot ārzemniekus apsardzībā, pavadot apsardzes uzraudzībā vai izraidot. No minētā ir secināms, ka likumdevējs ir atzinis, ka robežsargu amata pienākumi, kas saistīti ar dzīvības un veselības apdraudējumu risku, ir šādi:</w:t>
            </w:r>
          </w:p>
          <w:p w:rsidR="009367D8" w:rsidRPr="00B820C5" w:rsidRDefault="006E56D8" w:rsidP="00B820C5">
            <w:pPr>
              <w:pStyle w:val="naisf"/>
              <w:spacing w:before="0" w:after="0"/>
              <w:ind w:firstLine="0"/>
              <w:rPr>
                <w:color w:val="000000"/>
                <w:sz w:val="26"/>
                <w:szCs w:val="26"/>
              </w:rPr>
            </w:pPr>
            <w:r>
              <w:rPr>
                <w:color w:val="000000"/>
                <w:sz w:val="26"/>
                <w:szCs w:val="26"/>
              </w:rPr>
              <w:t>-</w:t>
            </w:r>
            <w:r w:rsidR="009367D8" w:rsidRPr="00B820C5">
              <w:rPr>
                <w:color w:val="000000"/>
                <w:sz w:val="26"/>
                <w:szCs w:val="26"/>
              </w:rPr>
              <w:t>robežkontroles veikšana;</w:t>
            </w:r>
          </w:p>
          <w:p w:rsidR="009367D8" w:rsidRPr="00B820C5" w:rsidRDefault="006E56D8" w:rsidP="00B820C5">
            <w:pPr>
              <w:pStyle w:val="naisf"/>
              <w:spacing w:before="0" w:after="0"/>
              <w:ind w:firstLine="0"/>
              <w:rPr>
                <w:color w:val="000000"/>
                <w:sz w:val="26"/>
                <w:szCs w:val="26"/>
              </w:rPr>
            </w:pPr>
            <w:r>
              <w:rPr>
                <w:color w:val="000000"/>
                <w:sz w:val="26"/>
                <w:szCs w:val="26"/>
              </w:rPr>
              <w:t>-</w:t>
            </w:r>
            <w:r w:rsidR="009367D8" w:rsidRPr="00B820C5">
              <w:rPr>
                <w:color w:val="000000"/>
                <w:sz w:val="26"/>
                <w:szCs w:val="26"/>
              </w:rPr>
              <w:t>ārzemnieku ieceļošanas, uzturēšanās, tranzīta un izceļošanas nosacījumu izpildes kontroles veikšana;</w:t>
            </w:r>
          </w:p>
          <w:p w:rsidR="009367D8" w:rsidRPr="00B820C5" w:rsidRDefault="006E56D8" w:rsidP="00B820C5">
            <w:pPr>
              <w:pStyle w:val="naisf"/>
              <w:spacing w:before="0" w:after="0"/>
              <w:ind w:firstLine="0"/>
              <w:rPr>
                <w:color w:val="000000"/>
                <w:sz w:val="26"/>
                <w:szCs w:val="26"/>
              </w:rPr>
            </w:pPr>
            <w:r>
              <w:rPr>
                <w:color w:val="000000"/>
                <w:sz w:val="26"/>
                <w:szCs w:val="26"/>
              </w:rPr>
              <w:t>-</w:t>
            </w:r>
            <w:r w:rsidR="009367D8" w:rsidRPr="00B820C5">
              <w:rPr>
                <w:color w:val="000000"/>
                <w:sz w:val="26"/>
                <w:szCs w:val="26"/>
              </w:rPr>
              <w:t>ārzemnieku turēšana apsardzībā, pavadīšana apsardzes uzraudzībā un izraidīšanas veikšana.</w:t>
            </w:r>
          </w:p>
          <w:p w:rsidR="009367D8" w:rsidRPr="00B820C5" w:rsidRDefault="009367D8" w:rsidP="00B820C5">
            <w:pPr>
              <w:pStyle w:val="naisf"/>
              <w:spacing w:before="0" w:after="0"/>
              <w:ind w:firstLine="0"/>
              <w:rPr>
                <w:color w:val="000000"/>
                <w:sz w:val="26"/>
                <w:szCs w:val="26"/>
              </w:rPr>
            </w:pPr>
            <w:r w:rsidRPr="00B820C5">
              <w:rPr>
                <w:color w:val="000000"/>
                <w:sz w:val="26"/>
                <w:szCs w:val="26"/>
              </w:rPr>
              <w:tab/>
              <w:t>Noteikumu Nr.568 4.pielikums, kas nosaka piemaksas par dienestu, kas saistīts ar īpašu risku un par nosacījumiem, kas saistīti ar dienesta specifiku, paredz, ka minētās piemaksas var saņemt par tiešu robežkontroli, kā arī tās vadību (5.punkts. No minētā ir secināms, ka noteikumu Nr.568 4.pielikumā ir sašaurināti Atlīdzības likumā noteiktie amata pienākumi, kas saistīti ar dzīvības un veselības apdraudējumu un risku. Sakarā ar to precizējams 5.punktā minētās piemaksas formulējums;</w:t>
            </w:r>
          </w:p>
          <w:p w:rsidR="009367D8" w:rsidRPr="00B820C5" w:rsidRDefault="009367D8" w:rsidP="00B820C5">
            <w:pPr>
              <w:pStyle w:val="naisf"/>
              <w:spacing w:before="0" w:after="0"/>
              <w:ind w:firstLine="0"/>
              <w:rPr>
                <w:color w:val="000000"/>
                <w:sz w:val="26"/>
                <w:szCs w:val="26"/>
              </w:rPr>
            </w:pPr>
            <w:r w:rsidRPr="00B820C5">
              <w:rPr>
                <w:color w:val="000000"/>
                <w:sz w:val="26"/>
                <w:szCs w:val="26"/>
              </w:rPr>
              <w:t>- ievērojot Kriminālprocesa likumā lietoto terminoloģiju, precizējams noteikumu Nr.568 4.pielikuma 7.punktā minētās piemaksas formulējums.</w:t>
            </w:r>
          </w:p>
        </w:tc>
      </w:tr>
      <w:tr w:rsidR="009367D8" w:rsidRPr="00EC690C" w:rsidTr="00FA042E">
        <w:trPr>
          <w:gridBefore w:val="1"/>
          <w:wBefore w:w="306" w:type="dxa"/>
        </w:trPr>
        <w:tc>
          <w:tcPr>
            <w:tcW w:w="1020" w:type="dxa"/>
            <w:gridSpan w:val="3"/>
          </w:tcPr>
          <w:p w:rsidR="009367D8" w:rsidRPr="00B820C5" w:rsidRDefault="009367D8" w:rsidP="00B820C5">
            <w:pPr>
              <w:pStyle w:val="naisf"/>
              <w:spacing w:before="0" w:after="0"/>
              <w:ind w:firstLine="0"/>
              <w:rPr>
                <w:color w:val="000000"/>
                <w:sz w:val="26"/>
                <w:szCs w:val="26"/>
              </w:rPr>
            </w:pPr>
            <w:r w:rsidRPr="00B820C5">
              <w:rPr>
                <w:color w:val="000000"/>
                <w:sz w:val="26"/>
                <w:szCs w:val="26"/>
              </w:rPr>
              <w:lastRenderedPageBreak/>
              <w:t>3.</w:t>
            </w:r>
          </w:p>
        </w:tc>
        <w:tc>
          <w:tcPr>
            <w:tcW w:w="2606" w:type="dxa"/>
            <w:gridSpan w:val="2"/>
          </w:tcPr>
          <w:p w:rsidR="009367D8" w:rsidRPr="00B820C5" w:rsidRDefault="009367D8" w:rsidP="00B820C5">
            <w:pPr>
              <w:pStyle w:val="naisf"/>
              <w:spacing w:before="0" w:after="0"/>
              <w:ind w:firstLine="0"/>
              <w:rPr>
                <w:color w:val="000000"/>
                <w:sz w:val="26"/>
                <w:szCs w:val="26"/>
              </w:rPr>
            </w:pPr>
            <w:r w:rsidRPr="00B820C5">
              <w:rPr>
                <w:color w:val="000000"/>
                <w:sz w:val="26"/>
                <w:szCs w:val="26"/>
              </w:rPr>
              <w:t>Saistītie politikas ietekmes novērtējumi un pētījumi</w:t>
            </w:r>
          </w:p>
        </w:tc>
        <w:tc>
          <w:tcPr>
            <w:tcW w:w="6864" w:type="dxa"/>
            <w:gridSpan w:val="8"/>
          </w:tcPr>
          <w:p w:rsidR="009367D8" w:rsidRPr="00B820C5" w:rsidRDefault="009367D8" w:rsidP="00B820C5">
            <w:pPr>
              <w:pStyle w:val="naisf"/>
              <w:spacing w:before="0" w:after="0"/>
              <w:ind w:firstLine="0"/>
              <w:rPr>
                <w:color w:val="000000"/>
                <w:sz w:val="26"/>
                <w:szCs w:val="26"/>
              </w:rPr>
            </w:pPr>
            <w:r w:rsidRPr="00B820C5">
              <w:rPr>
                <w:color w:val="000000"/>
                <w:sz w:val="26"/>
                <w:szCs w:val="26"/>
              </w:rPr>
              <w:t>- Ar Ministru kabineta 2013.gada 6.februāra rīkojumu Nr.48 apstiprinātā Valsts pārvaldes cilvēkresursu attīstības koncepcija, kas paredz pasākumus mēnešalgu diapazonu sašaurināšanai un mēnešalgu skalas zemākās robežas pārskatīšanai</w:t>
            </w:r>
            <w:r w:rsidRPr="001D4188">
              <w:rPr>
                <w:color w:val="000000"/>
                <w:sz w:val="26"/>
                <w:szCs w:val="26"/>
              </w:rPr>
              <w:t>, kas</w:t>
            </w:r>
            <w:r w:rsidR="008C3E6F" w:rsidRPr="001D4188">
              <w:rPr>
                <w:color w:val="000000"/>
                <w:sz w:val="26"/>
                <w:szCs w:val="26"/>
              </w:rPr>
              <w:t xml:space="preserve"> tieši neattiecas, bet</w:t>
            </w:r>
            <w:r w:rsidRPr="00B820C5">
              <w:rPr>
                <w:color w:val="000000"/>
                <w:sz w:val="26"/>
                <w:szCs w:val="26"/>
              </w:rPr>
              <w:t xml:space="preserve"> ir aktuāli arī attiecībā uz amatpersonām ar speciālajām dienesta pakāpēm.</w:t>
            </w:r>
          </w:p>
          <w:p w:rsidR="009367D8" w:rsidRPr="00B820C5" w:rsidRDefault="009367D8" w:rsidP="00B820C5">
            <w:pPr>
              <w:pStyle w:val="naisf"/>
              <w:spacing w:before="0" w:after="0"/>
              <w:ind w:firstLine="0"/>
              <w:rPr>
                <w:color w:val="000000"/>
                <w:sz w:val="26"/>
                <w:szCs w:val="26"/>
              </w:rPr>
            </w:pPr>
            <w:r w:rsidRPr="00B820C5">
              <w:rPr>
                <w:color w:val="000000"/>
                <w:sz w:val="26"/>
                <w:szCs w:val="26"/>
              </w:rPr>
              <w:t xml:space="preserve">- Informatīvais ziņojums „Par iespējām pakāpeniski izlīdzināt atlīdzības fondus valsts tiešās pārvaldes iestādēm, lai nodrošinātu līdzvērtīgu atlīdzību līdzīgiem amatiem dažādās </w:t>
            </w:r>
            <w:r w:rsidRPr="00B820C5">
              <w:rPr>
                <w:color w:val="000000"/>
                <w:sz w:val="26"/>
                <w:szCs w:val="26"/>
              </w:rPr>
              <w:lastRenderedPageBreak/>
              <w:t>iestādēs” (izskatīts Ministru kabineta 2013.gada 4.jūnija sēdē; prot. Nr.33, 28.§), kas tika sagatavots, izpildot Ministru kabineta 2013.gada 8.janvāra sēdē uzdoto (prot. Nr.2, 26.§, 5.punkts): likumprojekta „Par vidēja termiņa budžeta ietvaru 2014., 2015. un 2016.gadam” sagatavošanas procesā izvērtēt iespējas pakāpeniski izlīdzināt atlīdzības fondus valsts tiešās pārvaldes iestādēm, lai nodrošinātu līdzvērtīgu atlīdzību līdzīgiem amatiem dažādās iestādēs.</w:t>
            </w:r>
          </w:p>
        </w:tc>
      </w:tr>
      <w:tr w:rsidR="009367D8" w:rsidRPr="00EC690C" w:rsidTr="00FA042E">
        <w:trPr>
          <w:gridBefore w:val="1"/>
          <w:wBefore w:w="306" w:type="dxa"/>
        </w:trPr>
        <w:tc>
          <w:tcPr>
            <w:tcW w:w="1020" w:type="dxa"/>
            <w:gridSpan w:val="3"/>
          </w:tcPr>
          <w:p w:rsidR="009367D8" w:rsidRPr="00EC690C" w:rsidRDefault="009367D8" w:rsidP="006F255D">
            <w:pPr>
              <w:jc w:val="center"/>
              <w:rPr>
                <w:sz w:val="28"/>
                <w:szCs w:val="28"/>
              </w:rPr>
            </w:pPr>
            <w:r w:rsidRPr="00EC690C">
              <w:rPr>
                <w:sz w:val="28"/>
                <w:szCs w:val="28"/>
              </w:rPr>
              <w:lastRenderedPageBreak/>
              <w:t>4.</w:t>
            </w:r>
          </w:p>
        </w:tc>
        <w:tc>
          <w:tcPr>
            <w:tcW w:w="2606" w:type="dxa"/>
            <w:gridSpan w:val="2"/>
          </w:tcPr>
          <w:p w:rsidR="009367D8" w:rsidRPr="00917912" w:rsidRDefault="009367D8" w:rsidP="00917912">
            <w:pPr>
              <w:pStyle w:val="naisf"/>
              <w:spacing w:before="0" w:after="0"/>
              <w:ind w:firstLine="0"/>
              <w:rPr>
                <w:color w:val="000000"/>
                <w:sz w:val="26"/>
                <w:szCs w:val="26"/>
              </w:rPr>
            </w:pPr>
            <w:r w:rsidRPr="00917912">
              <w:rPr>
                <w:color w:val="000000"/>
                <w:sz w:val="26"/>
                <w:szCs w:val="26"/>
              </w:rPr>
              <w:t>Tiesiskā regulējuma mērķis un būtība</w:t>
            </w:r>
          </w:p>
        </w:tc>
        <w:tc>
          <w:tcPr>
            <w:tcW w:w="6864" w:type="dxa"/>
            <w:gridSpan w:val="8"/>
          </w:tcPr>
          <w:p w:rsidR="009367D8" w:rsidRPr="00917912" w:rsidRDefault="009367D8" w:rsidP="00917912">
            <w:pPr>
              <w:pStyle w:val="naisf"/>
              <w:spacing w:before="0" w:after="0"/>
              <w:ind w:firstLine="0"/>
              <w:rPr>
                <w:color w:val="000000"/>
                <w:sz w:val="26"/>
                <w:szCs w:val="26"/>
              </w:rPr>
            </w:pPr>
            <w:r w:rsidRPr="00917912">
              <w:rPr>
                <w:color w:val="000000"/>
                <w:sz w:val="26"/>
                <w:szCs w:val="26"/>
              </w:rPr>
              <w:t>Projekta mērķis ir mēnešalgu palielināšana atbilstoši Ministru kabineta piešķirtajam finansējumam.</w:t>
            </w:r>
          </w:p>
          <w:p w:rsidR="009367D8" w:rsidRPr="00917912" w:rsidRDefault="009367D8" w:rsidP="00917912">
            <w:pPr>
              <w:pStyle w:val="naisf"/>
              <w:spacing w:before="0" w:after="0"/>
              <w:ind w:firstLine="0"/>
              <w:rPr>
                <w:color w:val="000000"/>
                <w:sz w:val="26"/>
                <w:szCs w:val="26"/>
              </w:rPr>
            </w:pPr>
            <w:r w:rsidRPr="00917912">
              <w:rPr>
                <w:color w:val="000000"/>
                <w:sz w:val="26"/>
                <w:szCs w:val="26"/>
              </w:rPr>
              <w:t>Projekts paredz:</w:t>
            </w:r>
          </w:p>
          <w:p w:rsidR="009367D8" w:rsidRPr="00917912" w:rsidRDefault="009367D8" w:rsidP="00917912">
            <w:pPr>
              <w:pStyle w:val="naisf"/>
              <w:spacing w:before="0" w:after="0"/>
              <w:ind w:firstLine="0"/>
              <w:rPr>
                <w:color w:val="000000"/>
                <w:sz w:val="26"/>
                <w:szCs w:val="26"/>
              </w:rPr>
            </w:pPr>
            <w:r w:rsidRPr="00917912">
              <w:rPr>
                <w:color w:val="000000"/>
                <w:sz w:val="26"/>
                <w:szCs w:val="26"/>
              </w:rPr>
              <w:t xml:space="preserve">- noteikumos Nr.484, kas ar projektu tiek atcelti, iekļautās normas par speciālo piemaksu (noteikumu Nr.568 3. un 4.pielikums) noteikšanu </w:t>
            </w:r>
            <w:proofErr w:type="spellStart"/>
            <w:r w:rsidRPr="006E56D8">
              <w:rPr>
                <w:i/>
                <w:color w:val="000000"/>
                <w:sz w:val="26"/>
                <w:szCs w:val="26"/>
              </w:rPr>
              <w:t>euro</w:t>
            </w:r>
            <w:proofErr w:type="spellEnd"/>
            <w:r w:rsidRPr="00917912">
              <w:rPr>
                <w:color w:val="000000"/>
                <w:sz w:val="26"/>
                <w:szCs w:val="26"/>
              </w:rPr>
              <w:t>;</w:t>
            </w:r>
          </w:p>
          <w:p w:rsidR="009367D8" w:rsidRPr="00917912" w:rsidRDefault="009367D8" w:rsidP="00917912">
            <w:pPr>
              <w:pStyle w:val="naisf"/>
              <w:spacing w:before="0" w:after="0"/>
              <w:ind w:firstLine="0"/>
              <w:rPr>
                <w:color w:val="000000"/>
                <w:sz w:val="26"/>
                <w:szCs w:val="26"/>
              </w:rPr>
            </w:pPr>
            <w:r w:rsidRPr="00917912">
              <w:rPr>
                <w:color w:val="000000"/>
                <w:sz w:val="26"/>
                <w:szCs w:val="26"/>
              </w:rPr>
              <w:t xml:space="preserve">- kadeta mēnešalgas palielināšanu par 15 latiem: no 275 latiem (391,29 </w:t>
            </w:r>
            <w:proofErr w:type="spellStart"/>
            <w:r w:rsidRPr="006E56D8">
              <w:rPr>
                <w:i/>
                <w:color w:val="000000"/>
                <w:sz w:val="26"/>
                <w:szCs w:val="26"/>
              </w:rPr>
              <w:t>euro</w:t>
            </w:r>
            <w:proofErr w:type="spellEnd"/>
            <w:r w:rsidRPr="00917912">
              <w:rPr>
                <w:color w:val="000000"/>
                <w:sz w:val="26"/>
                <w:szCs w:val="26"/>
              </w:rPr>
              <w:t xml:space="preserve">) uz 290 latiem (412,63 </w:t>
            </w:r>
            <w:proofErr w:type="spellStart"/>
            <w:r w:rsidRPr="006E56D8">
              <w:rPr>
                <w:i/>
                <w:color w:val="000000"/>
                <w:sz w:val="26"/>
                <w:szCs w:val="26"/>
              </w:rPr>
              <w:t>euro</w:t>
            </w:r>
            <w:proofErr w:type="spellEnd"/>
            <w:r w:rsidRPr="00917912">
              <w:rPr>
                <w:color w:val="000000"/>
                <w:sz w:val="26"/>
                <w:szCs w:val="26"/>
              </w:rPr>
              <w:t>) (atbilstoši nosacījumam, ka saistībā ar minimālās mēneša darba algas palielināšanu mēnešalgas, kas ir diapazonā no 251 līdz 300 latiem, palielināmas par 15 latiem);</w:t>
            </w:r>
          </w:p>
          <w:p w:rsidR="009367D8" w:rsidRPr="00917912" w:rsidRDefault="009367D8" w:rsidP="00917912">
            <w:pPr>
              <w:pStyle w:val="naisf"/>
              <w:spacing w:before="0" w:after="0"/>
              <w:ind w:firstLine="0"/>
              <w:rPr>
                <w:color w:val="000000"/>
                <w:sz w:val="26"/>
                <w:szCs w:val="26"/>
              </w:rPr>
            </w:pPr>
            <w:r w:rsidRPr="00917912">
              <w:rPr>
                <w:color w:val="000000"/>
                <w:sz w:val="26"/>
                <w:szCs w:val="26"/>
              </w:rPr>
              <w:t>- noteikumu Nr.568 1.pielikuma izteikšanu jaunā redakcijā, palielinot mēnešalgu apmēru saistībā ar minimālās mēneša darba algas palielināšanu (mēnešalgas, kas pašlaik noteiktas no 320 latiem līdz 400 latiem, tiek palielinātas par 12 latiem; mēnešalgas, kas pašlaik noteiktas no 401 lata līdz 600 latiem, tiek palielinātas par 10 latiem)</w:t>
            </w:r>
            <w:r w:rsidR="005A1404" w:rsidRPr="00917912">
              <w:rPr>
                <w:color w:val="000000"/>
                <w:sz w:val="26"/>
                <w:szCs w:val="26"/>
              </w:rPr>
              <w:t xml:space="preserve"> atbilstoši Ministru kabinetā pieņemtajam lēmumam</w:t>
            </w:r>
            <w:r w:rsidRPr="00917912">
              <w:rPr>
                <w:color w:val="000000"/>
                <w:sz w:val="26"/>
                <w:szCs w:val="26"/>
              </w:rPr>
              <w:t xml:space="preserve">, kā arī palielinot zemākās mēnešalgas par 4 latiem, ievērojot mēnešalgu izlīdzināšanai piešķirtā finansējuma apjomu un to, ka mēnešalgas palielināšana ietekmē ar citu atlīdzības veidu apmēra palielināšanos (piemēram, piemaksas par nakts darbu palielināšanos, kas noteikta kā konstants lielums </w:t>
            </w:r>
            <w:r w:rsidRPr="00917912">
              <w:rPr>
                <w:color w:val="000000"/>
                <w:sz w:val="26"/>
                <w:szCs w:val="26"/>
              </w:rPr>
              <w:softHyphen/>
              <w:t>– 50 procenti no stundas algas likmes – lielam skaitam amatpersonu ar speciālajām dienesta pakāpēm).</w:t>
            </w:r>
          </w:p>
          <w:p w:rsidR="009367D8" w:rsidRPr="00917912" w:rsidRDefault="009367D8" w:rsidP="00917912">
            <w:pPr>
              <w:pStyle w:val="naisf"/>
              <w:spacing w:before="0" w:after="0"/>
              <w:ind w:firstLine="0"/>
              <w:rPr>
                <w:color w:val="000000"/>
                <w:sz w:val="26"/>
                <w:szCs w:val="26"/>
              </w:rPr>
            </w:pPr>
            <w:r w:rsidRPr="00917912">
              <w:rPr>
                <w:color w:val="000000"/>
                <w:sz w:val="26"/>
                <w:szCs w:val="26"/>
              </w:rPr>
              <w:t xml:space="preserve">Mēnešalgu palielināšanai ir piešķirti papildu valsts budžeta līdzekļi, kas ļauj nodrošināt mēnešalgu noteikšanu veselos skaitļos </w:t>
            </w:r>
            <w:proofErr w:type="spellStart"/>
            <w:r w:rsidRPr="006E56D8">
              <w:rPr>
                <w:i/>
                <w:color w:val="000000"/>
                <w:sz w:val="26"/>
                <w:szCs w:val="26"/>
              </w:rPr>
              <w:t>euro</w:t>
            </w:r>
            <w:proofErr w:type="spellEnd"/>
            <w:r w:rsidRPr="00917912">
              <w:rPr>
                <w:color w:val="000000"/>
                <w:sz w:val="26"/>
                <w:szCs w:val="26"/>
              </w:rPr>
              <w:t xml:space="preserve">, kas būtiski atvieglo atalgojuma aprēķināšanu. Vienlaikus pārējos darba samaksas veidus, kas paredzēti projektā, izteikt veselos skaitļos </w:t>
            </w:r>
            <w:proofErr w:type="spellStart"/>
            <w:r w:rsidRPr="006E56D8">
              <w:rPr>
                <w:i/>
                <w:color w:val="000000"/>
                <w:sz w:val="26"/>
                <w:szCs w:val="26"/>
              </w:rPr>
              <w:t>euro</w:t>
            </w:r>
            <w:proofErr w:type="spellEnd"/>
            <w:r w:rsidRPr="00917912">
              <w:rPr>
                <w:color w:val="000000"/>
                <w:sz w:val="26"/>
                <w:szCs w:val="26"/>
              </w:rPr>
              <w:t xml:space="preserve"> nav iespējams, jo tam ir būtiska ietekme uz budžeta izdevumiem. Projekts paredz, ņemot vērā oficiālo maiņas kursu, izteikt </w:t>
            </w:r>
            <w:proofErr w:type="spellStart"/>
            <w:r w:rsidRPr="006E56D8">
              <w:rPr>
                <w:i/>
                <w:color w:val="000000"/>
                <w:sz w:val="26"/>
                <w:szCs w:val="26"/>
              </w:rPr>
              <w:t>euro</w:t>
            </w:r>
            <w:proofErr w:type="spellEnd"/>
            <w:r w:rsidRPr="00917912">
              <w:rPr>
                <w:color w:val="000000"/>
                <w:sz w:val="26"/>
                <w:szCs w:val="26"/>
              </w:rPr>
              <w:t xml:space="preserve"> tās summas, kas šobrīd ir noteiktas latos. Aprēķins veikts, izmantojot kursu EUR 1 = LVL 0,702804. </w:t>
            </w:r>
          </w:p>
          <w:p w:rsidR="009367D8" w:rsidRPr="00917912" w:rsidRDefault="009367D8" w:rsidP="00917912">
            <w:pPr>
              <w:pStyle w:val="naisf"/>
              <w:spacing w:before="0" w:after="0"/>
              <w:ind w:firstLine="0"/>
              <w:rPr>
                <w:color w:val="000000"/>
                <w:sz w:val="26"/>
                <w:szCs w:val="26"/>
              </w:rPr>
            </w:pPr>
            <w:r w:rsidRPr="00917912">
              <w:rPr>
                <w:color w:val="000000"/>
                <w:sz w:val="26"/>
                <w:szCs w:val="26"/>
              </w:rPr>
              <w:t>Projekts paredz jaunu amatu ieviešanu Valsts policijā:</w:t>
            </w:r>
          </w:p>
          <w:p w:rsidR="009367D8" w:rsidRPr="00917912" w:rsidRDefault="009367D8" w:rsidP="00917912">
            <w:pPr>
              <w:pStyle w:val="naisf"/>
              <w:spacing w:before="0" w:after="0"/>
              <w:ind w:firstLine="0"/>
              <w:rPr>
                <w:color w:val="000000"/>
                <w:sz w:val="26"/>
                <w:szCs w:val="26"/>
              </w:rPr>
            </w:pPr>
            <w:r w:rsidRPr="00917912">
              <w:rPr>
                <w:color w:val="000000"/>
                <w:sz w:val="26"/>
                <w:szCs w:val="26"/>
              </w:rPr>
              <w:t xml:space="preserve">Operatīvais dežurants Valsts policijas Galvenajā kārtības policijas pārvaldē – kurš būs atbildīgs par operatīvās situācijas pārvaldīšanu valstī, visu policijas struktūrvienību operatīvo vadību, kā arī visu Valsts policijas spēku un līdzekļu saskaņotu </w:t>
            </w:r>
            <w:r w:rsidRPr="00917912">
              <w:rPr>
                <w:color w:val="000000"/>
                <w:sz w:val="26"/>
                <w:szCs w:val="26"/>
              </w:rPr>
              <w:lastRenderedPageBreak/>
              <w:t>rīcību. Operatīvais dežurants valsts līmenī būtu amatpersona ar lielu atbildību, kurai nepieciešama ilggadīga dienesta pieredze, zināšanas, prasmes un augsta atbildības sajūta, kas nozīmē, ka šai amatpersonai nosakāma 11 amata kategorija ar C amata līmeni</w:t>
            </w:r>
            <w:r w:rsidR="00771DC4" w:rsidRPr="00917912">
              <w:rPr>
                <w:color w:val="000000"/>
                <w:sz w:val="26"/>
                <w:szCs w:val="26"/>
              </w:rPr>
              <w:t>.</w:t>
            </w:r>
          </w:p>
          <w:p w:rsidR="009367D8" w:rsidRPr="00917912" w:rsidRDefault="009367D8" w:rsidP="00917912">
            <w:pPr>
              <w:pStyle w:val="naisf"/>
              <w:spacing w:before="0" w:after="0"/>
              <w:ind w:firstLine="0"/>
              <w:rPr>
                <w:color w:val="000000"/>
                <w:sz w:val="26"/>
                <w:szCs w:val="26"/>
              </w:rPr>
            </w:pPr>
            <w:r w:rsidRPr="00917912">
              <w:rPr>
                <w:color w:val="000000"/>
                <w:sz w:val="26"/>
                <w:szCs w:val="26"/>
              </w:rPr>
              <w:t>Operatīvais dežurants Valsts policijas Rīgas reģiona pārvaldē būs atbildīgs par operatīvās situācijas pārvaldīšanu Rīgas reģiona pārvaldības līmenī, kur ikdienā tiek reģistrēti 80% no visiem valsts notikumiem. Rīgas reģiona pārvaldē savus amata pienākumus pilda vairāk kā 50% no visiem Valsts policijas personāla resursiem. Līdz ar to šī reģionālā pārvalde, pēc sava atbildības līmeņa, darba apjoma un citiem rādītājiem, nav salīdzināma ar cietām reģionālajām pārvaldēm un šīs pārvaldes Operatīvajam dežurantam nosakāma 10 amata kategorija ar C amata līmeni</w:t>
            </w:r>
            <w:r w:rsidR="00771DC4" w:rsidRPr="00917912">
              <w:rPr>
                <w:color w:val="000000"/>
                <w:sz w:val="26"/>
                <w:szCs w:val="26"/>
              </w:rPr>
              <w:t>.</w:t>
            </w:r>
          </w:p>
          <w:p w:rsidR="009367D8" w:rsidRPr="00917912" w:rsidRDefault="009367D8" w:rsidP="00917912">
            <w:pPr>
              <w:pStyle w:val="naisf"/>
              <w:spacing w:before="0" w:after="0"/>
              <w:ind w:firstLine="0"/>
              <w:rPr>
                <w:color w:val="000000"/>
                <w:sz w:val="26"/>
                <w:szCs w:val="26"/>
              </w:rPr>
            </w:pPr>
            <w:r w:rsidRPr="00917912">
              <w:rPr>
                <w:color w:val="000000"/>
                <w:sz w:val="26"/>
                <w:szCs w:val="26"/>
              </w:rPr>
              <w:t>Operatīvais dežurants Valsts policijas Zemgales, Latgales, Kurzemes un Vidzemes reģiona pārvaldē būs atbildīgs par operatīvās situācijas pārvaldīšanu attiecīgajā reģionā, reģiona struktūrvienību operatīvo vadību, kā arī to spēku un līdzekļu saskaņotu rīcību un šo pārvalžu Operatīvajam dežurantam nosakāma 9 amata kategorija ar C amata līmeni.</w:t>
            </w:r>
          </w:p>
          <w:p w:rsidR="009367D8" w:rsidRPr="00917912" w:rsidRDefault="009367D8" w:rsidP="00917912">
            <w:pPr>
              <w:pStyle w:val="naisf"/>
              <w:spacing w:before="0" w:after="0"/>
              <w:ind w:firstLine="0"/>
              <w:rPr>
                <w:color w:val="000000"/>
                <w:sz w:val="26"/>
                <w:szCs w:val="26"/>
              </w:rPr>
            </w:pPr>
            <w:r w:rsidRPr="00917912">
              <w:rPr>
                <w:color w:val="000000"/>
                <w:sz w:val="26"/>
                <w:szCs w:val="26"/>
              </w:rPr>
              <w:t xml:space="preserve">         Bez tam, projekts paredz jauna amata „Filiāles vadītājs” ieviešanu Valsts policijas koledžā, kā arī atsevišķu speciālo piemaksu nosaukumu precizēšanu.</w:t>
            </w:r>
          </w:p>
          <w:p w:rsidR="009367D8" w:rsidRPr="00917912" w:rsidRDefault="009367D8" w:rsidP="00917912">
            <w:pPr>
              <w:pStyle w:val="naisf"/>
              <w:spacing w:before="0" w:after="0"/>
              <w:ind w:firstLine="0"/>
              <w:rPr>
                <w:color w:val="000000"/>
                <w:sz w:val="26"/>
                <w:szCs w:val="26"/>
              </w:rPr>
            </w:pPr>
            <w:r w:rsidRPr="00917912">
              <w:rPr>
                <w:color w:val="000000"/>
                <w:sz w:val="26"/>
                <w:szCs w:val="26"/>
              </w:rPr>
              <w:t>Projekts atrisina šīs sadaļas 2.punktā minētās problēmas.</w:t>
            </w:r>
          </w:p>
        </w:tc>
      </w:tr>
      <w:tr w:rsidR="009367D8" w:rsidRPr="00EC690C" w:rsidTr="00FA042E">
        <w:trPr>
          <w:gridBefore w:val="1"/>
          <w:wBefore w:w="306" w:type="dxa"/>
        </w:trPr>
        <w:tc>
          <w:tcPr>
            <w:tcW w:w="1020" w:type="dxa"/>
            <w:gridSpan w:val="3"/>
          </w:tcPr>
          <w:p w:rsidR="009367D8" w:rsidRPr="00917912" w:rsidRDefault="009367D8" w:rsidP="00917912">
            <w:pPr>
              <w:pStyle w:val="naisf"/>
              <w:spacing w:before="0" w:after="0"/>
              <w:ind w:firstLine="0"/>
              <w:rPr>
                <w:color w:val="000000"/>
                <w:sz w:val="26"/>
                <w:szCs w:val="26"/>
              </w:rPr>
            </w:pPr>
            <w:r w:rsidRPr="00917912">
              <w:rPr>
                <w:color w:val="000000"/>
                <w:sz w:val="26"/>
                <w:szCs w:val="26"/>
              </w:rPr>
              <w:lastRenderedPageBreak/>
              <w:t>5.</w:t>
            </w:r>
          </w:p>
        </w:tc>
        <w:tc>
          <w:tcPr>
            <w:tcW w:w="2606" w:type="dxa"/>
            <w:gridSpan w:val="2"/>
          </w:tcPr>
          <w:p w:rsidR="009367D8" w:rsidRPr="00917912" w:rsidRDefault="009367D8" w:rsidP="00917912">
            <w:pPr>
              <w:pStyle w:val="naisf"/>
              <w:spacing w:before="0" w:after="0"/>
              <w:ind w:firstLine="0"/>
              <w:rPr>
                <w:color w:val="000000"/>
                <w:sz w:val="26"/>
                <w:szCs w:val="26"/>
              </w:rPr>
            </w:pPr>
            <w:r w:rsidRPr="00917912">
              <w:rPr>
                <w:color w:val="000000"/>
                <w:sz w:val="26"/>
                <w:szCs w:val="26"/>
              </w:rPr>
              <w:t>Projekta izstrādē iesaistītās institūcijas</w:t>
            </w:r>
          </w:p>
        </w:tc>
        <w:tc>
          <w:tcPr>
            <w:tcW w:w="6864" w:type="dxa"/>
            <w:gridSpan w:val="8"/>
          </w:tcPr>
          <w:p w:rsidR="009367D8" w:rsidRPr="00917912" w:rsidRDefault="009367D8" w:rsidP="00917912">
            <w:pPr>
              <w:pStyle w:val="naisf"/>
              <w:spacing w:before="0" w:after="0"/>
              <w:ind w:firstLine="0"/>
              <w:rPr>
                <w:color w:val="000000"/>
                <w:sz w:val="26"/>
                <w:szCs w:val="26"/>
              </w:rPr>
            </w:pPr>
            <w:r w:rsidRPr="00917912">
              <w:rPr>
                <w:color w:val="000000"/>
                <w:sz w:val="26"/>
                <w:szCs w:val="26"/>
              </w:rPr>
              <w:t>Iekšlietu ministrija un Valsts policija.</w:t>
            </w:r>
          </w:p>
        </w:tc>
      </w:tr>
      <w:tr w:rsidR="009367D8" w:rsidRPr="00EC690C" w:rsidTr="00FA042E">
        <w:trPr>
          <w:gridBefore w:val="1"/>
          <w:wBefore w:w="306" w:type="dxa"/>
          <w:cantSplit/>
          <w:trHeight w:val="989"/>
        </w:trPr>
        <w:tc>
          <w:tcPr>
            <w:tcW w:w="1020" w:type="dxa"/>
            <w:gridSpan w:val="3"/>
          </w:tcPr>
          <w:p w:rsidR="009367D8" w:rsidRPr="00917912" w:rsidRDefault="009367D8" w:rsidP="00917912">
            <w:pPr>
              <w:pStyle w:val="naisf"/>
              <w:spacing w:before="0" w:after="0"/>
              <w:ind w:firstLine="0"/>
              <w:rPr>
                <w:color w:val="000000"/>
                <w:sz w:val="26"/>
                <w:szCs w:val="26"/>
              </w:rPr>
            </w:pPr>
            <w:r w:rsidRPr="00917912">
              <w:rPr>
                <w:color w:val="000000"/>
                <w:sz w:val="26"/>
                <w:szCs w:val="26"/>
              </w:rPr>
              <w:t>6.</w:t>
            </w:r>
          </w:p>
        </w:tc>
        <w:tc>
          <w:tcPr>
            <w:tcW w:w="2606" w:type="dxa"/>
            <w:gridSpan w:val="2"/>
          </w:tcPr>
          <w:p w:rsidR="009367D8" w:rsidRPr="00917912" w:rsidRDefault="009367D8" w:rsidP="00917912">
            <w:pPr>
              <w:pStyle w:val="naisf"/>
              <w:spacing w:before="0" w:after="0"/>
              <w:ind w:firstLine="0"/>
              <w:rPr>
                <w:color w:val="000000"/>
                <w:sz w:val="26"/>
                <w:szCs w:val="26"/>
              </w:rPr>
            </w:pPr>
            <w:r w:rsidRPr="00917912">
              <w:rPr>
                <w:color w:val="000000"/>
                <w:sz w:val="26"/>
                <w:szCs w:val="26"/>
              </w:rPr>
              <w:t>Iemesli, kādēļ netika nodrošināta sabiedrības līdzdalība</w:t>
            </w:r>
          </w:p>
        </w:tc>
        <w:tc>
          <w:tcPr>
            <w:tcW w:w="6864" w:type="dxa"/>
            <w:gridSpan w:val="8"/>
          </w:tcPr>
          <w:p w:rsidR="009367D8" w:rsidRPr="00917912" w:rsidRDefault="00290772" w:rsidP="00917912">
            <w:pPr>
              <w:pStyle w:val="naisf"/>
              <w:spacing w:before="0" w:after="0"/>
              <w:ind w:firstLine="0"/>
              <w:rPr>
                <w:color w:val="000000"/>
                <w:sz w:val="26"/>
                <w:szCs w:val="26"/>
              </w:rPr>
            </w:pPr>
            <w:r w:rsidRPr="00917912">
              <w:rPr>
                <w:color w:val="000000"/>
                <w:sz w:val="26"/>
                <w:szCs w:val="26"/>
              </w:rPr>
              <w:t>Projekts šo jomu neskar.</w:t>
            </w:r>
          </w:p>
        </w:tc>
      </w:tr>
      <w:tr w:rsidR="009367D8" w:rsidRPr="00EC690C" w:rsidTr="00FA042E">
        <w:trPr>
          <w:gridBefore w:val="1"/>
          <w:wBefore w:w="306" w:type="dxa"/>
        </w:trPr>
        <w:tc>
          <w:tcPr>
            <w:tcW w:w="1020" w:type="dxa"/>
            <w:gridSpan w:val="3"/>
          </w:tcPr>
          <w:p w:rsidR="009367D8" w:rsidRPr="00917912" w:rsidRDefault="009367D8" w:rsidP="00917912">
            <w:pPr>
              <w:pStyle w:val="naisf"/>
              <w:spacing w:before="0" w:after="0"/>
              <w:ind w:firstLine="0"/>
              <w:rPr>
                <w:color w:val="000000"/>
                <w:sz w:val="26"/>
                <w:szCs w:val="26"/>
              </w:rPr>
            </w:pPr>
            <w:r w:rsidRPr="00917912">
              <w:rPr>
                <w:color w:val="000000"/>
                <w:sz w:val="26"/>
                <w:szCs w:val="26"/>
              </w:rPr>
              <w:t>7.</w:t>
            </w:r>
          </w:p>
        </w:tc>
        <w:tc>
          <w:tcPr>
            <w:tcW w:w="2606" w:type="dxa"/>
            <w:gridSpan w:val="2"/>
          </w:tcPr>
          <w:p w:rsidR="009367D8" w:rsidRPr="00917912" w:rsidRDefault="009367D8" w:rsidP="00917912">
            <w:pPr>
              <w:pStyle w:val="naisf"/>
              <w:spacing w:before="0" w:after="0"/>
              <w:ind w:firstLine="0"/>
              <w:rPr>
                <w:color w:val="000000"/>
                <w:sz w:val="26"/>
                <w:szCs w:val="26"/>
              </w:rPr>
            </w:pPr>
            <w:r w:rsidRPr="00917912">
              <w:rPr>
                <w:color w:val="000000"/>
                <w:sz w:val="26"/>
                <w:szCs w:val="26"/>
              </w:rPr>
              <w:t> Cita informācija</w:t>
            </w:r>
          </w:p>
        </w:tc>
        <w:tc>
          <w:tcPr>
            <w:tcW w:w="6864" w:type="dxa"/>
            <w:gridSpan w:val="8"/>
          </w:tcPr>
          <w:p w:rsidR="009367D8" w:rsidRPr="00917912" w:rsidRDefault="009367D8" w:rsidP="00917912">
            <w:pPr>
              <w:pStyle w:val="naisf"/>
              <w:spacing w:before="0" w:after="0"/>
              <w:ind w:firstLine="0"/>
              <w:rPr>
                <w:color w:val="000000"/>
                <w:sz w:val="26"/>
                <w:szCs w:val="26"/>
              </w:rPr>
            </w:pPr>
            <w:r w:rsidRPr="00917912">
              <w:rPr>
                <w:color w:val="000000"/>
                <w:sz w:val="26"/>
                <w:szCs w:val="26"/>
              </w:rPr>
              <w:t>Nav.</w:t>
            </w:r>
          </w:p>
        </w:tc>
      </w:tr>
      <w:tr w:rsidR="009367D8" w:rsidRPr="00EC690C" w:rsidTr="00FA042E">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wBefore w:w="306" w:type="dxa"/>
          <w:tblCellSpacing w:w="0" w:type="dxa"/>
        </w:trPr>
        <w:tc>
          <w:tcPr>
            <w:tcW w:w="10490" w:type="dxa"/>
            <w:gridSpan w:val="13"/>
            <w:tcBorders>
              <w:left w:val="single" w:sz="4" w:space="0" w:color="auto"/>
              <w:right w:val="single" w:sz="4" w:space="0" w:color="auto"/>
            </w:tcBorders>
            <w:vAlign w:val="center"/>
          </w:tcPr>
          <w:p w:rsidR="009367D8" w:rsidRPr="00EC690C" w:rsidRDefault="009367D8" w:rsidP="00E249A5">
            <w:pPr>
              <w:pStyle w:val="BodyText"/>
              <w:rPr>
                <w:b w:val="0"/>
                <w:sz w:val="26"/>
                <w:szCs w:val="26"/>
                <w:lang w:eastAsia="lv-LV"/>
              </w:rPr>
            </w:pPr>
            <w:r w:rsidRPr="00EC690C">
              <w:rPr>
                <w:szCs w:val="28"/>
              </w:rPr>
              <w:t>II</w:t>
            </w:r>
            <w:r w:rsidR="007B23A2">
              <w:rPr>
                <w:szCs w:val="28"/>
              </w:rPr>
              <w:t>.</w:t>
            </w:r>
            <w:r w:rsidRPr="00EC690C">
              <w:rPr>
                <w:szCs w:val="28"/>
              </w:rPr>
              <w:t xml:space="preserve"> Tiesību akta projekta ietekme uz sabiedrību</w:t>
            </w:r>
          </w:p>
        </w:tc>
      </w:tr>
      <w:tr w:rsidR="009367D8" w:rsidRPr="00EC690C" w:rsidTr="00FA042E">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wBefore w:w="306" w:type="dxa"/>
          <w:tblCellSpacing w:w="0" w:type="dxa"/>
        </w:trPr>
        <w:tc>
          <w:tcPr>
            <w:tcW w:w="10490" w:type="dxa"/>
            <w:gridSpan w:val="13"/>
            <w:vAlign w:val="center"/>
          </w:tcPr>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2835"/>
              <w:gridCol w:w="7087"/>
            </w:tblGrid>
            <w:tr w:rsidR="009367D8" w:rsidRPr="00EC690C" w:rsidTr="00FA042E">
              <w:tc>
                <w:tcPr>
                  <w:tcW w:w="563"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pStyle w:val="naisf"/>
                    <w:spacing w:before="0" w:after="0"/>
                    <w:ind w:firstLine="0"/>
                    <w:rPr>
                      <w:color w:val="000000"/>
                      <w:sz w:val="26"/>
                      <w:szCs w:val="26"/>
                    </w:rPr>
                  </w:pPr>
                  <w:r w:rsidRPr="00917912">
                    <w:rPr>
                      <w:color w:val="000000"/>
                      <w:sz w:val="26"/>
                      <w:szCs w:val="26"/>
                    </w:rPr>
                    <w:t>1.</w:t>
                  </w:r>
                </w:p>
              </w:tc>
              <w:tc>
                <w:tcPr>
                  <w:tcW w:w="2835"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pStyle w:val="naisf"/>
                    <w:spacing w:before="0" w:after="0"/>
                    <w:ind w:firstLine="0"/>
                    <w:rPr>
                      <w:color w:val="000000"/>
                      <w:sz w:val="26"/>
                      <w:szCs w:val="26"/>
                    </w:rPr>
                  </w:pPr>
                  <w:r w:rsidRPr="00917912">
                    <w:rPr>
                      <w:color w:val="000000"/>
                      <w:sz w:val="26"/>
                      <w:szCs w:val="26"/>
                    </w:rPr>
                    <w:t>Sabiedrības mērķgrupa</w:t>
                  </w:r>
                </w:p>
              </w:tc>
              <w:tc>
                <w:tcPr>
                  <w:tcW w:w="7087"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pStyle w:val="naisf"/>
                    <w:spacing w:before="0" w:after="0"/>
                    <w:ind w:firstLine="0"/>
                    <w:rPr>
                      <w:color w:val="000000"/>
                      <w:sz w:val="26"/>
                      <w:szCs w:val="26"/>
                    </w:rPr>
                  </w:pPr>
                  <w:r w:rsidRPr="00917912">
                    <w:rPr>
                      <w:color w:val="000000"/>
                      <w:sz w:val="26"/>
                      <w:szCs w:val="26"/>
                    </w:rPr>
                    <w:t>Iekšlietu ministrijas sistēmas iestāžu un Ieslodzījuma vietu pārvaldes amatpersonas ar speciālajām dienesta pakāpēm.</w:t>
                  </w:r>
                </w:p>
              </w:tc>
            </w:tr>
            <w:tr w:rsidR="009367D8" w:rsidRPr="00EC690C" w:rsidTr="00FA042E">
              <w:tc>
                <w:tcPr>
                  <w:tcW w:w="563"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pStyle w:val="naisf"/>
                    <w:spacing w:before="0" w:after="0"/>
                    <w:ind w:firstLine="0"/>
                    <w:rPr>
                      <w:color w:val="000000"/>
                      <w:sz w:val="26"/>
                      <w:szCs w:val="26"/>
                    </w:rPr>
                  </w:pPr>
                  <w:r w:rsidRPr="00917912">
                    <w:rPr>
                      <w:color w:val="000000"/>
                      <w:sz w:val="26"/>
                      <w:szCs w:val="26"/>
                    </w:rPr>
                    <w:t>2.</w:t>
                  </w:r>
                </w:p>
              </w:tc>
              <w:tc>
                <w:tcPr>
                  <w:tcW w:w="2835"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pStyle w:val="naisf"/>
                    <w:spacing w:before="0" w:after="0"/>
                    <w:ind w:firstLine="0"/>
                    <w:rPr>
                      <w:color w:val="000000"/>
                      <w:sz w:val="26"/>
                      <w:szCs w:val="26"/>
                    </w:rPr>
                  </w:pPr>
                  <w:r w:rsidRPr="00917912">
                    <w:rPr>
                      <w:color w:val="000000"/>
                      <w:sz w:val="26"/>
                      <w:szCs w:val="26"/>
                    </w:rPr>
                    <w:t>Citas sabiedrības grupas (bez mērķgrupas), kuras tiesiskais regulējums arī ietekmē vai varētu ietekmēt</w:t>
                  </w:r>
                </w:p>
              </w:tc>
              <w:tc>
                <w:tcPr>
                  <w:tcW w:w="7087"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pStyle w:val="naisf"/>
                    <w:spacing w:before="0" w:after="0"/>
                    <w:ind w:firstLine="0"/>
                    <w:rPr>
                      <w:color w:val="000000"/>
                      <w:sz w:val="26"/>
                      <w:szCs w:val="26"/>
                    </w:rPr>
                  </w:pPr>
                  <w:r w:rsidRPr="00917912">
                    <w:rPr>
                      <w:color w:val="000000"/>
                      <w:sz w:val="26"/>
                      <w:szCs w:val="26"/>
                    </w:rPr>
                    <w:t xml:space="preserve">Projekts šo jomu neskar. </w:t>
                  </w:r>
                </w:p>
              </w:tc>
            </w:tr>
            <w:tr w:rsidR="009367D8" w:rsidRPr="00917912" w:rsidTr="00FA042E">
              <w:tc>
                <w:tcPr>
                  <w:tcW w:w="563" w:type="dxa"/>
                  <w:tcBorders>
                    <w:top w:val="single" w:sz="4" w:space="0" w:color="auto"/>
                    <w:left w:val="single" w:sz="4" w:space="0" w:color="auto"/>
                    <w:bottom w:val="single" w:sz="4" w:space="0" w:color="auto"/>
                    <w:right w:val="single" w:sz="4" w:space="0" w:color="auto"/>
                  </w:tcBorders>
                </w:tcPr>
                <w:p w:rsidR="009367D8" w:rsidRPr="001D4188" w:rsidRDefault="009367D8" w:rsidP="00917912">
                  <w:pPr>
                    <w:jc w:val="both"/>
                    <w:rPr>
                      <w:sz w:val="26"/>
                      <w:szCs w:val="26"/>
                    </w:rPr>
                  </w:pPr>
                  <w:r w:rsidRPr="001D4188">
                    <w:rPr>
                      <w:sz w:val="26"/>
                      <w:szCs w:val="26"/>
                    </w:rPr>
                    <w:t>3.</w:t>
                  </w:r>
                </w:p>
              </w:tc>
              <w:tc>
                <w:tcPr>
                  <w:tcW w:w="2835" w:type="dxa"/>
                  <w:tcBorders>
                    <w:top w:val="single" w:sz="4" w:space="0" w:color="auto"/>
                    <w:left w:val="single" w:sz="4" w:space="0" w:color="auto"/>
                    <w:bottom w:val="single" w:sz="4" w:space="0" w:color="auto"/>
                    <w:right w:val="single" w:sz="4" w:space="0" w:color="auto"/>
                  </w:tcBorders>
                </w:tcPr>
                <w:p w:rsidR="009367D8" w:rsidRPr="001D4188" w:rsidRDefault="009367D8" w:rsidP="00917912">
                  <w:pPr>
                    <w:jc w:val="both"/>
                    <w:rPr>
                      <w:sz w:val="26"/>
                      <w:szCs w:val="26"/>
                    </w:rPr>
                  </w:pPr>
                  <w:r w:rsidRPr="001D4188">
                    <w:rPr>
                      <w:sz w:val="26"/>
                      <w:szCs w:val="26"/>
                    </w:rPr>
                    <w:t>Tiesiskā regulējuma finansiālā ietekme</w:t>
                  </w:r>
                </w:p>
              </w:tc>
              <w:tc>
                <w:tcPr>
                  <w:tcW w:w="7087" w:type="dxa"/>
                  <w:tcBorders>
                    <w:top w:val="single" w:sz="4" w:space="0" w:color="auto"/>
                    <w:left w:val="single" w:sz="4" w:space="0" w:color="auto"/>
                    <w:bottom w:val="single" w:sz="4" w:space="0" w:color="auto"/>
                    <w:right w:val="single" w:sz="4" w:space="0" w:color="auto"/>
                  </w:tcBorders>
                </w:tcPr>
                <w:p w:rsidR="009367D8" w:rsidRPr="001D4188" w:rsidRDefault="003D12E9" w:rsidP="006E56D8">
                  <w:pPr>
                    <w:jc w:val="both"/>
                    <w:rPr>
                      <w:sz w:val="26"/>
                      <w:szCs w:val="26"/>
                    </w:rPr>
                  </w:pPr>
                  <w:r w:rsidRPr="001D4188">
                    <w:rPr>
                      <w:sz w:val="26"/>
                      <w:szCs w:val="26"/>
                    </w:rPr>
                    <w:t>Projekts ietekmē attiecīgās sabiedrības mērķgrupas ienākumus, tos palielinot. Piemēram,</w:t>
                  </w:r>
                  <w:r w:rsidR="00B76A9D" w:rsidRPr="001D4188">
                    <w:rPr>
                      <w:sz w:val="26"/>
                      <w:szCs w:val="26"/>
                    </w:rPr>
                    <w:t xml:space="preserve"> ja 2013.gadā Valsts policijas kārtībnieks (amata kategorija un līmenis 3A), saņēma atlīdzību vidēji mēnesī (pēc nodokļu nomaksas) – no 316 latiem (450 </w:t>
                  </w:r>
                  <w:proofErr w:type="spellStart"/>
                  <w:r w:rsidR="00B76A9D" w:rsidRPr="001D4188">
                    <w:rPr>
                      <w:i/>
                      <w:sz w:val="26"/>
                      <w:szCs w:val="26"/>
                    </w:rPr>
                    <w:t>euro</w:t>
                  </w:r>
                  <w:proofErr w:type="spellEnd"/>
                  <w:r w:rsidR="00B76A9D" w:rsidRPr="001D4188">
                    <w:rPr>
                      <w:sz w:val="26"/>
                      <w:szCs w:val="26"/>
                    </w:rPr>
                    <w:t xml:space="preserve">) (minimāli) līdz 398 latiem (566 </w:t>
                  </w:r>
                  <w:proofErr w:type="spellStart"/>
                  <w:r w:rsidR="00B76A9D" w:rsidRPr="001D4188">
                    <w:rPr>
                      <w:i/>
                      <w:sz w:val="26"/>
                      <w:szCs w:val="26"/>
                    </w:rPr>
                    <w:t>euro</w:t>
                  </w:r>
                  <w:proofErr w:type="spellEnd"/>
                  <w:r w:rsidR="00B76A9D" w:rsidRPr="001D4188">
                    <w:rPr>
                      <w:sz w:val="26"/>
                      <w:szCs w:val="26"/>
                    </w:rPr>
                    <w:t xml:space="preserve">) (maksimāli), tad 2014.gadā tā būs attiecīgi 356 lati (507 </w:t>
                  </w:r>
                  <w:proofErr w:type="spellStart"/>
                  <w:r w:rsidR="00B76A9D" w:rsidRPr="001D4188">
                    <w:rPr>
                      <w:i/>
                      <w:sz w:val="26"/>
                      <w:szCs w:val="26"/>
                    </w:rPr>
                    <w:t>euro</w:t>
                  </w:r>
                  <w:proofErr w:type="spellEnd"/>
                  <w:r w:rsidR="00B76A9D" w:rsidRPr="001D4188">
                    <w:rPr>
                      <w:sz w:val="26"/>
                      <w:szCs w:val="26"/>
                    </w:rPr>
                    <w:t xml:space="preserve">) un 439 lati (625 </w:t>
                  </w:r>
                  <w:proofErr w:type="spellStart"/>
                  <w:r w:rsidR="00B76A9D" w:rsidRPr="001D4188">
                    <w:rPr>
                      <w:i/>
                      <w:sz w:val="26"/>
                      <w:szCs w:val="26"/>
                    </w:rPr>
                    <w:t>euro</w:t>
                  </w:r>
                  <w:proofErr w:type="spellEnd"/>
                  <w:r w:rsidR="00B76A9D" w:rsidRPr="001D4188">
                    <w:rPr>
                      <w:sz w:val="26"/>
                      <w:szCs w:val="26"/>
                    </w:rPr>
                    <w:t>), kas ir vidēji par 40</w:t>
                  </w:r>
                  <w:r w:rsidR="001C3829" w:rsidRPr="001D4188">
                    <w:rPr>
                      <w:sz w:val="26"/>
                      <w:szCs w:val="26"/>
                    </w:rPr>
                    <w:t>,50</w:t>
                  </w:r>
                  <w:r w:rsidR="00B76A9D" w:rsidRPr="001D4188">
                    <w:rPr>
                      <w:sz w:val="26"/>
                      <w:szCs w:val="26"/>
                    </w:rPr>
                    <w:t xml:space="preserve"> latiem (5</w:t>
                  </w:r>
                  <w:r w:rsidR="001C3829" w:rsidRPr="001D4188">
                    <w:rPr>
                      <w:sz w:val="26"/>
                      <w:szCs w:val="26"/>
                    </w:rPr>
                    <w:t>8</w:t>
                  </w:r>
                  <w:r w:rsidR="00B76A9D" w:rsidRPr="001D4188">
                    <w:rPr>
                      <w:sz w:val="26"/>
                      <w:szCs w:val="26"/>
                    </w:rPr>
                    <w:t xml:space="preserve"> </w:t>
                  </w:r>
                  <w:proofErr w:type="spellStart"/>
                  <w:r w:rsidR="00B76A9D" w:rsidRPr="001D4188">
                    <w:rPr>
                      <w:i/>
                      <w:sz w:val="26"/>
                      <w:szCs w:val="26"/>
                    </w:rPr>
                    <w:t>euro</w:t>
                  </w:r>
                  <w:proofErr w:type="spellEnd"/>
                  <w:r w:rsidR="00B76A9D" w:rsidRPr="001D4188">
                    <w:rPr>
                      <w:sz w:val="26"/>
                      <w:szCs w:val="26"/>
                    </w:rPr>
                    <w:t xml:space="preserve">) vairāk, ņemot vērā arī neapliekamā minimuma, nodokļu atvieglojumu par apgādībā </w:t>
                  </w:r>
                  <w:r w:rsidR="00B76A9D" w:rsidRPr="001D4188">
                    <w:rPr>
                      <w:sz w:val="26"/>
                      <w:szCs w:val="26"/>
                    </w:rPr>
                    <w:lastRenderedPageBreak/>
                    <w:t xml:space="preserve">esošām personām un darba ņēmēja valsts obligātās sociālās apdrošināšanas likmes izmaiņas par labu darba ņēmējam. </w:t>
                  </w:r>
                </w:p>
              </w:tc>
            </w:tr>
            <w:tr w:rsidR="009367D8" w:rsidRPr="00917912" w:rsidTr="00FA042E">
              <w:tc>
                <w:tcPr>
                  <w:tcW w:w="563"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jc w:val="both"/>
                    <w:rPr>
                      <w:sz w:val="26"/>
                      <w:szCs w:val="26"/>
                    </w:rPr>
                  </w:pPr>
                  <w:r w:rsidRPr="00917912">
                    <w:rPr>
                      <w:sz w:val="26"/>
                      <w:szCs w:val="26"/>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jc w:val="both"/>
                    <w:rPr>
                      <w:sz w:val="26"/>
                      <w:szCs w:val="26"/>
                    </w:rPr>
                  </w:pPr>
                  <w:r w:rsidRPr="00917912">
                    <w:rPr>
                      <w:sz w:val="26"/>
                      <w:szCs w:val="26"/>
                    </w:rPr>
                    <w:t>Tiesiskā regulējuma nefinansiālā ietekme</w:t>
                  </w:r>
                </w:p>
              </w:tc>
              <w:tc>
                <w:tcPr>
                  <w:tcW w:w="7087"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jc w:val="both"/>
                    <w:rPr>
                      <w:sz w:val="26"/>
                      <w:szCs w:val="26"/>
                    </w:rPr>
                  </w:pPr>
                  <w:r w:rsidRPr="00917912">
                    <w:rPr>
                      <w:sz w:val="26"/>
                      <w:szCs w:val="26"/>
                    </w:rPr>
                    <w:t>Projekts šo jomu neskar.</w:t>
                  </w:r>
                </w:p>
              </w:tc>
            </w:tr>
            <w:tr w:rsidR="009367D8" w:rsidRPr="00EC690C" w:rsidTr="00FA042E">
              <w:tc>
                <w:tcPr>
                  <w:tcW w:w="563"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pStyle w:val="naisf"/>
                    <w:spacing w:before="0" w:after="0"/>
                    <w:ind w:firstLine="0"/>
                    <w:rPr>
                      <w:color w:val="000000"/>
                      <w:sz w:val="26"/>
                      <w:szCs w:val="26"/>
                    </w:rPr>
                  </w:pPr>
                  <w:r w:rsidRPr="00917912">
                    <w:rPr>
                      <w:color w:val="000000"/>
                      <w:sz w:val="26"/>
                      <w:szCs w:val="26"/>
                    </w:rPr>
                    <w:t>5.</w:t>
                  </w:r>
                </w:p>
              </w:tc>
              <w:tc>
                <w:tcPr>
                  <w:tcW w:w="2835"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pStyle w:val="naisf"/>
                    <w:spacing w:before="0" w:after="0"/>
                    <w:ind w:firstLine="0"/>
                    <w:rPr>
                      <w:color w:val="000000"/>
                      <w:sz w:val="26"/>
                      <w:szCs w:val="26"/>
                    </w:rPr>
                  </w:pPr>
                  <w:r w:rsidRPr="00917912">
                    <w:rPr>
                      <w:color w:val="000000"/>
                      <w:sz w:val="26"/>
                      <w:szCs w:val="26"/>
                    </w:rPr>
                    <w:t>Administratīvās procedūras raksturojums</w:t>
                  </w:r>
                </w:p>
              </w:tc>
              <w:tc>
                <w:tcPr>
                  <w:tcW w:w="7087"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pStyle w:val="naisf"/>
                    <w:spacing w:before="0" w:after="0"/>
                    <w:ind w:firstLine="0"/>
                    <w:rPr>
                      <w:color w:val="000000"/>
                      <w:sz w:val="26"/>
                      <w:szCs w:val="26"/>
                    </w:rPr>
                  </w:pPr>
                  <w:r w:rsidRPr="00917912">
                    <w:rPr>
                      <w:color w:val="000000"/>
                      <w:sz w:val="26"/>
                      <w:szCs w:val="26"/>
                    </w:rPr>
                    <w:t xml:space="preserve"> Projekts šo jomu neskar.</w:t>
                  </w:r>
                </w:p>
                <w:p w:rsidR="009367D8" w:rsidRPr="00917912" w:rsidRDefault="009367D8" w:rsidP="00917912">
                  <w:pPr>
                    <w:pStyle w:val="naisf"/>
                    <w:spacing w:before="0" w:after="0"/>
                    <w:ind w:firstLine="0"/>
                    <w:rPr>
                      <w:color w:val="000000"/>
                      <w:sz w:val="26"/>
                      <w:szCs w:val="26"/>
                    </w:rPr>
                  </w:pPr>
                </w:p>
              </w:tc>
            </w:tr>
            <w:tr w:rsidR="009367D8" w:rsidRPr="00EC690C" w:rsidTr="00FA042E">
              <w:tc>
                <w:tcPr>
                  <w:tcW w:w="563"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pStyle w:val="naisf"/>
                    <w:spacing w:before="0" w:after="0"/>
                    <w:ind w:firstLine="0"/>
                    <w:rPr>
                      <w:color w:val="000000"/>
                      <w:sz w:val="26"/>
                      <w:szCs w:val="26"/>
                    </w:rPr>
                  </w:pPr>
                  <w:r w:rsidRPr="00917912">
                    <w:rPr>
                      <w:color w:val="000000"/>
                      <w:sz w:val="26"/>
                      <w:szCs w:val="26"/>
                    </w:rPr>
                    <w:t>6.</w:t>
                  </w:r>
                </w:p>
              </w:tc>
              <w:tc>
                <w:tcPr>
                  <w:tcW w:w="2835"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pStyle w:val="naisf"/>
                    <w:spacing w:before="0" w:after="0"/>
                    <w:ind w:firstLine="0"/>
                    <w:rPr>
                      <w:color w:val="000000"/>
                      <w:sz w:val="26"/>
                      <w:szCs w:val="26"/>
                    </w:rPr>
                  </w:pPr>
                  <w:r w:rsidRPr="00917912">
                    <w:rPr>
                      <w:color w:val="000000"/>
                      <w:sz w:val="26"/>
                      <w:szCs w:val="26"/>
                    </w:rPr>
                    <w:t>Administratīvo izmaksu monetārs novērtējums</w:t>
                  </w:r>
                </w:p>
              </w:tc>
              <w:tc>
                <w:tcPr>
                  <w:tcW w:w="7087"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pStyle w:val="naisf"/>
                    <w:spacing w:before="0" w:after="0"/>
                    <w:ind w:firstLine="0"/>
                    <w:rPr>
                      <w:color w:val="000000"/>
                      <w:sz w:val="26"/>
                      <w:szCs w:val="26"/>
                    </w:rPr>
                  </w:pPr>
                  <w:r w:rsidRPr="00917912">
                    <w:rPr>
                      <w:color w:val="000000"/>
                      <w:sz w:val="26"/>
                      <w:szCs w:val="26"/>
                    </w:rPr>
                    <w:t>Projekts šo jomu neskar.</w:t>
                  </w:r>
                </w:p>
              </w:tc>
            </w:tr>
            <w:tr w:rsidR="009367D8" w:rsidRPr="00EC690C" w:rsidTr="00FA042E">
              <w:tc>
                <w:tcPr>
                  <w:tcW w:w="563"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pStyle w:val="naisf"/>
                    <w:spacing w:before="0" w:after="0"/>
                    <w:ind w:firstLine="0"/>
                    <w:rPr>
                      <w:color w:val="000000"/>
                      <w:sz w:val="26"/>
                      <w:szCs w:val="26"/>
                    </w:rPr>
                  </w:pPr>
                  <w:r w:rsidRPr="00917912">
                    <w:rPr>
                      <w:color w:val="000000"/>
                      <w:sz w:val="26"/>
                      <w:szCs w:val="26"/>
                    </w:rPr>
                    <w:t>7.</w:t>
                  </w:r>
                </w:p>
              </w:tc>
              <w:tc>
                <w:tcPr>
                  <w:tcW w:w="2835"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pStyle w:val="naisf"/>
                    <w:spacing w:before="0" w:after="0"/>
                    <w:ind w:firstLine="0"/>
                    <w:rPr>
                      <w:color w:val="000000"/>
                      <w:sz w:val="26"/>
                      <w:szCs w:val="26"/>
                    </w:rPr>
                  </w:pPr>
                  <w:r w:rsidRPr="00917912">
                    <w:rPr>
                      <w:color w:val="000000"/>
                      <w:sz w:val="26"/>
                      <w:szCs w:val="26"/>
                    </w:rPr>
                    <w:t>Cita informācija</w:t>
                  </w:r>
                </w:p>
              </w:tc>
              <w:tc>
                <w:tcPr>
                  <w:tcW w:w="7087" w:type="dxa"/>
                  <w:tcBorders>
                    <w:top w:val="single" w:sz="4" w:space="0" w:color="auto"/>
                    <w:left w:val="single" w:sz="4" w:space="0" w:color="auto"/>
                    <w:bottom w:val="single" w:sz="4" w:space="0" w:color="auto"/>
                    <w:right w:val="single" w:sz="4" w:space="0" w:color="auto"/>
                  </w:tcBorders>
                </w:tcPr>
                <w:p w:rsidR="009367D8" w:rsidRPr="00917912" w:rsidRDefault="009367D8" w:rsidP="00917912">
                  <w:pPr>
                    <w:pStyle w:val="naisf"/>
                    <w:spacing w:before="0" w:after="0"/>
                    <w:ind w:firstLine="0"/>
                    <w:rPr>
                      <w:color w:val="000000"/>
                      <w:sz w:val="26"/>
                      <w:szCs w:val="26"/>
                    </w:rPr>
                  </w:pPr>
                  <w:r w:rsidRPr="00917912">
                    <w:rPr>
                      <w:color w:val="000000"/>
                      <w:sz w:val="26"/>
                      <w:szCs w:val="26"/>
                    </w:rPr>
                    <w:t>Nav.</w:t>
                  </w:r>
                </w:p>
              </w:tc>
            </w:tr>
          </w:tbl>
          <w:p w:rsidR="009367D8" w:rsidRPr="00EC690C" w:rsidRDefault="009367D8" w:rsidP="002926D3">
            <w:pPr>
              <w:pStyle w:val="BodyText"/>
              <w:rPr>
                <w:szCs w:val="28"/>
              </w:rPr>
            </w:pPr>
          </w:p>
        </w:tc>
      </w:tr>
      <w:tr w:rsidR="009367D8" w:rsidRPr="00EC690C" w:rsidTr="00917912">
        <w:tblPrEx>
          <w:jc w:val="center"/>
          <w:tblLook w:val="01E0" w:firstRow="1" w:lastRow="1" w:firstColumn="1" w:lastColumn="1" w:noHBand="0" w:noVBand="0"/>
        </w:tblPrEx>
        <w:trPr>
          <w:gridAfter w:val="1"/>
          <w:wAfter w:w="365" w:type="dxa"/>
          <w:trHeight w:val="652"/>
          <w:jc w:val="center"/>
        </w:trPr>
        <w:tc>
          <w:tcPr>
            <w:tcW w:w="10431" w:type="dxa"/>
            <w:gridSpan w:val="13"/>
          </w:tcPr>
          <w:p w:rsidR="009367D8" w:rsidRPr="00EC690C" w:rsidRDefault="009367D8" w:rsidP="00E721E5">
            <w:pPr>
              <w:pStyle w:val="naisnod"/>
              <w:spacing w:before="0" w:after="0"/>
              <w:rPr>
                <w:i/>
                <w:color w:val="000000"/>
                <w:sz w:val="28"/>
                <w:szCs w:val="28"/>
              </w:rPr>
            </w:pPr>
            <w:r w:rsidRPr="00EC690C">
              <w:rPr>
                <w:color w:val="000000"/>
                <w:sz w:val="28"/>
                <w:szCs w:val="28"/>
              </w:rPr>
              <w:lastRenderedPageBreak/>
              <w:br w:type="page"/>
              <w:t>III. Tiesību akta projekta ietekme uz valsts budžetu un pašvaldību budžetiem</w:t>
            </w: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vMerge w:val="restart"/>
            <w:vAlign w:val="center"/>
          </w:tcPr>
          <w:p w:rsidR="009367D8" w:rsidRPr="00EC690C" w:rsidRDefault="009367D8" w:rsidP="00E721E5">
            <w:pPr>
              <w:pStyle w:val="naisf"/>
              <w:spacing w:before="0" w:after="0"/>
              <w:ind w:firstLine="0"/>
              <w:jc w:val="center"/>
              <w:rPr>
                <w:b/>
                <w:color w:val="000000"/>
                <w:sz w:val="28"/>
                <w:szCs w:val="28"/>
              </w:rPr>
            </w:pPr>
            <w:r w:rsidRPr="00EC690C">
              <w:rPr>
                <w:b/>
                <w:color w:val="000000"/>
                <w:sz w:val="28"/>
                <w:szCs w:val="28"/>
              </w:rPr>
              <w:t>Rādītāji</w:t>
            </w:r>
          </w:p>
        </w:tc>
        <w:tc>
          <w:tcPr>
            <w:tcW w:w="3278" w:type="dxa"/>
            <w:gridSpan w:val="5"/>
            <w:vMerge w:val="restart"/>
            <w:vAlign w:val="center"/>
          </w:tcPr>
          <w:p w:rsidR="009367D8" w:rsidRPr="00EC690C" w:rsidRDefault="009367D8" w:rsidP="00E721E5">
            <w:pPr>
              <w:pStyle w:val="naisf"/>
              <w:spacing w:before="0" w:after="0"/>
              <w:ind w:firstLine="0"/>
              <w:jc w:val="center"/>
              <w:rPr>
                <w:b/>
                <w:color w:val="000000"/>
                <w:sz w:val="26"/>
                <w:szCs w:val="26"/>
              </w:rPr>
            </w:pPr>
            <w:r w:rsidRPr="00EC690C">
              <w:rPr>
                <w:b/>
                <w:color w:val="000000"/>
                <w:sz w:val="26"/>
                <w:szCs w:val="26"/>
              </w:rPr>
              <w:t>2013.gads</w:t>
            </w:r>
          </w:p>
        </w:tc>
        <w:tc>
          <w:tcPr>
            <w:tcW w:w="4549" w:type="dxa"/>
            <w:gridSpan w:val="3"/>
            <w:vAlign w:val="center"/>
          </w:tcPr>
          <w:p w:rsidR="009367D8" w:rsidRPr="00EC690C" w:rsidRDefault="009367D8" w:rsidP="00E721E5">
            <w:pPr>
              <w:pStyle w:val="naisf"/>
              <w:spacing w:before="0" w:after="0"/>
              <w:ind w:firstLine="0"/>
              <w:jc w:val="center"/>
              <w:rPr>
                <w:b/>
                <w:i/>
                <w:color w:val="000000"/>
                <w:sz w:val="26"/>
                <w:szCs w:val="26"/>
              </w:rPr>
            </w:pPr>
            <w:r w:rsidRPr="00EC690C">
              <w:rPr>
                <w:color w:val="000000"/>
                <w:sz w:val="26"/>
                <w:szCs w:val="26"/>
              </w:rPr>
              <w:t xml:space="preserve">Turpmākie trīs gadi (tūkst. </w:t>
            </w:r>
            <w:proofErr w:type="spellStart"/>
            <w:r w:rsidRPr="00EC690C">
              <w:rPr>
                <w:i/>
                <w:color w:val="000000"/>
                <w:sz w:val="26"/>
                <w:szCs w:val="26"/>
              </w:rPr>
              <w:t>euro</w:t>
            </w:r>
            <w:proofErr w:type="spellEnd"/>
            <w:r w:rsidRPr="00EC690C">
              <w:rPr>
                <w:color w:val="000000"/>
                <w:sz w:val="26"/>
                <w:szCs w:val="26"/>
              </w:rPr>
              <w:t>)</w:t>
            </w: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vMerge/>
            <w:vAlign w:val="center"/>
          </w:tcPr>
          <w:p w:rsidR="009367D8" w:rsidRPr="00EC690C" w:rsidRDefault="009367D8" w:rsidP="00E721E5">
            <w:pPr>
              <w:pStyle w:val="naisf"/>
              <w:spacing w:before="0" w:after="0"/>
              <w:ind w:firstLine="0"/>
              <w:jc w:val="center"/>
              <w:rPr>
                <w:b/>
                <w:i/>
                <w:color w:val="000000"/>
                <w:sz w:val="28"/>
                <w:szCs w:val="28"/>
              </w:rPr>
            </w:pPr>
          </w:p>
        </w:tc>
        <w:tc>
          <w:tcPr>
            <w:tcW w:w="3278" w:type="dxa"/>
            <w:gridSpan w:val="5"/>
            <w:vMerge/>
            <w:vAlign w:val="center"/>
          </w:tcPr>
          <w:p w:rsidR="009367D8" w:rsidRPr="00EC690C" w:rsidRDefault="009367D8" w:rsidP="00E721E5">
            <w:pPr>
              <w:pStyle w:val="naisf"/>
              <w:spacing w:before="0" w:after="0"/>
              <w:ind w:firstLine="0"/>
              <w:jc w:val="center"/>
              <w:rPr>
                <w:b/>
                <w:i/>
                <w:color w:val="000000"/>
                <w:sz w:val="26"/>
                <w:szCs w:val="26"/>
              </w:rPr>
            </w:pPr>
          </w:p>
        </w:tc>
        <w:tc>
          <w:tcPr>
            <w:tcW w:w="1713" w:type="dxa"/>
            <w:vAlign w:val="center"/>
          </w:tcPr>
          <w:p w:rsidR="009367D8" w:rsidRPr="00EC690C" w:rsidRDefault="009367D8" w:rsidP="00E721E5">
            <w:pPr>
              <w:pStyle w:val="naisf"/>
              <w:spacing w:before="0" w:after="0"/>
              <w:ind w:firstLine="0"/>
              <w:jc w:val="center"/>
              <w:rPr>
                <w:b/>
                <w:i/>
                <w:color w:val="000000"/>
                <w:sz w:val="26"/>
                <w:szCs w:val="26"/>
              </w:rPr>
            </w:pPr>
            <w:r w:rsidRPr="00EC690C">
              <w:rPr>
                <w:b/>
                <w:color w:val="000000"/>
                <w:sz w:val="26"/>
                <w:szCs w:val="26"/>
              </w:rPr>
              <w:t>2014.gads</w:t>
            </w:r>
          </w:p>
        </w:tc>
        <w:tc>
          <w:tcPr>
            <w:tcW w:w="1713" w:type="dxa"/>
            <w:vAlign w:val="center"/>
          </w:tcPr>
          <w:p w:rsidR="009367D8" w:rsidRPr="00EC690C" w:rsidRDefault="009367D8" w:rsidP="00E721E5">
            <w:pPr>
              <w:pStyle w:val="naisf"/>
              <w:spacing w:before="0" w:after="0"/>
              <w:ind w:firstLine="0"/>
              <w:jc w:val="center"/>
              <w:rPr>
                <w:b/>
                <w:i/>
                <w:color w:val="000000"/>
                <w:sz w:val="26"/>
                <w:szCs w:val="26"/>
              </w:rPr>
            </w:pPr>
            <w:r w:rsidRPr="00EC690C">
              <w:rPr>
                <w:b/>
                <w:color w:val="000000"/>
                <w:sz w:val="26"/>
                <w:szCs w:val="26"/>
              </w:rPr>
              <w:t>2015.gads</w:t>
            </w:r>
          </w:p>
        </w:tc>
        <w:tc>
          <w:tcPr>
            <w:tcW w:w="1123" w:type="dxa"/>
            <w:vAlign w:val="center"/>
          </w:tcPr>
          <w:p w:rsidR="009367D8" w:rsidRPr="00EC690C" w:rsidRDefault="009367D8" w:rsidP="00E721E5">
            <w:pPr>
              <w:pStyle w:val="naisf"/>
              <w:spacing w:before="0" w:after="0"/>
              <w:ind w:firstLine="0"/>
              <w:jc w:val="center"/>
              <w:rPr>
                <w:b/>
                <w:i/>
                <w:color w:val="000000"/>
                <w:sz w:val="26"/>
                <w:szCs w:val="26"/>
              </w:rPr>
            </w:pPr>
            <w:r w:rsidRPr="00EC690C">
              <w:rPr>
                <w:b/>
                <w:color w:val="000000"/>
                <w:sz w:val="26"/>
                <w:szCs w:val="26"/>
              </w:rPr>
              <w:t>2016.gads</w:t>
            </w: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vMerge/>
            <w:vAlign w:val="center"/>
          </w:tcPr>
          <w:p w:rsidR="009367D8" w:rsidRPr="00EC690C" w:rsidRDefault="009367D8" w:rsidP="00E721E5">
            <w:pPr>
              <w:pStyle w:val="naisf"/>
              <w:spacing w:before="0" w:after="0"/>
              <w:ind w:firstLine="0"/>
              <w:jc w:val="center"/>
              <w:rPr>
                <w:b/>
                <w:i/>
                <w:color w:val="000000"/>
                <w:sz w:val="28"/>
                <w:szCs w:val="28"/>
              </w:rPr>
            </w:pPr>
          </w:p>
        </w:tc>
        <w:tc>
          <w:tcPr>
            <w:tcW w:w="1650" w:type="dxa"/>
            <w:gridSpan w:val="4"/>
            <w:vAlign w:val="center"/>
          </w:tcPr>
          <w:p w:rsidR="009367D8" w:rsidRPr="00917912" w:rsidRDefault="009367D8" w:rsidP="00917912">
            <w:pPr>
              <w:pStyle w:val="naisf"/>
              <w:spacing w:before="0" w:after="0"/>
              <w:ind w:firstLine="0"/>
              <w:rPr>
                <w:color w:val="000000"/>
                <w:sz w:val="26"/>
                <w:szCs w:val="26"/>
              </w:rPr>
            </w:pPr>
            <w:r w:rsidRPr="00917912">
              <w:rPr>
                <w:color w:val="000000"/>
                <w:sz w:val="26"/>
                <w:szCs w:val="26"/>
              </w:rPr>
              <w:t>Saskaņā ar valsts budžetu kārtējam gadam</w:t>
            </w:r>
          </w:p>
        </w:tc>
        <w:tc>
          <w:tcPr>
            <w:tcW w:w="1628" w:type="dxa"/>
            <w:vAlign w:val="center"/>
          </w:tcPr>
          <w:p w:rsidR="009367D8" w:rsidRPr="00917912" w:rsidRDefault="009367D8" w:rsidP="00917912">
            <w:pPr>
              <w:pStyle w:val="naisf"/>
              <w:spacing w:before="0" w:after="0"/>
              <w:ind w:firstLine="0"/>
              <w:rPr>
                <w:color w:val="000000"/>
                <w:sz w:val="26"/>
                <w:szCs w:val="26"/>
              </w:rPr>
            </w:pPr>
            <w:r w:rsidRPr="00EC690C">
              <w:rPr>
                <w:color w:val="000000"/>
                <w:sz w:val="26"/>
                <w:szCs w:val="26"/>
              </w:rPr>
              <w:t>Izmaiņas kārtējā gadā, salīdzinot ar budžetu kārtējam gadam</w:t>
            </w:r>
          </w:p>
        </w:tc>
        <w:tc>
          <w:tcPr>
            <w:tcW w:w="1713" w:type="dxa"/>
            <w:vAlign w:val="center"/>
          </w:tcPr>
          <w:p w:rsidR="009367D8" w:rsidRPr="00917912" w:rsidRDefault="009367D8" w:rsidP="00917912">
            <w:pPr>
              <w:pStyle w:val="naisf"/>
              <w:spacing w:before="0" w:after="0"/>
              <w:ind w:firstLine="0"/>
              <w:rPr>
                <w:color w:val="000000"/>
                <w:sz w:val="26"/>
                <w:szCs w:val="26"/>
              </w:rPr>
            </w:pPr>
            <w:r w:rsidRPr="00EC690C">
              <w:rPr>
                <w:color w:val="000000"/>
                <w:sz w:val="26"/>
                <w:szCs w:val="26"/>
              </w:rPr>
              <w:t>Izmaiņas, salīdzinot ar kārtējo 2013.gadu</w:t>
            </w:r>
          </w:p>
        </w:tc>
        <w:tc>
          <w:tcPr>
            <w:tcW w:w="1713" w:type="dxa"/>
            <w:vAlign w:val="center"/>
          </w:tcPr>
          <w:p w:rsidR="009367D8" w:rsidRPr="00917912" w:rsidRDefault="009367D8" w:rsidP="00917912">
            <w:pPr>
              <w:pStyle w:val="naisf"/>
              <w:spacing w:before="0" w:after="0"/>
              <w:ind w:firstLine="0"/>
              <w:rPr>
                <w:color w:val="000000"/>
                <w:sz w:val="26"/>
                <w:szCs w:val="26"/>
              </w:rPr>
            </w:pPr>
            <w:r w:rsidRPr="00EC690C">
              <w:rPr>
                <w:color w:val="000000"/>
                <w:sz w:val="26"/>
                <w:szCs w:val="26"/>
              </w:rPr>
              <w:t>Izmaiņas, salīdzinot ar kārtējo 2013.gadu</w:t>
            </w:r>
          </w:p>
        </w:tc>
        <w:tc>
          <w:tcPr>
            <w:tcW w:w="1123" w:type="dxa"/>
            <w:vAlign w:val="center"/>
          </w:tcPr>
          <w:p w:rsidR="009367D8" w:rsidRPr="00917912" w:rsidRDefault="009367D8" w:rsidP="00917912">
            <w:pPr>
              <w:pStyle w:val="naisf"/>
              <w:spacing w:before="0" w:after="0"/>
              <w:ind w:firstLine="0"/>
              <w:rPr>
                <w:color w:val="000000"/>
                <w:sz w:val="26"/>
                <w:szCs w:val="26"/>
              </w:rPr>
            </w:pPr>
            <w:r w:rsidRPr="00EC690C">
              <w:rPr>
                <w:color w:val="000000"/>
                <w:sz w:val="26"/>
                <w:szCs w:val="26"/>
              </w:rPr>
              <w:t>Izmaiņas, salīdzinot ar kārtējo 2013.gadu</w:t>
            </w: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vAlign w:val="center"/>
          </w:tcPr>
          <w:p w:rsidR="009367D8" w:rsidRPr="00EC690C" w:rsidRDefault="009367D8" w:rsidP="00E721E5">
            <w:pPr>
              <w:pStyle w:val="naisf"/>
              <w:spacing w:before="0" w:after="0"/>
              <w:ind w:firstLine="0"/>
              <w:jc w:val="center"/>
              <w:rPr>
                <w:bCs/>
                <w:color w:val="000000"/>
                <w:sz w:val="28"/>
                <w:szCs w:val="28"/>
              </w:rPr>
            </w:pPr>
            <w:r w:rsidRPr="00EC690C">
              <w:rPr>
                <w:bCs/>
                <w:color w:val="000000"/>
                <w:sz w:val="28"/>
                <w:szCs w:val="28"/>
              </w:rPr>
              <w:t>1</w:t>
            </w:r>
          </w:p>
        </w:tc>
        <w:tc>
          <w:tcPr>
            <w:tcW w:w="1650" w:type="dxa"/>
            <w:gridSpan w:val="4"/>
            <w:vAlign w:val="center"/>
          </w:tcPr>
          <w:p w:rsidR="009367D8" w:rsidRPr="00EC690C" w:rsidRDefault="009367D8" w:rsidP="00E721E5">
            <w:pPr>
              <w:pStyle w:val="naisf"/>
              <w:spacing w:before="0" w:after="0"/>
              <w:ind w:firstLine="0"/>
              <w:jc w:val="center"/>
              <w:rPr>
                <w:bCs/>
                <w:color w:val="000000"/>
                <w:sz w:val="28"/>
                <w:szCs w:val="28"/>
              </w:rPr>
            </w:pPr>
            <w:r w:rsidRPr="00EC690C">
              <w:rPr>
                <w:bCs/>
                <w:color w:val="000000"/>
                <w:sz w:val="28"/>
                <w:szCs w:val="28"/>
              </w:rPr>
              <w:t>2</w:t>
            </w:r>
          </w:p>
        </w:tc>
        <w:tc>
          <w:tcPr>
            <w:tcW w:w="1628" w:type="dxa"/>
            <w:vAlign w:val="center"/>
          </w:tcPr>
          <w:p w:rsidR="009367D8" w:rsidRPr="00EC690C" w:rsidRDefault="009367D8" w:rsidP="00E721E5">
            <w:pPr>
              <w:pStyle w:val="naisf"/>
              <w:spacing w:before="0" w:after="0"/>
              <w:ind w:firstLine="0"/>
              <w:jc w:val="center"/>
              <w:rPr>
                <w:bCs/>
                <w:color w:val="000000"/>
                <w:sz w:val="28"/>
                <w:szCs w:val="28"/>
              </w:rPr>
            </w:pPr>
            <w:r w:rsidRPr="00EC690C">
              <w:rPr>
                <w:bCs/>
                <w:color w:val="000000"/>
                <w:sz w:val="28"/>
                <w:szCs w:val="28"/>
              </w:rPr>
              <w:t>3</w:t>
            </w:r>
          </w:p>
        </w:tc>
        <w:tc>
          <w:tcPr>
            <w:tcW w:w="1713" w:type="dxa"/>
            <w:vAlign w:val="center"/>
          </w:tcPr>
          <w:p w:rsidR="009367D8" w:rsidRPr="00EC690C" w:rsidRDefault="009367D8" w:rsidP="00E721E5">
            <w:pPr>
              <w:pStyle w:val="naisf"/>
              <w:spacing w:before="0" w:after="0"/>
              <w:ind w:firstLine="0"/>
              <w:jc w:val="center"/>
              <w:rPr>
                <w:bCs/>
                <w:color w:val="000000"/>
                <w:sz w:val="28"/>
                <w:szCs w:val="28"/>
              </w:rPr>
            </w:pPr>
            <w:r w:rsidRPr="00EC690C">
              <w:rPr>
                <w:bCs/>
                <w:color w:val="000000"/>
                <w:sz w:val="28"/>
                <w:szCs w:val="28"/>
              </w:rPr>
              <w:t>4</w:t>
            </w:r>
          </w:p>
        </w:tc>
        <w:tc>
          <w:tcPr>
            <w:tcW w:w="1713" w:type="dxa"/>
            <w:vAlign w:val="center"/>
          </w:tcPr>
          <w:p w:rsidR="009367D8" w:rsidRPr="00EC690C" w:rsidRDefault="009367D8" w:rsidP="00E721E5">
            <w:pPr>
              <w:pStyle w:val="naisf"/>
              <w:spacing w:before="0" w:after="0"/>
              <w:ind w:firstLine="0"/>
              <w:jc w:val="center"/>
              <w:rPr>
                <w:bCs/>
                <w:color w:val="000000"/>
                <w:sz w:val="28"/>
                <w:szCs w:val="28"/>
              </w:rPr>
            </w:pPr>
            <w:r w:rsidRPr="00EC690C">
              <w:rPr>
                <w:bCs/>
                <w:color w:val="000000"/>
                <w:sz w:val="28"/>
                <w:szCs w:val="28"/>
              </w:rPr>
              <w:t>5</w:t>
            </w:r>
          </w:p>
        </w:tc>
        <w:tc>
          <w:tcPr>
            <w:tcW w:w="1123" w:type="dxa"/>
            <w:vAlign w:val="center"/>
          </w:tcPr>
          <w:p w:rsidR="009367D8" w:rsidRPr="00EC690C" w:rsidRDefault="009367D8" w:rsidP="00E721E5">
            <w:pPr>
              <w:pStyle w:val="naisf"/>
              <w:spacing w:before="0" w:after="0"/>
              <w:ind w:firstLine="0"/>
              <w:jc w:val="center"/>
              <w:rPr>
                <w:bCs/>
                <w:color w:val="000000"/>
                <w:sz w:val="28"/>
                <w:szCs w:val="28"/>
              </w:rPr>
            </w:pPr>
            <w:r w:rsidRPr="00EC690C">
              <w:rPr>
                <w:bCs/>
                <w:color w:val="000000"/>
                <w:sz w:val="28"/>
                <w:szCs w:val="28"/>
              </w:rPr>
              <w:t>6</w:t>
            </w: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tcPr>
          <w:p w:rsidR="009367D8" w:rsidRPr="00EC690C" w:rsidRDefault="009367D8" w:rsidP="00E721E5">
            <w:pPr>
              <w:pStyle w:val="naisf"/>
              <w:spacing w:before="0" w:after="0"/>
              <w:ind w:firstLine="0"/>
              <w:rPr>
                <w:i/>
                <w:color w:val="000000"/>
                <w:sz w:val="26"/>
                <w:szCs w:val="26"/>
              </w:rPr>
            </w:pPr>
            <w:r w:rsidRPr="00EC690C">
              <w:rPr>
                <w:color w:val="000000"/>
                <w:sz w:val="26"/>
                <w:szCs w:val="26"/>
              </w:rPr>
              <w:t>1. Budžeta ieņēmumi:</w:t>
            </w:r>
          </w:p>
        </w:tc>
        <w:tc>
          <w:tcPr>
            <w:tcW w:w="1650" w:type="dxa"/>
            <w:gridSpan w:val="4"/>
          </w:tcPr>
          <w:p w:rsidR="009367D8" w:rsidRPr="00EC690C" w:rsidRDefault="009367D8" w:rsidP="003019EE">
            <w:pPr>
              <w:pStyle w:val="naisf"/>
              <w:spacing w:before="0" w:after="0"/>
              <w:ind w:firstLine="0"/>
              <w:jc w:val="center"/>
              <w:rPr>
                <w:color w:val="000000"/>
                <w:sz w:val="26"/>
                <w:szCs w:val="26"/>
              </w:rPr>
            </w:pPr>
            <w:r w:rsidRPr="00EC690C">
              <w:rPr>
                <w:color w:val="000000"/>
                <w:sz w:val="26"/>
                <w:szCs w:val="26"/>
              </w:rPr>
              <w:t>157 179,4</w:t>
            </w:r>
          </w:p>
        </w:tc>
        <w:tc>
          <w:tcPr>
            <w:tcW w:w="1628" w:type="dxa"/>
          </w:tcPr>
          <w:p w:rsidR="009367D8" w:rsidRPr="00EC690C" w:rsidRDefault="009367D8" w:rsidP="003019EE">
            <w:pPr>
              <w:pStyle w:val="naisf"/>
              <w:spacing w:before="0" w:after="0"/>
              <w:ind w:firstLine="0"/>
              <w:jc w:val="center"/>
              <w:rPr>
                <w:color w:val="000000"/>
                <w:sz w:val="26"/>
                <w:szCs w:val="26"/>
              </w:rPr>
            </w:pPr>
            <w:r w:rsidRPr="00EC690C">
              <w:rPr>
                <w:color w:val="000000"/>
                <w:sz w:val="26"/>
                <w:szCs w:val="26"/>
              </w:rPr>
              <w:t>0</w:t>
            </w:r>
          </w:p>
        </w:tc>
        <w:tc>
          <w:tcPr>
            <w:tcW w:w="1713" w:type="dxa"/>
          </w:tcPr>
          <w:p w:rsidR="009367D8" w:rsidRPr="006E56D8" w:rsidRDefault="009367D8" w:rsidP="00875336">
            <w:pPr>
              <w:pStyle w:val="naisf"/>
              <w:spacing w:before="0" w:after="0"/>
              <w:ind w:firstLine="0"/>
              <w:jc w:val="center"/>
              <w:rPr>
                <w:color w:val="000000"/>
                <w:sz w:val="26"/>
                <w:szCs w:val="26"/>
              </w:rPr>
            </w:pPr>
            <w:r w:rsidRPr="006E56D8">
              <w:rPr>
                <w:color w:val="000000"/>
                <w:sz w:val="26"/>
                <w:szCs w:val="26"/>
              </w:rPr>
              <w:t>3 810,3</w:t>
            </w:r>
          </w:p>
        </w:tc>
        <w:tc>
          <w:tcPr>
            <w:tcW w:w="1713" w:type="dxa"/>
          </w:tcPr>
          <w:p w:rsidR="009367D8" w:rsidRPr="006E56D8" w:rsidRDefault="009367D8" w:rsidP="00875336">
            <w:pPr>
              <w:pStyle w:val="naisf"/>
              <w:spacing w:before="0" w:after="0"/>
              <w:ind w:firstLine="0"/>
              <w:jc w:val="center"/>
              <w:rPr>
                <w:color w:val="000000"/>
                <w:sz w:val="26"/>
                <w:szCs w:val="26"/>
              </w:rPr>
            </w:pPr>
            <w:r w:rsidRPr="006E56D8">
              <w:rPr>
                <w:color w:val="000000"/>
                <w:sz w:val="26"/>
                <w:szCs w:val="26"/>
              </w:rPr>
              <w:t>3 810,3</w:t>
            </w:r>
          </w:p>
        </w:tc>
        <w:tc>
          <w:tcPr>
            <w:tcW w:w="1123" w:type="dxa"/>
          </w:tcPr>
          <w:p w:rsidR="009367D8" w:rsidRPr="006E56D8" w:rsidRDefault="009367D8" w:rsidP="00C01B61">
            <w:pPr>
              <w:pStyle w:val="naisf"/>
              <w:spacing w:before="0" w:after="0"/>
              <w:ind w:firstLine="0"/>
              <w:jc w:val="center"/>
              <w:rPr>
                <w:color w:val="000000"/>
                <w:sz w:val="26"/>
                <w:szCs w:val="26"/>
              </w:rPr>
            </w:pPr>
            <w:r w:rsidRPr="006E56D8">
              <w:rPr>
                <w:color w:val="000000"/>
                <w:sz w:val="26"/>
                <w:szCs w:val="26"/>
              </w:rPr>
              <w:t>5 128,0</w:t>
            </w: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tcPr>
          <w:p w:rsidR="009367D8" w:rsidRPr="00EC690C" w:rsidRDefault="009367D8" w:rsidP="00E721E5">
            <w:pPr>
              <w:pStyle w:val="naisf"/>
              <w:spacing w:before="0" w:after="0"/>
              <w:ind w:firstLine="0"/>
              <w:rPr>
                <w:i/>
                <w:color w:val="000000"/>
                <w:sz w:val="26"/>
                <w:szCs w:val="26"/>
              </w:rPr>
            </w:pPr>
            <w:r w:rsidRPr="00EC690C">
              <w:rPr>
                <w:color w:val="000000"/>
                <w:sz w:val="26"/>
                <w:szCs w:val="26"/>
              </w:rPr>
              <w:t>1.1. valsts pamatbudžets, tai skaitā ieņēmumi no maksas pakalpojumiem un citi pašu ieņēmumi</w:t>
            </w:r>
          </w:p>
        </w:tc>
        <w:tc>
          <w:tcPr>
            <w:tcW w:w="1650" w:type="dxa"/>
            <w:gridSpan w:val="4"/>
          </w:tcPr>
          <w:p w:rsidR="009367D8" w:rsidRPr="00EC690C" w:rsidRDefault="009367D8" w:rsidP="003019EE">
            <w:pPr>
              <w:pStyle w:val="naisf"/>
              <w:spacing w:before="0" w:after="0"/>
              <w:ind w:firstLine="0"/>
              <w:jc w:val="center"/>
              <w:rPr>
                <w:color w:val="000000"/>
                <w:sz w:val="26"/>
                <w:szCs w:val="26"/>
              </w:rPr>
            </w:pPr>
            <w:r w:rsidRPr="00EC690C">
              <w:rPr>
                <w:color w:val="000000"/>
                <w:sz w:val="26"/>
                <w:szCs w:val="26"/>
              </w:rPr>
              <w:t>157 179,4</w:t>
            </w:r>
          </w:p>
        </w:tc>
        <w:tc>
          <w:tcPr>
            <w:tcW w:w="1628" w:type="dxa"/>
          </w:tcPr>
          <w:p w:rsidR="009367D8" w:rsidRPr="00EC690C" w:rsidRDefault="009367D8" w:rsidP="003019EE">
            <w:pPr>
              <w:pStyle w:val="naisf"/>
              <w:spacing w:before="0" w:after="0"/>
              <w:ind w:firstLine="0"/>
              <w:jc w:val="center"/>
              <w:rPr>
                <w:color w:val="000000"/>
                <w:sz w:val="26"/>
                <w:szCs w:val="26"/>
              </w:rPr>
            </w:pPr>
          </w:p>
        </w:tc>
        <w:tc>
          <w:tcPr>
            <w:tcW w:w="1713" w:type="dxa"/>
          </w:tcPr>
          <w:p w:rsidR="009367D8" w:rsidRPr="006E56D8" w:rsidRDefault="009367D8" w:rsidP="00875336">
            <w:pPr>
              <w:pStyle w:val="naisf"/>
              <w:spacing w:before="0" w:after="0"/>
              <w:ind w:firstLine="0"/>
              <w:jc w:val="center"/>
              <w:rPr>
                <w:color w:val="000000"/>
                <w:sz w:val="26"/>
                <w:szCs w:val="26"/>
              </w:rPr>
            </w:pPr>
            <w:r w:rsidRPr="006E56D8">
              <w:rPr>
                <w:color w:val="000000"/>
                <w:sz w:val="26"/>
                <w:szCs w:val="26"/>
              </w:rPr>
              <w:t>3 810,3</w:t>
            </w:r>
          </w:p>
        </w:tc>
        <w:tc>
          <w:tcPr>
            <w:tcW w:w="1713" w:type="dxa"/>
          </w:tcPr>
          <w:p w:rsidR="009367D8" w:rsidRPr="006E56D8" w:rsidRDefault="009367D8" w:rsidP="00875336">
            <w:pPr>
              <w:pStyle w:val="naisf"/>
              <w:spacing w:before="0" w:after="0"/>
              <w:ind w:firstLine="0"/>
              <w:jc w:val="center"/>
              <w:rPr>
                <w:color w:val="000000"/>
                <w:sz w:val="26"/>
                <w:szCs w:val="26"/>
              </w:rPr>
            </w:pPr>
            <w:r w:rsidRPr="006E56D8">
              <w:rPr>
                <w:color w:val="000000"/>
                <w:sz w:val="26"/>
                <w:szCs w:val="26"/>
              </w:rPr>
              <w:t>3 810,3</w:t>
            </w:r>
          </w:p>
        </w:tc>
        <w:tc>
          <w:tcPr>
            <w:tcW w:w="1123" w:type="dxa"/>
          </w:tcPr>
          <w:p w:rsidR="009367D8" w:rsidRPr="006E56D8" w:rsidRDefault="009367D8" w:rsidP="00875336">
            <w:pPr>
              <w:pStyle w:val="naisf"/>
              <w:spacing w:before="0" w:after="0"/>
              <w:ind w:firstLine="0"/>
              <w:jc w:val="center"/>
              <w:rPr>
                <w:color w:val="000000"/>
                <w:sz w:val="26"/>
                <w:szCs w:val="26"/>
              </w:rPr>
            </w:pPr>
            <w:r w:rsidRPr="006E56D8">
              <w:rPr>
                <w:color w:val="000000"/>
                <w:sz w:val="26"/>
                <w:szCs w:val="26"/>
              </w:rPr>
              <w:t>5 128,0</w:t>
            </w: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tcPr>
          <w:p w:rsidR="009367D8" w:rsidRPr="00EC690C" w:rsidRDefault="009367D8" w:rsidP="00E721E5">
            <w:pPr>
              <w:pStyle w:val="naisf"/>
              <w:spacing w:before="0" w:after="0"/>
              <w:ind w:firstLine="0"/>
              <w:rPr>
                <w:i/>
                <w:color w:val="000000"/>
                <w:sz w:val="26"/>
                <w:szCs w:val="26"/>
              </w:rPr>
            </w:pPr>
            <w:r w:rsidRPr="00EC690C">
              <w:rPr>
                <w:color w:val="000000"/>
                <w:sz w:val="26"/>
                <w:szCs w:val="26"/>
              </w:rPr>
              <w:t>1.2. valsts speciālais budžets</w:t>
            </w:r>
          </w:p>
        </w:tc>
        <w:tc>
          <w:tcPr>
            <w:tcW w:w="1650" w:type="dxa"/>
            <w:gridSpan w:val="4"/>
          </w:tcPr>
          <w:p w:rsidR="009367D8" w:rsidRPr="00EC690C" w:rsidRDefault="009367D8" w:rsidP="00E721E5">
            <w:pPr>
              <w:pStyle w:val="naisf"/>
              <w:spacing w:before="0" w:after="0"/>
              <w:ind w:firstLine="0"/>
              <w:rPr>
                <w:b/>
                <w:i/>
                <w:color w:val="000000"/>
                <w:sz w:val="26"/>
                <w:szCs w:val="26"/>
              </w:rPr>
            </w:pPr>
          </w:p>
        </w:tc>
        <w:tc>
          <w:tcPr>
            <w:tcW w:w="1628" w:type="dxa"/>
          </w:tcPr>
          <w:p w:rsidR="009367D8" w:rsidRPr="00EC690C" w:rsidRDefault="009367D8" w:rsidP="00E721E5">
            <w:pPr>
              <w:pStyle w:val="naisf"/>
              <w:spacing w:before="0" w:after="0"/>
              <w:ind w:firstLine="0"/>
              <w:rPr>
                <w:b/>
                <w:i/>
                <w:color w:val="000000"/>
                <w:sz w:val="26"/>
                <w:szCs w:val="26"/>
              </w:rPr>
            </w:pPr>
          </w:p>
        </w:tc>
        <w:tc>
          <w:tcPr>
            <w:tcW w:w="1713" w:type="dxa"/>
          </w:tcPr>
          <w:p w:rsidR="009367D8" w:rsidRPr="004B067B" w:rsidRDefault="009367D8" w:rsidP="00875336">
            <w:pPr>
              <w:pStyle w:val="naisf"/>
              <w:spacing w:before="0" w:after="0"/>
              <w:ind w:firstLine="0"/>
              <w:rPr>
                <w:b/>
                <w:i/>
                <w:color w:val="000000"/>
                <w:sz w:val="26"/>
                <w:szCs w:val="26"/>
                <w:highlight w:val="yellow"/>
              </w:rPr>
            </w:pPr>
          </w:p>
        </w:tc>
        <w:tc>
          <w:tcPr>
            <w:tcW w:w="1713" w:type="dxa"/>
          </w:tcPr>
          <w:p w:rsidR="009367D8" w:rsidRPr="004B067B" w:rsidRDefault="009367D8" w:rsidP="00875336">
            <w:pPr>
              <w:pStyle w:val="naisf"/>
              <w:spacing w:before="0" w:after="0"/>
              <w:ind w:firstLine="0"/>
              <w:rPr>
                <w:b/>
                <w:i/>
                <w:color w:val="000000"/>
                <w:sz w:val="26"/>
                <w:szCs w:val="26"/>
                <w:highlight w:val="yellow"/>
              </w:rPr>
            </w:pPr>
          </w:p>
        </w:tc>
        <w:tc>
          <w:tcPr>
            <w:tcW w:w="1123" w:type="dxa"/>
          </w:tcPr>
          <w:p w:rsidR="009367D8" w:rsidRPr="004B067B" w:rsidRDefault="009367D8" w:rsidP="00875336">
            <w:pPr>
              <w:pStyle w:val="naisf"/>
              <w:spacing w:before="0" w:after="0"/>
              <w:ind w:firstLine="0"/>
              <w:rPr>
                <w:b/>
                <w:i/>
                <w:color w:val="000000"/>
                <w:sz w:val="26"/>
                <w:szCs w:val="26"/>
                <w:highlight w:val="yellow"/>
              </w:rPr>
            </w:pPr>
          </w:p>
        </w:tc>
      </w:tr>
      <w:tr w:rsidR="009367D8" w:rsidRPr="00EC690C" w:rsidTr="00917912">
        <w:tblPrEx>
          <w:jc w:val="center"/>
          <w:tblLook w:val="01E0" w:firstRow="1" w:lastRow="1" w:firstColumn="1" w:lastColumn="1" w:noHBand="0" w:noVBand="0"/>
        </w:tblPrEx>
        <w:trPr>
          <w:gridAfter w:val="1"/>
          <w:wAfter w:w="365" w:type="dxa"/>
          <w:trHeight w:val="628"/>
          <w:jc w:val="center"/>
        </w:trPr>
        <w:tc>
          <w:tcPr>
            <w:tcW w:w="2604" w:type="dxa"/>
            <w:gridSpan w:val="5"/>
          </w:tcPr>
          <w:p w:rsidR="009367D8" w:rsidRPr="00EC690C" w:rsidRDefault="009367D8" w:rsidP="00E721E5">
            <w:pPr>
              <w:pStyle w:val="naisf"/>
              <w:spacing w:before="0" w:after="0"/>
              <w:ind w:firstLine="0"/>
              <w:rPr>
                <w:i/>
                <w:color w:val="000000"/>
                <w:sz w:val="26"/>
                <w:szCs w:val="26"/>
              </w:rPr>
            </w:pPr>
            <w:r w:rsidRPr="00EC690C">
              <w:rPr>
                <w:color w:val="000000"/>
                <w:sz w:val="26"/>
                <w:szCs w:val="26"/>
              </w:rPr>
              <w:t>1.3. pašvaldību budžets</w:t>
            </w:r>
          </w:p>
        </w:tc>
        <w:tc>
          <w:tcPr>
            <w:tcW w:w="1650" w:type="dxa"/>
            <w:gridSpan w:val="4"/>
          </w:tcPr>
          <w:p w:rsidR="009367D8" w:rsidRPr="00EC690C" w:rsidRDefault="009367D8" w:rsidP="00E721E5">
            <w:pPr>
              <w:pStyle w:val="naisf"/>
              <w:spacing w:before="0" w:after="0"/>
              <w:ind w:firstLine="0"/>
              <w:rPr>
                <w:b/>
                <w:i/>
                <w:color w:val="000000"/>
                <w:sz w:val="26"/>
                <w:szCs w:val="26"/>
              </w:rPr>
            </w:pPr>
          </w:p>
        </w:tc>
        <w:tc>
          <w:tcPr>
            <w:tcW w:w="1628" w:type="dxa"/>
          </w:tcPr>
          <w:p w:rsidR="009367D8" w:rsidRPr="00EC690C" w:rsidRDefault="009367D8" w:rsidP="00E721E5">
            <w:pPr>
              <w:pStyle w:val="naisf"/>
              <w:spacing w:before="0" w:after="0"/>
              <w:ind w:firstLine="0"/>
              <w:rPr>
                <w:b/>
                <w:i/>
                <w:color w:val="000000"/>
                <w:sz w:val="26"/>
                <w:szCs w:val="26"/>
              </w:rPr>
            </w:pPr>
          </w:p>
        </w:tc>
        <w:tc>
          <w:tcPr>
            <w:tcW w:w="1713" w:type="dxa"/>
          </w:tcPr>
          <w:p w:rsidR="009367D8" w:rsidRPr="004B067B" w:rsidRDefault="009367D8" w:rsidP="00875336">
            <w:pPr>
              <w:pStyle w:val="naisf"/>
              <w:spacing w:before="0" w:after="0"/>
              <w:ind w:firstLine="0"/>
              <w:rPr>
                <w:b/>
                <w:i/>
                <w:color w:val="000000"/>
                <w:sz w:val="26"/>
                <w:szCs w:val="26"/>
                <w:highlight w:val="yellow"/>
              </w:rPr>
            </w:pPr>
          </w:p>
        </w:tc>
        <w:tc>
          <w:tcPr>
            <w:tcW w:w="1713" w:type="dxa"/>
          </w:tcPr>
          <w:p w:rsidR="009367D8" w:rsidRPr="004B067B" w:rsidRDefault="009367D8" w:rsidP="00875336">
            <w:pPr>
              <w:pStyle w:val="naisf"/>
              <w:spacing w:before="0" w:after="0"/>
              <w:ind w:firstLine="0"/>
              <w:rPr>
                <w:b/>
                <w:i/>
                <w:color w:val="000000"/>
                <w:sz w:val="26"/>
                <w:szCs w:val="26"/>
                <w:highlight w:val="yellow"/>
              </w:rPr>
            </w:pPr>
          </w:p>
        </w:tc>
        <w:tc>
          <w:tcPr>
            <w:tcW w:w="1123" w:type="dxa"/>
          </w:tcPr>
          <w:p w:rsidR="009367D8" w:rsidRPr="004B067B" w:rsidRDefault="009367D8" w:rsidP="00875336">
            <w:pPr>
              <w:pStyle w:val="naisf"/>
              <w:spacing w:before="0" w:after="0"/>
              <w:ind w:firstLine="0"/>
              <w:rPr>
                <w:b/>
                <w:i/>
                <w:color w:val="000000"/>
                <w:sz w:val="26"/>
                <w:szCs w:val="26"/>
                <w:highlight w:val="yellow"/>
              </w:rPr>
            </w:pP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tcPr>
          <w:p w:rsidR="009367D8" w:rsidRPr="00EC690C" w:rsidRDefault="009367D8" w:rsidP="00E721E5">
            <w:pPr>
              <w:jc w:val="both"/>
              <w:rPr>
                <w:color w:val="000000"/>
                <w:sz w:val="26"/>
                <w:szCs w:val="26"/>
              </w:rPr>
            </w:pPr>
            <w:r w:rsidRPr="00EC690C">
              <w:rPr>
                <w:color w:val="000000"/>
                <w:sz w:val="26"/>
                <w:szCs w:val="26"/>
              </w:rPr>
              <w:t>2. Budžeta izdevumi:</w:t>
            </w:r>
          </w:p>
        </w:tc>
        <w:tc>
          <w:tcPr>
            <w:tcW w:w="1650" w:type="dxa"/>
            <w:gridSpan w:val="4"/>
          </w:tcPr>
          <w:p w:rsidR="009367D8" w:rsidRPr="00EC690C" w:rsidRDefault="009367D8" w:rsidP="00132192">
            <w:pPr>
              <w:pStyle w:val="naisf"/>
              <w:spacing w:before="0" w:after="0"/>
              <w:ind w:firstLine="0"/>
              <w:jc w:val="center"/>
              <w:rPr>
                <w:color w:val="000000"/>
                <w:sz w:val="26"/>
                <w:szCs w:val="26"/>
              </w:rPr>
            </w:pPr>
            <w:r w:rsidRPr="00EC690C">
              <w:rPr>
                <w:color w:val="000000"/>
                <w:sz w:val="26"/>
                <w:szCs w:val="26"/>
              </w:rPr>
              <w:t>157 179,4</w:t>
            </w:r>
          </w:p>
        </w:tc>
        <w:tc>
          <w:tcPr>
            <w:tcW w:w="1628" w:type="dxa"/>
          </w:tcPr>
          <w:p w:rsidR="009367D8" w:rsidRPr="00EC690C" w:rsidRDefault="009367D8" w:rsidP="00E721E5">
            <w:pPr>
              <w:pStyle w:val="naisf"/>
              <w:spacing w:before="0" w:after="0"/>
              <w:ind w:firstLine="0"/>
              <w:jc w:val="center"/>
              <w:rPr>
                <w:color w:val="000000"/>
                <w:sz w:val="26"/>
                <w:szCs w:val="26"/>
              </w:rPr>
            </w:pPr>
            <w:r w:rsidRPr="00EC690C">
              <w:rPr>
                <w:color w:val="000000"/>
                <w:sz w:val="26"/>
                <w:szCs w:val="26"/>
              </w:rPr>
              <w:t>0</w:t>
            </w:r>
          </w:p>
        </w:tc>
        <w:tc>
          <w:tcPr>
            <w:tcW w:w="1713" w:type="dxa"/>
          </w:tcPr>
          <w:p w:rsidR="009367D8" w:rsidRPr="006E56D8" w:rsidRDefault="009367D8" w:rsidP="00875336">
            <w:pPr>
              <w:pStyle w:val="naisf"/>
              <w:spacing w:before="0" w:after="0"/>
              <w:ind w:firstLine="0"/>
              <w:jc w:val="center"/>
              <w:rPr>
                <w:color w:val="000000"/>
                <w:sz w:val="26"/>
                <w:szCs w:val="26"/>
              </w:rPr>
            </w:pPr>
            <w:r w:rsidRPr="006E56D8">
              <w:rPr>
                <w:color w:val="000000"/>
                <w:sz w:val="26"/>
                <w:szCs w:val="26"/>
              </w:rPr>
              <w:t>3 810,3</w:t>
            </w:r>
          </w:p>
        </w:tc>
        <w:tc>
          <w:tcPr>
            <w:tcW w:w="1713" w:type="dxa"/>
          </w:tcPr>
          <w:p w:rsidR="009367D8" w:rsidRPr="006E56D8" w:rsidRDefault="009367D8" w:rsidP="00875336">
            <w:pPr>
              <w:pStyle w:val="naisf"/>
              <w:spacing w:before="0" w:after="0"/>
              <w:ind w:firstLine="0"/>
              <w:jc w:val="center"/>
              <w:rPr>
                <w:color w:val="000000"/>
                <w:sz w:val="26"/>
                <w:szCs w:val="26"/>
              </w:rPr>
            </w:pPr>
            <w:r w:rsidRPr="006E56D8">
              <w:rPr>
                <w:color w:val="000000"/>
                <w:sz w:val="26"/>
                <w:szCs w:val="26"/>
              </w:rPr>
              <w:t>3 810,3</w:t>
            </w:r>
          </w:p>
        </w:tc>
        <w:tc>
          <w:tcPr>
            <w:tcW w:w="1123" w:type="dxa"/>
          </w:tcPr>
          <w:p w:rsidR="009367D8" w:rsidRPr="006E56D8" w:rsidRDefault="009367D8" w:rsidP="00875336">
            <w:pPr>
              <w:pStyle w:val="naisf"/>
              <w:spacing w:before="0" w:after="0"/>
              <w:ind w:firstLine="0"/>
              <w:jc w:val="center"/>
              <w:rPr>
                <w:color w:val="000000"/>
                <w:sz w:val="26"/>
                <w:szCs w:val="26"/>
              </w:rPr>
            </w:pPr>
            <w:r w:rsidRPr="006E56D8">
              <w:rPr>
                <w:color w:val="000000"/>
                <w:sz w:val="26"/>
                <w:szCs w:val="26"/>
              </w:rPr>
              <w:t>5 128,0</w:t>
            </w: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tcPr>
          <w:p w:rsidR="009367D8" w:rsidRPr="00EC690C" w:rsidRDefault="009367D8" w:rsidP="00E721E5">
            <w:pPr>
              <w:jc w:val="both"/>
              <w:rPr>
                <w:color w:val="000000"/>
                <w:sz w:val="26"/>
                <w:szCs w:val="26"/>
              </w:rPr>
            </w:pPr>
            <w:r w:rsidRPr="00EC690C">
              <w:rPr>
                <w:color w:val="000000"/>
                <w:sz w:val="26"/>
                <w:szCs w:val="26"/>
              </w:rPr>
              <w:t>2.1. valsts pamatbudžets</w:t>
            </w:r>
          </w:p>
        </w:tc>
        <w:tc>
          <w:tcPr>
            <w:tcW w:w="1650" w:type="dxa"/>
            <w:gridSpan w:val="4"/>
          </w:tcPr>
          <w:p w:rsidR="009367D8" w:rsidRPr="00EC690C" w:rsidRDefault="009367D8" w:rsidP="00E721E5">
            <w:pPr>
              <w:pStyle w:val="naisf"/>
              <w:spacing w:before="0" w:after="0"/>
              <w:ind w:firstLine="0"/>
              <w:jc w:val="center"/>
              <w:rPr>
                <w:color w:val="000000"/>
                <w:sz w:val="26"/>
                <w:szCs w:val="26"/>
              </w:rPr>
            </w:pPr>
            <w:r w:rsidRPr="00EC690C">
              <w:rPr>
                <w:color w:val="000000"/>
                <w:sz w:val="26"/>
                <w:szCs w:val="26"/>
              </w:rPr>
              <w:t>157 179,4</w:t>
            </w:r>
          </w:p>
        </w:tc>
        <w:tc>
          <w:tcPr>
            <w:tcW w:w="1628" w:type="dxa"/>
          </w:tcPr>
          <w:p w:rsidR="009367D8" w:rsidRPr="00EC690C" w:rsidRDefault="009367D8" w:rsidP="00E721E5">
            <w:pPr>
              <w:pStyle w:val="naisf"/>
              <w:spacing w:before="0" w:after="0"/>
              <w:ind w:firstLine="0"/>
              <w:jc w:val="center"/>
              <w:rPr>
                <w:color w:val="000000"/>
                <w:sz w:val="26"/>
                <w:szCs w:val="26"/>
              </w:rPr>
            </w:pPr>
            <w:r w:rsidRPr="00EC690C">
              <w:rPr>
                <w:color w:val="000000"/>
                <w:sz w:val="26"/>
                <w:szCs w:val="26"/>
              </w:rPr>
              <w:t>0</w:t>
            </w:r>
          </w:p>
        </w:tc>
        <w:tc>
          <w:tcPr>
            <w:tcW w:w="1713" w:type="dxa"/>
          </w:tcPr>
          <w:p w:rsidR="009367D8" w:rsidRPr="006E56D8" w:rsidRDefault="009367D8" w:rsidP="00875336">
            <w:pPr>
              <w:pStyle w:val="naisf"/>
              <w:spacing w:before="0" w:after="0"/>
              <w:ind w:firstLine="0"/>
              <w:jc w:val="center"/>
              <w:rPr>
                <w:color w:val="000000"/>
                <w:sz w:val="26"/>
                <w:szCs w:val="26"/>
              </w:rPr>
            </w:pPr>
            <w:r w:rsidRPr="006E56D8">
              <w:rPr>
                <w:color w:val="000000"/>
                <w:sz w:val="26"/>
                <w:szCs w:val="26"/>
              </w:rPr>
              <w:t>3 810,3</w:t>
            </w:r>
          </w:p>
        </w:tc>
        <w:tc>
          <w:tcPr>
            <w:tcW w:w="1713" w:type="dxa"/>
          </w:tcPr>
          <w:p w:rsidR="009367D8" w:rsidRPr="006E56D8" w:rsidRDefault="009367D8" w:rsidP="00875336">
            <w:pPr>
              <w:pStyle w:val="naisf"/>
              <w:spacing w:before="0" w:after="0"/>
              <w:ind w:firstLine="0"/>
              <w:jc w:val="center"/>
              <w:rPr>
                <w:color w:val="000000"/>
                <w:sz w:val="26"/>
                <w:szCs w:val="26"/>
              </w:rPr>
            </w:pPr>
            <w:r w:rsidRPr="006E56D8">
              <w:rPr>
                <w:color w:val="000000"/>
                <w:sz w:val="26"/>
                <w:szCs w:val="26"/>
              </w:rPr>
              <w:t>3 810,3</w:t>
            </w:r>
          </w:p>
        </w:tc>
        <w:tc>
          <w:tcPr>
            <w:tcW w:w="1123" w:type="dxa"/>
          </w:tcPr>
          <w:p w:rsidR="009367D8" w:rsidRPr="006E56D8" w:rsidRDefault="009367D8" w:rsidP="00875336">
            <w:pPr>
              <w:pStyle w:val="naisf"/>
              <w:spacing w:before="0" w:after="0"/>
              <w:ind w:firstLine="0"/>
              <w:jc w:val="center"/>
              <w:rPr>
                <w:color w:val="000000"/>
                <w:sz w:val="26"/>
                <w:szCs w:val="26"/>
              </w:rPr>
            </w:pPr>
            <w:r w:rsidRPr="006E56D8">
              <w:rPr>
                <w:color w:val="000000"/>
                <w:sz w:val="26"/>
                <w:szCs w:val="26"/>
              </w:rPr>
              <w:t>5 128,0</w:t>
            </w: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tcPr>
          <w:p w:rsidR="009367D8" w:rsidRPr="00EC690C" w:rsidRDefault="009367D8" w:rsidP="00E721E5">
            <w:pPr>
              <w:jc w:val="both"/>
              <w:rPr>
                <w:color w:val="000000"/>
                <w:sz w:val="26"/>
                <w:szCs w:val="26"/>
              </w:rPr>
            </w:pPr>
            <w:r w:rsidRPr="00EC690C">
              <w:rPr>
                <w:color w:val="000000"/>
                <w:sz w:val="26"/>
                <w:szCs w:val="26"/>
              </w:rPr>
              <w:t>2.2. valsts speciālais budžets</w:t>
            </w:r>
          </w:p>
        </w:tc>
        <w:tc>
          <w:tcPr>
            <w:tcW w:w="1650" w:type="dxa"/>
            <w:gridSpan w:val="4"/>
          </w:tcPr>
          <w:p w:rsidR="009367D8" w:rsidRPr="00EC690C" w:rsidRDefault="009367D8" w:rsidP="00E721E5">
            <w:pPr>
              <w:pStyle w:val="naisf"/>
              <w:spacing w:before="0" w:after="0"/>
              <w:ind w:firstLine="0"/>
              <w:rPr>
                <w:b/>
                <w:i/>
                <w:color w:val="000000"/>
                <w:sz w:val="26"/>
                <w:szCs w:val="26"/>
              </w:rPr>
            </w:pPr>
          </w:p>
        </w:tc>
        <w:tc>
          <w:tcPr>
            <w:tcW w:w="1628" w:type="dxa"/>
          </w:tcPr>
          <w:p w:rsidR="009367D8" w:rsidRPr="00EC690C" w:rsidRDefault="009367D8" w:rsidP="00E721E5">
            <w:pPr>
              <w:pStyle w:val="naisf"/>
              <w:spacing w:before="0" w:after="0"/>
              <w:ind w:firstLine="0"/>
              <w:rPr>
                <w:b/>
                <w:i/>
                <w:color w:val="000000"/>
                <w:sz w:val="26"/>
                <w:szCs w:val="26"/>
              </w:rPr>
            </w:pPr>
          </w:p>
        </w:tc>
        <w:tc>
          <w:tcPr>
            <w:tcW w:w="1713" w:type="dxa"/>
          </w:tcPr>
          <w:p w:rsidR="009367D8" w:rsidRPr="00EC690C" w:rsidRDefault="009367D8" w:rsidP="00E721E5">
            <w:pPr>
              <w:pStyle w:val="naisf"/>
              <w:spacing w:before="0" w:after="0"/>
              <w:ind w:firstLine="0"/>
              <w:rPr>
                <w:b/>
                <w:i/>
                <w:color w:val="000000"/>
                <w:sz w:val="26"/>
                <w:szCs w:val="26"/>
              </w:rPr>
            </w:pPr>
          </w:p>
        </w:tc>
        <w:tc>
          <w:tcPr>
            <w:tcW w:w="1713" w:type="dxa"/>
          </w:tcPr>
          <w:p w:rsidR="009367D8" w:rsidRPr="00EC690C" w:rsidRDefault="009367D8" w:rsidP="00E721E5">
            <w:pPr>
              <w:pStyle w:val="naisf"/>
              <w:spacing w:before="0" w:after="0"/>
              <w:ind w:firstLine="0"/>
              <w:rPr>
                <w:b/>
                <w:i/>
                <w:color w:val="000000"/>
                <w:sz w:val="26"/>
                <w:szCs w:val="26"/>
              </w:rPr>
            </w:pPr>
          </w:p>
        </w:tc>
        <w:tc>
          <w:tcPr>
            <w:tcW w:w="1123" w:type="dxa"/>
          </w:tcPr>
          <w:p w:rsidR="009367D8" w:rsidRPr="00EC690C" w:rsidRDefault="009367D8" w:rsidP="00E721E5">
            <w:pPr>
              <w:pStyle w:val="naisf"/>
              <w:spacing w:before="0" w:after="0"/>
              <w:ind w:firstLine="0"/>
              <w:rPr>
                <w:b/>
                <w:i/>
                <w:color w:val="000000"/>
                <w:sz w:val="26"/>
                <w:szCs w:val="26"/>
              </w:rPr>
            </w:pP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tcPr>
          <w:p w:rsidR="009367D8" w:rsidRPr="00EC690C" w:rsidRDefault="009367D8" w:rsidP="00E721E5">
            <w:pPr>
              <w:jc w:val="both"/>
              <w:rPr>
                <w:color w:val="000000"/>
                <w:sz w:val="26"/>
                <w:szCs w:val="26"/>
              </w:rPr>
            </w:pPr>
            <w:r w:rsidRPr="00EC690C">
              <w:rPr>
                <w:color w:val="000000"/>
                <w:sz w:val="26"/>
                <w:szCs w:val="26"/>
              </w:rPr>
              <w:t xml:space="preserve">2.3. pašvaldību budžets </w:t>
            </w:r>
          </w:p>
        </w:tc>
        <w:tc>
          <w:tcPr>
            <w:tcW w:w="1650" w:type="dxa"/>
            <w:gridSpan w:val="4"/>
          </w:tcPr>
          <w:p w:rsidR="009367D8" w:rsidRPr="00EC690C" w:rsidRDefault="009367D8" w:rsidP="00E721E5">
            <w:pPr>
              <w:pStyle w:val="naisf"/>
              <w:spacing w:before="0" w:after="0"/>
              <w:ind w:firstLine="0"/>
              <w:rPr>
                <w:b/>
                <w:i/>
                <w:color w:val="000000"/>
                <w:sz w:val="26"/>
                <w:szCs w:val="26"/>
              </w:rPr>
            </w:pPr>
          </w:p>
        </w:tc>
        <w:tc>
          <w:tcPr>
            <w:tcW w:w="1628" w:type="dxa"/>
          </w:tcPr>
          <w:p w:rsidR="009367D8" w:rsidRPr="00EC690C" w:rsidRDefault="009367D8" w:rsidP="00E721E5">
            <w:pPr>
              <w:pStyle w:val="naisf"/>
              <w:spacing w:before="0" w:after="0"/>
              <w:ind w:firstLine="0"/>
              <w:rPr>
                <w:b/>
                <w:i/>
                <w:color w:val="000000"/>
                <w:sz w:val="26"/>
                <w:szCs w:val="26"/>
              </w:rPr>
            </w:pPr>
          </w:p>
        </w:tc>
        <w:tc>
          <w:tcPr>
            <w:tcW w:w="1713" w:type="dxa"/>
          </w:tcPr>
          <w:p w:rsidR="009367D8" w:rsidRPr="00EC690C" w:rsidRDefault="009367D8" w:rsidP="00E721E5">
            <w:pPr>
              <w:pStyle w:val="naisf"/>
              <w:spacing w:before="0" w:after="0"/>
              <w:ind w:firstLine="0"/>
              <w:rPr>
                <w:b/>
                <w:i/>
                <w:color w:val="000000"/>
                <w:sz w:val="26"/>
                <w:szCs w:val="26"/>
              </w:rPr>
            </w:pPr>
          </w:p>
        </w:tc>
        <w:tc>
          <w:tcPr>
            <w:tcW w:w="1713" w:type="dxa"/>
          </w:tcPr>
          <w:p w:rsidR="009367D8" w:rsidRPr="00EC690C" w:rsidRDefault="009367D8" w:rsidP="00E721E5">
            <w:pPr>
              <w:pStyle w:val="naisf"/>
              <w:spacing w:before="0" w:after="0"/>
              <w:ind w:firstLine="0"/>
              <w:rPr>
                <w:b/>
                <w:i/>
                <w:color w:val="000000"/>
                <w:sz w:val="26"/>
                <w:szCs w:val="26"/>
              </w:rPr>
            </w:pPr>
          </w:p>
        </w:tc>
        <w:tc>
          <w:tcPr>
            <w:tcW w:w="1123" w:type="dxa"/>
          </w:tcPr>
          <w:p w:rsidR="009367D8" w:rsidRPr="00EC690C" w:rsidRDefault="009367D8" w:rsidP="00E721E5">
            <w:pPr>
              <w:pStyle w:val="naisf"/>
              <w:spacing w:before="0" w:after="0"/>
              <w:ind w:firstLine="0"/>
              <w:rPr>
                <w:b/>
                <w:i/>
                <w:color w:val="000000"/>
                <w:sz w:val="26"/>
                <w:szCs w:val="26"/>
              </w:rPr>
            </w:pP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tcPr>
          <w:p w:rsidR="009367D8" w:rsidRPr="00EC690C" w:rsidRDefault="009367D8" w:rsidP="00E721E5">
            <w:pPr>
              <w:jc w:val="both"/>
              <w:rPr>
                <w:color w:val="000000"/>
                <w:sz w:val="26"/>
                <w:szCs w:val="26"/>
              </w:rPr>
            </w:pPr>
            <w:r w:rsidRPr="00EC690C">
              <w:rPr>
                <w:color w:val="000000"/>
                <w:sz w:val="26"/>
                <w:szCs w:val="26"/>
              </w:rPr>
              <w:t>3. Finansiālā ietekme:</w:t>
            </w:r>
          </w:p>
        </w:tc>
        <w:tc>
          <w:tcPr>
            <w:tcW w:w="1650" w:type="dxa"/>
            <w:gridSpan w:val="4"/>
            <w:vAlign w:val="center"/>
          </w:tcPr>
          <w:p w:rsidR="009367D8" w:rsidRPr="00EC690C" w:rsidRDefault="009367D8" w:rsidP="00E721E5">
            <w:pPr>
              <w:pStyle w:val="naisf"/>
              <w:spacing w:before="0" w:after="0"/>
              <w:ind w:firstLine="0"/>
              <w:jc w:val="center"/>
              <w:rPr>
                <w:color w:val="000000"/>
                <w:sz w:val="26"/>
                <w:szCs w:val="26"/>
              </w:rPr>
            </w:pPr>
          </w:p>
        </w:tc>
        <w:tc>
          <w:tcPr>
            <w:tcW w:w="1628" w:type="dxa"/>
          </w:tcPr>
          <w:p w:rsidR="009367D8" w:rsidRPr="00EC690C" w:rsidRDefault="009367D8" w:rsidP="00E721E5">
            <w:pPr>
              <w:pStyle w:val="naisf"/>
              <w:spacing w:before="0" w:after="0"/>
              <w:ind w:firstLine="0"/>
              <w:rPr>
                <w:b/>
                <w:i/>
                <w:color w:val="000000"/>
                <w:sz w:val="26"/>
                <w:szCs w:val="26"/>
              </w:rPr>
            </w:pPr>
            <w:r w:rsidRPr="00EC690C">
              <w:rPr>
                <w:color w:val="000000"/>
                <w:sz w:val="26"/>
                <w:szCs w:val="26"/>
              </w:rPr>
              <w:t>0</w:t>
            </w:r>
          </w:p>
        </w:tc>
        <w:tc>
          <w:tcPr>
            <w:tcW w:w="1713" w:type="dxa"/>
          </w:tcPr>
          <w:p w:rsidR="009367D8" w:rsidRPr="00EC690C" w:rsidRDefault="009367D8" w:rsidP="00E721E5">
            <w:pPr>
              <w:pStyle w:val="naisf"/>
              <w:spacing w:before="0" w:after="0"/>
              <w:ind w:firstLine="0"/>
              <w:rPr>
                <w:color w:val="000000"/>
                <w:sz w:val="26"/>
                <w:szCs w:val="26"/>
              </w:rPr>
            </w:pPr>
            <w:r w:rsidRPr="00EC690C">
              <w:rPr>
                <w:color w:val="000000"/>
                <w:sz w:val="26"/>
                <w:szCs w:val="26"/>
              </w:rPr>
              <w:t>0</w:t>
            </w:r>
          </w:p>
        </w:tc>
        <w:tc>
          <w:tcPr>
            <w:tcW w:w="1713" w:type="dxa"/>
          </w:tcPr>
          <w:p w:rsidR="009367D8" w:rsidRPr="00EC690C" w:rsidRDefault="009367D8" w:rsidP="00E721E5">
            <w:pPr>
              <w:pStyle w:val="naisf"/>
              <w:spacing w:before="0" w:after="0"/>
              <w:ind w:firstLine="0"/>
              <w:rPr>
                <w:color w:val="000000"/>
                <w:sz w:val="26"/>
                <w:szCs w:val="26"/>
              </w:rPr>
            </w:pPr>
            <w:r w:rsidRPr="00EC690C">
              <w:rPr>
                <w:color w:val="000000"/>
                <w:sz w:val="26"/>
                <w:szCs w:val="26"/>
              </w:rPr>
              <w:t>0</w:t>
            </w:r>
          </w:p>
        </w:tc>
        <w:tc>
          <w:tcPr>
            <w:tcW w:w="1123" w:type="dxa"/>
          </w:tcPr>
          <w:p w:rsidR="009367D8" w:rsidRPr="00EC690C" w:rsidRDefault="009367D8" w:rsidP="001F1B18">
            <w:pPr>
              <w:pStyle w:val="naisf"/>
              <w:spacing w:before="0" w:after="0"/>
              <w:ind w:firstLine="0"/>
              <w:jc w:val="center"/>
              <w:rPr>
                <w:color w:val="000000"/>
                <w:sz w:val="26"/>
                <w:szCs w:val="26"/>
              </w:rPr>
            </w:pPr>
            <w:r w:rsidRPr="00EC690C">
              <w:rPr>
                <w:color w:val="000000"/>
                <w:sz w:val="26"/>
                <w:szCs w:val="26"/>
              </w:rPr>
              <w:t>0</w:t>
            </w: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tcPr>
          <w:p w:rsidR="009367D8" w:rsidRPr="00EC690C" w:rsidRDefault="009367D8" w:rsidP="00E721E5">
            <w:pPr>
              <w:jc w:val="both"/>
              <w:rPr>
                <w:color w:val="000000"/>
                <w:sz w:val="26"/>
                <w:szCs w:val="26"/>
              </w:rPr>
            </w:pPr>
            <w:r w:rsidRPr="00EC690C">
              <w:rPr>
                <w:color w:val="000000"/>
                <w:sz w:val="26"/>
                <w:szCs w:val="26"/>
              </w:rPr>
              <w:t>3.1. valsts pamatbudžets</w:t>
            </w:r>
          </w:p>
        </w:tc>
        <w:tc>
          <w:tcPr>
            <w:tcW w:w="1650" w:type="dxa"/>
            <w:gridSpan w:val="4"/>
          </w:tcPr>
          <w:p w:rsidR="009367D8" w:rsidRPr="00EC690C" w:rsidRDefault="009367D8" w:rsidP="00E721E5">
            <w:pPr>
              <w:pStyle w:val="naisf"/>
              <w:spacing w:before="0" w:after="0"/>
              <w:ind w:firstLine="0"/>
              <w:rPr>
                <w:i/>
                <w:color w:val="000000"/>
                <w:sz w:val="26"/>
                <w:szCs w:val="26"/>
              </w:rPr>
            </w:pPr>
          </w:p>
        </w:tc>
        <w:tc>
          <w:tcPr>
            <w:tcW w:w="1628" w:type="dxa"/>
          </w:tcPr>
          <w:p w:rsidR="009367D8" w:rsidRPr="00EC690C" w:rsidRDefault="009367D8" w:rsidP="00E721E5">
            <w:pPr>
              <w:pStyle w:val="naisf"/>
              <w:spacing w:before="0" w:after="0"/>
              <w:ind w:firstLine="0"/>
              <w:rPr>
                <w:b/>
                <w:i/>
                <w:color w:val="000000"/>
                <w:sz w:val="26"/>
                <w:szCs w:val="26"/>
              </w:rPr>
            </w:pPr>
          </w:p>
        </w:tc>
        <w:tc>
          <w:tcPr>
            <w:tcW w:w="1713" w:type="dxa"/>
          </w:tcPr>
          <w:p w:rsidR="009367D8" w:rsidRPr="00EC690C" w:rsidRDefault="009367D8" w:rsidP="002900BB">
            <w:pPr>
              <w:pStyle w:val="naisf"/>
              <w:spacing w:before="0" w:after="0"/>
              <w:ind w:firstLine="0"/>
              <w:rPr>
                <w:color w:val="000000"/>
                <w:sz w:val="26"/>
                <w:szCs w:val="26"/>
              </w:rPr>
            </w:pPr>
            <w:r w:rsidRPr="00EC690C">
              <w:rPr>
                <w:color w:val="000000"/>
                <w:sz w:val="26"/>
                <w:szCs w:val="26"/>
              </w:rPr>
              <w:t>0</w:t>
            </w:r>
          </w:p>
        </w:tc>
        <w:tc>
          <w:tcPr>
            <w:tcW w:w="1713" w:type="dxa"/>
          </w:tcPr>
          <w:p w:rsidR="009367D8" w:rsidRPr="00EC690C" w:rsidRDefault="009367D8" w:rsidP="00E721E5">
            <w:pPr>
              <w:pStyle w:val="naisf"/>
              <w:spacing w:before="0" w:after="0"/>
              <w:ind w:firstLine="0"/>
              <w:rPr>
                <w:color w:val="000000"/>
                <w:sz w:val="26"/>
                <w:szCs w:val="26"/>
              </w:rPr>
            </w:pPr>
            <w:r w:rsidRPr="00EC690C">
              <w:rPr>
                <w:color w:val="000000"/>
                <w:sz w:val="26"/>
                <w:szCs w:val="26"/>
              </w:rPr>
              <w:t>0</w:t>
            </w:r>
          </w:p>
        </w:tc>
        <w:tc>
          <w:tcPr>
            <w:tcW w:w="1123" w:type="dxa"/>
          </w:tcPr>
          <w:p w:rsidR="009367D8" w:rsidRPr="00EC690C" w:rsidRDefault="009367D8" w:rsidP="00097800">
            <w:pPr>
              <w:pStyle w:val="naisf"/>
              <w:spacing w:before="0" w:after="0"/>
              <w:ind w:firstLine="0"/>
              <w:jc w:val="center"/>
              <w:rPr>
                <w:color w:val="000000"/>
                <w:sz w:val="26"/>
                <w:szCs w:val="26"/>
              </w:rPr>
            </w:pPr>
            <w:r w:rsidRPr="00EC690C">
              <w:rPr>
                <w:color w:val="000000"/>
                <w:sz w:val="26"/>
                <w:szCs w:val="26"/>
              </w:rPr>
              <w:t>0</w:t>
            </w: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tcPr>
          <w:p w:rsidR="009367D8" w:rsidRPr="00EC690C" w:rsidRDefault="009367D8" w:rsidP="00E721E5">
            <w:pPr>
              <w:jc w:val="both"/>
              <w:rPr>
                <w:color w:val="000000"/>
                <w:sz w:val="26"/>
                <w:szCs w:val="26"/>
              </w:rPr>
            </w:pPr>
            <w:r w:rsidRPr="00EC690C">
              <w:rPr>
                <w:color w:val="000000"/>
                <w:sz w:val="26"/>
                <w:szCs w:val="26"/>
              </w:rPr>
              <w:t>3.2. speciālais budžets</w:t>
            </w:r>
          </w:p>
        </w:tc>
        <w:tc>
          <w:tcPr>
            <w:tcW w:w="1650" w:type="dxa"/>
            <w:gridSpan w:val="4"/>
          </w:tcPr>
          <w:p w:rsidR="009367D8" w:rsidRPr="00EC690C" w:rsidRDefault="009367D8" w:rsidP="00E721E5">
            <w:pPr>
              <w:pStyle w:val="naisf"/>
              <w:spacing w:before="0" w:after="0"/>
              <w:ind w:firstLine="0"/>
              <w:rPr>
                <w:i/>
                <w:color w:val="000000"/>
                <w:sz w:val="26"/>
                <w:szCs w:val="26"/>
              </w:rPr>
            </w:pPr>
          </w:p>
        </w:tc>
        <w:tc>
          <w:tcPr>
            <w:tcW w:w="1628" w:type="dxa"/>
          </w:tcPr>
          <w:p w:rsidR="009367D8" w:rsidRPr="00EC690C" w:rsidRDefault="009367D8" w:rsidP="00E721E5">
            <w:pPr>
              <w:pStyle w:val="naisf"/>
              <w:spacing w:before="0" w:after="0"/>
              <w:ind w:firstLine="0"/>
              <w:rPr>
                <w:i/>
                <w:color w:val="000000"/>
                <w:sz w:val="26"/>
                <w:szCs w:val="26"/>
              </w:rPr>
            </w:pPr>
          </w:p>
        </w:tc>
        <w:tc>
          <w:tcPr>
            <w:tcW w:w="1713" w:type="dxa"/>
          </w:tcPr>
          <w:p w:rsidR="009367D8" w:rsidRPr="00EC690C" w:rsidRDefault="009367D8" w:rsidP="00E721E5">
            <w:pPr>
              <w:pStyle w:val="naisf"/>
              <w:spacing w:before="0" w:after="0"/>
              <w:ind w:firstLine="0"/>
              <w:rPr>
                <w:color w:val="000000"/>
                <w:sz w:val="26"/>
                <w:szCs w:val="26"/>
              </w:rPr>
            </w:pPr>
          </w:p>
        </w:tc>
        <w:tc>
          <w:tcPr>
            <w:tcW w:w="1713" w:type="dxa"/>
          </w:tcPr>
          <w:p w:rsidR="009367D8" w:rsidRPr="00EC690C" w:rsidRDefault="009367D8" w:rsidP="00E721E5">
            <w:pPr>
              <w:pStyle w:val="naisf"/>
              <w:spacing w:before="0" w:after="0"/>
              <w:ind w:firstLine="0"/>
              <w:rPr>
                <w:color w:val="000000"/>
                <w:sz w:val="26"/>
                <w:szCs w:val="26"/>
              </w:rPr>
            </w:pPr>
          </w:p>
        </w:tc>
        <w:tc>
          <w:tcPr>
            <w:tcW w:w="1123" w:type="dxa"/>
          </w:tcPr>
          <w:p w:rsidR="009367D8" w:rsidRPr="00EC690C" w:rsidRDefault="009367D8" w:rsidP="00097800">
            <w:pPr>
              <w:pStyle w:val="naisf"/>
              <w:spacing w:before="0" w:after="0"/>
              <w:ind w:firstLine="0"/>
              <w:jc w:val="center"/>
              <w:rPr>
                <w:color w:val="000000"/>
                <w:sz w:val="26"/>
                <w:szCs w:val="26"/>
              </w:rPr>
            </w:pP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tcPr>
          <w:p w:rsidR="009367D8" w:rsidRPr="00EC690C" w:rsidRDefault="009367D8" w:rsidP="00E721E5">
            <w:pPr>
              <w:jc w:val="both"/>
              <w:rPr>
                <w:color w:val="000000"/>
                <w:sz w:val="26"/>
                <w:szCs w:val="26"/>
              </w:rPr>
            </w:pPr>
            <w:r w:rsidRPr="00EC690C">
              <w:rPr>
                <w:color w:val="000000"/>
                <w:sz w:val="26"/>
                <w:szCs w:val="26"/>
              </w:rPr>
              <w:t xml:space="preserve">3.3. pašvaldību budžets </w:t>
            </w:r>
          </w:p>
        </w:tc>
        <w:tc>
          <w:tcPr>
            <w:tcW w:w="1650" w:type="dxa"/>
            <w:gridSpan w:val="4"/>
          </w:tcPr>
          <w:p w:rsidR="009367D8" w:rsidRPr="00EC690C" w:rsidRDefault="009367D8" w:rsidP="00E721E5">
            <w:pPr>
              <w:pStyle w:val="naisf"/>
              <w:spacing w:before="0" w:after="0"/>
              <w:ind w:firstLine="0"/>
              <w:rPr>
                <w:i/>
                <w:color w:val="000000"/>
                <w:sz w:val="26"/>
                <w:szCs w:val="26"/>
              </w:rPr>
            </w:pPr>
          </w:p>
        </w:tc>
        <w:tc>
          <w:tcPr>
            <w:tcW w:w="1628" w:type="dxa"/>
          </w:tcPr>
          <w:p w:rsidR="009367D8" w:rsidRPr="00EC690C" w:rsidRDefault="009367D8" w:rsidP="00E721E5">
            <w:pPr>
              <w:pStyle w:val="naisf"/>
              <w:spacing w:before="0" w:after="0"/>
              <w:ind w:firstLine="0"/>
              <w:rPr>
                <w:b/>
                <w:i/>
                <w:color w:val="000000"/>
                <w:sz w:val="26"/>
                <w:szCs w:val="26"/>
              </w:rPr>
            </w:pPr>
          </w:p>
        </w:tc>
        <w:tc>
          <w:tcPr>
            <w:tcW w:w="1713" w:type="dxa"/>
          </w:tcPr>
          <w:p w:rsidR="009367D8" w:rsidRPr="00EC690C" w:rsidRDefault="009367D8" w:rsidP="00E721E5">
            <w:pPr>
              <w:pStyle w:val="naisf"/>
              <w:spacing w:before="0" w:after="0"/>
              <w:ind w:firstLine="0"/>
              <w:rPr>
                <w:color w:val="000000"/>
                <w:sz w:val="26"/>
                <w:szCs w:val="26"/>
              </w:rPr>
            </w:pPr>
          </w:p>
        </w:tc>
        <w:tc>
          <w:tcPr>
            <w:tcW w:w="1713" w:type="dxa"/>
          </w:tcPr>
          <w:p w:rsidR="009367D8" w:rsidRPr="00EC690C" w:rsidRDefault="009367D8" w:rsidP="00E721E5">
            <w:pPr>
              <w:pStyle w:val="naisf"/>
              <w:spacing w:before="0" w:after="0"/>
              <w:ind w:firstLine="0"/>
              <w:rPr>
                <w:color w:val="000000"/>
                <w:sz w:val="26"/>
                <w:szCs w:val="26"/>
              </w:rPr>
            </w:pPr>
          </w:p>
        </w:tc>
        <w:tc>
          <w:tcPr>
            <w:tcW w:w="1123" w:type="dxa"/>
          </w:tcPr>
          <w:p w:rsidR="009367D8" w:rsidRPr="00EC690C" w:rsidRDefault="009367D8" w:rsidP="00097800">
            <w:pPr>
              <w:pStyle w:val="naisf"/>
              <w:spacing w:before="0" w:after="0"/>
              <w:ind w:firstLine="0"/>
              <w:jc w:val="center"/>
              <w:rPr>
                <w:color w:val="000000"/>
                <w:sz w:val="26"/>
                <w:szCs w:val="26"/>
              </w:rPr>
            </w:pP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vMerge w:val="restart"/>
          </w:tcPr>
          <w:p w:rsidR="009367D8" w:rsidRPr="00EC690C" w:rsidRDefault="009367D8" w:rsidP="00E721E5">
            <w:pPr>
              <w:jc w:val="both"/>
              <w:rPr>
                <w:color w:val="000000"/>
                <w:sz w:val="26"/>
                <w:szCs w:val="26"/>
              </w:rPr>
            </w:pPr>
            <w:r w:rsidRPr="00EC690C">
              <w:rPr>
                <w:color w:val="000000"/>
                <w:sz w:val="26"/>
                <w:szCs w:val="26"/>
              </w:rPr>
              <w:lastRenderedPageBreak/>
              <w:t>4. Finanšu līdzekļi papildu izde</w:t>
            </w:r>
            <w:r w:rsidRPr="00EC690C">
              <w:rPr>
                <w:color w:val="000000"/>
                <w:sz w:val="26"/>
                <w:szCs w:val="26"/>
              </w:rPr>
              <w:softHyphen/>
              <w:t>vumu finansēšanai (kompensējošu izdevumu samazinājumu norāda ar "+" zīmi)</w:t>
            </w:r>
          </w:p>
        </w:tc>
        <w:tc>
          <w:tcPr>
            <w:tcW w:w="1650" w:type="dxa"/>
            <w:gridSpan w:val="4"/>
            <w:vMerge w:val="restart"/>
          </w:tcPr>
          <w:p w:rsidR="009367D8" w:rsidRPr="00EC690C" w:rsidRDefault="009367D8" w:rsidP="00E721E5">
            <w:pPr>
              <w:pStyle w:val="naisf"/>
              <w:spacing w:before="0" w:after="0"/>
              <w:ind w:firstLine="0"/>
              <w:jc w:val="center"/>
              <w:rPr>
                <w:i/>
                <w:color w:val="000000"/>
                <w:sz w:val="26"/>
                <w:szCs w:val="26"/>
              </w:rPr>
            </w:pPr>
            <w:r w:rsidRPr="00EC690C">
              <w:rPr>
                <w:color w:val="000000"/>
                <w:sz w:val="26"/>
                <w:szCs w:val="26"/>
              </w:rPr>
              <w:t>X</w:t>
            </w:r>
          </w:p>
        </w:tc>
        <w:tc>
          <w:tcPr>
            <w:tcW w:w="1628" w:type="dxa"/>
          </w:tcPr>
          <w:p w:rsidR="009367D8" w:rsidRPr="00EC690C" w:rsidRDefault="009367D8" w:rsidP="00E721E5">
            <w:pPr>
              <w:pStyle w:val="naisf"/>
              <w:spacing w:before="0" w:after="0"/>
              <w:ind w:firstLine="0"/>
              <w:jc w:val="center"/>
              <w:rPr>
                <w:color w:val="000000"/>
                <w:sz w:val="26"/>
                <w:szCs w:val="26"/>
              </w:rPr>
            </w:pPr>
            <w:r w:rsidRPr="00EC690C">
              <w:rPr>
                <w:color w:val="000000"/>
                <w:sz w:val="26"/>
                <w:szCs w:val="26"/>
              </w:rPr>
              <w:t>0</w:t>
            </w:r>
          </w:p>
        </w:tc>
        <w:tc>
          <w:tcPr>
            <w:tcW w:w="1713" w:type="dxa"/>
          </w:tcPr>
          <w:p w:rsidR="009367D8" w:rsidRPr="00EC690C" w:rsidRDefault="009367D8" w:rsidP="00E721E5">
            <w:pPr>
              <w:pStyle w:val="naisf"/>
              <w:spacing w:before="0" w:after="0"/>
              <w:ind w:firstLine="0"/>
              <w:jc w:val="center"/>
              <w:rPr>
                <w:color w:val="000000"/>
                <w:sz w:val="26"/>
                <w:szCs w:val="26"/>
              </w:rPr>
            </w:pPr>
          </w:p>
        </w:tc>
        <w:tc>
          <w:tcPr>
            <w:tcW w:w="1713" w:type="dxa"/>
          </w:tcPr>
          <w:p w:rsidR="009367D8" w:rsidRPr="00EC690C" w:rsidRDefault="009367D8" w:rsidP="00E721E5">
            <w:pPr>
              <w:pStyle w:val="naisf"/>
              <w:spacing w:before="0" w:after="0"/>
              <w:ind w:firstLine="0"/>
              <w:jc w:val="center"/>
              <w:rPr>
                <w:color w:val="000000"/>
                <w:sz w:val="26"/>
                <w:szCs w:val="26"/>
              </w:rPr>
            </w:pPr>
          </w:p>
        </w:tc>
        <w:tc>
          <w:tcPr>
            <w:tcW w:w="1123" w:type="dxa"/>
          </w:tcPr>
          <w:p w:rsidR="009367D8" w:rsidRPr="00EC690C" w:rsidRDefault="009367D8" w:rsidP="00097800">
            <w:pPr>
              <w:pStyle w:val="naisf"/>
              <w:spacing w:before="0" w:after="0"/>
              <w:ind w:firstLine="0"/>
              <w:jc w:val="center"/>
              <w:rPr>
                <w:color w:val="000000"/>
                <w:sz w:val="26"/>
                <w:szCs w:val="26"/>
              </w:rPr>
            </w:pP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vMerge/>
          </w:tcPr>
          <w:p w:rsidR="009367D8" w:rsidRPr="00EC690C" w:rsidRDefault="009367D8" w:rsidP="00E721E5">
            <w:pPr>
              <w:jc w:val="both"/>
              <w:rPr>
                <w:color w:val="000000"/>
                <w:sz w:val="26"/>
                <w:szCs w:val="26"/>
              </w:rPr>
            </w:pPr>
          </w:p>
        </w:tc>
        <w:tc>
          <w:tcPr>
            <w:tcW w:w="1650" w:type="dxa"/>
            <w:gridSpan w:val="4"/>
            <w:vMerge/>
          </w:tcPr>
          <w:p w:rsidR="009367D8" w:rsidRPr="00EC690C" w:rsidRDefault="009367D8" w:rsidP="00E721E5">
            <w:pPr>
              <w:pStyle w:val="naisf"/>
              <w:spacing w:before="0" w:after="0"/>
              <w:ind w:firstLine="0"/>
              <w:jc w:val="center"/>
              <w:rPr>
                <w:i/>
                <w:color w:val="000000"/>
                <w:sz w:val="26"/>
                <w:szCs w:val="26"/>
              </w:rPr>
            </w:pPr>
          </w:p>
        </w:tc>
        <w:tc>
          <w:tcPr>
            <w:tcW w:w="1628" w:type="dxa"/>
          </w:tcPr>
          <w:p w:rsidR="009367D8" w:rsidRPr="00EC690C" w:rsidRDefault="009367D8" w:rsidP="00E721E5">
            <w:pPr>
              <w:pStyle w:val="naisf"/>
              <w:spacing w:before="0" w:after="0"/>
              <w:ind w:firstLine="0"/>
              <w:jc w:val="left"/>
              <w:rPr>
                <w:b/>
                <w:i/>
                <w:color w:val="000000"/>
                <w:sz w:val="26"/>
                <w:szCs w:val="26"/>
              </w:rPr>
            </w:pPr>
          </w:p>
        </w:tc>
        <w:tc>
          <w:tcPr>
            <w:tcW w:w="1713" w:type="dxa"/>
          </w:tcPr>
          <w:p w:rsidR="009367D8" w:rsidRPr="00EC690C" w:rsidRDefault="009367D8" w:rsidP="00E721E5">
            <w:pPr>
              <w:pStyle w:val="naisf"/>
              <w:spacing w:before="0" w:after="0"/>
              <w:ind w:firstLine="0"/>
              <w:jc w:val="left"/>
              <w:rPr>
                <w:b/>
                <w:i/>
                <w:color w:val="000000"/>
                <w:sz w:val="26"/>
                <w:szCs w:val="26"/>
              </w:rPr>
            </w:pPr>
          </w:p>
        </w:tc>
        <w:tc>
          <w:tcPr>
            <w:tcW w:w="1713" w:type="dxa"/>
          </w:tcPr>
          <w:p w:rsidR="009367D8" w:rsidRPr="00EC690C" w:rsidRDefault="009367D8" w:rsidP="00E721E5">
            <w:pPr>
              <w:pStyle w:val="naisf"/>
              <w:spacing w:before="0" w:after="0"/>
              <w:ind w:firstLine="0"/>
              <w:jc w:val="left"/>
              <w:rPr>
                <w:b/>
                <w:i/>
                <w:color w:val="000000"/>
                <w:sz w:val="26"/>
                <w:szCs w:val="26"/>
              </w:rPr>
            </w:pPr>
          </w:p>
        </w:tc>
        <w:tc>
          <w:tcPr>
            <w:tcW w:w="1123" w:type="dxa"/>
          </w:tcPr>
          <w:p w:rsidR="009367D8" w:rsidRPr="00EC690C" w:rsidRDefault="009367D8" w:rsidP="00097800">
            <w:pPr>
              <w:pStyle w:val="naisf"/>
              <w:spacing w:before="0" w:after="0"/>
              <w:ind w:firstLine="0"/>
              <w:jc w:val="center"/>
              <w:rPr>
                <w:color w:val="000000"/>
                <w:sz w:val="26"/>
                <w:szCs w:val="26"/>
              </w:rPr>
            </w:pP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vMerge/>
          </w:tcPr>
          <w:p w:rsidR="009367D8" w:rsidRPr="00EC690C" w:rsidRDefault="009367D8" w:rsidP="00E721E5">
            <w:pPr>
              <w:jc w:val="both"/>
              <w:rPr>
                <w:color w:val="000000"/>
                <w:sz w:val="26"/>
                <w:szCs w:val="26"/>
              </w:rPr>
            </w:pPr>
          </w:p>
        </w:tc>
        <w:tc>
          <w:tcPr>
            <w:tcW w:w="1650" w:type="dxa"/>
            <w:gridSpan w:val="4"/>
            <w:vMerge/>
          </w:tcPr>
          <w:p w:rsidR="009367D8" w:rsidRPr="00EC690C" w:rsidRDefault="009367D8" w:rsidP="00E721E5">
            <w:pPr>
              <w:pStyle w:val="naisf"/>
              <w:spacing w:before="0" w:after="0"/>
              <w:ind w:firstLine="0"/>
              <w:jc w:val="center"/>
              <w:rPr>
                <w:i/>
                <w:color w:val="000000"/>
                <w:sz w:val="26"/>
                <w:szCs w:val="26"/>
              </w:rPr>
            </w:pPr>
          </w:p>
        </w:tc>
        <w:tc>
          <w:tcPr>
            <w:tcW w:w="1628" w:type="dxa"/>
          </w:tcPr>
          <w:p w:rsidR="009367D8" w:rsidRPr="00EC690C" w:rsidRDefault="009367D8" w:rsidP="00E721E5">
            <w:pPr>
              <w:pStyle w:val="naisf"/>
              <w:spacing w:before="0" w:after="0"/>
              <w:ind w:firstLine="0"/>
              <w:jc w:val="left"/>
              <w:rPr>
                <w:b/>
                <w:i/>
                <w:color w:val="000000"/>
                <w:sz w:val="26"/>
                <w:szCs w:val="26"/>
              </w:rPr>
            </w:pPr>
          </w:p>
        </w:tc>
        <w:tc>
          <w:tcPr>
            <w:tcW w:w="1713" w:type="dxa"/>
          </w:tcPr>
          <w:p w:rsidR="009367D8" w:rsidRPr="00EC690C" w:rsidRDefault="009367D8" w:rsidP="00E721E5">
            <w:pPr>
              <w:pStyle w:val="naisf"/>
              <w:spacing w:before="0" w:after="0"/>
              <w:ind w:firstLine="0"/>
              <w:jc w:val="left"/>
              <w:rPr>
                <w:b/>
                <w:i/>
                <w:color w:val="000000"/>
                <w:sz w:val="26"/>
                <w:szCs w:val="26"/>
              </w:rPr>
            </w:pPr>
          </w:p>
        </w:tc>
        <w:tc>
          <w:tcPr>
            <w:tcW w:w="1713" w:type="dxa"/>
          </w:tcPr>
          <w:p w:rsidR="009367D8" w:rsidRPr="00EC690C" w:rsidRDefault="009367D8" w:rsidP="00E721E5">
            <w:pPr>
              <w:pStyle w:val="naisf"/>
              <w:spacing w:before="0" w:after="0"/>
              <w:ind w:firstLine="0"/>
              <w:jc w:val="left"/>
              <w:rPr>
                <w:b/>
                <w:i/>
                <w:color w:val="000000"/>
                <w:sz w:val="26"/>
                <w:szCs w:val="26"/>
              </w:rPr>
            </w:pPr>
          </w:p>
        </w:tc>
        <w:tc>
          <w:tcPr>
            <w:tcW w:w="1123" w:type="dxa"/>
          </w:tcPr>
          <w:p w:rsidR="009367D8" w:rsidRPr="00EC690C" w:rsidRDefault="009367D8" w:rsidP="00097800">
            <w:pPr>
              <w:pStyle w:val="naisf"/>
              <w:spacing w:before="0" w:after="0"/>
              <w:ind w:firstLine="0"/>
              <w:jc w:val="center"/>
              <w:rPr>
                <w:color w:val="000000"/>
                <w:sz w:val="26"/>
                <w:szCs w:val="26"/>
              </w:rPr>
            </w:pP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tcPr>
          <w:p w:rsidR="009367D8" w:rsidRPr="00EC690C" w:rsidRDefault="009367D8" w:rsidP="00E721E5">
            <w:pPr>
              <w:jc w:val="both"/>
              <w:rPr>
                <w:color w:val="000000"/>
                <w:sz w:val="26"/>
                <w:szCs w:val="26"/>
              </w:rPr>
            </w:pPr>
            <w:r w:rsidRPr="00EC690C">
              <w:rPr>
                <w:color w:val="000000"/>
                <w:sz w:val="26"/>
                <w:szCs w:val="26"/>
              </w:rPr>
              <w:t>5. Precizēta finansiālā ietekme:</w:t>
            </w:r>
          </w:p>
        </w:tc>
        <w:tc>
          <w:tcPr>
            <w:tcW w:w="1650" w:type="dxa"/>
            <w:gridSpan w:val="4"/>
            <w:vMerge w:val="restart"/>
          </w:tcPr>
          <w:p w:rsidR="009367D8" w:rsidRPr="00EC690C" w:rsidRDefault="009367D8" w:rsidP="00E721E5">
            <w:pPr>
              <w:pStyle w:val="naisf"/>
              <w:spacing w:before="0" w:after="0"/>
              <w:ind w:firstLine="0"/>
              <w:jc w:val="center"/>
              <w:rPr>
                <w:i/>
                <w:color w:val="000000"/>
                <w:sz w:val="26"/>
                <w:szCs w:val="26"/>
              </w:rPr>
            </w:pPr>
            <w:r w:rsidRPr="00EC690C">
              <w:rPr>
                <w:color w:val="000000"/>
                <w:sz w:val="26"/>
                <w:szCs w:val="26"/>
              </w:rPr>
              <w:t>X</w:t>
            </w:r>
          </w:p>
        </w:tc>
        <w:tc>
          <w:tcPr>
            <w:tcW w:w="1628" w:type="dxa"/>
          </w:tcPr>
          <w:p w:rsidR="009367D8" w:rsidRPr="00EC690C" w:rsidRDefault="009367D8" w:rsidP="00E721E5">
            <w:pPr>
              <w:pStyle w:val="naisf"/>
              <w:spacing w:before="0" w:after="0"/>
              <w:ind w:firstLine="0"/>
              <w:jc w:val="center"/>
              <w:rPr>
                <w:color w:val="000000"/>
                <w:sz w:val="26"/>
                <w:szCs w:val="26"/>
              </w:rPr>
            </w:pPr>
            <w:r w:rsidRPr="00EC690C">
              <w:rPr>
                <w:color w:val="000000"/>
                <w:sz w:val="26"/>
                <w:szCs w:val="26"/>
              </w:rPr>
              <w:t>0</w:t>
            </w:r>
          </w:p>
        </w:tc>
        <w:tc>
          <w:tcPr>
            <w:tcW w:w="1713" w:type="dxa"/>
          </w:tcPr>
          <w:p w:rsidR="009367D8" w:rsidRPr="00EC690C" w:rsidRDefault="009367D8" w:rsidP="00E405F7">
            <w:pPr>
              <w:pStyle w:val="naisf"/>
              <w:spacing w:before="0" w:after="0"/>
              <w:ind w:firstLine="0"/>
              <w:rPr>
                <w:color w:val="000000"/>
                <w:sz w:val="26"/>
                <w:szCs w:val="26"/>
              </w:rPr>
            </w:pPr>
            <w:r w:rsidRPr="00EC690C">
              <w:rPr>
                <w:color w:val="000000"/>
                <w:sz w:val="26"/>
                <w:szCs w:val="26"/>
              </w:rPr>
              <w:t>0</w:t>
            </w:r>
          </w:p>
        </w:tc>
        <w:tc>
          <w:tcPr>
            <w:tcW w:w="1713" w:type="dxa"/>
          </w:tcPr>
          <w:p w:rsidR="009367D8" w:rsidRPr="00EC690C" w:rsidRDefault="009367D8" w:rsidP="00E405F7">
            <w:pPr>
              <w:pStyle w:val="naisf"/>
              <w:spacing w:before="0" w:after="0"/>
              <w:ind w:firstLine="0"/>
              <w:rPr>
                <w:color w:val="000000"/>
                <w:sz w:val="26"/>
                <w:szCs w:val="26"/>
              </w:rPr>
            </w:pPr>
            <w:r w:rsidRPr="00EC690C">
              <w:rPr>
                <w:color w:val="000000"/>
                <w:sz w:val="26"/>
                <w:szCs w:val="26"/>
              </w:rPr>
              <w:t>0</w:t>
            </w:r>
          </w:p>
        </w:tc>
        <w:tc>
          <w:tcPr>
            <w:tcW w:w="1123" w:type="dxa"/>
          </w:tcPr>
          <w:p w:rsidR="009367D8" w:rsidRPr="00EC690C" w:rsidRDefault="009367D8" w:rsidP="001F1B18">
            <w:pPr>
              <w:pStyle w:val="naisf"/>
              <w:spacing w:before="0" w:after="0"/>
              <w:ind w:firstLine="0"/>
              <w:jc w:val="center"/>
              <w:rPr>
                <w:color w:val="000000"/>
                <w:sz w:val="26"/>
                <w:szCs w:val="26"/>
              </w:rPr>
            </w:pPr>
            <w:r w:rsidRPr="00EC690C">
              <w:rPr>
                <w:color w:val="000000"/>
                <w:sz w:val="26"/>
                <w:szCs w:val="26"/>
              </w:rPr>
              <w:t>0</w:t>
            </w: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tcPr>
          <w:p w:rsidR="009367D8" w:rsidRPr="00EC690C" w:rsidRDefault="009367D8" w:rsidP="00E721E5">
            <w:pPr>
              <w:jc w:val="both"/>
              <w:rPr>
                <w:color w:val="000000"/>
                <w:sz w:val="26"/>
                <w:szCs w:val="26"/>
              </w:rPr>
            </w:pPr>
            <w:r w:rsidRPr="00EC690C">
              <w:rPr>
                <w:color w:val="000000"/>
                <w:sz w:val="26"/>
                <w:szCs w:val="26"/>
              </w:rPr>
              <w:t>5.1. valsts pamatbudžets</w:t>
            </w:r>
          </w:p>
        </w:tc>
        <w:tc>
          <w:tcPr>
            <w:tcW w:w="1650" w:type="dxa"/>
            <w:gridSpan w:val="4"/>
            <w:vMerge/>
            <w:vAlign w:val="center"/>
          </w:tcPr>
          <w:p w:rsidR="009367D8" w:rsidRPr="00EC690C" w:rsidRDefault="009367D8" w:rsidP="00E721E5">
            <w:pPr>
              <w:pStyle w:val="naisf"/>
              <w:spacing w:before="0" w:after="0"/>
              <w:ind w:firstLine="0"/>
              <w:jc w:val="center"/>
              <w:rPr>
                <w:i/>
                <w:color w:val="000000"/>
                <w:sz w:val="26"/>
                <w:szCs w:val="26"/>
              </w:rPr>
            </w:pPr>
          </w:p>
        </w:tc>
        <w:tc>
          <w:tcPr>
            <w:tcW w:w="1628" w:type="dxa"/>
          </w:tcPr>
          <w:p w:rsidR="009367D8" w:rsidRPr="00EC690C" w:rsidRDefault="009367D8" w:rsidP="009652EF">
            <w:pPr>
              <w:pStyle w:val="naisf"/>
              <w:spacing w:before="0" w:after="0"/>
              <w:ind w:firstLine="0"/>
              <w:jc w:val="center"/>
              <w:rPr>
                <w:color w:val="000000"/>
                <w:sz w:val="26"/>
                <w:szCs w:val="26"/>
              </w:rPr>
            </w:pPr>
            <w:r w:rsidRPr="00EC690C">
              <w:rPr>
                <w:color w:val="000000"/>
                <w:sz w:val="26"/>
                <w:szCs w:val="26"/>
              </w:rPr>
              <w:t>0</w:t>
            </w:r>
          </w:p>
        </w:tc>
        <w:tc>
          <w:tcPr>
            <w:tcW w:w="1713" w:type="dxa"/>
          </w:tcPr>
          <w:p w:rsidR="009367D8" w:rsidRPr="00EC690C" w:rsidRDefault="009367D8" w:rsidP="00E405F7">
            <w:pPr>
              <w:pStyle w:val="naisf"/>
              <w:spacing w:before="0" w:after="0"/>
              <w:ind w:firstLine="0"/>
              <w:rPr>
                <w:color w:val="000000"/>
                <w:sz w:val="26"/>
                <w:szCs w:val="26"/>
              </w:rPr>
            </w:pPr>
            <w:r w:rsidRPr="00EC690C">
              <w:rPr>
                <w:color w:val="000000"/>
                <w:sz w:val="26"/>
                <w:szCs w:val="26"/>
              </w:rPr>
              <w:t>0</w:t>
            </w:r>
          </w:p>
        </w:tc>
        <w:tc>
          <w:tcPr>
            <w:tcW w:w="1713" w:type="dxa"/>
          </w:tcPr>
          <w:p w:rsidR="009367D8" w:rsidRPr="00EC690C" w:rsidRDefault="009367D8" w:rsidP="00E405F7">
            <w:pPr>
              <w:pStyle w:val="naisf"/>
              <w:spacing w:before="0" w:after="0"/>
              <w:ind w:firstLine="0"/>
              <w:rPr>
                <w:color w:val="000000"/>
                <w:sz w:val="26"/>
                <w:szCs w:val="26"/>
              </w:rPr>
            </w:pPr>
            <w:r w:rsidRPr="00EC690C">
              <w:rPr>
                <w:color w:val="000000"/>
                <w:sz w:val="26"/>
                <w:szCs w:val="26"/>
              </w:rPr>
              <w:t>0</w:t>
            </w:r>
          </w:p>
        </w:tc>
        <w:tc>
          <w:tcPr>
            <w:tcW w:w="1123" w:type="dxa"/>
          </w:tcPr>
          <w:p w:rsidR="009367D8" w:rsidRPr="00EC690C" w:rsidRDefault="009367D8" w:rsidP="00E405F7">
            <w:pPr>
              <w:pStyle w:val="naisf"/>
              <w:spacing w:before="0" w:after="0"/>
              <w:ind w:firstLine="0"/>
              <w:jc w:val="center"/>
              <w:rPr>
                <w:color w:val="000000"/>
                <w:sz w:val="26"/>
                <w:szCs w:val="26"/>
              </w:rPr>
            </w:pPr>
            <w:r w:rsidRPr="00EC690C">
              <w:rPr>
                <w:color w:val="000000"/>
                <w:sz w:val="26"/>
                <w:szCs w:val="26"/>
              </w:rPr>
              <w:t>0</w:t>
            </w: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tcPr>
          <w:p w:rsidR="009367D8" w:rsidRPr="00EC690C" w:rsidRDefault="009367D8" w:rsidP="00E721E5">
            <w:pPr>
              <w:jc w:val="both"/>
              <w:rPr>
                <w:color w:val="000000"/>
                <w:sz w:val="26"/>
                <w:szCs w:val="26"/>
              </w:rPr>
            </w:pPr>
            <w:r w:rsidRPr="00EC690C">
              <w:rPr>
                <w:color w:val="000000"/>
                <w:sz w:val="26"/>
                <w:szCs w:val="26"/>
              </w:rPr>
              <w:t>5.2. speciālais budžets</w:t>
            </w:r>
          </w:p>
        </w:tc>
        <w:tc>
          <w:tcPr>
            <w:tcW w:w="1650" w:type="dxa"/>
            <w:gridSpan w:val="4"/>
            <w:vMerge/>
            <w:vAlign w:val="center"/>
          </w:tcPr>
          <w:p w:rsidR="009367D8" w:rsidRPr="00EC690C" w:rsidRDefault="009367D8" w:rsidP="00E721E5">
            <w:pPr>
              <w:pStyle w:val="naisf"/>
              <w:spacing w:before="0" w:after="0"/>
              <w:ind w:firstLine="0"/>
              <w:jc w:val="center"/>
              <w:rPr>
                <w:i/>
                <w:color w:val="000000"/>
                <w:sz w:val="26"/>
                <w:szCs w:val="26"/>
              </w:rPr>
            </w:pPr>
          </w:p>
        </w:tc>
        <w:tc>
          <w:tcPr>
            <w:tcW w:w="1628" w:type="dxa"/>
          </w:tcPr>
          <w:p w:rsidR="009367D8" w:rsidRPr="00EC690C" w:rsidRDefault="009367D8" w:rsidP="009652EF">
            <w:pPr>
              <w:pStyle w:val="naisf"/>
              <w:spacing w:before="0" w:after="0"/>
              <w:ind w:firstLine="0"/>
              <w:jc w:val="center"/>
              <w:rPr>
                <w:color w:val="000000"/>
                <w:sz w:val="26"/>
                <w:szCs w:val="26"/>
              </w:rPr>
            </w:pPr>
          </w:p>
        </w:tc>
        <w:tc>
          <w:tcPr>
            <w:tcW w:w="1713" w:type="dxa"/>
          </w:tcPr>
          <w:p w:rsidR="009367D8" w:rsidRPr="00EC690C" w:rsidRDefault="009367D8" w:rsidP="00E405F7">
            <w:pPr>
              <w:pStyle w:val="naisf"/>
              <w:spacing w:before="0" w:after="0"/>
              <w:ind w:firstLine="0"/>
              <w:rPr>
                <w:color w:val="000000"/>
                <w:sz w:val="26"/>
                <w:szCs w:val="26"/>
              </w:rPr>
            </w:pPr>
          </w:p>
        </w:tc>
        <w:tc>
          <w:tcPr>
            <w:tcW w:w="1713" w:type="dxa"/>
          </w:tcPr>
          <w:p w:rsidR="009367D8" w:rsidRPr="00EC690C" w:rsidRDefault="009367D8" w:rsidP="00E405F7">
            <w:pPr>
              <w:pStyle w:val="naisf"/>
              <w:spacing w:before="0" w:after="0"/>
              <w:ind w:firstLine="0"/>
              <w:rPr>
                <w:color w:val="000000"/>
                <w:sz w:val="26"/>
                <w:szCs w:val="26"/>
              </w:rPr>
            </w:pPr>
          </w:p>
        </w:tc>
        <w:tc>
          <w:tcPr>
            <w:tcW w:w="1123" w:type="dxa"/>
          </w:tcPr>
          <w:p w:rsidR="009367D8" w:rsidRPr="00EC690C" w:rsidRDefault="009367D8" w:rsidP="00E405F7">
            <w:pPr>
              <w:pStyle w:val="naisf"/>
              <w:spacing w:before="0" w:after="0"/>
              <w:ind w:firstLine="0"/>
              <w:jc w:val="center"/>
              <w:rPr>
                <w:color w:val="000000"/>
                <w:sz w:val="26"/>
                <w:szCs w:val="26"/>
              </w:rPr>
            </w:pP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tcPr>
          <w:p w:rsidR="009367D8" w:rsidRPr="00EC690C" w:rsidRDefault="009367D8" w:rsidP="00E721E5">
            <w:pPr>
              <w:jc w:val="both"/>
              <w:rPr>
                <w:color w:val="000000"/>
                <w:sz w:val="26"/>
                <w:szCs w:val="26"/>
              </w:rPr>
            </w:pPr>
            <w:r w:rsidRPr="00EC690C">
              <w:rPr>
                <w:color w:val="000000"/>
                <w:sz w:val="26"/>
                <w:szCs w:val="26"/>
              </w:rPr>
              <w:t xml:space="preserve">5.3. pašvaldību budžets </w:t>
            </w:r>
          </w:p>
        </w:tc>
        <w:tc>
          <w:tcPr>
            <w:tcW w:w="1650" w:type="dxa"/>
            <w:gridSpan w:val="4"/>
            <w:vMerge/>
            <w:vAlign w:val="center"/>
          </w:tcPr>
          <w:p w:rsidR="009367D8" w:rsidRPr="00EC690C" w:rsidRDefault="009367D8" w:rsidP="00E721E5">
            <w:pPr>
              <w:pStyle w:val="naisf"/>
              <w:spacing w:before="0" w:after="0"/>
              <w:ind w:firstLine="0"/>
              <w:jc w:val="center"/>
              <w:rPr>
                <w:i/>
                <w:color w:val="000000"/>
                <w:sz w:val="26"/>
                <w:szCs w:val="26"/>
              </w:rPr>
            </w:pPr>
          </w:p>
        </w:tc>
        <w:tc>
          <w:tcPr>
            <w:tcW w:w="1628" w:type="dxa"/>
          </w:tcPr>
          <w:p w:rsidR="009367D8" w:rsidRPr="00EC690C" w:rsidRDefault="009367D8" w:rsidP="009652EF">
            <w:pPr>
              <w:pStyle w:val="naisf"/>
              <w:spacing w:before="0" w:after="0"/>
              <w:ind w:firstLine="0"/>
              <w:jc w:val="center"/>
              <w:rPr>
                <w:color w:val="000000"/>
                <w:sz w:val="26"/>
                <w:szCs w:val="26"/>
              </w:rPr>
            </w:pPr>
          </w:p>
        </w:tc>
        <w:tc>
          <w:tcPr>
            <w:tcW w:w="1713" w:type="dxa"/>
          </w:tcPr>
          <w:p w:rsidR="009367D8" w:rsidRPr="00EC690C" w:rsidRDefault="009367D8" w:rsidP="00E405F7">
            <w:pPr>
              <w:pStyle w:val="naisf"/>
              <w:spacing w:before="0" w:after="0"/>
              <w:ind w:firstLine="0"/>
              <w:rPr>
                <w:color w:val="000000"/>
                <w:sz w:val="26"/>
                <w:szCs w:val="26"/>
              </w:rPr>
            </w:pPr>
          </w:p>
        </w:tc>
        <w:tc>
          <w:tcPr>
            <w:tcW w:w="1713" w:type="dxa"/>
          </w:tcPr>
          <w:p w:rsidR="009367D8" w:rsidRPr="00EC690C" w:rsidRDefault="009367D8" w:rsidP="00E405F7">
            <w:pPr>
              <w:pStyle w:val="naisf"/>
              <w:spacing w:before="0" w:after="0"/>
              <w:ind w:firstLine="0"/>
              <w:rPr>
                <w:color w:val="000000"/>
                <w:sz w:val="26"/>
                <w:szCs w:val="26"/>
              </w:rPr>
            </w:pPr>
          </w:p>
        </w:tc>
        <w:tc>
          <w:tcPr>
            <w:tcW w:w="1123" w:type="dxa"/>
          </w:tcPr>
          <w:p w:rsidR="009367D8" w:rsidRPr="00EC690C" w:rsidRDefault="009367D8" w:rsidP="00E405F7">
            <w:pPr>
              <w:pStyle w:val="naisf"/>
              <w:spacing w:before="0" w:after="0"/>
              <w:ind w:firstLine="0"/>
              <w:jc w:val="center"/>
              <w:rPr>
                <w:color w:val="000000"/>
                <w:sz w:val="26"/>
                <w:szCs w:val="26"/>
              </w:rPr>
            </w:pP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tcPr>
          <w:p w:rsidR="009367D8" w:rsidRPr="00EC690C" w:rsidRDefault="009367D8" w:rsidP="00E721E5">
            <w:pPr>
              <w:jc w:val="both"/>
              <w:rPr>
                <w:color w:val="000000"/>
                <w:sz w:val="26"/>
                <w:szCs w:val="26"/>
              </w:rPr>
            </w:pPr>
            <w:r w:rsidRPr="00EC690C">
              <w:rPr>
                <w:color w:val="000000"/>
                <w:sz w:val="26"/>
                <w:szCs w:val="26"/>
              </w:rPr>
              <w:t>6. Detalizēts ieņēmumu un izdevu</w:t>
            </w:r>
            <w:r w:rsidRPr="00EC690C">
              <w:rPr>
                <w:color w:val="000000"/>
                <w:sz w:val="26"/>
                <w:szCs w:val="26"/>
              </w:rPr>
              <w:softHyphen/>
              <w:t>mu aprēķins (ja nepieciešams, detalizētu ieņēmumu un izdevumu aprēķinu var pievienot anotācijas pielikumā):</w:t>
            </w:r>
          </w:p>
          <w:p w:rsidR="009367D8" w:rsidRPr="00EC690C" w:rsidRDefault="009367D8" w:rsidP="00E721E5">
            <w:pPr>
              <w:jc w:val="both"/>
              <w:rPr>
                <w:sz w:val="26"/>
                <w:szCs w:val="26"/>
              </w:rPr>
            </w:pPr>
            <w:r w:rsidRPr="00EC690C">
              <w:rPr>
                <w:sz w:val="26"/>
                <w:szCs w:val="26"/>
              </w:rPr>
              <w:t>6.1. detalizēts ieņēmumu aprēķins</w:t>
            </w:r>
          </w:p>
          <w:p w:rsidR="009367D8" w:rsidRPr="00EC690C" w:rsidRDefault="009367D8" w:rsidP="00E721E5">
            <w:pPr>
              <w:jc w:val="both"/>
              <w:rPr>
                <w:color w:val="000000"/>
                <w:sz w:val="26"/>
                <w:szCs w:val="26"/>
              </w:rPr>
            </w:pPr>
            <w:r w:rsidRPr="00EC690C">
              <w:t>6.2. detalizēts izdevumu aprēķins</w:t>
            </w:r>
          </w:p>
        </w:tc>
        <w:tc>
          <w:tcPr>
            <w:tcW w:w="7827" w:type="dxa"/>
            <w:gridSpan w:val="8"/>
          </w:tcPr>
          <w:p w:rsidR="009367D8" w:rsidRPr="00EC690C" w:rsidRDefault="009367D8" w:rsidP="008B57DA">
            <w:pPr>
              <w:jc w:val="both"/>
              <w:rPr>
                <w:sz w:val="26"/>
                <w:szCs w:val="26"/>
                <w:highlight w:val="yellow"/>
                <w:u w:val="single"/>
              </w:rPr>
            </w:pPr>
            <w:r w:rsidRPr="00EC690C">
              <w:rPr>
                <w:sz w:val="26"/>
                <w:szCs w:val="26"/>
                <w:u w:val="single"/>
              </w:rPr>
              <w:t>6.1. detalizēts ieņēmumu aprēķins:</w:t>
            </w:r>
          </w:p>
          <w:tbl>
            <w:tblPr>
              <w:tblW w:w="8320" w:type="dxa"/>
              <w:tblLayout w:type="fixed"/>
              <w:tblLook w:val="00A0" w:firstRow="1" w:lastRow="0" w:firstColumn="1" w:lastColumn="0" w:noHBand="0" w:noVBand="0"/>
            </w:tblPr>
            <w:tblGrid>
              <w:gridCol w:w="8320"/>
            </w:tblGrid>
            <w:tr w:rsidR="009367D8" w:rsidRPr="00EC690C" w:rsidTr="006A6081">
              <w:trPr>
                <w:trHeight w:val="690"/>
              </w:trPr>
              <w:tc>
                <w:tcPr>
                  <w:tcW w:w="8320" w:type="dxa"/>
                  <w:vAlign w:val="center"/>
                </w:tcPr>
                <w:p w:rsidR="009367D8" w:rsidRPr="00EC690C" w:rsidRDefault="009367D8" w:rsidP="001913FD">
                  <w:pPr>
                    <w:rPr>
                      <w:bCs/>
                      <w:sz w:val="20"/>
                      <w:szCs w:val="20"/>
                      <w:lang w:eastAsia="lv-LV"/>
                    </w:rPr>
                  </w:pPr>
                  <w:r w:rsidRPr="00EC690C">
                    <w:t>6.1.1.Plānotie papildu budžeta ieņēmumi 2014.gadā – kopā</w:t>
                  </w:r>
                  <w:r w:rsidRPr="00EC690C">
                    <w:rPr>
                      <w:b/>
                    </w:rPr>
                    <w:t xml:space="preserve"> </w:t>
                  </w:r>
                  <w:r w:rsidRPr="00EC690C">
                    <w:t>1 713 231 EUR</w:t>
                  </w:r>
                </w:p>
              </w:tc>
            </w:tr>
            <w:tr w:rsidR="009367D8" w:rsidRPr="00EC690C" w:rsidTr="006A6081">
              <w:trPr>
                <w:trHeight w:val="390"/>
              </w:trPr>
              <w:tc>
                <w:tcPr>
                  <w:tcW w:w="8320" w:type="dxa"/>
                  <w:vAlign w:val="bottom"/>
                </w:tcPr>
                <w:p w:rsidR="009367D8" w:rsidRPr="00EC690C" w:rsidRDefault="009367D8" w:rsidP="00A3535F">
                  <w:pPr>
                    <w:rPr>
                      <w:bCs/>
                      <w:sz w:val="26"/>
                      <w:szCs w:val="26"/>
                      <w:lang w:eastAsia="lv-LV"/>
                    </w:rPr>
                  </w:pPr>
                  <w:r w:rsidRPr="00EC690C">
                    <w:rPr>
                      <w:bCs/>
                      <w:sz w:val="26"/>
                      <w:szCs w:val="26"/>
                      <w:lang w:eastAsia="lv-LV"/>
                    </w:rPr>
                    <w:t>Tajā skaitā:</w:t>
                  </w:r>
                </w:p>
              </w:tc>
            </w:tr>
            <w:tr w:rsidR="009367D8" w:rsidRPr="00EC690C" w:rsidTr="006A6081">
              <w:trPr>
                <w:trHeight w:val="390"/>
              </w:trPr>
              <w:tc>
                <w:tcPr>
                  <w:tcW w:w="8320" w:type="dxa"/>
                  <w:vAlign w:val="bottom"/>
                </w:tcPr>
                <w:p w:rsidR="009367D8" w:rsidRPr="00EC690C" w:rsidRDefault="009367D8" w:rsidP="001913FD">
                  <w:pPr>
                    <w:rPr>
                      <w:bCs/>
                      <w:sz w:val="26"/>
                      <w:szCs w:val="26"/>
                      <w:lang w:eastAsia="lv-LV"/>
                    </w:rPr>
                  </w:pPr>
                  <w:r w:rsidRPr="00EC690C">
                    <w:rPr>
                      <w:bCs/>
                      <w:sz w:val="26"/>
                      <w:szCs w:val="26"/>
                      <w:lang w:eastAsia="lv-LV"/>
                    </w:rPr>
                    <w:t>1. Iedzīvotāju ienākuma nodoklis (24%) – kopā - 662 232</w:t>
                  </w:r>
                  <w:r w:rsidRPr="00EC690C">
                    <w:t xml:space="preserve"> EUR</w:t>
                  </w:r>
                </w:p>
              </w:tc>
            </w:tr>
            <w:tr w:rsidR="009367D8" w:rsidRPr="00EC690C" w:rsidTr="006A6081">
              <w:trPr>
                <w:trHeight w:val="390"/>
              </w:trPr>
              <w:tc>
                <w:tcPr>
                  <w:tcW w:w="8320" w:type="dxa"/>
                  <w:vAlign w:val="bottom"/>
                </w:tcPr>
                <w:p w:rsidR="009367D8" w:rsidRPr="00EC690C" w:rsidRDefault="009367D8" w:rsidP="001913FD">
                  <w:pPr>
                    <w:rPr>
                      <w:bCs/>
                      <w:sz w:val="26"/>
                      <w:szCs w:val="26"/>
                      <w:lang w:eastAsia="lv-LV"/>
                    </w:rPr>
                  </w:pPr>
                  <w:r w:rsidRPr="00EC690C">
                    <w:rPr>
                      <w:bCs/>
                      <w:sz w:val="26"/>
                      <w:szCs w:val="26"/>
                      <w:lang w:eastAsia="lv-LV"/>
                    </w:rPr>
                    <w:t>1.1.valsts pamatbudžets (20%)                              - 132 446</w:t>
                  </w:r>
                  <w:r w:rsidRPr="00EC690C">
                    <w:t xml:space="preserve"> EUR</w:t>
                  </w:r>
                </w:p>
              </w:tc>
            </w:tr>
            <w:tr w:rsidR="009367D8" w:rsidRPr="00EC690C" w:rsidTr="006A6081">
              <w:trPr>
                <w:trHeight w:val="390"/>
              </w:trPr>
              <w:tc>
                <w:tcPr>
                  <w:tcW w:w="8320" w:type="dxa"/>
                  <w:vAlign w:val="bottom"/>
                </w:tcPr>
                <w:p w:rsidR="009367D8" w:rsidRPr="00EC690C" w:rsidRDefault="009367D8" w:rsidP="001913FD">
                  <w:pPr>
                    <w:rPr>
                      <w:bCs/>
                      <w:sz w:val="26"/>
                      <w:szCs w:val="26"/>
                      <w:lang w:eastAsia="lv-LV"/>
                    </w:rPr>
                  </w:pPr>
                  <w:r w:rsidRPr="00EC690C">
                    <w:rPr>
                      <w:bCs/>
                      <w:sz w:val="26"/>
                      <w:szCs w:val="26"/>
                      <w:lang w:eastAsia="lv-LV"/>
                    </w:rPr>
                    <w:t>1.2.pašvaldības budžets (80%)                              - 529 786</w:t>
                  </w:r>
                  <w:r w:rsidRPr="00EC690C">
                    <w:t xml:space="preserve"> EUR</w:t>
                  </w:r>
                </w:p>
              </w:tc>
            </w:tr>
            <w:tr w:rsidR="009367D8" w:rsidRPr="00EC690C" w:rsidTr="006A6081">
              <w:trPr>
                <w:trHeight w:val="390"/>
              </w:trPr>
              <w:tc>
                <w:tcPr>
                  <w:tcW w:w="8320" w:type="dxa"/>
                  <w:vAlign w:val="bottom"/>
                </w:tcPr>
                <w:p w:rsidR="009367D8" w:rsidRPr="00EC690C" w:rsidRDefault="009367D8" w:rsidP="001913FD">
                  <w:pPr>
                    <w:rPr>
                      <w:bCs/>
                      <w:sz w:val="26"/>
                      <w:szCs w:val="26"/>
                      <w:lang w:eastAsia="lv-LV"/>
                    </w:rPr>
                  </w:pPr>
                  <w:r w:rsidRPr="00EC690C">
                    <w:rPr>
                      <w:bCs/>
                      <w:sz w:val="26"/>
                      <w:szCs w:val="26"/>
                      <w:lang w:eastAsia="lv-LV"/>
                    </w:rPr>
                    <w:t>2.Speciālais budžets – kopā                                 - 1 050 999</w:t>
                  </w:r>
                  <w:r w:rsidRPr="00EC690C">
                    <w:t xml:space="preserve"> EUR</w:t>
                  </w:r>
                </w:p>
              </w:tc>
            </w:tr>
            <w:tr w:rsidR="009367D8" w:rsidRPr="00EC690C" w:rsidTr="006A6081">
              <w:trPr>
                <w:trHeight w:val="390"/>
              </w:trPr>
              <w:tc>
                <w:tcPr>
                  <w:tcW w:w="8320" w:type="dxa"/>
                  <w:vAlign w:val="bottom"/>
                </w:tcPr>
                <w:p w:rsidR="009367D8" w:rsidRPr="00EC690C" w:rsidRDefault="009367D8" w:rsidP="00A3535F">
                  <w:pPr>
                    <w:rPr>
                      <w:bCs/>
                      <w:sz w:val="26"/>
                      <w:szCs w:val="26"/>
                      <w:lang w:eastAsia="lv-LV"/>
                    </w:rPr>
                  </w:pPr>
                  <w:r w:rsidRPr="00EC690C">
                    <w:rPr>
                      <w:bCs/>
                      <w:sz w:val="26"/>
                      <w:szCs w:val="26"/>
                      <w:lang w:eastAsia="lv-LV"/>
                    </w:rPr>
                    <w:t>2.1. darba devēja valsts sociālās</w:t>
                  </w:r>
                </w:p>
                <w:p w:rsidR="009367D8" w:rsidRPr="00EC690C" w:rsidRDefault="009367D8" w:rsidP="001913FD">
                  <w:pPr>
                    <w:rPr>
                      <w:bCs/>
                      <w:sz w:val="26"/>
                      <w:szCs w:val="26"/>
                      <w:lang w:eastAsia="lv-LV"/>
                    </w:rPr>
                  </w:pPr>
                  <w:r w:rsidRPr="00EC690C">
                    <w:rPr>
                      <w:bCs/>
                      <w:sz w:val="26"/>
                      <w:szCs w:val="26"/>
                      <w:lang w:eastAsia="lv-LV"/>
                    </w:rPr>
                    <w:t xml:space="preserve"> apdrošināšanas obligātās iemaksas (23,59%)       - 727 283</w:t>
                  </w:r>
                  <w:r w:rsidRPr="00EC690C">
                    <w:t xml:space="preserve"> EUR</w:t>
                  </w:r>
                </w:p>
              </w:tc>
            </w:tr>
            <w:tr w:rsidR="009367D8" w:rsidRPr="00EC690C" w:rsidTr="006A6081">
              <w:trPr>
                <w:trHeight w:val="390"/>
              </w:trPr>
              <w:tc>
                <w:tcPr>
                  <w:tcW w:w="8320" w:type="dxa"/>
                  <w:vAlign w:val="bottom"/>
                </w:tcPr>
                <w:p w:rsidR="009367D8" w:rsidRPr="00EC690C" w:rsidRDefault="009367D8" w:rsidP="00A3535F">
                  <w:pPr>
                    <w:rPr>
                      <w:bCs/>
                      <w:sz w:val="26"/>
                      <w:szCs w:val="26"/>
                      <w:lang w:eastAsia="lv-LV"/>
                    </w:rPr>
                  </w:pPr>
                  <w:r w:rsidRPr="00EC690C">
                    <w:rPr>
                      <w:bCs/>
                      <w:sz w:val="26"/>
                      <w:szCs w:val="26"/>
                      <w:lang w:eastAsia="lv-LV"/>
                    </w:rPr>
                    <w:t>2.2.darba ņēmēja valsts sociālās apdrošināšanas</w:t>
                  </w:r>
                </w:p>
                <w:p w:rsidR="009367D8" w:rsidRPr="00EC690C" w:rsidRDefault="009367D8" w:rsidP="001913FD">
                  <w:pPr>
                    <w:rPr>
                      <w:bCs/>
                      <w:sz w:val="26"/>
                      <w:szCs w:val="26"/>
                      <w:lang w:eastAsia="lv-LV"/>
                    </w:rPr>
                  </w:pPr>
                  <w:r w:rsidRPr="00EC690C">
                    <w:rPr>
                      <w:bCs/>
                      <w:sz w:val="26"/>
                      <w:szCs w:val="26"/>
                      <w:lang w:eastAsia="lv-LV"/>
                    </w:rPr>
                    <w:t xml:space="preserve"> obligātās iemaksas (10,5%)                                    - 323 716</w:t>
                  </w:r>
                  <w:r w:rsidRPr="00EC690C">
                    <w:t xml:space="preserve"> EUR</w:t>
                  </w:r>
                </w:p>
              </w:tc>
            </w:tr>
            <w:tr w:rsidR="009367D8" w:rsidRPr="00EC690C" w:rsidTr="009D55EA">
              <w:trPr>
                <w:trHeight w:val="690"/>
              </w:trPr>
              <w:tc>
                <w:tcPr>
                  <w:tcW w:w="8320" w:type="dxa"/>
                  <w:vAlign w:val="center"/>
                </w:tcPr>
                <w:p w:rsidR="009367D8" w:rsidRPr="00EC690C" w:rsidRDefault="009367D8" w:rsidP="001913FD">
                  <w:pPr>
                    <w:rPr>
                      <w:bCs/>
                      <w:sz w:val="20"/>
                      <w:szCs w:val="20"/>
                      <w:lang w:eastAsia="lv-LV"/>
                    </w:rPr>
                  </w:pPr>
                  <w:r w:rsidRPr="00EC690C">
                    <w:t>6.1.2.Plānotie papildu budžeta ieņēmumi 2015.gadā – kopā</w:t>
                  </w:r>
                  <w:r w:rsidRPr="00EC690C">
                    <w:rPr>
                      <w:b/>
                    </w:rPr>
                    <w:t xml:space="preserve"> </w:t>
                  </w:r>
                  <w:r w:rsidRPr="00EC690C">
                    <w:t>1 685 638 EUR</w:t>
                  </w:r>
                </w:p>
              </w:tc>
            </w:tr>
            <w:tr w:rsidR="009367D8" w:rsidRPr="00EC690C" w:rsidTr="009D55EA">
              <w:trPr>
                <w:trHeight w:val="390"/>
              </w:trPr>
              <w:tc>
                <w:tcPr>
                  <w:tcW w:w="8320" w:type="dxa"/>
                  <w:vAlign w:val="bottom"/>
                </w:tcPr>
                <w:p w:rsidR="009367D8" w:rsidRPr="00EC690C" w:rsidRDefault="009367D8" w:rsidP="009D55EA">
                  <w:pPr>
                    <w:rPr>
                      <w:bCs/>
                      <w:sz w:val="26"/>
                      <w:szCs w:val="26"/>
                      <w:lang w:eastAsia="lv-LV"/>
                    </w:rPr>
                  </w:pPr>
                  <w:r w:rsidRPr="00EC690C">
                    <w:rPr>
                      <w:bCs/>
                      <w:sz w:val="26"/>
                      <w:szCs w:val="26"/>
                      <w:lang w:eastAsia="lv-LV"/>
                    </w:rPr>
                    <w:t>Tajā skaitā:</w:t>
                  </w:r>
                </w:p>
              </w:tc>
            </w:tr>
            <w:tr w:rsidR="009367D8" w:rsidRPr="00EC690C" w:rsidTr="009D55EA">
              <w:trPr>
                <w:trHeight w:val="390"/>
              </w:trPr>
              <w:tc>
                <w:tcPr>
                  <w:tcW w:w="8320" w:type="dxa"/>
                  <w:vAlign w:val="bottom"/>
                </w:tcPr>
                <w:p w:rsidR="009367D8" w:rsidRPr="00EC690C" w:rsidRDefault="009367D8" w:rsidP="001913FD">
                  <w:pPr>
                    <w:rPr>
                      <w:bCs/>
                      <w:sz w:val="26"/>
                      <w:szCs w:val="26"/>
                      <w:lang w:eastAsia="lv-LV"/>
                    </w:rPr>
                  </w:pPr>
                  <w:r w:rsidRPr="00EC690C">
                    <w:rPr>
                      <w:bCs/>
                      <w:sz w:val="26"/>
                      <w:szCs w:val="26"/>
                      <w:lang w:eastAsia="lv-LV"/>
                    </w:rPr>
                    <w:t>1. Iedzīvotāju ienākuma nodoklis (23%) – kopā - 634 639</w:t>
                  </w:r>
                  <w:r w:rsidRPr="00EC690C">
                    <w:t xml:space="preserve"> EUR</w:t>
                  </w:r>
                </w:p>
              </w:tc>
            </w:tr>
            <w:tr w:rsidR="009367D8" w:rsidRPr="00EC690C" w:rsidTr="009D55EA">
              <w:trPr>
                <w:trHeight w:val="390"/>
              </w:trPr>
              <w:tc>
                <w:tcPr>
                  <w:tcW w:w="8320" w:type="dxa"/>
                  <w:vAlign w:val="bottom"/>
                </w:tcPr>
                <w:p w:rsidR="009367D8" w:rsidRPr="00EC690C" w:rsidRDefault="009367D8" w:rsidP="001913FD">
                  <w:pPr>
                    <w:rPr>
                      <w:bCs/>
                      <w:sz w:val="26"/>
                      <w:szCs w:val="26"/>
                      <w:lang w:eastAsia="lv-LV"/>
                    </w:rPr>
                  </w:pPr>
                  <w:r w:rsidRPr="00EC690C">
                    <w:rPr>
                      <w:bCs/>
                      <w:sz w:val="26"/>
                      <w:szCs w:val="26"/>
                      <w:lang w:eastAsia="lv-LV"/>
                    </w:rPr>
                    <w:t>1.1.valsts pamatbudžets (20%)                              - 126 928</w:t>
                  </w:r>
                  <w:r w:rsidRPr="00EC690C">
                    <w:t xml:space="preserve"> EUR</w:t>
                  </w:r>
                </w:p>
              </w:tc>
            </w:tr>
            <w:tr w:rsidR="009367D8" w:rsidRPr="00EC690C" w:rsidTr="009D55EA">
              <w:trPr>
                <w:trHeight w:val="390"/>
              </w:trPr>
              <w:tc>
                <w:tcPr>
                  <w:tcW w:w="8320" w:type="dxa"/>
                  <w:vAlign w:val="bottom"/>
                </w:tcPr>
                <w:p w:rsidR="009367D8" w:rsidRPr="00EC690C" w:rsidRDefault="009367D8" w:rsidP="001913FD">
                  <w:pPr>
                    <w:rPr>
                      <w:bCs/>
                      <w:sz w:val="26"/>
                      <w:szCs w:val="26"/>
                      <w:lang w:eastAsia="lv-LV"/>
                    </w:rPr>
                  </w:pPr>
                  <w:r w:rsidRPr="00EC690C">
                    <w:rPr>
                      <w:bCs/>
                      <w:sz w:val="26"/>
                      <w:szCs w:val="26"/>
                      <w:lang w:eastAsia="lv-LV"/>
                    </w:rPr>
                    <w:t>1.2.pašvaldības budžets (80%)                              - 507 711</w:t>
                  </w:r>
                  <w:r w:rsidRPr="00EC690C">
                    <w:t xml:space="preserve"> EUR</w:t>
                  </w:r>
                </w:p>
              </w:tc>
            </w:tr>
            <w:tr w:rsidR="009367D8" w:rsidRPr="00EC690C" w:rsidTr="009D55EA">
              <w:trPr>
                <w:trHeight w:val="390"/>
              </w:trPr>
              <w:tc>
                <w:tcPr>
                  <w:tcW w:w="8320" w:type="dxa"/>
                  <w:vAlign w:val="bottom"/>
                </w:tcPr>
                <w:p w:rsidR="009367D8" w:rsidRPr="00EC690C" w:rsidRDefault="009367D8" w:rsidP="001913FD">
                  <w:pPr>
                    <w:rPr>
                      <w:bCs/>
                      <w:sz w:val="26"/>
                      <w:szCs w:val="26"/>
                      <w:lang w:eastAsia="lv-LV"/>
                    </w:rPr>
                  </w:pPr>
                  <w:r w:rsidRPr="00EC690C">
                    <w:rPr>
                      <w:bCs/>
                      <w:sz w:val="26"/>
                      <w:szCs w:val="26"/>
                      <w:lang w:eastAsia="lv-LV"/>
                    </w:rPr>
                    <w:t>2.Speciālais budžets – kopā                                 - 1 050 999</w:t>
                  </w:r>
                  <w:r w:rsidRPr="00EC690C">
                    <w:t xml:space="preserve"> EUR</w:t>
                  </w:r>
                </w:p>
              </w:tc>
            </w:tr>
            <w:tr w:rsidR="009367D8" w:rsidRPr="00EC690C" w:rsidTr="009D55EA">
              <w:trPr>
                <w:trHeight w:val="390"/>
              </w:trPr>
              <w:tc>
                <w:tcPr>
                  <w:tcW w:w="8320" w:type="dxa"/>
                  <w:vAlign w:val="bottom"/>
                </w:tcPr>
                <w:p w:rsidR="009367D8" w:rsidRPr="00EC690C" w:rsidRDefault="009367D8" w:rsidP="009D55EA">
                  <w:pPr>
                    <w:rPr>
                      <w:bCs/>
                      <w:sz w:val="26"/>
                      <w:szCs w:val="26"/>
                      <w:lang w:eastAsia="lv-LV"/>
                    </w:rPr>
                  </w:pPr>
                  <w:r w:rsidRPr="00EC690C">
                    <w:rPr>
                      <w:bCs/>
                      <w:sz w:val="26"/>
                      <w:szCs w:val="26"/>
                      <w:lang w:eastAsia="lv-LV"/>
                    </w:rPr>
                    <w:t>2.1. darba devēja valsts sociālās</w:t>
                  </w:r>
                </w:p>
                <w:p w:rsidR="009367D8" w:rsidRPr="00EC690C" w:rsidRDefault="009367D8" w:rsidP="001913FD">
                  <w:pPr>
                    <w:rPr>
                      <w:bCs/>
                      <w:sz w:val="26"/>
                      <w:szCs w:val="26"/>
                      <w:lang w:eastAsia="lv-LV"/>
                    </w:rPr>
                  </w:pPr>
                  <w:r w:rsidRPr="00EC690C">
                    <w:rPr>
                      <w:bCs/>
                      <w:sz w:val="26"/>
                      <w:szCs w:val="26"/>
                      <w:lang w:eastAsia="lv-LV"/>
                    </w:rPr>
                    <w:t xml:space="preserve"> apdrošināšanas obligātās iemaksas (23,59%)       - 727 283</w:t>
                  </w:r>
                  <w:r w:rsidRPr="00EC690C">
                    <w:t xml:space="preserve"> EUR</w:t>
                  </w:r>
                </w:p>
              </w:tc>
            </w:tr>
            <w:tr w:rsidR="009367D8" w:rsidRPr="00EC690C" w:rsidTr="009D55EA">
              <w:trPr>
                <w:trHeight w:val="390"/>
              </w:trPr>
              <w:tc>
                <w:tcPr>
                  <w:tcW w:w="8320" w:type="dxa"/>
                  <w:vAlign w:val="bottom"/>
                </w:tcPr>
                <w:p w:rsidR="009367D8" w:rsidRPr="00EC690C" w:rsidRDefault="009367D8" w:rsidP="009D55EA">
                  <w:pPr>
                    <w:rPr>
                      <w:bCs/>
                      <w:sz w:val="26"/>
                      <w:szCs w:val="26"/>
                      <w:lang w:eastAsia="lv-LV"/>
                    </w:rPr>
                  </w:pPr>
                  <w:r w:rsidRPr="00EC690C">
                    <w:rPr>
                      <w:bCs/>
                      <w:sz w:val="26"/>
                      <w:szCs w:val="26"/>
                      <w:lang w:eastAsia="lv-LV"/>
                    </w:rPr>
                    <w:t>2.2.darba ņēmēja valsts sociālās apdrošināšanas</w:t>
                  </w:r>
                </w:p>
                <w:p w:rsidR="009367D8" w:rsidRPr="00EC690C" w:rsidRDefault="009367D8" w:rsidP="001913FD">
                  <w:pPr>
                    <w:rPr>
                      <w:bCs/>
                      <w:sz w:val="26"/>
                      <w:szCs w:val="26"/>
                      <w:lang w:eastAsia="lv-LV"/>
                    </w:rPr>
                  </w:pPr>
                  <w:r w:rsidRPr="00EC690C">
                    <w:rPr>
                      <w:bCs/>
                      <w:sz w:val="26"/>
                      <w:szCs w:val="26"/>
                      <w:lang w:eastAsia="lv-LV"/>
                    </w:rPr>
                    <w:t xml:space="preserve"> obligātās iemaksas (10,5%)                                    - 323 716</w:t>
                  </w:r>
                  <w:r w:rsidRPr="00EC690C">
                    <w:t xml:space="preserve"> EUR</w:t>
                  </w:r>
                </w:p>
              </w:tc>
            </w:tr>
            <w:tr w:rsidR="009367D8" w:rsidRPr="00EC690C" w:rsidTr="009D55EA">
              <w:trPr>
                <w:trHeight w:val="690"/>
              </w:trPr>
              <w:tc>
                <w:tcPr>
                  <w:tcW w:w="8320" w:type="dxa"/>
                  <w:vAlign w:val="center"/>
                </w:tcPr>
                <w:p w:rsidR="009367D8" w:rsidRPr="00EC690C" w:rsidRDefault="009367D8" w:rsidP="001913FD">
                  <w:pPr>
                    <w:rPr>
                      <w:bCs/>
                      <w:sz w:val="20"/>
                      <w:szCs w:val="20"/>
                      <w:lang w:eastAsia="lv-LV"/>
                    </w:rPr>
                  </w:pPr>
                  <w:r w:rsidRPr="00EC690C">
                    <w:t>6.1.3.Plānotie papildu budžeta ieņēmumi 2016.gadā – kopā</w:t>
                  </w:r>
                  <w:r w:rsidRPr="00EC690C">
                    <w:rPr>
                      <w:b/>
                    </w:rPr>
                    <w:t xml:space="preserve"> </w:t>
                  </w:r>
                  <w:r w:rsidRPr="00EC690C">
                    <w:t>2 954 476 EUR</w:t>
                  </w:r>
                </w:p>
              </w:tc>
            </w:tr>
            <w:tr w:rsidR="009367D8" w:rsidRPr="00EC690C" w:rsidTr="009D55EA">
              <w:trPr>
                <w:trHeight w:val="390"/>
              </w:trPr>
              <w:tc>
                <w:tcPr>
                  <w:tcW w:w="8320" w:type="dxa"/>
                  <w:vAlign w:val="bottom"/>
                </w:tcPr>
                <w:p w:rsidR="009367D8" w:rsidRPr="00EC690C" w:rsidRDefault="009367D8" w:rsidP="009D55EA">
                  <w:pPr>
                    <w:rPr>
                      <w:bCs/>
                      <w:sz w:val="26"/>
                      <w:szCs w:val="26"/>
                      <w:lang w:eastAsia="lv-LV"/>
                    </w:rPr>
                  </w:pPr>
                  <w:r w:rsidRPr="00EC690C">
                    <w:rPr>
                      <w:bCs/>
                      <w:sz w:val="26"/>
                      <w:szCs w:val="26"/>
                      <w:lang w:eastAsia="lv-LV"/>
                    </w:rPr>
                    <w:t>Tajā skaitā:</w:t>
                  </w:r>
                </w:p>
              </w:tc>
            </w:tr>
            <w:tr w:rsidR="009367D8" w:rsidRPr="00EC690C" w:rsidTr="009D55EA">
              <w:trPr>
                <w:trHeight w:val="390"/>
              </w:trPr>
              <w:tc>
                <w:tcPr>
                  <w:tcW w:w="8320" w:type="dxa"/>
                  <w:vAlign w:val="bottom"/>
                </w:tcPr>
                <w:p w:rsidR="009367D8" w:rsidRPr="00EC690C" w:rsidRDefault="009367D8" w:rsidP="00A821A5">
                  <w:pPr>
                    <w:rPr>
                      <w:bCs/>
                      <w:sz w:val="26"/>
                      <w:szCs w:val="26"/>
                      <w:lang w:eastAsia="lv-LV"/>
                    </w:rPr>
                  </w:pPr>
                  <w:r w:rsidRPr="00EC690C">
                    <w:rPr>
                      <w:bCs/>
                      <w:sz w:val="26"/>
                      <w:szCs w:val="26"/>
                      <w:lang w:eastAsia="lv-LV"/>
                    </w:rPr>
                    <w:t>1. Iedzīvotāju ienākuma nodoklis (22%) – kopā - 816 976</w:t>
                  </w:r>
                  <w:r w:rsidRPr="00EC690C">
                    <w:t xml:space="preserve"> EUR</w:t>
                  </w:r>
                </w:p>
              </w:tc>
            </w:tr>
            <w:tr w:rsidR="009367D8" w:rsidRPr="00EC690C" w:rsidTr="009D55EA">
              <w:trPr>
                <w:trHeight w:val="390"/>
              </w:trPr>
              <w:tc>
                <w:tcPr>
                  <w:tcW w:w="8320" w:type="dxa"/>
                  <w:vAlign w:val="bottom"/>
                </w:tcPr>
                <w:p w:rsidR="009367D8" w:rsidRPr="00EC690C" w:rsidRDefault="009367D8" w:rsidP="00A821A5">
                  <w:pPr>
                    <w:rPr>
                      <w:bCs/>
                      <w:sz w:val="26"/>
                      <w:szCs w:val="26"/>
                      <w:lang w:eastAsia="lv-LV"/>
                    </w:rPr>
                  </w:pPr>
                  <w:r w:rsidRPr="00EC690C">
                    <w:rPr>
                      <w:bCs/>
                      <w:sz w:val="26"/>
                      <w:szCs w:val="26"/>
                      <w:lang w:eastAsia="lv-LV"/>
                    </w:rPr>
                    <w:t>1.1.valsts pamatbudžets (20%)                              - 163 395</w:t>
                  </w:r>
                  <w:r w:rsidRPr="00EC690C">
                    <w:t xml:space="preserve"> EUR</w:t>
                  </w:r>
                </w:p>
              </w:tc>
            </w:tr>
            <w:tr w:rsidR="009367D8" w:rsidRPr="00EC690C" w:rsidTr="009D55EA">
              <w:trPr>
                <w:trHeight w:val="390"/>
              </w:trPr>
              <w:tc>
                <w:tcPr>
                  <w:tcW w:w="8320" w:type="dxa"/>
                  <w:vAlign w:val="bottom"/>
                </w:tcPr>
                <w:p w:rsidR="009367D8" w:rsidRPr="00EC690C" w:rsidRDefault="009367D8" w:rsidP="00A821A5">
                  <w:pPr>
                    <w:rPr>
                      <w:bCs/>
                      <w:sz w:val="26"/>
                      <w:szCs w:val="26"/>
                      <w:lang w:eastAsia="lv-LV"/>
                    </w:rPr>
                  </w:pPr>
                  <w:r w:rsidRPr="00EC690C">
                    <w:rPr>
                      <w:bCs/>
                      <w:sz w:val="26"/>
                      <w:szCs w:val="26"/>
                      <w:lang w:eastAsia="lv-LV"/>
                    </w:rPr>
                    <w:lastRenderedPageBreak/>
                    <w:t>1.2.pašvaldības budžets (80%)                              - 653 581</w:t>
                  </w:r>
                  <w:r w:rsidRPr="00EC690C">
                    <w:t xml:space="preserve"> EUR</w:t>
                  </w:r>
                </w:p>
              </w:tc>
            </w:tr>
            <w:tr w:rsidR="009367D8" w:rsidRPr="00EC690C" w:rsidTr="009D55EA">
              <w:trPr>
                <w:trHeight w:val="390"/>
              </w:trPr>
              <w:tc>
                <w:tcPr>
                  <w:tcW w:w="8320" w:type="dxa"/>
                  <w:vAlign w:val="bottom"/>
                </w:tcPr>
                <w:p w:rsidR="009367D8" w:rsidRPr="00EC690C" w:rsidRDefault="009367D8" w:rsidP="00A821A5">
                  <w:pPr>
                    <w:rPr>
                      <w:bCs/>
                      <w:sz w:val="26"/>
                      <w:szCs w:val="26"/>
                      <w:lang w:eastAsia="lv-LV"/>
                    </w:rPr>
                  </w:pPr>
                  <w:r w:rsidRPr="00EC690C">
                    <w:rPr>
                      <w:bCs/>
                      <w:sz w:val="26"/>
                      <w:szCs w:val="26"/>
                      <w:lang w:eastAsia="lv-LV"/>
                    </w:rPr>
                    <w:t>2.Speciālais budžets – kopā                                 - 2 137 500</w:t>
                  </w:r>
                  <w:r w:rsidRPr="00EC690C">
                    <w:t xml:space="preserve"> EUR</w:t>
                  </w:r>
                </w:p>
              </w:tc>
            </w:tr>
            <w:tr w:rsidR="009367D8" w:rsidRPr="00EC690C" w:rsidTr="009D55EA">
              <w:trPr>
                <w:trHeight w:val="390"/>
              </w:trPr>
              <w:tc>
                <w:tcPr>
                  <w:tcW w:w="8320" w:type="dxa"/>
                  <w:vAlign w:val="bottom"/>
                </w:tcPr>
                <w:p w:rsidR="009367D8" w:rsidRPr="00EC690C" w:rsidRDefault="009367D8" w:rsidP="009D55EA">
                  <w:pPr>
                    <w:rPr>
                      <w:bCs/>
                      <w:sz w:val="26"/>
                      <w:szCs w:val="26"/>
                      <w:lang w:eastAsia="lv-LV"/>
                    </w:rPr>
                  </w:pPr>
                  <w:r w:rsidRPr="00EC690C">
                    <w:rPr>
                      <w:bCs/>
                      <w:sz w:val="26"/>
                      <w:szCs w:val="26"/>
                      <w:lang w:eastAsia="lv-LV"/>
                    </w:rPr>
                    <w:t>2.1. darba devēja valsts sociālās</w:t>
                  </w:r>
                </w:p>
                <w:p w:rsidR="009367D8" w:rsidRPr="00EC690C" w:rsidRDefault="009367D8" w:rsidP="00A821A5">
                  <w:pPr>
                    <w:rPr>
                      <w:bCs/>
                      <w:sz w:val="26"/>
                      <w:szCs w:val="26"/>
                      <w:lang w:eastAsia="lv-LV"/>
                    </w:rPr>
                  </w:pPr>
                  <w:r w:rsidRPr="00EC690C">
                    <w:rPr>
                      <w:bCs/>
                      <w:sz w:val="26"/>
                      <w:szCs w:val="26"/>
                      <w:lang w:eastAsia="lv-LV"/>
                    </w:rPr>
                    <w:t xml:space="preserve"> apdrošināšanas obligātās iemaksas (23,59%)       - 1 701 835</w:t>
                  </w:r>
                  <w:r w:rsidRPr="00EC690C">
                    <w:t xml:space="preserve"> EUR</w:t>
                  </w:r>
                </w:p>
              </w:tc>
            </w:tr>
            <w:tr w:rsidR="009367D8" w:rsidRPr="00EC690C" w:rsidTr="009D55EA">
              <w:trPr>
                <w:trHeight w:val="390"/>
              </w:trPr>
              <w:tc>
                <w:tcPr>
                  <w:tcW w:w="8320" w:type="dxa"/>
                  <w:vAlign w:val="bottom"/>
                </w:tcPr>
                <w:p w:rsidR="009367D8" w:rsidRPr="00EC690C" w:rsidRDefault="009367D8" w:rsidP="009D55EA">
                  <w:pPr>
                    <w:rPr>
                      <w:bCs/>
                      <w:sz w:val="26"/>
                      <w:szCs w:val="26"/>
                      <w:lang w:eastAsia="lv-LV"/>
                    </w:rPr>
                  </w:pPr>
                  <w:r w:rsidRPr="00EC690C">
                    <w:rPr>
                      <w:bCs/>
                      <w:sz w:val="26"/>
                      <w:szCs w:val="26"/>
                      <w:lang w:eastAsia="lv-LV"/>
                    </w:rPr>
                    <w:t>2.2.darba ņēmēja valsts sociālās apdrošināšanas</w:t>
                  </w:r>
                </w:p>
                <w:p w:rsidR="009367D8" w:rsidRPr="00EC690C" w:rsidRDefault="009367D8" w:rsidP="00A821A5">
                  <w:pPr>
                    <w:rPr>
                      <w:bCs/>
                      <w:sz w:val="26"/>
                      <w:szCs w:val="26"/>
                      <w:lang w:eastAsia="lv-LV"/>
                    </w:rPr>
                  </w:pPr>
                  <w:r w:rsidRPr="00EC690C">
                    <w:rPr>
                      <w:bCs/>
                      <w:sz w:val="26"/>
                      <w:szCs w:val="26"/>
                      <w:lang w:eastAsia="lv-LV"/>
                    </w:rPr>
                    <w:t xml:space="preserve"> obligātās iemaksas (10,5%)                                    -  435 665</w:t>
                  </w:r>
                  <w:r w:rsidRPr="00EC690C">
                    <w:t xml:space="preserve"> EUR.</w:t>
                  </w:r>
                </w:p>
              </w:tc>
            </w:tr>
          </w:tbl>
          <w:p w:rsidR="009367D8" w:rsidRPr="00EC690C" w:rsidRDefault="009367D8" w:rsidP="00E721E5">
            <w:pPr>
              <w:rPr>
                <w:sz w:val="26"/>
                <w:szCs w:val="26"/>
              </w:rPr>
            </w:pPr>
          </w:p>
          <w:p w:rsidR="009367D8" w:rsidRPr="00EC690C" w:rsidRDefault="009367D8" w:rsidP="00E721E5">
            <w:pPr>
              <w:rPr>
                <w:sz w:val="26"/>
                <w:szCs w:val="26"/>
                <w:u w:val="single"/>
              </w:rPr>
            </w:pPr>
            <w:r w:rsidRPr="00EC690C">
              <w:rPr>
                <w:u w:val="single"/>
              </w:rPr>
              <w:t xml:space="preserve"> 6.2. detalizēts izdevumu aprēķins</w:t>
            </w:r>
          </w:p>
          <w:p w:rsidR="009367D8" w:rsidRPr="00EC690C" w:rsidRDefault="009367D8" w:rsidP="00A6421B">
            <w:pPr>
              <w:rPr>
                <w:color w:val="000000"/>
                <w:sz w:val="26"/>
                <w:szCs w:val="26"/>
              </w:rPr>
            </w:pPr>
            <w:r w:rsidRPr="00EC690C">
              <w:rPr>
                <w:b/>
                <w:i/>
                <w:color w:val="000000"/>
                <w:sz w:val="26"/>
                <w:szCs w:val="26"/>
              </w:rPr>
              <w:t>Iekšlietu ministrijai</w:t>
            </w:r>
            <w:r w:rsidRPr="00EC690C">
              <w:rPr>
                <w:color w:val="000000"/>
                <w:sz w:val="26"/>
                <w:szCs w:val="26"/>
              </w:rPr>
              <w:t xml:space="preserve"> piešķirts papildu finansējums saistībā ar minimālās mēneša darba algas paaugstināšanu un mēnešalgu izlīdzināšanai:</w:t>
            </w:r>
          </w:p>
          <w:p w:rsidR="009367D8" w:rsidRPr="00EC690C" w:rsidRDefault="009367D8" w:rsidP="00A6421B">
            <w:pPr>
              <w:rPr>
                <w:color w:val="000000"/>
                <w:sz w:val="26"/>
                <w:szCs w:val="26"/>
              </w:rPr>
            </w:pPr>
            <w:r w:rsidRPr="00EC690C">
              <w:rPr>
                <w:color w:val="000000"/>
                <w:sz w:val="26"/>
                <w:szCs w:val="26"/>
                <w:u w:val="single"/>
              </w:rPr>
              <w:t xml:space="preserve"> </w:t>
            </w:r>
            <w:r w:rsidRPr="00EC690C">
              <w:rPr>
                <w:i/>
                <w:color w:val="000000"/>
                <w:sz w:val="26"/>
                <w:szCs w:val="26"/>
                <w:u w:val="single"/>
              </w:rPr>
              <w:t>2014. un 2015.gadam</w:t>
            </w:r>
            <w:r w:rsidRPr="00EC690C">
              <w:rPr>
                <w:color w:val="000000"/>
                <w:sz w:val="26"/>
                <w:szCs w:val="26"/>
              </w:rPr>
              <w:t xml:space="preserve"> katru gadu – 4 801 706 EUR, no tā: amatpersonām ar speciālajām dienesta pakāpēm – 3 458 592 EUR, kas plānoti šādās budžeta programmās:</w:t>
            </w:r>
          </w:p>
          <w:p w:rsidR="009367D8" w:rsidRPr="00EC690C" w:rsidRDefault="009367D8" w:rsidP="00A6421B">
            <w:pPr>
              <w:rPr>
                <w:color w:val="000000"/>
                <w:sz w:val="26"/>
                <w:szCs w:val="26"/>
              </w:rPr>
            </w:pPr>
            <w:r w:rsidRPr="00EC690C">
              <w:rPr>
                <w:color w:val="000000"/>
                <w:sz w:val="26"/>
                <w:szCs w:val="26"/>
              </w:rPr>
              <w:t xml:space="preserve">- </w:t>
            </w:r>
            <w:r w:rsidRPr="00EC690C">
              <w:rPr>
                <w:i/>
                <w:color w:val="000000"/>
                <w:sz w:val="26"/>
                <w:szCs w:val="26"/>
              </w:rPr>
              <w:t>02.00.00 „Iekšlietu ministrijas vienotā sakaru un informācijas sistēma</w:t>
            </w:r>
            <w:r w:rsidRPr="00EC690C">
              <w:rPr>
                <w:color w:val="000000"/>
                <w:sz w:val="26"/>
                <w:szCs w:val="26"/>
              </w:rPr>
              <w:t>” – 7427 EUR (IKK 1000 „Atlīdzība”):</w:t>
            </w:r>
          </w:p>
          <w:p w:rsidR="009367D8" w:rsidRPr="00EC690C" w:rsidRDefault="009367D8" w:rsidP="00A6421B">
            <w:pPr>
              <w:rPr>
                <w:color w:val="000000"/>
                <w:sz w:val="26"/>
                <w:szCs w:val="26"/>
              </w:rPr>
            </w:pPr>
            <w:r w:rsidRPr="00EC690C">
              <w:rPr>
                <w:color w:val="000000"/>
                <w:sz w:val="26"/>
                <w:szCs w:val="26"/>
              </w:rPr>
              <w:t>IKK 1100 „Atalgojums” – 6009 EUR</w:t>
            </w:r>
          </w:p>
          <w:p w:rsidR="009367D8" w:rsidRPr="00EC690C" w:rsidRDefault="009367D8" w:rsidP="00A6421B">
            <w:pPr>
              <w:rPr>
                <w:color w:val="000000"/>
                <w:sz w:val="26"/>
                <w:szCs w:val="26"/>
              </w:rPr>
            </w:pPr>
            <w:r w:rsidRPr="00EC690C">
              <w:rPr>
                <w:color w:val="000000"/>
                <w:sz w:val="26"/>
                <w:szCs w:val="26"/>
              </w:rPr>
              <w:t>IKK 1200 „Darba devēja valsts sociālās apdrošināšanas obligātās iemaksas, pabalsti un kompensācijas” – 1418 EUR</w:t>
            </w:r>
          </w:p>
          <w:p w:rsidR="009367D8" w:rsidRPr="00EC690C" w:rsidRDefault="009367D8" w:rsidP="00AE70EE">
            <w:pPr>
              <w:rPr>
                <w:color w:val="000000"/>
                <w:sz w:val="26"/>
                <w:szCs w:val="26"/>
              </w:rPr>
            </w:pPr>
            <w:r w:rsidRPr="00EC690C">
              <w:rPr>
                <w:color w:val="000000"/>
                <w:sz w:val="26"/>
                <w:szCs w:val="26"/>
              </w:rPr>
              <w:t xml:space="preserve">- </w:t>
            </w:r>
            <w:r w:rsidRPr="00EC690C">
              <w:rPr>
                <w:i/>
                <w:color w:val="000000"/>
                <w:sz w:val="26"/>
                <w:szCs w:val="26"/>
              </w:rPr>
              <w:t>06.00.00 „Valsts policijas darbība”</w:t>
            </w:r>
            <w:r w:rsidRPr="00EC690C">
              <w:rPr>
                <w:color w:val="000000"/>
                <w:sz w:val="26"/>
                <w:szCs w:val="26"/>
              </w:rPr>
              <w:t xml:space="preserve"> – 2 153 756 EUR (IKK 1000 „Atlīdzība”):</w:t>
            </w:r>
          </w:p>
          <w:p w:rsidR="009367D8" w:rsidRPr="00EC690C" w:rsidRDefault="009367D8" w:rsidP="00AE70EE">
            <w:pPr>
              <w:rPr>
                <w:color w:val="000000"/>
                <w:sz w:val="26"/>
                <w:szCs w:val="26"/>
              </w:rPr>
            </w:pPr>
            <w:r w:rsidRPr="00EC690C">
              <w:rPr>
                <w:color w:val="000000"/>
                <w:sz w:val="26"/>
                <w:szCs w:val="26"/>
              </w:rPr>
              <w:t>IKK 1100 „Atalgojums” – 1 742 662 EUR</w:t>
            </w:r>
          </w:p>
          <w:p w:rsidR="009367D8" w:rsidRPr="00EC690C" w:rsidRDefault="009367D8" w:rsidP="00A6421B">
            <w:pPr>
              <w:rPr>
                <w:color w:val="000000"/>
                <w:sz w:val="26"/>
                <w:szCs w:val="26"/>
              </w:rPr>
            </w:pPr>
            <w:r w:rsidRPr="00EC690C">
              <w:rPr>
                <w:color w:val="000000"/>
                <w:sz w:val="26"/>
                <w:szCs w:val="26"/>
              </w:rPr>
              <w:t>IKK 1200 „Darba devēja valsts sociālās apdrošināšanas obligātās iemaksas, pabalsti un kompensācijas” – 411 094 EUR</w:t>
            </w:r>
          </w:p>
          <w:p w:rsidR="009367D8" w:rsidRPr="00EC690C" w:rsidRDefault="009367D8" w:rsidP="00BE2989">
            <w:pPr>
              <w:rPr>
                <w:color w:val="000000"/>
                <w:sz w:val="26"/>
                <w:szCs w:val="26"/>
              </w:rPr>
            </w:pPr>
            <w:r w:rsidRPr="00EC690C">
              <w:rPr>
                <w:color w:val="000000"/>
                <w:sz w:val="26"/>
                <w:szCs w:val="26"/>
              </w:rPr>
              <w:t xml:space="preserve">- </w:t>
            </w:r>
            <w:r w:rsidRPr="00EC690C">
              <w:rPr>
                <w:i/>
                <w:color w:val="000000"/>
                <w:sz w:val="26"/>
                <w:szCs w:val="26"/>
              </w:rPr>
              <w:t>07.00.00 „Ugunsdrošība, glābšana un civilā aizsardzība</w:t>
            </w:r>
            <w:r w:rsidRPr="00EC690C">
              <w:rPr>
                <w:color w:val="000000"/>
                <w:sz w:val="26"/>
                <w:szCs w:val="26"/>
              </w:rPr>
              <w:t>”– 712 362 EUR (IKK 1000 „Atlīdzība”):</w:t>
            </w:r>
          </w:p>
          <w:p w:rsidR="009367D8" w:rsidRPr="00EC690C" w:rsidRDefault="009367D8" w:rsidP="00BE2989">
            <w:pPr>
              <w:rPr>
                <w:color w:val="000000"/>
                <w:sz w:val="26"/>
                <w:szCs w:val="26"/>
              </w:rPr>
            </w:pPr>
            <w:r w:rsidRPr="00EC690C">
              <w:rPr>
                <w:color w:val="000000"/>
                <w:sz w:val="26"/>
                <w:szCs w:val="26"/>
              </w:rPr>
              <w:t>IKK 1100 „Atalgojums” – 576 391 EUR</w:t>
            </w:r>
          </w:p>
          <w:p w:rsidR="009367D8" w:rsidRPr="00EC690C" w:rsidRDefault="009367D8" w:rsidP="00A6421B">
            <w:pPr>
              <w:rPr>
                <w:color w:val="000000"/>
                <w:sz w:val="26"/>
                <w:szCs w:val="26"/>
              </w:rPr>
            </w:pPr>
            <w:r w:rsidRPr="00EC690C">
              <w:rPr>
                <w:color w:val="000000"/>
                <w:sz w:val="26"/>
                <w:szCs w:val="26"/>
              </w:rPr>
              <w:t>IKK 1200 „Darba devēja valsts sociālās apdrošināšanas obligātās iemaksas, pabalsti un kompensācijas” – 135 971 EUR;</w:t>
            </w:r>
          </w:p>
          <w:p w:rsidR="009367D8" w:rsidRPr="00EC690C" w:rsidRDefault="009367D8" w:rsidP="00A6421B">
            <w:pPr>
              <w:rPr>
                <w:color w:val="000000"/>
                <w:sz w:val="26"/>
                <w:szCs w:val="26"/>
              </w:rPr>
            </w:pPr>
            <w:r w:rsidRPr="00EC690C">
              <w:rPr>
                <w:color w:val="000000"/>
                <w:sz w:val="26"/>
                <w:szCs w:val="26"/>
              </w:rPr>
              <w:t xml:space="preserve">- </w:t>
            </w:r>
            <w:r w:rsidRPr="00EC690C">
              <w:rPr>
                <w:i/>
                <w:color w:val="000000"/>
                <w:sz w:val="26"/>
                <w:szCs w:val="26"/>
              </w:rPr>
              <w:t>09.00.00 „Drošības policija”</w:t>
            </w:r>
            <w:r w:rsidRPr="00EC690C">
              <w:rPr>
                <w:color w:val="000000"/>
                <w:sz w:val="26"/>
                <w:szCs w:val="26"/>
              </w:rPr>
              <w:t>– 22 864 EUR (IKK 2271 „Izdevumi, kas saistīti ar operatīvo darbību”);</w:t>
            </w:r>
          </w:p>
          <w:p w:rsidR="009367D8" w:rsidRPr="00EC690C" w:rsidRDefault="009367D8" w:rsidP="004545E7">
            <w:pPr>
              <w:rPr>
                <w:color w:val="000000"/>
                <w:sz w:val="26"/>
                <w:szCs w:val="26"/>
              </w:rPr>
            </w:pPr>
            <w:r w:rsidRPr="00EC690C">
              <w:rPr>
                <w:color w:val="000000"/>
                <w:sz w:val="26"/>
                <w:szCs w:val="26"/>
              </w:rPr>
              <w:t xml:space="preserve">- </w:t>
            </w:r>
            <w:r w:rsidRPr="00EC690C">
              <w:rPr>
                <w:i/>
                <w:color w:val="000000"/>
                <w:sz w:val="26"/>
                <w:szCs w:val="26"/>
              </w:rPr>
              <w:t>10.00.00 „Valsts robežsardzes darbība”</w:t>
            </w:r>
            <w:r w:rsidRPr="00EC690C">
              <w:rPr>
                <w:color w:val="000000"/>
                <w:sz w:val="26"/>
                <w:szCs w:val="26"/>
              </w:rPr>
              <w:t xml:space="preserve"> – 562 182 EUR (IKK 1000 „Atlīdzība”):</w:t>
            </w:r>
          </w:p>
          <w:p w:rsidR="009367D8" w:rsidRPr="00EC690C" w:rsidRDefault="009367D8" w:rsidP="004545E7">
            <w:pPr>
              <w:rPr>
                <w:color w:val="000000"/>
                <w:sz w:val="26"/>
                <w:szCs w:val="26"/>
              </w:rPr>
            </w:pPr>
            <w:r w:rsidRPr="00EC690C">
              <w:rPr>
                <w:color w:val="000000"/>
                <w:sz w:val="26"/>
                <w:szCs w:val="26"/>
              </w:rPr>
              <w:t>IKK 1100 „Atalgojums” – 454 877 EUR</w:t>
            </w:r>
          </w:p>
          <w:p w:rsidR="009367D8" w:rsidRPr="00EC690C" w:rsidRDefault="009367D8" w:rsidP="004545E7">
            <w:pPr>
              <w:rPr>
                <w:color w:val="000000"/>
                <w:sz w:val="26"/>
                <w:szCs w:val="26"/>
              </w:rPr>
            </w:pPr>
            <w:r w:rsidRPr="00EC690C">
              <w:rPr>
                <w:color w:val="000000"/>
                <w:sz w:val="26"/>
                <w:szCs w:val="26"/>
              </w:rPr>
              <w:t>IKK 1200 „Darba devēja valsts sociālās apdrošināšanas obligātās iemaksas, pabalsti un kompensācijas” –107 305 EUR.</w:t>
            </w:r>
          </w:p>
          <w:p w:rsidR="009367D8" w:rsidRPr="00EC690C" w:rsidRDefault="009367D8" w:rsidP="00B03005">
            <w:pPr>
              <w:rPr>
                <w:color w:val="000000"/>
                <w:sz w:val="26"/>
                <w:szCs w:val="26"/>
              </w:rPr>
            </w:pPr>
            <w:r w:rsidRPr="00EC690C">
              <w:rPr>
                <w:color w:val="000000"/>
                <w:sz w:val="26"/>
                <w:szCs w:val="26"/>
              </w:rPr>
              <w:t xml:space="preserve"> </w:t>
            </w:r>
            <w:r w:rsidRPr="00EC690C">
              <w:rPr>
                <w:i/>
                <w:color w:val="000000"/>
                <w:sz w:val="26"/>
                <w:szCs w:val="26"/>
                <w:u w:val="single"/>
              </w:rPr>
              <w:t>2016.gadam</w:t>
            </w:r>
            <w:r w:rsidRPr="00EC690C">
              <w:rPr>
                <w:color w:val="000000"/>
                <w:sz w:val="26"/>
                <w:szCs w:val="26"/>
              </w:rPr>
              <w:t xml:space="preserve"> – 5 998 785 EUR (1.pielikumā mēnešalgu palielinājums tiks paredzēts atbilstoši pieņemtajam lēmumam par 2016.gada budžeta likumprojektu). </w:t>
            </w:r>
          </w:p>
          <w:p w:rsidR="009367D8" w:rsidRPr="00FA042E" w:rsidRDefault="009367D8" w:rsidP="00B03005">
            <w:pPr>
              <w:rPr>
                <w:color w:val="000000"/>
                <w:sz w:val="26"/>
                <w:szCs w:val="26"/>
              </w:rPr>
            </w:pPr>
            <w:r w:rsidRPr="00FA042E">
              <w:rPr>
                <w:b/>
                <w:i/>
                <w:color w:val="000000"/>
                <w:sz w:val="26"/>
                <w:szCs w:val="26"/>
              </w:rPr>
              <w:t>Tieslietu ministrijai</w:t>
            </w:r>
            <w:r w:rsidRPr="00FA042E">
              <w:rPr>
                <w:color w:val="000000"/>
                <w:sz w:val="26"/>
                <w:szCs w:val="26"/>
              </w:rPr>
              <w:t xml:space="preserve"> </w:t>
            </w:r>
            <w:r w:rsidR="00FA042E" w:rsidRPr="001D4188">
              <w:rPr>
                <w:color w:val="000000"/>
                <w:sz w:val="26"/>
                <w:szCs w:val="26"/>
              </w:rPr>
              <w:t>(Ieslodzījuma vietu pārvaldei)</w:t>
            </w:r>
            <w:r w:rsidR="00FA042E" w:rsidRPr="00FA042E">
              <w:rPr>
                <w:color w:val="000000"/>
                <w:sz w:val="26"/>
                <w:szCs w:val="26"/>
              </w:rPr>
              <w:t xml:space="preserve"> </w:t>
            </w:r>
            <w:r w:rsidRPr="00FA042E">
              <w:rPr>
                <w:color w:val="000000"/>
                <w:sz w:val="26"/>
                <w:szCs w:val="26"/>
              </w:rPr>
              <w:t>piešķirts papildu finansējums saistībā ar minimālās mēneša darba algas paaugstināšanu un mēnešalgu izlīdzināšanai:</w:t>
            </w:r>
          </w:p>
          <w:p w:rsidR="009367D8" w:rsidRPr="00FA042E" w:rsidRDefault="009367D8" w:rsidP="00B03005">
            <w:pPr>
              <w:rPr>
                <w:color w:val="000000"/>
                <w:sz w:val="26"/>
                <w:szCs w:val="26"/>
              </w:rPr>
            </w:pPr>
            <w:r w:rsidRPr="00FA042E">
              <w:rPr>
                <w:i/>
                <w:color w:val="000000"/>
                <w:sz w:val="26"/>
                <w:szCs w:val="26"/>
                <w:u w:val="single"/>
              </w:rPr>
              <w:t>2014. un 2015.gadam</w:t>
            </w:r>
            <w:r w:rsidRPr="00FA042E">
              <w:rPr>
                <w:color w:val="000000"/>
                <w:sz w:val="26"/>
                <w:szCs w:val="26"/>
              </w:rPr>
              <w:t xml:space="preserve"> katru gadu – 1 132 796 EUR, no tā: amatpersonām ar speciālajām dienesta pakāpēm – 351 706 EUR, kas plānoti budžeta programmas </w:t>
            </w:r>
            <w:r w:rsidRPr="00FA042E">
              <w:rPr>
                <w:i/>
                <w:color w:val="000000"/>
                <w:sz w:val="26"/>
                <w:szCs w:val="26"/>
              </w:rPr>
              <w:t>04.00.00 „Kriminālsodu izpilde” apakšprogrammā 04.01.00 „Ieslodzījuma vietas”</w:t>
            </w:r>
          </w:p>
          <w:p w:rsidR="009367D8" w:rsidRPr="00FA042E" w:rsidRDefault="009367D8" w:rsidP="009860E6">
            <w:pPr>
              <w:rPr>
                <w:color w:val="000000"/>
                <w:sz w:val="26"/>
                <w:szCs w:val="26"/>
              </w:rPr>
            </w:pPr>
            <w:r w:rsidRPr="00FA042E">
              <w:rPr>
                <w:color w:val="000000"/>
                <w:sz w:val="26"/>
                <w:szCs w:val="26"/>
              </w:rPr>
              <w:t>(IKK 1000 „Atlīdzība”):</w:t>
            </w:r>
          </w:p>
          <w:p w:rsidR="009367D8" w:rsidRPr="00FA042E" w:rsidRDefault="009367D8" w:rsidP="009860E6">
            <w:pPr>
              <w:rPr>
                <w:color w:val="000000"/>
                <w:sz w:val="26"/>
                <w:szCs w:val="26"/>
              </w:rPr>
            </w:pPr>
            <w:r w:rsidRPr="00FA042E">
              <w:rPr>
                <w:color w:val="000000"/>
                <w:sz w:val="26"/>
                <w:szCs w:val="26"/>
              </w:rPr>
              <w:t>IKK 1100 „Atalgojums” – 284 575 EUR</w:t>
            </w:r>
          </w:p>
          <w:p w:rsidR="009367D8" w:rsidRPr="00FA042E" w:rsidRDefault="009367D8" w:rsidP="00B03005">
            <w:pPr>
              <w:rPr>
                <w:color w:val="000000"/>
                <w:sz w:val="26"/>
                <w:szCs w:val="26"/>
              </w:rPr>
            </w:pPr>
            <w:r w:rsidRPr="00FA042E">
              <w:rPr>
                <w:color w:val="000000"/>
                <w:sz w:val="26"/>
                <w:szCs w:val="26"/>
              </w:rPr>
              <w:lastRenderedPageBreak/>
              <w:t>IKK 1200 „Darba devēja valsts sociālās apdrošināšanas obligātās iemaksas, pabalsti un kompensācijas” – 67 131 EUR.</w:t>
            </w:r>
          </w:p>
          <w:p w:rsidR="009367D8" w:rsidRPr="00EC690C" w:rsidRDefault="009367D8" w:rsidP="007D783D">
            <w:pPr>
              <w:rPr>
                <w:color w:val="000000"/>
                <w:sz w:val="26"/>
                <w:szCs w:val="26"/>
              </w:rPr>
            </w:pPr>
            <w:r w:rsidRPr="00FA042E">
              <w:rPr>
                <w:i/>
                <w:color w:val="000000"/>
                <w:sz w:val="26"/>
                <w:szCs w:val="26"/>
                <w:u w:val="single"/>
              </w:rPr>
              <w:t>2016.gadam</w:t>
            </w:r>
            <w:r w:rsidRPr="00FA042E">
              <w:rPr>
                <w:color w:val="000000"/>
                <w:sz w:val="26"/>
                <w:szCs w:val="26"/>
              </w:rPr>
              <w:t xml:space="preserve"> – 1 352 331 EUR (1.pielikumā mēnešalgu palielinājums tiks paredzēts atbilstoši pieņemtajam lēmumam par 2016.gada budžeta likumprojektu).</w:t>
            </w:r>
            <w:r w:rsidRPr="00EC690C">
              <w:rPr>
                <w:color w:val="000000"/>
                <w:sz w:val="26"/>
                <w:szCs w:val="26"/>
              </w:rPr>
              <w:t xml:space="preserve"> </w:t>
            </w:r>
          </w:p>
        </w:tc>
      </w:tr>
      <w:tr w:rsidR="009367D8" w:rsidRPr="00EC690C" w:rsidTr="00917912">
        <w:tblPrEx>
          <w:jc w:val="center"/>
          <w:tblLook w:val="01E0" w:firstRow="1" w:lastRow="1" w:firstColumn="1" w:lastColumn="1" w:noHBand="0" w:noVBand="0"/>
        </w:tblPrEx>
        <w:trPr>
          <w:gridAfter w:val="1"/>
          <w:wAfter w:w="365" w:type="dxa"/>
          <w:jc w:val="center"/>
        </w:trPr>
        <w:tc>
          <w:tcPr>
            <w:tcW w:w="2604" w:type="dxa"/>
            <w:gridSpan w:val="5"/>
          </w:tcPr>
          <w:p w:rsidR="009367D8" w:rsidRPr="00EC690C" w:rsidRDefault="009367D8" w:rsidP="00E721E5">
            <w:pPr>
              <w:jc w:val="both"/>
              <w:rPr>
                <w:color w:val="000000"/>
                <w:sz w:val="26"/>
                <w:szCs w:val="26"/>
              </w:rPr>
            </w:pPr>
            <w:r w:rsidRPr="00EC690C">
              <w:rPr>
                <w:color w:val="000000"/>
                <w:sz w:val="26"/>
                <w:szCs w:val="26"/>
              </w:rPr>
              <w:lastRenderedPageBreak/>
              <w:t>7. Cita informācija</w:t>
            </w:r>
          </w:p>
        </w:tc>
        <w:tc>
          <w:tcPr>
            <w:tcW w:w="7827" w:type="dxa"/>
            <w:gridSpan w:val="8"/>
          </w:tcPr>
          <w:p w:rsidR="009367D8" w:rsidRPr="001D4188" w:rsidRDefault="009367D8" w:rsidP="00917912">
            <w:pPr>
              <w:jc w:val="both"/>
              <w:rPr>
                <w:color w:val="000000"/>
                <w:sz w:val="26"/>
                <w:szCs w:val="26"/>
                <w:highlight w:val="yellow"/>
              </w:rPr>
            </w:pPr>
            <w:r w:rsidRPr="001D4188">
              <w:rPr>
                <w:color w:val="000000"/>
                <w:sz w:val="26"/>
                <w:szCs w:val="26"/>
              </w:rPr>
              <w:t>Izdevumi 2014.-2016.gadam atspoguļoti atbilstoši Saeimā</w:t>
            </w:r>
            <w:r w:rsidR="004B067B" w:rsidRPr="001D4188">
              <w:rPr>
                <w:color w:val="000000"/>
                <w:sz w:val="26"/>
                <w:szCs w:val="26"/>
              </w:rPr>
              <w:t xml:space="preserve"> pieņemtajiem likumiem </w:t>
            </w:r>
            <w:r w:rsidRPr="001D4188">
              <w:rPr>
                <w:color w:val="000000"/>
                <w:sz w:val="26"/>
                <w:szCs w:val="26"/>
              </w:rPr>
              <w:t>„Par valsts budžetu 2014.gadam”</w:t>
            </w:r>
            <w:r w:rsidR="00917912" w:rsidRPr="001D4188">
              <w:rPr>
                <w:color w:val="000000"/>
                <w:sz w:val="26"/>
                <w:szCs w:val="26"/>
              </w:rPr>
              <w:t xml:space="preserve"> (2013.gada 7.novembrī)</w:t>
            </w:r>
            <w:r w:rsidRPr="001D4188">
              <w:rPr>
                <w:color w:val="000000"/>
                <w:sz w:val="26"/>
                <w:szCs w:val="26"/>
              </w:rPr>
              <w:t xml:space="preserve"> un „Par vidēja termiņa budžeta ietvaru 2014., 2015. un 2016.gadam”</w:t>
            </w:r>
            <w:r w:rsidR="00917912" w:rsidRPr="001D4188">
              <w:rPr>
                <w:color w:val="000000"/>
                <w:sz w:val="26"/>
                <w:szCs w:val="26"/>
              </w:rPr>
              <w:t xml:space="preserve"> (2013.gada 6.novembrī)</w:t>
            </w:r>
            <w:r w:rsidRPr="001D4188">
              <w:rPr>
                <w:color w:val="000000"/>
                <w:sz w:val="26"/>
                <w:szCs w:val="26"/>
              </w:rPr>
              <w:t>.</w:t>
            </w:r>
            <w:r w:rsidRPr="001D4188">
              <w:rPr>
                <w:color w:val="000000"/>
                <w:sz w:val="26"/>
                <w:szCs w:val="26"/>
                <w:highlight w:val="yellow"/>
              </w:rPr>
              <w:t xml:space="preserve"> </w:t>
            </w:r>
          </w:p>
        </w:tc>
      </w:tr>
      <w:tr w:rsidR="009367D8" w:rsidRPr="00EC690C" w:rsidTr="0091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306" w:type="dxa"/>
        </w:trPr>
        <w:tc>
          <w:tcPr>
            <w:tcW w:w="10490" w:type="dxa"/>
            <w:gridSpan w:val="13"/>
            <w:tcBorders>
              <w:top w:val="single" w:sz="4" w:space="0" w:color="000000"/>
              <w:left w:val="single" w:sz="4" w:space="0" w:color="000000"/>
              <w:bottom w:val="single" w:sz="4" w:space="0" w:color="000000"/>
              <w:right w:val="single" w:sz="4" w:space="0" w:color="000000"/>
            </w:tcBorders>
            <w:vAlign w:val="center"/>
          </w:tcPr>
          <w:p w:rsidR="009367D8" w:rsidRPr="00EC690C" w:rsidRDefault="009367D8" w:rsidP="004D086A">
            <w:pPr>
              <w:pStyle w:val="naisnod"/>
              <w:snapToGrid w:val="0"/>
              <w:rPr>
                <w:sz w:val="28"/>
                <w:szCs w:val="28"/>
              </w:rPr>
            </w:pPr>
            <w:r w:rsidRPr="00EC690C">
              <w:rPr>
                <w:sz w:val="28"/>
                <w:szCs w:val="28"/>
              </w:rPr>
              <w:t>IV. Tiesību akta projekta ietekme uz spēkā esošo tiesību normu sistēmu</w:t>
            </w:r>
          </w:p>
        </w:tc>
      </w:tr>
      <w:tr w:rsidR="009367D8" w:rsidRPr="00EC690C" w:rsidTr="0091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306" w:type="dxa"/>
          <w:trHeight w:val="834"/>
        </w:trPr>
        <w:tc>
          <w:tcPr>
            <w:tcW w:w="755" w:type="dxa"/>
            <w:tcBorders>
              <w:top w:val="single" w:sz="4" w:space="0" w:color="000000"/>
              <w:left w:val="single" w:sz="4" w:space="0" w:color="000000"/>
              <w:bottom w:val="single" w:sz="4" w:space="0" w:color="000000"/>
            </w:tcBorders>
            <w:vAlign w:val="center"/>
          </w:tcPr>
          <w:p w:rsidR="009367D8" w:rsidRPr="00290772" w:rsidRDefault="009367D8" w:rsidP="00290772">
            <w:pPr>
              <w:jc w:val="both"/>
              <w:rPr>
                <w:color w:val="000000"/>
                <w:sz w:val="26"/>
                <w:szCs w:val="26"/>
              </w:rPr>
            </w:pPr>
            <w:r w:rsidRPr="00290772">
              <w:rPr>
                <w:color w:val="000000"/>
                <w:sz w:val="26"/>
                <w:szCs w:val="26"/>
              </w:rPr>
              <w:t>1.</w:t>
            </w:r>
          </w:p>
        </w:tc>
        <w:tc>
          <w:tcPr>
            <w:tcW w:w="2922" w:type="dxa"/>
            <w:gridSpan w:val="6"/>
            <w:tcBorders>
              <w:top w:val="single" w:sz="4" w:space="0" w:color="000000"/>
              <w:left w:val="single" w:sz="4" w:space="0" w:color="000000"/>
              <w:bottom w:val="single" w:sz="4" w:space="0" w:color="000000"/>
            </w:tcBorders>
            <w:vAlign w:val="center"/>
          </w:tcPr>
          <w:p w:rsidR="009367D8" w:rsidRPr="00290772" w:rsidRDefault="009367D8" w:rsidP="00290772">
            <w:pPr>
              <w:jc w:val="both"/>
              <w:rPr>
                <w:color w:val="000000"/>
                <w:sz w:val="26"/>
                <w:szCs w:val="26"/>
              </w:rPr>
            </w:pPr>
            <w:r w:rsidRPr="00290772">
              <w:rPr>
                <w:color w:val="000000"/>
                <w:sz w:val="26"/>
                <w:szCs w:val="26"/>
              </w:rPr>
              <w:t>Nepieciešamie saistītie tiesību aktu projekti</w:t>
            </w:r>
          </w:p>
        </w:tc>
        <w:tc>
          <w:tcPr>
            <w:tcW w:w="6813" w:type="dxa"/>
            <w:gridSpan w:val="6"/>
            <w:tcBorders>
              <w:top w:val="single" w:sz="4" w:space="0" w:color="000000"/>
              <w:left w:val="single" w:sz="4" w:space="0" w:color="000000"/>
              <w:bottom w:val="single" w:sz="4" w:space="0" w:color="000000"/>
              <w:right w:val="single" w:sz="4" w:space="0" w:color="000000"/>
            </w:tcBorders>
            <w:vAlign w:val="center"/>
          </w:tcPr>
          <w:p w:rsidR="009367D8" w:rsidRPr="00290772" w:rsidRDefault="009367D8" w:rsidP="00290772">
            <w:pPr>
              <w:jc w:val="both"/>
              <w:rPr>
                <w:color w:val="000000"/>
                <w:sz w:val="26"/>
                <w:szCs w:val="26"/>
              </w:rPr>
            </w:pPr>
            <w:r w:rsidRPr="00290772">
              <w:rPr>
                <w:color w:val="000000"/>
                <w:sz w:val="26"/>
                <w:szCs w:val="26"/>
              </w:rPr>
              <w:t>Sakarā ar jauno amatu: „Operatīvais dežurants” ieviešanu Valsts policijā un „Filiāles vadītājs” ieviešanu Valsts policijas koledžā nepieciešams vienlaicīgi izdarīt grozījumus Ministru kabineta 2010.gada 29.jūnija noteikumos Nr.601 „Noteikumi par Iekšlietu ministrijas sistēmas iestāžu un Ieslodzījuma vietu pārvaldes amatpersonu ar speciālajām dienesta pakāpēm amatiem atbilstošajām augstākajām speciālajām dienesta pakāpēm”, lai noteiktu minētajam amatam augstāko speciālo dienesta pakāpi.</w:t>
            </w:r>
          </w:p>
        </w:tc>
      </w:tr>
      <w:tr w:rsidR="009367D8" w:rsidRPr="00EC690C" w:rsidTr="0091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306" w:type="dxa"/>
          <w:trHeight w:val="411"/>
        </w:trPr>
        <w:tc>
          <w:tcPr>
            <w:tcW w:w="755" w:type="dxa"/>
            <w:tcBorders>
              <w:top w:val="single" w:sz="4" w:space="0" w:color="000000"/>
              <w:left w:val="single" w:sz="4" w:space="0" w:color="000000"/>
              <w:bottom w:val="single" w:sz="4" w:space="0" w:color="000000"/>
            </w:tcBorders>
            <w:vAlign w:val="center"/>
          </w:tcPr>
          <w:p w:rsidR="009367D8" w:rsidRPr="00290772" w:rsidRDefault="009367D8" w:rsidP="00290772">
            <w:pPr>
              <w:jc w:val="both"/>
              <w:rPr>
                <w:color w:val="000000"/>
                <w:sz w:val="26"/>
                <w:szCs w:val="26"/>
              </w:rPr>
            </w:pPr>
            <w:r w:rsidRPr="00290772">
              <w:rPr>
                <w:color w:val="000000"/>
                <w:sz w:val="26"/>
                <w:szCs w:val="26"/>
              </w:rPr>
              <w:t>2.</w:t>
            </w:r>
          </w:p>
        </w:tc>
        <w:tc>
          <w:tcPr>
            <w:tcW w:w="2922" w:type="dxa"/>
            <w:gridSpan w:val="6"/>
            <w:tcBorders>
              <w:top w:val="single" w:sz="4" w:space="0" w:color="000000"/>
              <w:left w:val="single" w:sz="4" w:space="0" w:color="000000"/>
              <w:bottom w:val="single" w:sz="4" w:space="0" w:color="000000"/>
            </w:tcBorders>
            <w:vAlign w:val="center"/>
          </w:tcPr>
          <w:p w:rsidR="009367D8" w:rsidRPr="00290772" w:rsidRDefault="009367D8" w:rsidP="00290772">
            <w:pPr>
              <w:jc w:val="both"/>
              <w:rPr>
                <w:color w:val="000000"/>
                <w:sz w:val="26"/>
                <w:szCs w:val="26"/>
              </w:rPr>
            </w:pPr>
            <w:r w:rsidRPr="00290772">
              <w:rPr>
                <w:color w:val="000000"/>
                <w:sz w:val="26"/>
                <w:szCs w:val="26"/>
              </w:rPr>
              <w:t>Cita informācija</w:t>
            </w:r>
          </w:p>
        </w:tc>
        <w:tc>
          <w:tcPr>
            <w:tcW w:w="6813" w:type="dxa"/>
            <w:gridSpan w:val="6"/>
            <w:tcBorders>
              <w:top w:val="single" w:sz="4" w:space="0" w:color="000000"/>
              <w:left w:val="single" w:sz="4" w:space="0" w:color="000000"/>
              <w:bottom w:val="single" w:sz="4" w:space="0" w:color="000000"/>
              <w:right w:val="single" w:sz="4" w:space="0" w:color="000000"/>
            </w:tcBorders>
            <w:vAlign w:val="center"/>
          </w:tcPr>
          <w:p w:rsidR="009367D8" w:rsidRPr="00290772" w:rsidRDefault="009367D8" w:rsidP="00290772">
            <w:pPr>
              <w:jc w:val="both"/>
              <w:rPr>
                <w:color w:val="000000"/>
                <w:sz w:val="26"/>
                <w:szCs w:val="26"/>
              </w:rPr>
            </w:pPr>
            <w:r w:rsidRPr="00290772">
              <w:rPr>
                <w:color w:val="000000"/>
                <w:sz w:val="26"/>
                <w:szCs w:val="26"/>
              </w:rPr>
              <w:t>Nav.</w:t>
            </w:r>
          </w:p>
        </w:tc>
      </w:tr>
      <w:tr w:rsidR="009367D8" w:rsidRPr="00EC690C" w:rsidTr="0091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306" w:type="dxa"/>
        </w:trPr>
        <w:tc>
          <w:tcPr>
            <w:tcW w:w="10490" w:type="dxa"/>
            <w:gridSpan w:val="13"/>
            <w:tcBorders>
              <w:top w:val="single" w:sz="4" w:space="0" w:color="000000"/>
              <w:left w:val="single" w:sz="4" w:space="0" w:color="000000"/>
              <w:bottom w:val="single" w:sz="4" w:space="0" w:color="000000"/>
              <w:right w:val="single" w:sz="4" w:space="0" w:color="000000"/>
            </w:tcBorders>
            <w:vAlign w:val="center"/>
          </w:tcPr>
          <w:p w:rsidR="009367D8" w:rsidRPr="001D4188" w:rsidRDefault="00384646" w:rsidP="005E1BF7">
            <w:pPr>
              <w:pStyle w:val="BodyText"/>
            </w:pPr>
            <w:r w:rsidRPr="001D4188">
              <w:rPr>
                <w:lang w:eastAsia="lv-LV"/>
              </w:rPr>
              <w:t>VI. Sabiedrības līdzdalība un šīs līdzdalības rezultāti</w:t>
            </w:r>
          </w:p>
        </w:tc>
      </w:tr>
      <w:tr w:rsidR="009367D8" w:rsidRPr="00EC690C" w:rsidTr="0091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306" w:type="dxa"/>
          <w:trHeight w:val="834"/>
        </w:trPr>
        <w:tc>
          <w:tcPr>
            <w:tcW w:w="788" w:type="dxa"/>
            <w:gridSpan w:val="2"/>
            <w:tcBorders>
              <w:top w:val="single" w:sz="4" w:space="0" w:color="000000"/>
              <w:left w:val="single" w:sz="4" w:space="0" w:color="000000"/>
              <w:bottom w:val="single" w:sz="4" w:space="0" w:color="000000"/>
            </w:tcBorders>
            <w:vAlign w:val="center"/>
          </w:tcPr>
          <w:p w:rsidR="009367D8" w:rsidRPr="001D4188" w:rsidRDefault="009367D8" w:rsidP="00290772">
            <w:pPr>
              <w:rPr>
                <w:color w:val="000000"/>
                <w:sz w:val="26"/>
                <w:szCs w:val="26"/>
              </w:rPr>
            </w:pPr>
            <w:r w:rsidRPr="001D4188">
              <w:rPr>
                <w:color w:val="000000"/>
                <w:sz w:val="26"/>
                <w:szCs w:val="26"/>
              </w:rPr>
              <w:t>1.</w:t>
            </w:r>
          </w:p>
        </w:tc>
        <w:tc>
          <w:tcPr>
            <w:tcW w:w="2880" w:type="dxa"/>
            <w:gridSpan w:val="4"/>
            <w:tcBorders>
              <w:top w:val="single" w:sz="4" w:space="0" w:color="000000"/>
              <w:left w:val="single" w:sz="4" w:space="0" w:color="000000"/>
              <w:bottom w:val="single" w:sz="4" w:space="0" w:color="000000"/>
            </w:tcBorders>
            <w:vAlign w:val="center"/>
          </w:tcPr>
          <w:p w:rsidR="009367D8" w:rsidRPr="001D4188" w:rsidRDefault="00384646" w:rsidP="00290772">
            <w:pPr>
              <w:rPr>
                <w:color w:val="000000"/>
                <w:sz w:val="26"/>
                <w:szCs w:val="26"/>
              </w:rPr>
            </w:pPr>
            <w:r w:rsidRPr="001D4188">
              <w:rPr>
                <w:color w:val="000000"/>
                <w:sz w:val="26"/>
                <w:szCs w:val="26"/>
              </w:rPr>
              <w:t>Sabiedrības informēšana par projekta izstrādes uzsākšanu</w:t>
            </w:r>
          </w:p>
        </w:tc>
        <w:tc>
          <w:tcPr>
            <w:tcW w:w="6822" w:type="dxa"/>
            <w:gridSpan w:val="7"/>
            <w:tcBorders>
              <w:top w:val="single" w:sz="4" w:space="0" w:color="000000"/>
              <w:left w:val="single" w:sz="4" w:space="0" w:color="000000"/>
              <w:bottom w:val="single" w:sz="4" w:space="0" w:color="000000"/>
              <w:right w:val="single" w:sz="4" w:space="0" w:color="000000"/>
            </w:tcBorders>
            <w:vAlign w:val="center"/>
          </w:tcPr>
          <w:p w:rsidR="009367D8" w:rsidRPr="001D4188" w:rsidRDefault="00320F08" w:rsidP="00FA042E">
            <w:pPr>
              <w:jc w:val="both"/>
              <w:rPr>
                <w:color w:val="000000"/>
                <w:sz w:val="26"/>
                <w:szCs w:val="26"/>
              </w:rPr>
            </w:pPr>
            <w:r w:rsidRPr="001D4188">
              <w:rPr>
                <w:color w:val="000000"/>
                <w:sz w:val="26"/>
                <w:szCs w:val="26"/>
              </w:rPr>
              <w:t>Iekšlietu ministrijas mājas lapā sadaļā „Sabiedrības līdzdalība</w:t>
            </w:r>
            <w:r w:rsidR="00223BE8" w:rsidRPr="001D4188">
              <w:rPr>
                <w:color w:val="000000"/>
                <w:sz w:val="26"/>
                <w:szCs w:val="26"/>
              </w:rPr>
              <w:t xml:space="preserve"> (Diskusiju dokumenti)</w:t>
            </w:r>
            <w:r w:rsidRPr="001D4188">
              <w:rPr>
                <w:color w:val="000000"/>
                <w:sz w:val="26"/>
                <w:szCs w:val="26"/>
              </w:rPr>
              <w:t xml:space="preserve">” 2013.gada 29.oktobrī ievietots </w:t>
            </w:r>
            <w:r w:rsidR="002140BD" w:rsidRPr="001D4188">
              <w:rPr>
                <w:color w:val="000000"/>
                <w:sz w:val="26"/>
                <w:szCs w:val="26"/>
              </w:rPr>
              <w:t>Paziņojums par līdzdalības iespējām Ministru kabineta noteikumu „Grozījumi Ministru kabineta 2010.gada 21. jūnija noteikumos Nr.568 „Noteikumi par Iekšlietu ministrijas sistēmas iestāžu un Ieslodzījuma vietu pārvaldes amatpersonu ar speciālajām dienesta pakāpēm mēnešalgu un speciālajām piemaksām”” projekta izstrādes procesā</w:t>
            </w:r>
            <w:r w:rsidR="006662FC" w:rsidRPr="001D4188">
              <w:rPr>
                <w:color w:val="000000"/>
                <w:sz w:val="26"/>
                <w:szCs w:val="26"/>
              </w:rPr>
              <w:t>, lūdzot</w:t>
            </w:r>
            <w:r w:rsidRPr="001D4188">
              <w:rPr>
                <w:color w:val="000000"/>
                <w:sz w:val="26"/>
                <w:szCs w:val="26"/>
              </w:rPr>
              <w:t xml:space="preserve"> </w:t>
            </w:r>
            <w:r w:rsidR="006662FC" w:rsidRPr="001D4188">
              <w:rPr>
                <w:color w:val="000000"/>
                <w:sz w:val="26"/>
                <w:szCs w:val="26"/>
              </w:rPr>
              <w:t>v</w:t>
            </w:r>
            <w:r w:rsidRPr="001D4188">
              <w:rPr>
                <w:color w:val="000000"/>
                <w:sz w:val="26"/>
                <w:szCs w:val="26"/>
              </w:rPr>
              <w:t>iedokļus, iebildumus un priekšlikumus iesniegt līdz 2013.gada 15.novembrim</w:t>
            </w:r>
            <w:r w:rsidR="006662FC" w:rsidRPr="001D4188">
              <w:rPr>
                <w:color w:val="000000"/>
                <w:sz w:val="26"/>
                <w:szCs w:val="26"/>
              </w:rPr>
              <w:t>.</w:t>
            </w:r>
          </w:p>
        </w:tc>
      </w:tr>
      <w:tr w:rsidR="009367D8" w:rsidRPr="00EC690C" w:rsidTr="0091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306" w:type="dxa"/>
          <w:trHeight w:val="879"/>
        </w:trPr>
        <w:tc>
          <w:tcPr>
            <w:tcW w:w="788" w:type="dxa"/>
            <w:gridSpan w:val="2"/>
            <w:tcBorders>
              <w:top w:val="single" w:sz="4" w:space="0" w:color="000000"/>
              <w:left w:val="single" w:sz="4" w:space="0" w:color="000000"/>
              <w:bottom w:val="single" w:sz="4" w:space="0" w:color="000000"/>
            </w:tcBorders>
            <w:vAlign w:val="center"/>
          </w:tcPr>
          <w:p w:rsidR="009367D8" w:rsidRPr="001D4188" w:rsidRDefault="009367D8" w:rsidP="00290772">
            <w:pPr>
              <w:rPr>
                <w:color w:val="000000"/>
                <w:sz w:val="26"/>
                <w:szCs w:val="26"/>
              </w:rPr>
            </w:pPr>
            <w:r w:rsidRPr="001D4188">
              <w:rPr>
                <w:color w:val="000000"/>
                <w:sz w:val="26"/>
                <w:szCs w:val="26"/>
              </w:rPr>
              <w:t>2.</w:t>
            </w:r>
          </w:p>
        </w:tc>
        <w:tc>
          <w:tcPr>
            <w:tcW w:w="2880" w:type="dxa"/>
            <w:gridSpan w:val="4"/>
            <w:tcBorders>
              <w:top w:val="single" w:sz="4" w:space="0" w:color="000000"/>
              <w:left w:val="single" w:sz="4" w:space="0" w:color="000000"/>
              <w:bottom w:val="single" w:sz="4" w:space="0" w:color="000000"/>
            </w:tcBorders>
            <w:vAlign w:val="center"/>
          </w:tcPr>
          <w:p w:rsidR="009367D8" w:rsidRPr="001D4188" w:rsidRDefault="00384646" w:rsidP="00290772">
            <w:pPr>
              <w:rPr>
                <w:color w:val="000000"/>
                <w:sz w:val="26"/>
                <w:szCs w:val="26"/>
              </w:rPr>
            </w:pPr>
            <w:r w:rsidRPr="001D4188">
              <w:rPr>
                <w:color w:val="000000"/>
                <w:sz w:val="26"/>
                <w:szCs w:val="26"/>
              </w:rPr>
              <w:t>Sabiedrības līdzdalība projekta izstrādē</w:t>
            </w:r>
          </w:p>
        </w:tc>
        <w:tc>
          <w:tcPr>
            <w:tcW w:w="6822" w:type="dxa"/>
            <w:gridSpan w:val="7"/>
            <w:tcBorders>
              <w:top w:val="single" w:sz="4" w:space="0" w:color="000000"/>
              <w:left w:val="single" w:sz="4" w:space="0" w:color="000000"/>
              <w:bottom w:val="single" w:sz="4" w:space="0" w:color="000000"/>
              <w:right w:val="single" w:sz="4" w:space="0" w:color="000000"/>
            </w:tcBorders>
            <w:vAlign w:val="center"/>
          </w:tcPr>
          <w:p w:rsidR="0095587A" w:rsidRPr="001D4188" w:rsidRDefault="0095587A" w:rsidP="00FA042E">
            <w:pPr>
              <w:jc w:val="both"/>
              <w:rPr>
                <w:color w:val="000000"/>
                <w:sz w:val="26"/>
                <w:szCs w:val="26"/>
              </w:rPr>
            </w:pPr>
          </w:p>
          <w:p w:rsidR="009367D8" w:rsidRPr="001D4188" w:rsidRDefault="00E927A0" w:rsidP="00FA042E">
            <w:pPr>
              <w:jc w:val="both"/>
              <w:rPr>
                <w:color w:val="000000"/>
                <w:sz w:val="26"/>
                <w:szCs w:val="26"/>
              </w:rPr>
            </w:pPr>
            <w:r w:rsidRPr="001D4188">
              <w:rPr>
                <w:color w:val="000000"/>
                <w:sz w:val="26"/>
                <w:szCs w:val="26"/>
              </w:rPr>
              <w:t>I</w:t>
            </w:r>
            <w:r w:rsidR="00320F08" w:rsidRPr="001D4188">
              <w:rPr>
                <w:color w:val="000000"/>
                <w:sz w:val="26"/>
                <w:szCs w:val="26"/>
              </w:rPr>
              <w:t xml:space="preserve">nformācija par projektu sniegta </w:t>
            </w:r>
            <w:r w:rsidRPr="001D4188">
              <w:rPr>
                <w:color w:val="000000"/>
                <w:sz w:val="26"/>
                <w:szCs w:val="26"/>
              </w:rPr>
              <w:t xml:space="preserve">2013.gada 1.novembrī Iekšlietu ministrijas </w:t>
            </w:r>
            <w:r w:rsidR="004827EB" w:rsidRPr="001D4188">
              <w:rPr>
                <w:color w:val="000000"/>
                <w:sz w:val="26"/>
                <w:szCs w:val="26"/>
              </w:rPr>
              <w:t xml:space="preserve">atbildīgo amatpersonu </w:t>
            </w:r>
            <w:r w:rsidRPr="001D4188">
              <w:rPr>
                <w:color w:val="000000"/>
                <w:sz w:val="26"/>
                <w:szCs w:val="26"/>
              </w:rPr>
              <w:t xml:space="preserve">tikšanās laikā ar </w:t>
            </w:r>
            <w:r w:rsidR="00231F4B" w:rsidRPr="001D4188">
              <w:rPr>
                <w:color w:val="000000"/>
                <w:sz w:val="26"/>
                <w:szCs w:val="26"/>
              </w:rPr>
              <w:t xml:space="preserve">Latvijas Iekšlietu darbinieku arodbiedrības, Latvijas Apvienotās policistu arodbiedrības </w:t>
            </w:r>
            <w:r w:rsidR="004827EB" w:rsidRPr="001D4188">
              <w:rPr>
                <w:color w:val="000000"/>
                <w:sz w:val="26"/>
                <w:szCs w:val="26"/>
              </w:rPr>
              <w:t>un Latvijas sabiedrisko pakalpojumu un transporta darbinieku arodbiedrības pārstāvjiem</w:t>
            </w:r>
            <w:r w:rsidR="00223BE8" w:rsidRPr="001D4188">
              <w:rPr>
                <w:color w:val="000000"/>
                <w:sz w:val="26"/>
                <w:szCs w:val="26"/>
              </w:rPr>
              <w:t xml:space="preserve"> jautājumā par jaunu darba samaksas sistēmas koncepciju amatpersonām ar speciālajām dienesta pakāpēm</w:t>
            </w:r>
            <w:r w:rsidR="004827EB" w:rsidRPr="001D4188">
              <w:rPr>
                <w:color w:val="000000"/>
                <w:sz w:val="26"/>
                <w:szCs w:val="26"/>
              </w:rPr>
              <w:t>.</w:t>
            </w:r>
            <w:r w:rsidR="00223BE8" w:rsidRPr="001D4188">
              <w:rPr>
                <w:color w:val="000000"/>
                <w:sz w:val="26"/>
                <w:szCs w:val="26"/>
              </w:rPr>
              <w:t xml:space="preserve"> Pārējo arodbiedrību, kas pārstāv Iekšlietu ministrijas sistēmā nodarbinātos, pārstāvji uz tikšanos bija uzaicināti, bet nebija ieradušies.</w:t>
            </w:r>
          </w:p>
        </w:tc>
      </w:tr>
      <w:tr w:rsidR="009367D8" w:rsidRPr="00EC690C" w:rsidTr="0091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306" w:type="dxa"/>
          <w:trHeight w:val="725"/>
        </w:trPr>
        <w:tc>
          <w:tcPr>
            <w:tcW w:w="788" w:type="dxa"/>
            <w:gridSpan w:val="2"/>
            <w:tcBorders>
              <w:top w:val="single" w:sz="4" w:space="0" w:color="000000"/>
              <w:left w:val="single" w:sz="4" w:space="0" w:color="000000"/>
              <w:bottom w:val="single" w:sz="4" w:space="0" w:color="000000"/>
            </w:tcBorders>
            <w:vAlign w:val="center"/>
          </w:tcPr>
          <w:p w:rsidR="009367D8" w:rsidRPr="001D4188" w:rsidRDefault="009367D8" w:rsidP="00290772">
            <w:pPr>
              <w:rPr>
                <w:color w:val="000000"/>
                <w:sz w:val="26"/>
                <w:szCs w:val="26"/>
              </w:rPr>
            </w:pPr>
            <w:r w:rsidRPr="001D4188">
              <w:rPr>
                <w:color w:val="000000"/>
                <w:sz w:val="26"/>
                <w:szCs w:val="26"/>
              </w:rPr>
              <w:t>3.</w:t>
            </w:r>
          </w:p>
        </w:tc>
        <w:tc>
          <w:tcPr>
            <w:tcW w:w="2880" w:type="dxa"/>
            <w:gridSpan w:val="4"/>
            <w:tcBorders>
              <w:top w:val="single" w:sz="4" w:space="0" w:color="000000"/>
              <w:left w:val="single" w:sz="4" w:space="0" w:color="000000"/>
              <w:bottom w:val="single" w:sz="4" w:space="0" w:color="000000"/>
            </w:tcBorders>
            <w:vAlign w:val="center"/>
          </w:tcPr>
          <w:p w:rsidR="009367D8" w:rsidRPr="001D4188" w:rsidRDefault="00384646" w:rsidP="00290772">
            <w:pPr>
              <w:rPr>
                <w:color w:val="000000"/>
                <w:sz w:val="26"/>
                <w:szCs w:val="26"/>
              </w:rPr>
            </w:pPr>
            <w:r w:rsidRPr="001D4188">
              <w:rPr>
                <w:color w:val="000000"/>
                <w:sz w:val="26"/>
                <w:szCs w:val="26"/>
              </w:rPr>
              <w:t>Sabiedrības līdzdalības rezultāti</w:t>
            </w:r>
          </w:p>
        </w:tc>
        <w:tc>
          <w:tcPr>
            <w:tcW w:w="6822" w:type="dxa"/>
            <w:gridSpan w:val="7"/>
            <w:tcBorders>
              <w:top w:val="single" w:sz="4" w:space="0" w:color="000000"/>
              <w:left w:val="single" w:sz="4" w:space="0" w:color="000000"/>
              <w:bottom w:val="single" w:sz="4" w:space="0" w:color="000000"/>
              <w:right w:val="single" w:sz="4" w:space="0" w:color="000000"/>
            </w:tcBorders>
            <w:vAlign w:val="center"/>
          </w:tcPr>
          <w:p w:rsidR="009367D8" w:rsidRPr="001D4188" w:rsidRDefault="0095587A" w:rsidP="00FA042E">
            <w:pPr>
              <w:jc w:val="both"/>
              <w:rPr>
                <w:color w:val="000000"/>
                <w:sz w:val="26"/>
                <w:szCs w:val="26"/>
              </w:rPr>
            </w:pPr>
            <w:r w:rsidRPr="001D4188">
              <w:rPr>
                <w:color w:val="000000"/>
                <w:sz w:val="26"/>
                <w:szCs w:val="26"/>
              </w:rPr>
              <w:t xml:space="preserve"> </w:t>
            </w:r>
            <w:r w:rsidR="006662FC" w:rsidRPr="001D4188">
              <w:rPr>
                <w:color w:val="000000"/>
                <w:sz w:val="26"/>
                <w:szCs w:val="26"/>
              </w:rPr>
              <w:t xml:space="preserve">No sabiedrības pārstāvjiem viedokļi, iebildumi un </w:t>
            </w:r>
            <w:r w:rsidRPr="001D4188">
              <w:rPr>
                <w:color w:val="000000"/>
                <w:sz w:val="26"/>
                <w:szCs w:val="26"/>
              </w:rPr>
              <w:t xml:space="preserve">  </w:t>
            </w:r>
            <w:r w:rsidR="006662FC" w:rsidRPr="001D4188">
              <w:rPr>
                <w:color w:val="000000"/>
                <w:sz w:val="26"/>
                <w:szCs w:val="26"/>
              </w:rPr>
              <w:t>priekšlikumi par projektu nav saņemti.</w:t>
            </w:r>
          </w:p>
        </w:tc>
      </w:tr>
      <w:tr w:rsidR="009367D8" w:rsidRPr="00EC690C" w:rsidTr="0091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306" w:type="dxa"/>
          <w:trHeight w:val="1331"/>
        </w:trPr>
        <w:tc>
          <w:tcPr>
            <w:tcW w:w="788" w:type="dxa"/>
            <w:gridSpan w:val="2"/>
            <w:tcBorders>
              <w:top w:val="single" w:sz="4" w:space="0" w:color="000000"/>
              <w:left w:val="single" w:sz="4" w:space="0" w:color="000000"/>
              <w:bottom w:val="single" w:sz="4" w:space="0" w:color="000000"/>
            </w:tcBorders>
            <w:vAlign w:val="center"/>
          </w:tcPr>
          <w:p w:rsidR="009367D8" w:rsidRPr="001D4188" w:rsidRDefault="009367D8" w:rsidP="00290772">
            <w:pPr>
              <w:rPr>
                <w:color w:val="000000"/>
                <w:sz w:val="26"/>
                <w:szCs w:val="26"/>
              </w:rPr>
            </w:pPr>
            <w:r w:rsidRPr="001D4188">
              <w:rPr>
                <w:color w:val="000000"/>
                <w:sz w:val="26"/>
                <w:szCs w:val="26"/>
              </w:rPr>
              <w:lastRenderedPageBreak/>
              <w:t>4.</w:t>
            </w:r>
          </w:p>
        </w:tc>
        <w:tc>
          <w:tcPr>
            <w:tcW w:w="2880" w:type="dxa"/>
            <w:gridSpan w:val="4"/>
            <w:tcBorders>
              <w:top w:val="single" w:sz="4" w:space="0" w:color="000000"/>
              <w:left w:val="single" w:sz="4" w:space="0" w:color="000000"/>
              <w:bottom w:val="single" w:sz="4" w:space="0" w:color="000000"/>
            </w:tcBorders>
            <w:vAlign w:val="center"/>
          </w:tcPr>
          <w:p w:rsidR="009367D8" w:rsidRPr="001D4188" w:rsidRDefault="00384646" w:rsidP="00290772">
            <w:pPr>
              <w:rPr>
                <w:color w:val="000000"/>
                <w:sz w:val="26"/>
                <w:szCs w:val="26"/>
              </w:rPr>
            </w:pPr>
            <w:r w:rsidRPr="001D4188">
              <w:rPr>
                <w:color w:val="000000"/>
                <w:sz w:val="26"/>
                <w:szCs w:val="26"/>
              </w:rPr>
              <w:t>Saeimas un ekspertu līdzdalība</w:t>
            </w:r>
          </w:p>
        </w:tc>
        <w:tc>
          <w:tcPr>
            <w:tcW w:w="6822" w:type="dxa"/>
            <w:gridSpan w:val="7"/>
            <w:tcBorders>
              <w:top w:val="single" w:sz="4" w:space="0" w:color="000000"/>
              <w:left w:val="single" w:sz="4" w:space="0" w:color="000000"/>
              <w:bottom w:val="single" w:sz="4" w:space="0" w:color="000000"/>
              <w:right w:val="single" w:sz="4" w:space="0" w:color="000000"/>
            </w:tcBorders>
            <w:vAlign w:val="center"/>
          </w:tcPr>
          <w:p w:rsidR="009367D8" w:rsidRPr="001D4188" w:rsidRDefault="0095587A" w:rsidP="00290772">
            <w:pPr>
              <w:rPr>
                <w:color w:val="000000"/>
                <w:sz w:val="26"/>
                <w:szCs w:val="26"/>
              </w:rPr>
            </w:pPr>
            <w:r w:rsidRPr="001D4188">
              <w:rPr>
                <w:color w:val="000000"/>
                <w:sz w:val="26"/>
                <w:szCs w:val="26"/>
              </w:rPr>
              <w:t xml:space="preserve"> Projekts šo jomu neskar.</w:t>
            </w:r>
          </w:p>
        </w:tc>
      </w:tr>
      <w:tr w:rsidR="009367D8" w:rsidRPr="00EC690C" w:rsidTr="0091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306" w:type="dxa"/>
          <w:trHeight w:val="1122"/>
        </w:trPr>
        <w:tc>
          <w:tcPr>
            <w:tcW w:w="788" w:type="dxa"/>
            <w:gridSpan w:val="2"/>
            <w:tcBorders>
              <w:top w:val="single" w:sz="4" w:space="0" w:color="000000"/>
              <w:left w:val="single" w:sz="4" w:space="0" w:color="000000"/>
              <w:bottom w:val="single" w:sz="4" w:space="0" w:color="000000"/>
            </w:tcBorders>
            <w:vAlign w:val="center"/>
          </w:tcPr>
          <w:p w:rsidR="009367D8" w:rsidRPr="001D4188" w:rsidRDefault="009367D8" w:rsidP="00290772">
            <w:pPr>
              <w:rPr>
                <w:color w:val="000000"/>
                <w:sz w:val="26"/>
                <w:szCs w:val="26"/>
              </w:rPr>
            </w:pPr>
            <w:r w:rsidRPr="001D4188">
              <w:rPr>
                <w:color w:val="000000"/>
                <w:sz w:val="26"/>
                <w:szCs w:val="26"/>
              </w:rPr>
              <w:t>5.</w:t>
            </w:r>
          </w:p>
        </w:tc>
        <w:tc>
          <w:tcPr>
            <w:tcW w:w="2880" w:type="dxa"/>
            <w:gridSpan w:val="4"/>
            <w:tcBorders>
              <w:top w:val="single" w:sz="4" w:space="0" w:color="000000"/>
              <w:left w:val="single" w:sz="4" w:space="0" w:color="000000"/>
              <w:bottom w:val="single" w:sz="4" w:space="0" w:color="000000"/>
            </w:tcBorders>
            <w:vAlign w:val="center"/>
          </w:tcPr>
          <w:p w:rsidR="009367D8" w:rsidRPr="001D4188" w:rsidRDefault="00384646" w:rsidP="00290772">
            <w:pPr>
              <w:rPr>
                <w:color w:val="000000"/>
                <w:sz w:val="26"/>
                <w:szCs w:val="26"/>
              </w:rPr>
            </w:pPr>
            <w:r w:rsidRPr="001D4188">
              <w:rPr>
                <w:color w:val="000000"/>
                <w:sz w:val="26"/>
                <w:szCs w:val="26"/>
              </w:rPr>
              <w:t>Cita informācija</w:t>
            </w:r>
          </w:p>
        </w:tc>
        <w:tc>
          <w:tcPr>
            <w:tcW w:w="6822" w:type="dxa"/>
            <w:gridSpan w:val="7"/>
            <w:tcBorders>
              <w:top w:val="single" w:sz="4" w:space="0" w:color="000000"/>
              <w:left w:val="single" w:sz="4" w:space="0" w:color="000000"/>
              <w:bottom w:val="single" w:sz="4" w:space="0" w:color="000000"/>
              <w:right w:val="single" w:sz="4" w:space="0" w:color="000000"/>
            </w:tcBorders>
            <w:vAlign w:val="center"/>
          </w:tcPr>
          <w:p w:rsidR="009367D8" w:rsidRPr="001D4188" w:rsidRDefault="0095587A" w:rsidP="00290772">
            <w:pPr>
              <w:rPr>
                <w:color w:val="000000"/>
                <w:sz w:val="26"/>
                <w:szCs w:val="26"/>
              </w:rPr>
            </w:pPr>
            <w:r w:rsidRPr="001D4188">
              <w:rPr>
                <w:color w:val="000000"/>
                <w:sz w:val="26"/>
                <w:szCs w:val="26"/>
              </w:rPr>
              <w:t xml:space="preserve"> Nav.</w:t>
            </w:r>
          </w:p>
        </w:tc>
      </w:tr>
    </w:tbl>
    <w:p w:rsidR="009367D8" w:rsidRPr="00EC690C" w:rsidRDefault="009367D8" w:rsidP="0007077C">
      <w:pPr>
        <w:rPr>
          <w:iCs/>
          <w:sz w:val="28"/>
          <w:szCs w:val="28"/>
          <w:lang w:eastAsia="lv-LV"/>
        </w:rPr>
      </w:pPr>
    </w:p>
    <w:tbl>
      <w:tblPr>
        <w:tblW w:w="10490" w:type="dxa"/>
        <w:tblInd w:w="-562" w:type="dxa"/>
        <w:tblLayout w:type="fixed"/>
        <w:tblCellMar>
          <w:left w:w="0" w:type="dxa"/>
          <w:right w:w="0" w:type="dxa"/>
        </w:tblCellMar>
        <w:tblLook w:val="0000" w:firstRow="0" w:lastRow="0" w:firstColumn="0" w:lastColumn="0" w:noHBand="0" w:noVBand="0"/>
      </w:tblPr>
      <w:tblGrid>
        <w:gridCol w:w="709"/>
        <w:gridCol w:w="2835"/>
        <w:gridCol w:w="6907"/>
        <w:gridCol w:w="39"/>
      </w:tblGrid>
      <w:tr w:rsidR="00384646" w:rsidRPr="00EC690C" w:rsidTr="00FA042E">
        <w:trPr>
          <w:gridAfter w:val="1"/>
          <w:wAfter w:w="39" w:type="dxa"/>
        </w:trPr>
        <w:tc>
          <w:tcPr>
            <w:tcW w:w="10451" w:type="dxa"/>
            <w:gridSpan w:val="3"/>
            <w:tcBorders>
              <w:top w:val="single" w:sz="4" w:space="0" w:color="000000"/>
              <w:left w:val="single" w:sz="4" w:space="0" w:color="000000"/>
              <w:bottom w:val="single" w:sz="4" w:space="0" w:color="000000"/>
              <w:right w:val="single" w:sz="4" w:space="0" w:color="000000"/>
            </w:tcBorders>
            <w:vAlign w:val="center"/>
          </w:tcPr>
          <w:p w:rsidR="00384646" w:rsidRPr="00EC690C" w:rsidRDefault="00384646" w:rsidP="0055517B">
            <w:pPr>
              <w:pStyle w:val="BodyText"/>
            </w:pPr>
            <w:r w:rsidRPr="00EC690C">
              <w:rPr>
                <w:szCs w:val="28"/>
              </w:rPr>
              <w:t>VII. Tiesību akta projekta izpildes nodrošināšana un tās ietekme uz institūcijām</w:t>
            </w:r>
          </w:p>
        </w:tc>
      </w:tr>
      <w:tr w:rsidR="00384646" w:rsidRPr="00EC690C" w:rsidTr="00FA042E">
        <w:trPr>
          <w:trHeight w:val="834"/>
        </w:trPr>
        <w:tc>
          <w:tcPr>
            <w:tcW w:w="709" w:type="dxa"/>
            <w:tcBorders>
              <w:top w:val="single" w:sz="4" w:space="0" w:color="000000"/>
              <w:left w:val="single" w:sz="4" w:space="0" w:color="000000"/>
              <w:bottom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1.</w:t>
            </w:r>
          </w:p>
        </w:tc>
        <w:tc>
          <w:tcPr>
            <w:tcW w:w="2835" w:type="dxa"/>
            <w:tcBorders>
              <w:top w:val="single" w:sz="4" w:space="0" w:color="000000"/>
              <w:left w:val="single" w:sz="4" w:space="0" w:color="000000"/>
              <w:bottom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 xml:space="preserve">Projekta izpildē iesaistītās institūcijas </w:t>
            </w:r>
          </w:p>
        </w:tc>
        <w:tc>
          <w:tcPr>
            <w:tcW w:w="6946" w:type="dxa"/>
            <w:gridSpan w:val="2"/>
            <w:tcBorders>
              <w:top w:val="single" w:sz="4" w:space="0" w:color="000000"/>
              <w:left w:val="single" w:sz="4" w:space="0" w:color="000000"/>
              <w:bottom w:val="single" w:sz="4" w:space="0" w:color="000000"/>
              <w:right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Valsts policija, Valsts robežsardze, Valsts ugunsdzēsības un glābšanas dienests, Valsts policijas koledža, Valsts robežsardzes koledža, Ugunsdrošības un civilās aizsardzības koledža, Iekšlietu ministrijas Informācijas centrs, Ieslodzījuma vietu pārvalde.</w:t>
            </w:r>
          </w:p>
        </w:tc>
      </w:tr>
      <w:tr w:rsidR="00384646" w:rsidRPr="00EC690C" w:rsidTr="00FA042E">
        <w:trPr>
          <w:trHeight w:val="879"/>
        </w:trPr>
        <w:tc>
          <w:tcPr>
            <w:tcW w:w="709" w:type="dxa"/>
            <w:tcBorders>
              <w:top w:val="single" w:sz="4" w:space="0" w:color="000000"/>
              <w:left w:val="single" w:sz="4" w:space="0" w:color="000000"/>
              <w:bottom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2.</w:t>
            </w:r>
          </w:p>
        </w:tc>
        <w:tc>
          <w:tcPr>
            <w:tcW w:w="2835" w:type="dxa"/>
            <w:tcBorders>
              <w:top w:val="single" w:sz="4" w:space="0" w:color="000000"/>
              <w:left w:val="single" w:sz="4" w:space="0" w:color="000000"/>
              <w:bottom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 xml:space="preserve">Projekta izpildes ietekme uz pārvaldes funkcijām </w:t>
            </w:r>
          </w:p>
        </w:tc>
        <w:tc>
          <w:tcPr>
            <w:tcW w:w="6946" w:type="dxa"/>
            <w:gridSpan w:val="2"/>
            <w:tcBorders>
              <w:top w:val="single" w:sz="4" w:space="0" w:color="000000"/>
              <w:left w:val="single" w:sz="4" w:space="0" w:color="000000"/>
              <w:bottom w:val="single" w:sz="4" w:space="0" w:color="000000"/>
              <w:right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 xml:space="preserve"> Projekts šo jomu neskar.</w:t>
            </w:r>
          </w:p>
        </w:tc>
      </w:tr>
      <w:tr w:rsidR="00384646" w:rsidRPr="00EC690C" w:rsidTr="00FA042E">
        <w:trPr>
          <w:trHeight w:val="725"/>
        </w:trPr>
        <w:tc>
          <w:tcPr>
            <w:tcW w:w="709" w:type="dxa"/>
            <w:tcBorders>
              <w:top w:val="single" w:sz="4" w:space="0" w:color="000000"/>
              <w:left w:val="single" w:sz="4" w:space="0" w:color="000000"/>
              <w:bottom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3.</w:t>
            </w:r>
          </w:p>
        </w:tc>
        <w:tc>
          <w:tcPr>
            <w:tcW w:w="2835" w:type="dxa"/>
            <w:tcBorders>
              <w:top w:val="single" w:sz="4" w:space="0" w:color="000000"/>
              <w:left w:val="single" w:sz="4" w:space="0" w:color="000000"/>
              <w:bottom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Projekta izpildes ietekme uz pārvaldes institucionālo struktūru.</w:t>
            </w:r>
          </w:p>
          <w:p w:rsidR="00384646" w:rsidRPr="00290772" w:rsidRDefault="00384646" w:rsidP="0055517B">
            <w:pPr>
              <w:jc w:val="both"/>
              <w:rPr>
                <w:color w:val="000000"/>
                <w:sz w:val="26"/>
                <w:szCs w:val="26"/>
              </w:rPr>
            </w:pPr>
            <w:r w:rsidRPr="00290772">
              <w:rPr>
                <w:color w:val="000000"/>
                <w:sz w:val="26"/>
                <w:szCs w:val="26"/>
              </w:rPr>
              <w:t>Jaunu institūciju izveide.</w:t>
            </w:r>
          </w:p>
        </w:tc>
        <w:tc>
          <w:tcPr>
            <w:tcW w:w="6946" w:type="dxa"/>
            <w:gridSpan w:val="2"/>
            <w:tcBorders>
              <w:top w:val="single" w:sz="4" w:space="0" w:color="000000"/>
              <w:left w:val="single" w:sz="4" w:space="0" w:color="000000"/>
              <w:bottom w:val="single" w:sz="4" w:space="0" w:color="000000"/>
              <w:right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Projekts šo jomu neskar.</w:t>
            </w:r>
          </w:p>
        </w:tc>
      </w:tr>
      <w:tr w:rsidR="00384646" w:rsidRPr="00EC690C" w:rsidTr="00FA042E">
        <w:trPr>
          <w:trHeight w:val="1331"/>
        </w:trPr>
        <w:tc>
          <w:tcPr>
            <w:tcW w:w="709" w:type="dxa"/>
            <w:tcBorders>
              <w:top w:val="single" w:sz="4" w:space="0" w:color="000000"/>
              <w:left w:val="single" w:sz="4" w:space="0" w:color="000000"/>
              <w:bottom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4.</w:t>
            </w:r>
          </w:p>
        </w:tc>
        <w:tc>
          <w:tcPr>
            <w:tcW w:w="2835" w:type="dxa"/>
            <w:tcBorders>
              <w:top w:val="single" w:sz="4" w:space="0" w:color="000000"/>
              <w:left w:val="single" w:sz="4" w:space="0" w:color="000000"/>
              <w:bottom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Projekta izpildes ietekme uz pārvaldes institucionālo struktūru.</w:t>
            </w:r>
          </w:p>
          <w:p w:rsidR="00384646" w:rsidRPr="00290772" w:rsidRDefault="00384646" w:rsidP="0055517B">
            <w:pPr>
              <w:jc w:val="both"/>
              <w:rPr>
                <w:color w:val="000000"/>
                <w:sz w:val="26"/>
                <w:szCs w:val="26"/>
              </w:rPr>
            </w:pPr>
            <w:r w:rsidRPr="00290772">
              <w:rPr>
                <w:color w:val="000000"/>
                <w:sz w:val="26"/>
                <w:szCs w:val="26"/>
              </w:rPr>
              <w:t>Esošu institūciju likvidācija.</w:t>
            </w:r>
          </w:p>
        </w:tc>
        <w:tc>
          <w:tcPr>
            <w:tcW w:w="6946" w:type="dxa"/>
            <w:gridSpan w:val="2"/>
            <w:tcBorders>
              <w:top w:val="single" w:sz="4" w:space="0" w:color="000000"/>
              <w:left w:val="single" w:sz="4" w:space="0" w:color="000000"/>
              <w:bottom w:val="single" w:sz="4" w:space="0" w:color="000000"/>
              <w:right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Projekts šo jomu neskar.</w:t>
            </w:r>
          </w:p>
        </w:tc>
      </w:tr>
      <w:tr w:rsidR="00384646" w:rsidRPr="00EC690C" w:rsidTr="00FA042E">
        <w:trPr>
          <w:trHeight w:val="1122"/>
        </w:trPr>
        <w:tc>
          <w:tcPr>
            <w:tcW w:w="709" w:type="dxa"/>
            <w:tcBorders>
              <w:top w:val="single" w:sz="4" w:space="0" w:color="000000"/>
              <w:left w:val="single" w:sz="4" w:space="0" w:color="000000"/>
              <w:bottom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5.</w:t>
            </w:r>
          </w:p>
        </w:tc>
        <w:tc>
          <w:tcPr>
            <w:tcW w:w="2835" w:type="dxa"/>
            <w:tcBorders>
              <w:top w:val="single" w:sz="4" w:space="0" w:color="000000"/>
              <w:left w:val="single" w:sz="4" w:space="0" w:color="000000"/>
              <w:bottom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Projekta izpildes ietekme uz pārvaldes institucionālo struktūru.</w:t>
            </w:r>
          </w:p>
          <w:p w:rsidR="00384646" w:rsidRPr="00290772" w:rsidRDefault="00384646" w:rsidP="0055517B">
            <w:pPr>
              <w:jc w:val="both"/>
              <w:rPr>
                <w:color w:val="000000"/>
                <w:sz w:val="26"/>
                <w:szCs w:val="26"/>
              </w:rPr>
            </w:pPr>
            <w:r w:rsidRPr="00290772">
              <w:rPr>
                <w:color w:val="000000"/>
                <w:sz w:val="26"/>
                <w:szCs w:val="26"/>
              </w:rPr>
              <w:t>Esošu institūciju reorganizācija.</w:t>
            </w:r>
          </w:p>
        </w:tc>
        <w:tc>
          <w:tcPr>
            <w:tcW w:w="6946" w:type="dxa"/>
            <w:gridSpan w:val="2"/>
            <w:tcBorders>
              <w:top w:val="single" w:sz="4" w:space="0" w:color="000000"/>
              <w:left w:val="single" w:sz="4" w:space="0" w:color="000000"/>
              <w:bottom w:val="single" w:sz="4" w:space="0" w:color="000000"/>
              <w:right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Projekts šo jomu neskar.</w:t>
            </w:r>
          </w:p>
        </w:tc>
      </w:tr>
      <w:tr w:rsidR="00384646" w:rsidRPr="00EC690C" w:rsidTr="00FA042E">
        <w:trPr>
          <w:trHeight w:val="476"/>
        </w:trPr>
        <w:tc>
          <w:tcPr>
            <w:tcW w:w="709" w:type="dxa"/>
            <w:tcBorders>
              <w:top w:val="single" w:sz="4" w:space="0" w:color="000000"/>
              <w:left w:val="single" w:sz="4" w:space="0" w:color="000000"/>
              <w:bottom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6.</w:t>
            </w:r>
          </w:p>
        </w:tc>
        <w:tc>
          <w:tcPr>
            <w:tcW w:w="2835" w:type="dxa"/>
            <w:tcBorders>
              <w:top w:val="single" w:sz="4" w:space="0" w:color="000000"/>
              <w:left w:val="single" w:sz="4" w:space="0" w:color="000000"/>
              <w:bottom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Cita informācija.</w:t>
            </w:r>
          </w:p>
        </w:tc>
        <w:tc>
          <w:tcPr>
            <w:tcW w:w="6946" w:type="dxa"/>
            <w:gridSpan w:val="2"/>
            <w:tcBorders>
              <w:top w:val="single" w:sz="4" w:space="0" w:color="000000"/>
              <w:left w:val="single" w:sz="4" w:space="0" w:color="000000"/>
              <w:bottom w:val="single" w:sz="4" w:space="0" w:color="000000"/>
              <w:right w:val="single" w:sz="4" w:space="0" w:color="000000"/>
            </w:tcBorders>
            <w:vAlign w:val="center"/>
          </w:tcPr>
          <w:p w:rsidR="00384646" w:rsidRPr="00290772" w:rsidRDefault="00384646" w:rsidP="0055517B">
            <w:pPr>
              <w:jc w:val="both"/>
              <w:rPr>
                <w:color w:val="000000"/>
                <w:sz w:val="26"/>
                <w:szCs w:val="26"/>
              </w:rPr>
            </w:pPr>
            <w:r w:rsidRPr="00290772">
              <w:rPr>
                <w:color w:val="000000"/>
                <w:sz w:val="26"/>
                <w:szCs w:val="26"/>
              </w:rPr>
              <w:t xml:space="preserve">Nav. </w:t>
            </w:r>
          </w:p>
        </w:tc>
      </w:tr>
    </w:tbl>
    <w:p w:rsidR="009367D8" w:rsidRPr="00EC690C" w:rsidRDefault="009367D8" w:rsidP="0007077C">
      <w:pPr>
        <w:rPr>
          <w:sz w:val="28"/>
          <w:szCs w:val="28"/>
          <w:lang w:eastAsia="lv-LV"/>
        </w:rPr>
      </w:pPr>
      <w:r w:rsidRPr="00EC690C">
        <w:rPr>
          <w:iCs/>
          <w:sz w:val="28"/>
          <w:szCs w:val="28"/>
          <w:lang w:eastAsia="lv-LV"/>
        </w:rPr>
        <w:t xml:space="preserve">Anotācijas </w:t>
      </w:r>
      <w:r w:rsidRPr="001D4188">
        <w:rPr>
          <w:iCs/>
          <w:sz w:val="28"/>
          <w:szCs w:val="28"/>
          <w:lang w:eastAsia="lv-LV"/>
        </w:rPr>
        <w:t>V sadaļa</w:t>
      </w:r>
      <w:r w:rsidRPr="00EC690C">
        <w:rPr>
          <w:iCs/>
          <w:sz w:val="28"/>
          <w:szCs w:val="28"/>
          <w:lang w:eastAsia="lv-LV"/>
        </w:rPr>
        <w:t xml:space="preserve"> – </w:t>
      </w:r>
      <w:r w:rsidRPr="00EC690C">
        <w:rPr>
          <w:sz w:val="28"/>
          <w:szCs w:val="28"/>
          <w:lang w:eastAsia="lv-LV"/>
        </w:rPr>
        <w:t>projekts šo jomu neskar.</w:t>
      </w:r>
    </w:p>
    <w:p w:rsidR="009367D8" w:rsidRPr="00EC690C" w:rsidRDefault="009367D8" w:rsidP="00C338A6">
      <w:pPr>
        <w:jc w:val="both"/>
        <w:rPr>
          <w:sz w:val="28"/>
          <w:szCs w:val="28"/>
        </w:rPr>
      </w:pPr>
    </w:p>
    <w:p w:rsidR="00290772" w:rsidRDefault="00290772" w:rsidP="00C338A6">
      <w:pPr>
        <w:jc w:val="both"/>
        <w:rPr>
          <w:sz w:val="28"/>
          <w:szCs w:val="28"/>
        </w:rPr>
      </w:pPr>
    </w:p>
    <w:p w:rsidR="009367D8" w:rsidRPr="00EC690C" w:rsidRDefault="009367D8" w:rsidP="00C338A6">
      <w:pPr>
        <w:jc w:val="both"/>
        <w:rPr>
          <w:sz w:val="28"/>
          <w:szCs w:val="28"/>
        </w:rPr>
      </w:pPr>
      <w:r w:rsidRPr="00EC690C">
        <w:rPr>
          <w:sz w:val="28"/>
          <w:szCs w:val="28"/>
        </w:rPr>
        <w:t>Iekšlietu ministrs</w:t>
      </w:r>
      <w:r w:rsidRPr="00EC690C">
        <w:rPr>
          <w:sz w:val="28"/>
          <w:szCs w:val="28"/>
        </w:rPr>
        <w:tab/>
      </w:r>
      <w:r w:rsidRPr="00EC690C">
        <w:rPr>
          <w:sz w:val="28"/>
          <w:szCs w:val="28"/>
        </w:rPr>
        <w:tab/>
      </w:r>
      <w:r w:rsidRPr="00EC690C">
        <w:rPr>
          <w:sz w:val="28"/>
          <w:szCs w:val="28"/>
        </w:rPr>
        <w:tab/>
      </w:r>
      <w:r w:rsidRPr="00EC690C">
        <w:rPr>
          <w:sz w:val="28"/>
          <w:szCs w:val="28"/>
        </w:rPr>
        <w:tab/>
      </w:r>
      <w:r w:rsidRPr="00EC690C">
        <w:rPr>
          <w:sz w:val="28"/>
          <w:szCs w:val="28"/>
        </w:rPr>
        <w:tab/>
        <w:t xml:space="preserve">             R. Kozlovskis</w:t>
      </w:r>
    </w:p>
    <w:p w:rsidR="009367D8" w:rsidRPr="00EC690C" w:rsidRDefault="009367D8" w:rsidP="00C338A6">
      <w:pPr>
        <w:jc w:val="both"/>
        <w:rPr>
          <w:sz w:val="28"/>
          <w:szCs w:val="28"/>
        </w:rPr>
      </w:pPr>
    </w:p>
    <w:p w:rsidR="009367D8" w:rsidRPr="00EC690C" w:rsidRDefault="009367D8" w:rsidP="0079378B">
      <w:pPr>
        <w:pStyle w:val="naisf"/>
        <w:tabs>
          <w:tab w:val="left" w:pos="6005"/>
        </w:tabs>
        <w:ind w:firstLine="0"/>
        <w:rPr>
          <w:color w:val="000000"/>
          <w:sz w:val="20"/>
          <w:szCs w:val="20"/>
        </w:rPr>
      </w:pPr>
      <w:r w:rsidRPr="00EC690C">
        <w:rPr>
          <w:sz w:val="28"/>
          <w:szCs w:val="28"/>
        </w:rPr>
        <w:t>Vīza: valsts sekretāre</w:t>
      </w:r>
      <w:r w:rsidRPr="00EC690C">
        <w:rPr>
          <w:sz w:val="28"/>
          <w:szCs w:val="28"/>
        </w:rPr>
        <w:tab/>
        <w:t>I.Pētersone–Godmane</w:t>
      </w:r>
    </w:p>
    <w:p w:rsidR="009367D8" w:rsidRDefault="009367D8" w:rsidP="00D539DB">
      <w:pPr>
        <w:rPr>
          <w:color w:val="000000"/>
          <w:sz w:val="20"/>
          <w:szCs w:val="20"/>
        </w:rPr>
      </w:pPr>
    </w:p>
    <w:p w:rsidR="00FA042E" w:rsidRDefault="00FA042E" w:rsidP="00D539DB">
      <w:pPr>
        <w:rPr>
          <w:color w:val="000000"/>
          <w:sz w:val="20"/>
          <w:szCs w:val="20"/>
        </w:rPr>
      </w:pPr>
      <w:bookmarkStart w:id="0" w:name="_GoBack"/>
      <w:bookmarkEnd w:id="0"/>
    </w:p>
    <w:p w:rsidR="00FA042E" w:rsidRDefault="00FA042E" w:rsidP="00D539DB">
      <w:pPr>
        <w:rPr>
          <w:color w:val="000000"/>
          <w:sz w:val="20"/>
          <w:szCs w:val="20"/>
        </w:rPr>
      </w:pPr>
    </w:p>
    <w:p w:rsidR="00FA042E" w:rsidRDefault="00FA042E" w:rsidP="00D539DB">
      <w:pPr>
        <w:rPr>
          <w:color w:val="000000"/>
          <w:sz w:val="20"/>
          <w:szCs w:val="20"/>
        </w:rPr>
      </w:pPr>
    </w:p>
    <w:p w:rsidR="00BE6782" w:rsidRPr="00F200A0" w:rsidRDefault="00BE6782" w:rsidP="00BE6782">
      <w:pPr>
        <w:pStyle w:val="naisf"/>
        <w:spacing w:before="0" w:after="0"/>
        <w:ind w:firstLine="0"/>
        <w:rPr>
          <w:sz w:val="20"/>
          <w:szCs w:val="20"/>
        </w:rPr>
      </w:pPr>
      <w:r w:rsidRPr="00F200A0">
        <w:rPr>
          <w:sz w:val="20"/>
          <w:szCs w:val="20"/>
          <w:lang w:val="ru-RU"/>
        </w:rPr>
        <w:fldChar w:fldCharType="begin"/>
      </w:r>
      <w:r w:rsidRPr="00F200A0">
        <w:rPr>
          <w:sz w:val="20"/>
          <w:szCs w:val="20"/>
          <w:lang w:val="ru-RU"/>
        </w:rPr>
        <w:instrText xml:space="preserve"> TIME \@ "dd.MM.yyyy H:mm" </w:instrText>
      </w:r>
      <w:r w:rsidRPr="00F200A0">
        <w:rPr>
          <w:sz w:val="20"/>
          <w:szCs w:val="20"/>
          <w:lang w:val="ru-RU"/>
        </w:rPr>
        <w:fldChar w:fldCharType="separate"/>
      </w:r>
      <w:r>
        <w:rPr>
          <w:noProof/>
          <w:sz w:val="20"/>
          <w:szCs w:val="20"/>
          <w:lang w:val="ru-RU"/>
        </w:rPr>
        <w:t>25.11.2013 9:18</w:t>
      </w:r>
      <w:r w:rsidRPr="00F200A0">
        <w:rPr>
          <w:sz w:val="20"/>
          <w:szCs w:val="20"/>
          <w:lang w:val="ru-RU"/>
        </w:rPr>
        <w:fldChar w:fldCharType="end"/>
      </w:r>
    </w:p>
    <w:p w:rsidR="009367D8" w:rsidRPr="00EC690C" w:rsidRDefault="009367D8" w:rsidP="008A5D48">
      <w:pPr>
        <w:rPr>
          <w:color w:val="000000"/>
          <w:sz w:val="20"/>
          <w:szCs w:val="20"/>
        </w:rPr>
      </w:pPr>
      <w:r w:rsidRPr="00EC690C">
        <w:rPr>
          <w:color w:val="000000"/>
          <w:sz w:val="20"/>
          <w:szCs w:val="20"/>
        </w:rPr>
        <w:fldChar w:fldCharType="begin"/>
      </w:r>
      <w:r w:rsidRPr="00EC690C">
        <w:rPr>
          <w:color w:val="000000"/>
          <w:sz w:val="20"/>
          <w:szCs w:val="20"/>
        </w:rPr>
        <w:instrText xml:space="preserve"> NUMWORDS  \# "0"  \* MERGEFORMAT </w:instrText>
      </w:r>
      <w:r w:rsidRPr="00EC690C">
        <w:rPr>
          <w:color w:val="000000"/>
          <w:sz w:val="20"/>
          <w:szCs w:val="20"/>
        </w:rPr>
        <w:fldChar w:fldCharType="separate"/>
      </w:r>
      <w:r w:rsidR="00BE6782">
        <w:rPr>
          <w:noProof/>
          <w:color w:val="000000"/>
          <w:sz w:val="20"/>
          <w:szCs w:val="20"/>
        </w:rPr>
        <w:t>3096</w:t>
      </w:r>
      <w:r w:rsidRPr="00EC690C">
        <w:rPr>
          <w:color w:val="000000"/>
          <w:sz w:val="20"/>
          <w:szCs w:val="20"/>
        </w:rPr>
        <w:fldChar w:fldCharType="end"/>
      </w:r>
    </w:p>
    <w:p w:rsidR="009367D8" w:rsidRDefault="009367D8" w:rsidP="00616AA6">
      <w:pPr>
        <w:rPr>
          <w:sz w:val="20"/>
          <w:szCs w:val="20"/>
        </w:rPr>
      </w:pPr>
      <w:proofErr w:type="spellStart"/>
      <w:r w:rsidRPr="00EC690C">
        <w:rPr>
          <w:sz w:val="20"/>
          <w:szCs w:val="20"/>
        </w:rPr>
        <w:t>A.Strode</w:t>
      </w:r>
      <w:proofErr w:type="spellEnd"/>
      <w:r w:rsidRPr="00EC690C">
        <w:rPr>
          <w:sz w:val="20"/>
          <w:szCs w:val="20"/>
        </w:rPr>
        <w:t xml:space="preserve">, 67219602, </w:t>
      </w:r>
      <w:hyperlink r:id="rId9" w:history="1">
        <w:r w:rsidRPr="00EC690C">
          <w:rPr>
            <w:rStyle w:val="Hyperlink"/>
            <w:sz w:val="20"/>
            <w:szCs w:val="20"/>
          </w:rPr>
          <w:t>Alda.strode@iem.gov.lv</w:t>
        </w:r>
      </w:hyperlink>
      <w:r w:rsidRPr="00EC690C">
        <w:rPr>
          <w:sz w:val="20"/>
          <w:szCs w:val="20"/>
        </w:rPr>
        <w:t xml:space="preserve">  </w:t>
      </w:r>
    </w:p>
    <w:p w:rsidR="00FA27C8" w:rsidRPr="00EC690C" w:rsidRDefault="00FA27C8" w:rsidP="00616AA6">
      <w:pPr>
        <w:rPr>
          <w:color w:val="000000"/>
          <w:sz w:val="20"/>
          <w:szCs w:val="20"/>
        </w:rPr>
      </w:pPr>
      <w:r>
        <w:rPr>
          <w:sz w:val="20"/>
          <w:szCs w:val="20"/>
        </w:rPr>
        <w:t xml:space="preserve">I.Opolais, </w:t>
      </w:r>
      <w:r w:rsidR="00A6327D" w:rsidRPr="00A6327D">
        <w:rPr>
          <w:sz w:val="20"/>
          <w:szCs w:val="20"/>
        </w:rPr>
        <w:t>67075424</w:t>
      </w:r>
      <w:r w:rsidR="00A6327D">
        <w:rPr>
          <w:sz w:val="20"/>
          <w:szCs w:val="20"/>
        </w:rPr>
        <w:t xml:space="preserve">, </w:t>
      </w:r>
      <w:hyperlink r:id="rId10" w:history="1">
        <w:r w:rsidR="00A6327D" w:rsidRPr="00030CCB">
          <w:rPr>
            <w:rStyle w:val="Hyperlink"/>
            <w:sz w:val="20"/>
            <w:szCs w:val="20"/>
          </w:rPr>
          <w:t>Intars.Opolais@vp.gov.lv</w:t>
        </w:r>
      </w:hyperlink>
      <w:r w:rsidR="00A6327D">
        <w:rPr>
          <w:sz w:val="20"/>
          <w:szCs w:val="20"/>
        </w:rPr>
        <w:t xml:space="preserve"> </w:t>
      </w:r>
    </w:p>
    <w:sectPr w:rsidR="00FA27C8" w:rsidRPr="00EC690C" w:rsidSect="009E1F44">
      <w:headerReference w:type="even" r:id="rId11"/>
      <w:headerReference w:type="default" r:id="rId12"/>
      <w:footerReference w:type="default" r:id="rId13"/>
      <w:footerReference w:type="first" r:id="rId14"/>
      <w:pgSz w:w="11906" w:h="16838"/>
      <w:pgMar w:top="1134" w:right="709"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1ED" w:rsidRDefault="005071ED" w:rsidP="00616AA6">
      <w:r>
        <w:separator/>
      </w:r>
    </w:p>
  </w:endnote>
  <w:endnote w:type="continuationSeparator" w:id="0">
    <w:p w:rsidR="005071ED" w:rsidRDefault="005071ED"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utch TL">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D8" w:rsidRPr="00CE3A3B" w:rsidRDefault="00BE6782" w:rsidP="00DF11B7">
    <w:pPr>
      <w:ind w:left="-709"/>
      <w:jc w:val="both"/>
      <w:rPr>
        <w:color w:val="000000"/>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IeMAnot_251113_algas</w:t>
    </w:r>
    <w:r>
      <w:rPr>
        <w:sz w:val="20"/>
        <w:szCs w:val="20"/>
      </w:rPr>
      <w:fldChar w:fldCharType="end"/>
    </w:r>
    <w:r w:rsidR="009367D8" w:rsidRPr="00A301A8">
      <w:rPr>
        <w:sz w:val="20"/>
        <w:szCs w:val="20"/>
      </w:rPr>
      <w:t>; Ministru kabineta noteikumu projekt</w:t>
    </w:r>
    <w:r w:rsidR="009367D8">
      <w:rPr>
        <w:sz w:val="20"/>
        <w:szCs w:val="20"/>
      </w:rPr>
      <w:t>a</w:t>
    </w:r>
    <w:r w:rsidR="009367D8" w:rsidRPr="00A301A8">
      <w:rPr>
        <w:sz w:val="20"/>
        <w:szCs w:val="20"/>
      </w:rPr>
      <w:t xml:space="preserve"> </w:t>
    </w:r>
    <w:r w:rsidR="009367D8">
      <w:rPr>
        <w:sz w:val="20"/>
      </w:rPr>
      <w:t>„</w:t>
    </w:r>
    <w:r w:rsidR="009367D8" w:rsidRPr="00F44595">
      <w:rPr>
        <w:bCs/>
        <w:sz w:val="20"/>
        <w:szCs w:val="20"/>
      </w:rPr>
      <w:t xml:space="preserve">Grozījumi </w:t>
    </w:r>
    <w:r w:rsidR="009367D8">
      <w:rPr>
        <w:bCs/>
        <w:sz w:val="20"/>
        <w:szCs w:val="20"/>
      </w:rPr>
      <w:t>Ministru kabineta 2010.gada 21.</w:t>
    </w:r>
    <w:r w:rsidR="009367D8" w:rsidRPr="00F44595">
      <w:rPr>
        <w:bCs/>
        <w:sz w:val="20"/>
        <w:szCs w:val="20"/>
      </w:rPr>
      <w:t>jūnija noteikumos Nr.568 „Noteikumi par Iekšlietu ministrijas sistēmas iestāžu un Ieslodzījuma vietu pārvaldes amatpersonu ar speciālajām dienesta pakāpēm mēnešalgu un speciālajām piemaksām”</w:t>
    </w:r>
    <w:r w:rsidR="009367D8" w:rsidRPr="00F44595">
      <w:rPr>
        <w:sz w:val="20"/>
        <w:szCs w:val="20"/>
      </w:rPr>
      <w:t>”</w:t>
    </w:r>
    <w:r w:rsidR="009367D8">
      <w:rPr>
        <w:sz w:val="20"/>
      </w:rPr>
      <w:t xml:space="preserve"> </w:t>
    </w:r>
    <w:r w:rsidR="009367D8" w:rsidRPr="00F42004">
      <w:rPr>
        <w:sz w:val="20"/>
        <w:szCs w:val="20"/>
      </w:rPr>
      <w:t xml:space="preserve">sākotnējās ietekmes novērtējuma </w:t>
    </w:r>
    <w:smartTag w:uri="schemas-tilde-lv/tildestengine" w:element="veidnes">
      <w:smartTagPr>
        <w:attr w:name="text" w:val="ziņojums"/>
        <w:attr w:name="baseform" w:val="ziņojums"/>
        <w:attr w:name="id" w:val="-1"/>
      </w:smartTagPr>
      <w:r w:rsidR="009367D8" w:rsidRPr="00F42004">
        <w:rPr>
          <w:sz w:val="20"/>
          <w:szCs w:val="20"/>
        </w:rPr>
        <w:t>ziņojums</w:t>
      </w:r>
    </w:smartTag>
    <w:r w:rsidR="009367D8">
      <w:rPr>
        <w:sz w:val="20"/>
        <w:szCs w:val="20"/>
      </w:rPr>
      <w:t xml:space="preserve"> (anotācija)</w:t>
    </w:r>
  </w:p>
  <w:p w:rsidR="009367D8" w:rsidRPr="0053087D" w:rsidRDefault="009367D8" w:rsidP="00530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D8" w:rsidRPr="00CE3A3B" w:rsidRDefault="00BE6782" w:rsidP="00DF11B7">
    <w:pPr>
      <w:ind w:left="-709"/>
      <w:jc w:val="both"/>
      <w:rPr>
        <w:color w:val="000000"/>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IeMAnot_251113_algas</w:t>
    </w:r>
    <w:r>
      <w:rPr>
        <w:sz w:val="20"/>
        <w:szCs w:val="20"/>
      </w:rPr>
      <w:fldChar w:fldCharType="end"/>
    </w:r>
    <w:r w:rsidR="009367D8" w:rsidRPr="00A301A8">
      <w:rPr>
        <w:sz w:val="20"/>
        <w:szCs w:val="20"/>
      </w:rPr>
      <w:t>; Ministru kabineta noteikumu projekt</w:t>
    </w:r>
    <w:r w:rsidR="009367D8">
      <w:rPr>
        <w:sz w:val="20"/>
        <w:szCs w:val="20"/>
      </w:rPr>
      <w:t>a</w:t>
    </w:r>
    <w:r w:rsidR="009367D8" w:rsidRPr="00A301A8">
      <w:rPr>
        <w:sz w:val="20"/>
        <w:szCs w:val="20"/>
      </w:rPr>
      <w:t xml:space="preserve"> </w:t>
    </w:r>
    <w:r w:rsidR="009367D8">
      <w:rPr>
        <w:sz w:val="20"/>
      </w:rPr>
      <w:t>„</w:t>
    </w:r>
    <w:r w:rsidR="009367D8" w:rsidRPr="00F44595">
      <w:rPr>
        <w:bCs/>
        <w:sz w:val="20"/>
        <w:szCs w:val="20"/>
      </w:rPr>
      <w:t>Grozījumi Ministru kabineta 2010.gada 21.jūnija noteikumos Nr.568 „Noteikumi par Iekšlietu ministrijas sistēmas iestāžu un Ieslodzījuma vietu pārvaldes amatpersonu ar speciālajām dienesta pakāpēm mēnešalgu un speciālajām piemaksām”</w:t>
    </w:r>
    <w:r w:rsidR="009367D8" w:rsidRPr="00F44595">
      <w:rPr>
        <w:sz w:val="20"/>
        <w:szCs w:val="20"/>
      </w:rPr>
      <w:t>”</w:t>
    </w:r>
    <w:r w:rsidR="009367D8">
      <w:rPr>
        <w:sz w:val="20"/>
      </w:rPr>
      <w:t xml:space="preserve"> </w:t>
    </w:r>
    <w:r w:rsidR="009367D8" w:rsidRPr="00F42004">
      <w:rPr>
        <w:sz w:val="20"/>
        <w:szCs w:val="20"/>
      </w:rPr>
      <w:t xml:space="preserve">sākotnējās ietekmes novērtējuma </w:t>
    </w:r>
    <w:smartTag w:uri="schemas-tilde-lv/tildestengine" w:element="veidnes">
      <w:smartTagPr>
        <w:attr w:name="id" w:val="-1"/>
        <w:attr w:name="baseform" w:val="ziņojums"/>
        <w:attr w:name="text" w:val="ziņojums"/>
      </w:smartTagPr>
      <w:r w:rsidR="009367D8" w:rsidRPr="00F42004">
        <w:rPr>
          <w:sz w:val="20"/>
          <w:szCs w:val="20"/>
        </w:rPr>
        <w:t>ziņojums</w:t>
      </w:r>
    </w:smartTag>
    <w:r w:rsidR="009367D8">
      <w:rPr>
        <w:sz w:val="20"/>
        <w:szCs w:val="20"/>
      </w:rPr>
      <w:t xml:space="preserve"> (anotācija)</w:t>
    </w:r>
  </w:p>
  <w:p w:rsidR="009367D8" w:rsidRPr="00F42004" w:rsidRDefault="009367D8" w:rsidP="006811D5">
    <w:pPr>
      <w:pStyle w:val="Footer"/>
      <w:jc w:val="both"/>
      <w:rPr>
        <w:sz w:val="20"/>
        <w:szCs w:val="20"/>
      </w:rPr>
    </w:pPr>
  </w:p>
  <w:p w:rsidR="009367D8" w:rsidRPr="00361E9B" w:rsidRDefault="009367D8" w:rsidP="006811D5">
    <w:pPr>
      <w:pStyle w:val="Footer"/>
    </w:pPr>
  </w:p>
  <w:p w:rsidR="009367D8" w:rsidRPr="00361E9B" w:rsidRDefault="009367D8" w:rsidP="00361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1ED" w:rsidRDefault="005071ED" w:rsidP="00616AA6">
      <w:r>
        <w:separator/>
      </w:r>
    </w:p>
  </w:footnote>
  <w:footnote w:type="continuationSeparator" w:id="0">
    <w:p w:rsidR="005071ED" w:rsidRDefault="005071ED"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D8" w:rsidRDefault="009367D8"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67D8" w:rsidRDefault="00936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D8" w:rsidRDefault="009367D8"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782">
      <w:rPr>
        <w:rStyle w:val="PageNumber"/>
        <w:noProof/>
      </w:rPr>
      <w:t>2</w:t>
    </w:r>
    <w:r>
      <w:rPr>
        <w:rStyle w:val="PageNumber"/>
      </w:rPr>
      <w:fldChar w:fldCharType="end"/>
    </w:r>
  </w:p>
  <w:p w:rsidR="009367D8" w:rsidRDefault="00936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3CF3"/>
    <w:multiLevelType w:val="hybridMultilevel"/>
    <w:tmpl w:val="02CE0F80"/>
    <w:lvl w:ilvl="0" w:tplc="D152F3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76830C7"/>
    <w:multiLevelType w:val="hybridMultilevel"/>
    <w:tmpl w:val="43244696"/>
    <w:lvl w:ilvl="0" w:tplc="B08A171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nsid w:val="799C2A30"/>
    <w:multiLevelType w:val="hybridMultilevel"/>
    <w:tmpl w:val="D5444D38"/>
    <w:lvl w:ilvl="0" w:tplc="20722132">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A6"/>
    <w:rsid w:val="00000A7A"/>
    <w:rsid w:val="0002334F"/>
    <w:rsid w:val="00027C37"/>
    <w:rsid w:val="00030448"/>
    <w:rsid w:val="00041ABF"/>
    <w:rsid w:val="00057968"/>
    <w:rsid w:val="0007077C"/>
    <w:rsid w:val="000757EC"/>
    <w:rsid w:val="00080580"/>
    <w:rsid w:val="00097800"/>
    <w:rsid w:val="000A06FD"/>
    <w:rsid w:val="000A6199"/>
    <w:rsid w:val="000A7F51"/>
    <w:rsid w:val="000C0368"/>
    <w:rsid w:val="000C208E"/>
    <w:rsid w:val="000D3898"/>
    <w:rsid w:val="001022DB"/>
    <w:rsid w:val="001028D3"/>
    <w:rsid w:val="001275D6"/>
    <w:rsid w:val="00127E4B"/>
    <w:rsid w:val="00132192"/>
    <w:rsid w:val="00141DF5"/>
    <w:rsid w:val="00166FDD"/>
    <w:rsid w:val="0018699D"/>
    <w:rsid w:val="00186EFA"/>
    <w:rsid w:val="001913FD"/>
    <w:rsid w:val="001A3615"/>
    <w:rsid w:val="001B30CD"/>
    <w:rsid w:val="001B3C89"/>
    <w:rsid w:val="001C341B"/>
    <w:rsid w:val="001C3829"/>
    <w:rsid w:val="001D349F"/>
    <w:rsid w:val="001D4188"/>
    <w:rsid w:val="001E6ABD"/>
    <w:rsid w:val="001F1A99"/>
    <w:rsid w:val="001F1B18"/>
    <w:rsid w:val="001F25ED"/>
    <w:rsid w:val="001F4C14"/>
    <w:rsid w:val="00202D77"/>
    <w:rsid w:val="002055CE"/>
    <w:rsid w:val="002140BD"/>
    <w:rsid w:val="00221979"/>
    <w:rsid w:val="00223BE8"/>
    <w:rsid w:val="00231F4B"/>
    <w:rsid w:val="002447E8"/>
    <w:rsid w:val="00246FDC"/>
    <w:rsid w:val="00254D90"/>
    <w:rsid w:val="002554BA"/>
    <w:rsid w:val="00257716"/>
    <w:rsid w:val="002720A2"/>
    <w:rsid w:val="00275C6D"/>
    <w:rsid w:val="002900BB"/>
    <w:rsid w:val="00290772"/>
    <w:rsid w:val="0029110D"/>
    <w:rsid w:val="002926D3"/>
    <w:rsid w:val="002940CD"/>
    <w:rsid w:val="002A6197"/>
    <w:rsid w:val="002A7573"/>
    <w:rsid w:val="002B0F91"/>
    <w:rsid w:val="002B10A1"/>
    <w:rsid w:val="002B4610"/>
    <w:rsid w:val="002B5B67"/>
    <w:rsid w:val="002E6C12"/>
    <w:rsid w:val="003019EE"/>
    <w:rsid w:val="0030306E"/>
    <w:rsid w:val="00311674"/>
    <w:rsid w:val="003126D5"/>
    <w:rsid w:val="00320F08"/>
    <w:rsid w:val="00327024"/>
    <w:rsid w:val="0035172A"/>
    <w:rsid w:val="00361E9B"/>
    <w:rsid w:val="00374F27"/>
    <w:rsid w:val="00375FAB"/>
    <w:rsid w:val="00377B63"/>
    <w:rsid w:val="00383D58"/>
    <w:rsid w:val="00384646"/>
    <w:rsid w:val="003C6387"/>
    <w:rsid w:val="003D12E9"/>
    <w:rsid w:val="003D5D0A"/>
    <w:rsid w:val="003F145D"/>
    <w:rsid w:val="004034E0"/>
    <w:rsid w:val="004077ED"/>
    <w:rsid w:val="00410DE6"/>
    <w:rsid w:val="004130AE"/>
    <w:rsid w:val="004262C0"/>
    <w:rsid w:val="00437542"/>
    <w:rsid w:val="004545E7"/>
    <w:rsid w:val="00461456"/>
    <w:rsid w:val="00476475"/>
    <w:rsid w:val="004767AF"/>
    <w:rsid w:val="004827EB"/>
    <w:rsid w:val="00487BE2"/>
    <w:rsid w:val="004A11F7"/>
    <w:rsid w:val="004A3085"/>
    <w:rsid w:val="004A4E24"/>
    <w:rsid w:val="004A6392"/>
    <w:rsid w:val="004B067B"/>
    <w:rsid w:val="004B17A2"/>
    <w:rsid w:val="004B3BDE"/>
    <w:rsid w:val="004B61BF"/>
    <w:rsid w:val="004C669F"/>
    <w:rsid w:val="004D086A"/>
    <w:rsid w:val="004D1FCD"/>
    <w:rsid w:val="004E57AD"/>
    <w:rsid w:val="00502E7D"/>
    <w:rsid w:val="005071ED"/>
    <w:rsid w:val="00515592"/>
    <w:rsid w:val="0053087D"/>
    <w:rsid w:val="00531018"/>
    <w:rsid w:val="005403D0"/>
    <w:rsid w:val="00550073"/>
    <w:rsid w:val="005651F4"/>
    <w:rsid w:val="00581CD9"/>
    <w:rsid w:val="00593AC8"/>
    <w:rsid w:val="005A1404"/>
    <w:rsid w:val="005A3C61"/>
    <w:rsid w:val="005A4114"/>
    <w:rsid w:val="005B0C15"/>
    <w:rsid w:val="005B2CE7"/>
    <w:rsid w:val="005C09F4"/>
    <w:rsid w:val="005C28CF"/>
    <w:rsid w:val="005D0643"/>
    <w:rsid w:val="005D0BFF"/>
    <w:rsid w:val="005E1BF7"/>
    <w:rsid w:val="0060712E"/>
    <w:rsid w:val="00616AA6"/>
    <w:rsid w:val="006200E2"/>
    <w:rsid w:val="00633D6B"/>
    <w:rsid w:val="00636E7F"/>
    <w:rsid w:val="0063778A"/>
    <w:rsid w:val="00647140"/>
    <w:rsid w:val="006662FC"/>
    <w:rsid w:val="006811D5"/>
    <w:rsid w:val="00682871"/>
    <w:rsid w:val="006840BC"/>
    <w:rsid w:val="006870C9"/>
    <w:rsid w:val="006A0DA7"/>
    <w:rsid w:val="006A6081"/>
    <w:rsid w:val="006A756F"/>
    <w:rsid w:val="006E480C"/>
    <w:rsid w:val="006E54AA"/>
    <w:rsid w:val="006E56D8"/>
    <w:rsid w:val="006E76B7"/>
    <w:rsid w:val="006F255D"/>
    <w:rsid w:val="006F3608"/>
    <w:rsid w:val="0070343E"/>
    <w:rsid w:val="00717D7A"/>
    <w:rsid w:val="007212B3"/>
    <w:rsid w:val="007252DB"/>
    <w:rsid w:val="00730E41"/>
    <w:rsid w:val="00732C68"/>
    <w:rsid w:val="00735A26"/>
    <w:rsid w:val="00736938"/>
    <w:rsid w:val="00747C51"/>
    <w:rsid w:val="00765A92"/>
    <w:rsid w:val="00771DC4"/>
    <w:rsid w:val="00772A46"/>
    <w:rsid w:val="00775DDA"/>
    <w:rsid w:val="00775E7F"/>
    <w:rsid w:val="0079378B"/>
    <w:rsid w:val="00794E6B"/>
    <w:rsid w:val="00794F57"/>
    <w:rsid w:val="007959DE"/>
    <w:rsid w:val="007B0C0C"/>
    <w:rsid w:val="007B23A2"/>
    <w:rsid w:val="007B5718"/>
    <w:rsid w:val="007D783D"/>
    <w:rsid w:val="007F4918"/>
    <w:rsid w:val="008112A5"/>
    <w:rsid w:val="008167ED"/>
    <w:rsid w:val="00834ED9"/>
    <w:rsid w:val="00840EFA"/>
    <w:rsid w:val="00854F2D"/>
    <w:rsid w:val="00863DB5"/>
    <w:rsid w:val="0086490C"/>
    <w:rsid w:val="0086562E"/>
    <w:rsid w:val="00866E6B"/>
    <w:rsid w:val="00875336"/>
    <w:rsid w:val="00880C8A"/>
    <w:rsid w:val="008936BC"/>
    <w:rsid w:val="00897FE5"/>
    <w:rsid w:val="008A023A"/>
    <w:rsid w:val="008A5D48"/>
    <w:rsid w:val="008B57DA"/>
    <w:rsid w:val="008C1BA5"/>
    <w:rsid w:val="008C2D66"/>
    <w:rsid w:val="008C3E6F"/>
    <w:rsid w:val="008C6FC8"/>
    <w:rsid w:val="008D5F20"/>
    <w:rsid w:val="008F2ACB"/>
    <w:rsid w:val="0090153F"/>
    <w:rsid w:val="009114A0"/>
    <w:rsid w:val="009167D7"/>
    <w:rsid w:val="00917912"/>
    <w:rsid w:val="00921B1A"/>
    <w:rsid w:val="00927C25"/>
    <w:rsid w:val="009367D8"/>
    <w:rsid w:val="00936868"/>
    <w:rsid w:val="00947830"/>
    <w:rsid w:val="0095587A"/>
    <w:rsid w:val="00963119"/>
    <w:rsid w:val="00963B7D"/>
    <w:rsid w:val="009652EF"/>
    <w:rsid w:val="00971D1C"/>
    <w:rsid w:val="0098089E"/>
    <w:rsid w:val="009860E6"/>
    <w:rsid w:val="0099042F"/>
    <w:rsid w:val="00991ED2"/>
    <w:rsid w:val="009972AF"/>
    <w:rsid w:val="009A1D77"/>
    <w:rsid w:val="009A64DE"/>
    <w:rsid w:val="009B1BDE"/>
    <w:rsid w:val="009B7E5E"/>
    <w:rsid w:val="009C3026"/>
    <w:rsid w:val="009D1066"/>
    <w:rsid w:val="009D2C74"/>
    <w:rsid w:val="009D55EA"/>
    <w:rsid w:val="009D62F6"/>
    <w:rsid w:val="009E1F44"/>
    <w:rsid w:val="00A074A5"/>
    <w:rsid w:val="00A102C0"/>
    <w:rsid w:val="00A217E7"/>
    <w:rsid w:val="00A301A8"/>
    <w:rsid w:val="00A3535F"/>
    <w:rsid w:val="00A6327D"/>
    <w:rsid w:val="00A63E6C"/>
    <w:rsid w:val="00A6421B"/>
    <w:rsid w:val="00A73AE3"/>
    <w:rsid w:val="00A767F9"/>
    <w:rsid w:val="00A81223"/>
    <w:rsid w:val="00A821A5"/>
    <w:rsid w:val="00A84C26"/>
    <w:rsid w:val="00A91B2A"/>
    <w:rsid w:val="00A959EC"/>
    <w:rsid w:val="00A95AD3"/>
    <w:rsid w:val="00A965F1"/>
    <w:rsid w:val="00AB0063"/>
    <w:rsid w:val="00AB2A5C"/>
    <w:rsid w:val="00AB3A4B"/>
    <w:rsid w:val="00AB3C41"/>
    <w:rsid w:val="00AC2CDF"/>
    <w:rsid w:val="00AC72C6"/>
    <w:rsid w:val="00AC7A13"/>
    <w:rsid w:val="00AD189A"/>
    <w:rsid w:val="00AD45BC"/>
    <w:rsid w:val="00AE70EE"/>
    <w:rsid w:val="00AF1B96"/>
    <w:rsid w:val="00AF352B"/>
    <w:rsid w:val="00AF6998"/>
    <w:rsid w:val="00B0227E"/>
    <w:rsid w:val="00B03005"/>
    <w:rsid w:val="00B069C2"/>
    <w:rsid w:val="00B06A93"/>
    <w:rsid w:val="00B14E57"/>
    <w:rsid w:val="00B313A5"/>
    <w:rsid w:val="00B31A7F"/>
    <w:rsid w:val="00B4224F"/>
    <w:rsid w:val="00B55E0D"/>
    <w:rsid w:val="00B73EF6"/>
    <w:rsid w:val="00B74BDF"/>
    <w:rsid w:val="00B76A9D"/>
    <w:rsid w:val="00B820C5"/>
    <w:rsid w:val="00B9098B"/>
    <w:rsid w:val="00B93F08"/>
    <w:rsid w:val="00BA5E65"/>
    <w:rsid w:val="00BA73B1"/>
    <w:rsid w:val="00BB547C"/>
    <w:rsid w:val="00BC1C4E"/>
    <w:rsid w:val="00BE2989"/>
    <w:rsid w:val="00BE6782"/>
    <w:rsid w:val="00BF09CD"/>
    <w:rsid w:val="00BF67B7"/>
    <w:rsid w:val="00C01B61"/>
    <w:rsid w:val="00C338A6"/>
    <w:rsid w:val="00C555E0"/>
    <w:rsid w:val="00C657C0"/>
    <w:rsid w:val="00C714F2"/>
    <w:rsid w:val="00C7160A"/>
    <w:rsid w:val="00C81CB8"/>
    <w:rsid w:val="00C82AE8"/>
    <w:rsid w:val="00C83D36"/>
    <w:rsid w:val="00CB1DEC"/>
    <w:rsid w:val="00CB4634"/>
    <w:rsid w:val="00CB4C1E"/>
    <w:rsid w:val="00CB6C3D"/>
    <w:rsid w:val="00CC1CDB"/>
    <w:rsid w:val="00CC35CF"/>
    <w:rsid w:val="00CC4638"/>
    <w:rsid w:val="00CC496E"/>
    <w:rsid w:val="00CD2302"/>
    <w:rsid w:val="00CD54B5"/>
    <w:rsid w:val="00CE36C0"/>
    <w:rsid w:val="00CE3A3B"/>
    <w:rsid w:val="00D22685"/>
    <w:rsid w:val="00D23903"/>
    <w:rsid w:val="00D26928"/>
    <w:rsid w:val="00D27291"/>
    <w:rsid w:val="00D347E9"/>
    <w:rsid w:val="00D42BC2"/>
    <w:rsid w:val="00D45A48"/>
    <w:rsid w:val="00D46352"/>
    <w:rsid w:val="00D51885"/>
    <w:rsid w:val="00D539DB"/>
    <w:rsid w:val="00D82A5A"/>
    <w:rsid w:val="00D915CC"/>
    <w:rsid w:val="00D91DED"/>
    <w:rsid w:val="00D978E4"/>
    <w:rsid w:val="00DA16C7"/>
    <w:rsid w:val="00DB313F"/>
    <w:rsid w:val="00DC152F"/>
    <w:rsid w:val="00DD14E6"/>
    <w:rsid w:val="00DF11B7"/>
    <w:rsid w:val="00DF2B43"/>
    <w:rsid w:val="00E02E16"/>
    <w:rsid w:val="00E06CCE"/>
    <w:rsid w:val="00E150BC"/>
    <w:rsid w:val="00E249A5"/>
    <w:rsid w:val="00E405F7"/>
    <w:rsid w:val="00E568D4"/>
    <w:rsid w:val="00E721E5"/>
    <w:rsid w:val="00E81F1B"/>
    <w:rsid w:val="00E927A0"/>
    <w:rsid w:val="00E93EC5"/>
    <w:rsid w:val="00EA3691"/>
    <w:rsid w:val="00EC1275"/>
    <w:rsid w:val="00EC51E6"/>
    <w:rsid w:val="00EC690C"/>
    <w:rsid w:val="00ED7568"/>
    <w:rsid w:val="00EE0C0F"/>
    <w:rsid w:val="00EE4A6F"/>
    <w:rsid w:val="00EE55CF"/>
    <w:rsid w:val="00F11BBB"/>
    <w:rsid w:val="00F129F4"/>
    <w:rsid w:val="00F13B40"/>
    <w:rsid w:val="00F16489"/>
    <w:rsid w:val="00F17318"/>
    <w:rsid w:val="00F22CE0"/>
    <w:rsid w:val="00F42004"/>
    <w:rsid w:val="00F44595"/>
    <w:rsid w:val="00F576F9"/>
    <w:rsid w:val="00F602CC"/>
    <w:rsid w:val="00F65893"/>
    <w:rsid w:val="00F66B7E"/>
    <w:rsid w:val="00F70597"/>
    <w:rsid w:val="00F7314D"/>
    <w:rsid w:val="00F73ACD"/>
    <w:rsid w:val="00F87326"/>
    <w:rsid w:val="00F9365C"/>
    <w:rsid w:val="00FA042E"/>
    <w:rsid w:val="00FA27C8"/>
    <w:rsid w:val="00FA6074"/>
    <w:rsid w:val="00FC116E"/>
    <w:rsid w:val="00FD2300"/>
    <w:rsid w:val="00FD58B2"/>
    <w:rsid w:val="00FD5FE7"/>
    <w:rsid w:val="00FE110A"/>
    <w:rsid w:val="00FF52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rPr>
      <w:rFonts w:ascii="Times New Roman" w:eastAsia="Times New Roman" w:hAnsi="Times New Roman"/>
      <w:sz w:val="24"/>
      <w:szCs w:val="24"/>
      <w:lang w:eastAsia="en-US"/>
    </w:rPr>
  </w:style>
  <w:style w:type="paragraph" w:styleId="Heading3">
    <w:name w:val="heading 3"/>
    <w:basedOn w:val="Normal"/>
    <w:link w:val="Heading3Char"/>
    <w:uiPriority w:val="9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16AA6"/>
    <w:rPr>
      <w:rFonts w:ascii="Times New Roman" w:hAnsi="Times New Roman" w:cs="Times New Roman"/>
      <w:b/>
      <w:bCs/>
      <w:sz w:val="27"/>
      <w:szCs w:val="27"/>
      <w:lang w:eastAsia="lv-LV"/>
    </w:rPr>
  </w:style>
  <w:style w:type="paragraph" w:styleId="BodyText">
    <w:name w:val="Body Text"/>
    <w:basedOn w:val="Normal"/>
    <w:link w:val="BodyTextChar"/>
    <w:uiPriority w:val="99"/>
    <w:rsid w:val="00616AA6"/>
    <w:pPr>
      <w:jc w:val="center"/>
    </w:pPr>
    <w:rPr>
      <w:b/>
      <w:bCs/>
      <w:sz w:val="28"/>
    </w:rPr>
  </w:style>
  <w:style w:type="character" w:customStyle="1" w:styleId="BodyTextChar">
    <w:name w:val="Body Text Char"/>
    <w:basedOn w:val="DefaultParagraphFont"/>
    <w:link w:val="BodyText"/>
    <w:uiPriority w:val="99"/>
    <w:locked/>
    <w:rsid w:val="00616AA6"/>
    <w:rPr>
      <w:rFonts w:ascii="Times New Roman" w:hAnsi="Times New Roman" w:cs="Times New Roman"/>
      <w:b/>
      <w:bCs/>
      <w:sz w:val="24"/>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uiPriority w:val="99"/>
    <w:rsid w:val="00616AA6"/>
    <w:pPr>
      <w:tabs>
        <w:tab w:val="center" w:pos="4153"/>
        <w:tab w:val="right" w:pos="8306"/>
      </w:tabs>
    </w:pPr>
    <w:rPr>
      <w:lang w:eastAsia="lv-LV"/>
    </w:rPr>
  </w:style>
  <w:style w:type="character" w:customStyle="1" w:styleId="HeaderChar">
    <w:name w:val="Header Char"/>
    <w:basedOn w:val="DefaultParagraphFont"/>
    <w:link w:val="Header"/>
    <w:uiPriority w:val="99"/>
    <w:locked/>
    <w:rsid w:val="00616AA6"/>
    <w:rPr>
      <w:rFonts w:ascii="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locked/>
    <w:rsid w:val="00616AA6"/>
    <w:rPr>
      <w:rFonts w:ascii="Times New Roman" w:hAnsi="Times New Roman" w:cs="Times New Roman"/>
      <w:sz w:val="24"/>
      <w:szCs w:val="24"/>
      <w:lang w:eastAsia="lv-LV"/>
    </w:rPr>
  </w:style>
  <w:style w:type="character" w:styleId="PageNumber">
    <w:name w:val="page number"/>
    <w:basedOn w:val="DefaultParagraphFont"/>
    <w:uiPriority w:val="99"/>
    <w:rsid w:val="00616AA6"/>
    <w:rPr>
      <w:rFonts w:cs="Times New Roman"/>
    </w:rPr>
  </w:style>
  <w:style w:type="paragraph" w:customStyle="1" w:styleId="tv213">
    <w:name w:val="tv213"/>
    <w:basedOn w:val="Normal"/>
    <w:uiPriority w:val="99"/>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595"/>
    <w:rPr>
      <w:rFonts w:ascii="Tahoma" w:hAnsi="Tahoma" w:cs="Tahoma"/>
      <w:sz w:val="16"/>
      <w:szCs w:val="16"/>
    </w:rPr>
  </w:style>
  <w:style w:type="paragraph" w:customStyle="1" w:styleId="naisnod">
    <w:name w:val="naisnod"/>
    <w:basedOn w:val="Normal"/>
    <w:uiPriority w:val="99"/>
    <w:rsid w:val="002926D3"/>
    <w:pPr>
      <w:suppressAutoHyphens/>
      <w:spacing w:before="150" w:after="150"/>
      <w:jc w:val="center"/>
    </w:pPr>
    <w:rPr>
      <w:b/>
      <w:bCs/>
      <w:lang w:eastAsia="ar-SA"/>
    </w:rPr>
  </w:style>
  <w:style w:type="paragraph" w:customStyle="1" w:styleId="naiskr">
    <w:name w:val="naiskr"/>
    <w:basedOn w:val="Normal"/>
    <w:uiPriority w:val="99"/>
    <w:rsid w:val="002926D3"/>
    <w:pPr>
      <w:suppressAutoHyphens/>
      <w:spacing w:before="75" w:after="75"/>
    </w:pPr>
    <w:rPr>
      <w:lang w:eastAsia="ar-SA"/>
    </w:rPr>
  </w:style>
  <w:style w:type="paragraph" w:customStyle="1" w:styleId="CharCharCharChar">
    <w:name w:val="Char Char Char Char"/>
    <w:basedOn w:val="Normal"/>
    <w:uiPriority w:val="99"/>
    <w:rsid w:val="00FE110A"/>
    <w:pPr>
      <w:spacing w:after="160" w:line="240" w:lineRule="exact"/>
    </w:pPr>
    <w:rPr>
      <w:rFonts w:ascii="Dutch TL" w:hAnsi="Dutch TL"/>
      <w:sz w:val="28"/>
      <w:szCs w:val="20"/>
      <w:lang w:eastAsia="zh-TW"/>
    </w:rPr>
  </w:style>
  <w:style w:type="paragraph" w:customStyle="1" w:styleId="CharChar">
    <w:name w:val="Char Char"/>
    <w:basedOn w:val="Normal"/>
    <w:uiPriority w:val="99"/>
    <w:rsid w:val="00BA73B1"/>
    <w:pPr>
      <w:spacing w:after="160" w:line="240" w:lineRule="exact"/>
    </w:pPr>
    <w:rPr>
      <w:rFonts w:ascii="Dutch TL" w:hAnsi="Dutch TL"/>
      <w:sz w:val="28"/>
      <w:szCs w:val="20"/>
      <w:lang w:eastAsia="zh-TW"/>
    </w:rPr>
  </w:style>
  <w:style w:type="character" w:styleId="Strong">
    <w:name w:val="Strong"/>
    <w:basedOn w:val="DefaultParagraphFont"/>
    <w:uiPriority w:val="99"/>
    <w:qFormat/>
    <w:rsid w:val="0086562E"/>
    <w:rPr>
      <w:rFonts w:cs="Times New Roman"/>
      <w:b/>
      <w:bCs/>
    </w:rPr>
  </w:style>
  <w:style w:type="paragraph" w:customStyle="1" w:styleId="tvhtml">
    <w:name w:val="tv_html"/>
    <w:basedOn w:val="Normal"/>
    <w:rsid w:val="00384646"/>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rPr>
      <w:rFonts w:ascii="Times New Roman" w:eastAsia="Times New Roman" w:hAnsi="Times New Roman"/>
      <w:sz w:val="24"/>
      <w:szCs w:val="24"/>
      <w:lang w:eastAsia="en-US"/>
    </w:rPr>
  </w:style>
  <w:style w:type="paragraph" w:styleId="Heading3">
    <w:name w:val="heading 3"/>
    <w:basedOn w:val="Normal"/>
    <w:link w:val="Heading3Char"/>
    <w:uiPriority w:val="9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16AA6"/>
    <w:rPr>
      <w:rFonts w:ascii="Times New Roman" w:hAnsi="Times New Roman" w:cs="Times New Roman"/>
      <w:b/>
      <w:bCs/>
      <w:sz w:val="27"/>
      <w:szCs w:val="27"/>
      <w:lang w:eastAsia="lv-LV"/>
    </w:rPr>
  </w:style>
  <w:style w:type="paragraph" w:styleId="BodyText">
    <w:name w:val="Body Text"/>
    <w:basedOn w:val="Normal"/>
    <w:link w:val="BodyTextChar"/>
    <w:uiPriority w:val="99"/>
    <w:rsid w:val="00616AA6"/>
    <w:pPr>
      <w:jc w:val="center"/>
    </w:pPr>
    <w:rPr>
      <w:b/>
      <w:bCs/>
      <w:sz w:val="28"/>
    </w:rPr>
  </w:style>
  <w:style w:type="character" w:customStyle="1" w:styleId="BodyTextChar">
    <w:name w:val="Body Text Char"/>
    <w:basedOn w:val="DefaultParagraphFont"/>
    <w:link w:val="BodyText"/>
    <w:uiPriority w:val="99"/>
    <w:locked/>
    <w:rsid w:val="00616AA6"/>
    <w:rPr>
      <w:rFonts w:ascii="Times New Roman" w:hAnsi="Times New Roman" w:cs="Times New Roman"/>
      <w:b/>
      <w:bCs/>
      <w:sz w:val="24"/>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uiPriority w:val="99"/>
    <w:rsid w:val="00616AA6"/>
    <w:pPr>
      <w:tabs>
        <w:tab w:val="center" w:pos="4153"/>
        <w:tab w:val="right" w:pos="8306"/>
      </w:tabs>
    </w:pPr>
    <w:rPr>
      <w:lang w:eastAsia="lv-LV"/>
    </w:rPr>
  </w:style>
  <w:style w:type="character" w:customStyle="1" w:styleId="HeaderChar">
    <w:name w:val="Header Char"/>
    <w:basedOn w:val="DefaultParagraphFont"/>
    <w:link w:val="Header"/>
    <w:uiPriority w:val="99"/>
    <w:locked/>
    <w:rsid w:val="00616AA6"/>
    <w:rPr>
      <w:rFonts w:ascii="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locked/>
    <w:rsid w:val="00616AA6"/>
    <w:rPr>
      <w:rFonts w:ascii="Times New Roman" w:hAnsi="Times New Roman" w:cs="Times New Roman"/>
      <w:sz w:val="24"/>
      <w:szCs w:val="24"/>
      <w:lang w:eastAsia="lv-LV"/>
    </w:rPr>
  </w:style>
  <w:style w:type="character" w:styleId="PageNumber">
    <w:name w:val="page number"/>
    <w:basedOn w:val="DefaultParagraphFont"/>
    <w:uiPriority w:val="99"/>
    <w:rsid w:val="00616AA6"/>
    <w:rPr>
      <w:rFonts w:cs="Times New Roman"/>
    </w:rPr>
  </w:style>
  <w:style w:type="paragraph" w:customStyle="1" w:styleId="tv213">
    <w:name w:val="tv213"/>
    <w:basedOn w:val="Normal"/>
    <w:uiPriority w:val="99"/>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595"/>
    <w:rPr>
      <w:rFonts w:ascii="Tahoma" w:hAnsi="Tahoma" w:cs="Tahoma"/>
      <w:sz w:val="16"/>
      <w:szCs w:val="16"/>
    </w:rPr>
  </w:style>
  <w:style w:type="paragraph" w:customStyle="1" w:styleId="naisnod">
    <w:name w:val="naisnod"/>
    <w:basedOn w:val="Normal"/>
    <w:uiPriority w:val="99"/>
    <w:rsid w:val="002926D3"/>
    <w:pPr>
      <w:suppressAutoHyphens/>
      <w:spacing w:before="150" w:after="150"/>
      <w:jc w:val="center"/>
    </w:pPr>
    <w:rPr>
      <w:b/>
      <w:bCs/>
      <w:lang w:eastAsia="ar-SA"/>
    </w:rPr>
  </w:style>
  <w:style w:type="paragraph" w:customStyle="1" w:styleId="naiskr">
    <w:name w:val="naiskr"/>
    <w:basedOn w:val="Normal"/>
    <w:uiPriority w:val="99"/>
    <w:rsid w:val="002926D3"/>
    <w:pPr>
      <w:suppressAutoHyphens/>
      <w:spacing w:before="75" w:after="75"/>
    </w:pPr>
    <w:rPr>
      <w:lang w:eastAsia="ar-SA"/>
    </w:rPr>
  </w:style>
  <w:style w:type="paragraph" w:customStyle="1" w:styleId="CharCharCharChar">
    <w:name w:val="Char Char Char Char"/>
    <w:basedOn w:val="Normal"/>
    <w:uiPriority w:val="99"/>
    <w:rsid w:val="00FE110A"/>
    <w:pPr>
      <w:spacing w:after="160" w:line="240" w:lineRule="exact"/>
    </w:pPr>
    <w:rPr>
      <w:rFonts w:ascii="Dutch TL" w:hAnsi="Dutch TL"/>
      <w:sz w:val="28"/>
      <w:szCs w:val="20"/>
      <w:lang w:eastAsia="zh-TW"/>
    </w:rPr>
  </w:style>
  <w:style w:type="paragraph" w:customStyle="1" w:styleId="CharChar">
    <w:name w:val="Char Char"/>
    <w:basedOn w:val="Normal"/>
    <w:uiPriority w:val="99"/>
    <w:rsid w:val="00BA73B1"/>
    <w:pPr>
      <w:spacing w:after="160" w:line="240" w:lineRule="exact"/>
    </w:pPr>
    <w:rPr>
      <w:rFonts w:ascii="Dutch TL" w:hAnsi="Dutch TL"/>
      <w:sz w:val="28"/>
      <w:szCs w:val="20"/>
      <w:lang w:eastAsia="zh-TW"/>
    </w:rPr>
  </w:style>
  <w:style w:type="character" w:styleId="Strong">
    <w:name w:val="Strong"/>
    <w:basedOn w:val="DefaultParagraphFont"/>
    <w:uiPriority w:val="99"/>
    <w:qFormat/>
    <w:rsid w:val="0086562E"/>
    <w:rPr>
      <w:rFonts w:cs="Times New Roman"/>
      <w:b/>
      <w:bCs/>
    </w:rPr>
  </w:style>
  <w:style w:type="paragraph" w:customStyle="1" w:styleId="tvhtml">
    <w:name w:val="tv_html"/>
    <w:basedOn w:val="Normal"/>
    <w:rsid w:val="00384646"/>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7954">
      <w:marLeft w:val="0"/>
      <w:marRight w:val="0"/>
      <w:marTop w:val="0"/>
      <w:marBottom w:val="0"/>
      <w:divBdr>
        <w:top w:val="none" w:sz="0" w:space="0" w:color="auto"/>
        <w:left w:val="none" w:sz="0" w:space="0" w:color="auto"/>
        <w:bottom w:val="none" w:sz="0" w:space="0" w:color="auto"/>
        <w:right w:val="none" w:sz="0" w:space="0" w:color="auto"/>
      </w:divBdr>
    </w:div>
    <w:div w:id="18194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tars.Opolais@vp.gov.lv" TargetMode="External"/><Relationship Id="rId4" Type="http://schemas.microsoft.com/office/2007/relationships/stylesWithEffects" Target="stylesWithEffects.xml"/><Relationship Id="rId9" Type="http://schemas.openxmlformats.org/officeDocument/2006/relationships/hyperlink" Target="mailto:Alda.strode@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5C184-1261-4FCE-BC49-DF12F3FA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3203</Words>
  <Characters>21977</Characters>
  <Application>Microsoft Office Word</Application>
  <DocSecurity>0</DocSecurity>
  <Lines>732</Lines>
  <Paragraphs>299</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24881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Radzeviča</dc:creator>
  <cp:lastModifiedBy>Ieva Potjomkina</cp:lastModifiedBy>
  <cp:revision>3</cp:revision>
  <cp:lastPrinted>2013-10-28T07:02:00Z</cp:lastPrinted>
  <dcterms:created xsi:type="dcterms:W3CDTF">2013-11-25T07:13:00Z</dcterms:created>
  <dcterms:modified xsi:type="dcterms:W3CDTF">2013-11-25T07:20:00Z</dcterms:modified>
</cp:coreProperties>
</file>