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70A" w:rsidRPr="00C36483" w:rsidRDefault="00CD0A3D" w:rsidP="00CD0A3D">
      <w:pPr>
        <w:ind w:firstLine="0"/>
        <w:jc w:val="center"/>
        <w:rPr>
          <w:b/>
          <w:sz w:val="28"/>
          <w:szCs w:val="28"/>
        </w:rPr>
      </w:pPr>
      <w:r w:rsidRPr="00C36483">
        <w:rPr>
          <w:b/>
          <w:sz w:val="28"/>
          <w:szCs w:val="28"/>
        </w:rPr>
        <w:t xml:space="preserve">Ministru kabineta noteikumu projekta „Grozījumi Ministru kabineta 2011.gada </w:t>
      </w:r>
      <w:r w:rsidR="009D6A06" w:rsidRPr="00C36483">
        <w:rPr>
          <w:b/>
          <w:sz w:val="28"/>
          <w:szCs w:val="28"/>
        </w:rPr>
        <w:t>27</w:t>
      </w:r>
      <w:r w:rsidRPr="00C36483">
        <w:rPr>
          <w:b/>
          <w:sz w:val="28"/>
          <w:szCs w:val="28"/>
        </w:rPr>
        <w:t>.decembra noteikumos Nr.</w:t>
      </w:r>
      <w:r w:rsidR="009D6A06" w:rsidRPr="00C36483">
        <w:rPr>
          <w:b/>
          <w:sz w:val="28"/>
          <w:szCs w:val="28"/>
        </w:rPr>
        <w:t>1011</w:t>
      </w:r>
      <w:r w:rsidRPr="00C36483">
        <w:rPr>
          <w:b/>
          <w:sz w:val="28"/>
          <w:szCs w:val="28"/>
        </w:rPr>
        <w:t xml:space="preserve"> „Ieroču atļauju noteikumi, kā arī ieroču izņemšanas un iznīcināšanas kārtība”</w:t>
      </w:r>
      <w:r w:rsidR="00E90377" w:rsidRPr="00C36483">
        <w:rPr>
          <w:b/>
          <w:sz w:val="28"/>
          <w:szCs w:val="28"/>
        </w:rPr>
        <w:t>”</w:t>
      </w:r>
      <w:r w:rsidRPr="00C36483">
        <w:rPr>
          <w:b/>
          <w:sz w:val="28"/>
          <w:szCs w:val="28"/>
        </w:rPr>
        <w:t xml:space="preserve"> sākotnējās ietekmes novērtējuma ziņojums (anotācija)</w:t>
      </w:r>
    </w:p>
    <w:p w:rsidR="00CD0A3D" w:rsidRPr="00C36483" w:rsidRDefault="00CD0A3D" w:rsidP="00CD0A3D">
      <w:pPr>
        <w:ind w:firstLine="0"/>
        <w:jc w:val="center"/>
        <w:rPr>
          <w:sz w:val="28"/>
          <w:szCs w:val="28"/>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149"/>
        <w:gridCol w:w="7026"/>
      </w:tblGrid>
      <w:tr w:rsidR="00CD0A3D" w:rsidRPr="00C36483" w:rsidTr="00F533E2">
        <w:tc>
          <w:tcPr>
            <w:tcW w:w="9725" w:type="dxa"/>
            <w:gridSpan w:val="3"/>
            <w:vAlign w:val="center"/>
          </w:tcPr>
          <w:p w:rsidR="00CD0A3D" w:rsidRPr="00C36483" w:rsidRDefault="00CD0A3D" w:rsidP="00F533E2">
            <w:pPr>
              <w:pStyle w:val="naisnod"/>
              <w:spacing w:before="0" w:after="0"/>
              <w:rPr>
                <w:sz w:val="28"/>
                <w:szCs w:val="28"/>
              </w:rPr>
            </w:pPr>
            <w:r w:rsidRPr="00C36483">
              <w:rPr>
                <w:sz w:val="28"/>
                <w:szCs w:val="28"/>
              </w:rPr>
              <w:t>I. Tiesību akta projekta izstrādes nepieciešamība</w:t>
            </w:r>
          </w:p>
        </w:tc>
      </w:tr>
      <w:tr w:rsidR="00CD0A3D" w:rsidRPr="00C36483" w:rsidTr="00344087">
        <w:trPr>
          <w:trHeight w:val="630"/>
        </w:trPr>
        <w:tc>
          <w:tcPr>
            <w:tcW w:w="550" w:type="dxa"/>
          </w:tcPr>
          <w:p w:rsidR="00CD0A3D" w:rsidRPr="00C36483" w:rsidRDefault="00CD0A3D" w:rsidP="00F533E2">
            <w:pPr>
              <w:pStyle w:val="naiskr"/>
              <w:spacing w:before="0" w:after="0"/>
              <w:rPr>
                <w:sz w:val="28"/>
                <w:szCs w:val="28"/>
              </w:rPr>
            </w:pPr>
            <w:r w:rsidRPr="00C36483">
              <w:rPr>
                <w:sz w:val="28"/>
                <w:szCs w:val="28"/>
              </w:rPr>
              <w:t>1.</w:t>
            </w:r>
          </w:p>
        </w:tc>
        <w:tc>
          <w:tcPr>
            <w:tcW w:w="2149" w:type="dxa"/>
          </w:tcPr>
          <w:p w:rsidR="00CD0A3D" w:rsidRPr="00C36483" w:rsidRDefault="00CD0A3D" w:rsidP="00F533E2">
            <w:pPr>
              <w:pStyle w:val="naiskr"/>
              <w:spacing w:before="0" w:after="0"/>
              <w:ind w:hanging="10"/>
              <w:rPr>
                <w:sz w:val="28"/>
                <w:szCs w:val="28"/>
              </w:rPr>
            </w:pPr>
            <w:r w:rsidRPr="00C36483">
              <w:rPr>
                <w:sz w:val="28"/>
                <w:szCs w:val="28"/>
              </w:rPr>
              <w:t>Pamatojums</w:t>
            </w:r>
          </w:p>
        </w:tc>
        <w:tc>
          <w:tcPr>
            <w:tcW w:w="7026" w:type="dxa"/>
          </w:tcPr>
          <w:p w:rsidR="00CD0A3D" w:rsidRPr="00C36483" w:rsidRDefault="001E25AC" w:rsidP="00763770">
            <w:pPr>
              <w:pStyle w:val="naiskr"/>
              <w:spacing w:before="0" w:after="0"/>
              <w:ind w:firstLine="385"/>
              <w:jc w:val="both"/>
              <w:rPr>
                <w:sz w:val="28"/>
                <w:szCs w:val="28"/>
              </w:rPr>
            </w:pPr>
            <w:r w:rsidRPr="00C36483">
              <w:rPr>
                <w:sz w:val="28"/>
                <w:szCs w:val="28"/>
              </w:rPr>
              <w:t xml:space="preserve">Ieroču </w:t>
            </w:r>
            <w:r w:rsidRPr="00C36483">
              <w:rPr>
                <w:iCs/>
                <w:sz w:val="28"/>
                <w:szCs w:val="28"/>
              </w:rPr>
              <w:t>un</w:t>
            </w:r>
            <w:r w:rsidRPr="00C36483">
              <w:rPr>
                <w:sz w:val="28"/>
                <w:szCs w:val="28"/>
              </w:rPr>
              <w:t xml:space="preserve"> </w:t>
            </w:r>
            <w:r w:rsidRPr="00C36483">
              <w:rPr>
                <w:iCs/>
                <w:sz w:val="28"/>
                <w:szCs w:val="28"/>
              </w:rPr>
              <w:t>speciālo</w:t>
            </w:r>
            <w:r w:rsidRPr="00C36483">
              <w:rPr>
                <w:sz w:val="28"/>
                <w:szCs w:val="28"/>
              </w:rPr>
              <w:t xml:space="preserve"> līdzekļu aprites likuma 53.panta trešā daļa.</w:t>
            </w:r>
          </w:p>
        </w:tc>
      </w:tr>
      <w:tr w:rsidR="00CD0A3D" w:rsidRPr="00C36483" w:rsidTr="00344087">
        <w:trPr>
          <w:trHeight w:val="472"/>
        </w:trPr>
        <w:tc>
          <w:tcPr>
            <w:tcW w:w="550" w:type="dxa"/>
          </w:tcPr>
          <w:p w:rsidR="00CD0A3D" w:rsidRPr="00C36483" w:rsidRDefault="00CD0A3D" w:rsidP="00F533E2">
            <w:pPr>
              <w:pStyle w:val="naiskr"/>
              <w:spacing w:before="0" w:after="0"/>
              <w:rPr>
                <w:sz w:val="28"/>
                <w:szCs w:val="28"/>
              </w:rPr>
            </w:pPr>
            <w:r w:rsidRPr="00C36483">
              <w:rPr>
                <w:sz w:val="28"/>
                <w:szCs w:val="28"/>
              </w:rPr>
              <w:t>2.</w:t>
            </w:r>
          </w:p>
        </w:tc>
        <w:tc>
          <w:tcPr>
            <w:tcW w:w="2149" w:type="dxa"/>
          </w:tcPr>
          <w:p w:rsidR="00CD0A3D" w:rsidRPr="00C36483" w:rsidRDefault="00CD0A3D" w:rsidP="00F533E2">
            <w:pPr>
              <w:pStyle w:val="naiskr"/>
              <w:tabs>
                <w:tab w:val="left" w:pos="170"/>
              </w:tabs>
              <w:spacing w:before="0" w:after="0"/>
              <w:rPr>
                <w:sz w:val="28"/>
                <w:szCs w:val="28"/>
              </w:rPr>
            </w:pPr>
            <w:r w:rsidRPr="00C36483">
              <w:rPr>
                <w:sz w:val="28"/>
                <w:szCs w:val="28"/>
              </w:rPr>
              <w:t>Pašreizējā situācija un problēmas</w:t>
            </w:r>
          </w:p>
        </w:tc>
        <w:tc>
          <w:tcPr>
            <w:tcW w:w="7026" w:type="dxa"/>
          </w:tcPr>
          <w:p w:rsidR="00BC2C9E" w:rsidRPr="00C36483" w:rsidRDefault="00A02A40" w:rsidP="00A00D3D">
            <w:pPr>
              <w:pStyle w:val="naiskr"/>
              <w:spacing w:before="0" w:after="0"/>
              <w:ind w:firstLine="385"/>
              <w:jc w:val="both"/>
              <w:rPr>
                <w:sz w:val="28"/>
                <w:szCs w:val="28"/>
              </w:rPr>
            </w:pPr>
            <w:r w:rsidRPr="00C36483">
              <w:rPr>
                <w:iCs/>
                <w:sz w:val="28"/>
                <w:szCs w:val="28"/>
              </w:rPr>
              <w:t xml:space="preserve">2012.gada </w:t>
            </w:r>
            <w:r w:rsidR="00D910A1" w:rsidRPr="00C36483">
              <w:rPr>
                <w:iCs/>
                <w:sz w:val="28"/>
                <w:szCs w:val="28"/>
              </w:rPr>
              <w:t xml:space="preserve">15.februārī </w:t>
            </w:r>
            <w:r w:rsidR="007B5289" w:rsidRPr="00C36483">
              <w:rPr>
                <w:iCs/>
                <w:sz w:val="28"/>
                <w:szCs w:val="28"/>
              </w:rPr>
              <w:t xml:space="preserve">stājās spēkā </w:t>
            </w:r>
            <w:r w:rsidR="00B83CAE" w:rsidRPr="00C36483">
              <w:rPr>
                <w:iCs/>
                <w:sz w:val="28"/>
                <w:szCs w:val="28"/>
              </w:rPr>
              <w:t xml:space="preserve">2012.gada 19.janvāra </w:t>
            </w:r>
            <w:r w:rsidR="007B5289" w:rsidRPr="00C36483">
              <w:rPr>
                <w:iCs/>
                <w:sz w:val="28"/>
                <w:szCs w:val="28"/>
              </w:rPr>
              <w:t>grozījumi Ieroču un speciālo līdzekļu aprites likumā,</w:t>
            </w:r>
            <w:r w:rsidR="00763770" w:rsidRPr="00C36483">
              <w:rPr>
                <w:iCs/>
                <w:sz w:val="28"/>
                <w:szCs w:val="28"/>
              </w:rPr>
              <w:t xml:space="preserve"> kur</w:t>
            </w:r>
            <w:r w:rsidR="007B5289" w:rsidRPr="00C36483">
              <w:rPr>
                <w:iCs/>
                <w:sz w:val="28"/>
                <w:szCs w:val="28"/>
              </w:rPr>
              <w:t>i grozīja</w:t>
            </w:r>
            <w:r w:rsidR="00763770" w:rsidRPr="00C36483">
              <w:rPr>
                <w:iCs/>
                <w:sz w:val="28"/>
                <w:szCs w:val="28"/>
              </w:rPr>
              <w:t xml:space="preserve"> </w:t>
            </w:r>
            <w:r w:rsidR="00095405" w:rsidRPr="00C36483">
              <w:rPr>
                <w:iCs/>
                <w:sz w:val="28"/>
                <w:szCs w:val="28"/>
              </w:rPr>
              <w:t>Ieroču un speciālo līdzekļu aprites likuma normas, tostarp</w:t>
            </w:r>
            <w:r w:rsidR="00763770" w:rsidRPr="00C36483">
              <w:rPr>
                <w:iCs/>
                <w:sz w:val="28"/>
                <w:szCs w:val="28"/>
              </w:rPr>
              <w:t>,</w:t>
            </w:r>
            <w:r w:rsidR="00095405" w:rsidRPr="00C36483">
              <w:rPr>
                <w:iCs/>
                <w:sz w:val="28"/>
                <w:szCs w:val="28"/>
              </w:rPr>
              <w:t xml:space="preserve"> minētā likuma 53.</w:t>
            </w:r>
            <w:r w:rsidR="00C06506" w:rsidRPr="00C36483">
              <w:rPr>
                <w:iCs/>
                <w:sz w:val="28"/>
                <w:szCs w:val="28"/>
              </w:rPr>
              <w:t>pant</w:t>
            </w:r>
            <w:r w:rsidR="007B5289" w:rsidRPr="00C36483">
              <w:rPr>
                <w:iCs/>
                <w:sz w:val="28"/>
                <w:szCs w:val="28"/>
              </w:rPr>
              <w:t>u</w:t>
            </w:r>
            <w:r w:rsidR="00095405" w:rsidRPr="00C36483">
              <w:rPr>
                <w:iCs/>
                <w:sz w:val="28"/>
                <w:szCs w:val="28"/>
              </w:rPr>
              <w:t xml:space="preserve">, tā otrajā daļā nosakot, ka </w:t>
            </w:r>
            <w:r w:rsidR="00095405" w:rsidRPr="00C36483">
              <w:rPr>
                <w:sz w:val="28"/>
                <w:szCs w:val="28"/>
              </w:rPr>
              <w:t xml:space="preserve">nodotos vai izņemtos, kā arī konfiscētos šaujamieročus, to munīciju un sastāvdaļas, lielas enerģijas pneimatiskos ieročus, gāzes pistoles (revolverus) </w:t>
            </w:r>
            <w:r w:rsidR="00BA2B2D" w:rsidRPr="00C36483">
              <w:rPr>
                <w:sz w:val="28"/>
                <w:szCs w:val="28"/>
              </w:rPr>
              <w:t xml:space="preserve">(turpmāk – ieroči) </w:t>
            </w:r>
            <w:r w:rsidR="00095405" w:rsidRPr="00C36483">
              <w:rPr>
                <w:sz w:val="28"/>
                <w:szCs w:val="28"/>
              </w:rPr>
              <w:t>un speciālos līdzekļus</w:t>
            </w:r>
            <w:r w:rsidR="001E25AC" w:rsidRPr="00C36483">
              <w:rPr>
                <w:sz w:val="28"/>
                <w:szCs w:val="28"/>
              </w:rPr>
              <w:t xml:space="preserve"> </w:t>
            </w:r>
            <w:r w:rsidR="00095405" w:rsidRPr="00C36483">
              <w:rPr>
                <w:sz w:val="28"/>
                <w:szCs w:val="28"/>
              </w:rPr>
              <w:t>iznīcina Nodrošinājuma valsts aģentūra</w:t>
            </w:r>
            <w:r w:rsidR="00A00D3D" w:rsidRPr="00C36483">
              <w:rPr>
                <w:sz w:val="28"/>
                <w:szCs w:val="28"/>
              </w:rPr>
              <w:t xml:space="preserve"> (turpmāk – aģentūra)</w:t>
            </w:r>
            <w:r w:rsidR="00095405" w:rsidRPr="00C36483">
              <w:rPr>
                <w:sz w:val="28"/>
                <w:szCs w:val="28"/>
              </w:rPr>
              <w:t>.</w:t>
            </w:r>
          </w:p>
          <w:p w:rsidR="00095405" w:rsidRPr="00C36483" w:rsidRDefault="00095405" w:rsidP="00A00D3D">
            <w:pPr>
              <w:pStyle w:val="naiskr"/>
              <w:spacing w:before="0" w:after="0"/>
              <w:ind w:firstLine="385"/>
              <w:jc w:val="both"/>
              <w:rPr>
                <w:iCs/>
                <w:sz w:val="28"/>
                <w:szCs w:val="28"/>
              </w:rPr>
            </w:pPr>
            <w:r w:rsidRPr="00C36483">
              <w:rPr>
                <w:iCs/>
                <w:sz w:val="28"/>
                <w:szCs w:val="28"/>
              </w:rPr>
              <w:t xml:space="preserve">Līdz minēto grozījumu spēkā stāšanās dienai Ieroču un speciālo līdzekļu aprites likuma 53.panta pirmā daļa noteica, ka nodotos vai izņemtos, kā arī konfiscētos </w:t>
            </w:r>
            <w:r w:rsidR="001E25AC" w:rsidRPr="00C36483">
              <w:rPr>
                <w:iCs/>
                <w:sz w:val="28"/>
                <w:szCs w:val="28"/>
              </w:rPr>
              <w:t>ieročus</w:t>
            </w:r>
            <w:r w:rsidR="00BA2B2D" w:rsidRPr="00C36483">
              <w:rPr>
                <w:iCs/>
                <w:sz w:val="28"/>
                <w:szCs w:val="28"/>
              </w:rPr>
              <w:t xml:space="preserve"> un speciālos līdzekļus</w:t>
            </w:r>
            <w:r w:rsidRPr="00C36483">
              <w:rPr>
                <w:iCs/>
                <w:sz w:val="28"/>
                <w:szCs w:val="28"/>
              </w:rPr>
              <w:t xml:space="preserve"> iznīcina Valsts policija, līdz ar to </w:t>
            </w:r>
            <w:r w:rsidR="00605AAD" w:rsidRPr="00C36483">
              <w:rPr>
                <w:iCs/>
                <w:sz w:val="28"/>
                <w:szCs w:val="28"/>
              </w:rPr>
              <w:t xml:space="preserve">atbilstoši likuma deleģējumam </w:t>
            </w:r>
            <w:r w:rsidRPr="00C36483">
              <w:rPr>
                <w:iCs/>
                <w:sz w:val="28"/>
                <w:szCs w:val="28"/>
              </w:rPr>
              <w:t xml:space="preserve">Ministru kabineta 2011.gada </w:t>
            </w:r>
            <w:r w:rsidR="000C1284" w:rsidRPr="00C36483">
              <w:rPr>
                <w:iCs/>
                <w:sz w:val="28"/>
                <w:szCs w:val="28"/>
              </w:rPr>
              <w:t>27</w:t>
            </w:r>
            <w:r w:rsidRPr="00C36483">
              <w:rPr>
                <w:iCs/>
                <w:sz w:val="28"/>
                <w:szCs w:val="28"/>
              </w:rPr>
              <w:t>.decembra noteikumu Nr.</w:t>
            </w:r>
            <w:r w:rsidR="000C1284" w:rsidRPr="00C36483">
              <w:rPr>
                <w:iCs/>
                <w:sz w:val="28"/>
                <w:szCs w:val="28"/>
              </w:rPr>
              <w:t>1011</w:t>
            </w:r>
            <w:r w:rsidRPr="00C36483">
              <w:rPr>
                <w:iCs/>
                <w:sz w:val="28"/>
                <w:szCs w:val="28"/>
              </w:rPr>
              <w:t xml:space="preserve"> „Ieroču atļauju noteikumi, kā arī ieroču izņemšanas un iznīcināšanas kārtība”</w:t>
            </w:r>
            <w:r w:rsidR="001E25AC" w:rsidRPr="00C36483">
              <w:rPr>
                <w:iCs/>
                <w:sz w:val="28"/>
                <w:szCs w:val="28"/>
              </w:rPr>
              <w:t xml:space="preserve"> (turpmāk – noteikumi Nr.1011)</w:t>
            </w:r>
            <w:r w:rsidRPr="00C36483">
              <w:rPr>
                <w:iCs/>
                <w:sz w:val="28"/>
                <w:szCs w:val="28"/>
              </w:rPr>
              <w:t xml:space="preserve"> </w:t>
            </w:r>
            <w:r w:rsidR="000C1284" w:rsidRPr="00C36483">
              <w:rPr>
                <w:iCs/>
                <w:sz w:val="28"/>
                <w:szCs w:val="28"/>
              </w:rPr>
              <w:t>12</w:t>
            </w:r>
            <w:r w:rsidR="00605AAD" w:rsidRPr="00C36483">
              <w:rPr>
                <w:iCs/>
                <w:sz w:val="28"/>
                <w:szCs w:val="28"/>
              </w:rPr>
              <w:t xml:space="preserve">.nodaļā </w:t>
            </w:r>
            <w:r w:rsidR="00A00D3D" w:rsidRPr="00C36483">
              <w:rPr>
                <w:iCs/>
                <w:sz w:val="28"/>
                <w:szCs w:val="28"/>
              </w:rPr>
              <w:t>bija</w:t>
            </w:r>
            <w:r w:rsidRPr="00C36483">
              <w:rPr>
                <w:iCs/>
                <w:sz w:val="28"/>
                <w:szCs w:val="28"/>
              </w:rPr>
              <w:t xml:space="preserve"> noteikta kārtība, kādā </w:t>
            </w:r>
            <w:r w:rsidR="00605AAD" w:rsidRPr="00C36483">
              <w:rPr>
                <w:iCs/>
                <w:sz w:val="28"/>
                <w:szCs w:val="28"/>
              </w:rPr>
              <w:t>V</w:t>
            </w:r>
            <w:r w:rsidR="001E25AC" w:rsidRPr="00C36483">
              <w:rPr>
                <w:iCs/>
                <w:sz w:val="28"/>
                <w:szCs w:val="28"/>
              </w:rPr>
              <w:t>alsts policija iznīcina ieročus</w:t>
            </w:r>
            <w:r w:rsidR="00605AAD" w:rsidRPr="00C36483">
              <w:rPr>
                <w:iCs/>
                <w:sz w:val="28"/>
                <w:szCs w:val="28"/>
              </w:rPr>
              <w:t>.</w:t>
            </w:r>
          </w:p>
          <w:p w:rsidR="00EA4494" w:rsidRPr="00C36483" w:rsidRDefault="00605AAD" w:rsidP="00553AF3">
            <w:pPr>
              <w:pStyle w:val="naiskr"/>
              <w:spacing w:before="0" w:after="0"/>
              <w:ind w:firstLine="385"/>
              <w:jc w:val="both"/>
              <w:rPr>
                <w:sz w:val="28"/>
                <w:szCs w:val="28"/>
              </w:rPr>
            </w:pPr>
            <w:r w:rsidRPr="00C36483">
              <w:rPr>
                <w:iCs/>
                <w:sz w:val="28"/>
                <w:szCs w:val="28"/>
              </w:rPr>
              <w:t xml:space="preserve">Līdz ar </w:t>
            </w:r>
            <w:r w:rsidR="00B83CAE" w:rsidRPr="00C36483">
              <w:rPr>
                <w:iCs/>
                <w:sz w:val="28"/>
                <w:szCs w:val="28"/>
              </w:rPr>
              <w:t xml:space="preserve">2012.gada 19.janvāra </w:t>
            </w:r>
            <w:r w:rsidR="007B5289" w:rsidRPr="00C36483">
              <w:rPr>
                <w:iCs/>
                <w:sz w:val="28"/>
                <w:szCs w:val="28"/>
              </w:rPr>
              <w:t>grozījumiem Ieroču un speciālo līdzekļu aprites likumā</w:t>
            </w:r>
            <w:r w:rsidR="00763770" w:rsidRPr="00C36483">
              <w:rPr>
                <w:iCs/>
                <w:sz w:val="28"/>
                <w:szCs w:val="28"/>
              </w:rPr>
              <w:t xml:space="preserve"> grozāmā likuma </w:t>
            </w:r>
            <w:r w:rsidRPr="00C36483">
              <w:rPr>
                <w:iCs/>
                <w:sz w:val="28"/>
                <w:szCs w:val="28"/>
              </w:rPr>
              <w:t xml:space="preserve">53.pantā deleģējums iznīcināt </w:t>
            </w:r>
            <w:r w:rsidR="001E25AC" w:rsidRPr="00C36483">
              <w:rPr>
                <w:sz w:val="28"/>
                <w:szCs w:val="28"/>
              </w:rPr>
              <w:t>ieročus</w:t>
            </w:r>
            <w:r w:rsidR="002700D3" w:rsidRPr="00C36483">
              <w:rPr>
                <w:sz w:val="28"/>
                <w:szCs w:val="28"/>
              </w:rPr>
              <w:t xml:space="preserve"> un speciālos līdzekļus</w:t>
            </w:r>
            <w:r w:rsidRPr="00C36483">
              <w:rPr>
                <w:sz w:val="28"/>
                <w:szCs w:val="28"/>
              </w:rPr>
              <w:t xml:space="preserve"> ir nodots</w:t>
            </w:r>
            <w:r w:rsidR="001E25AC" w:rsidRPr="00C36483">
              <w:rPr>
                <w:sz w:val="28"/>
                <w:szCs w:val="28"/>
              </w:rPr>
              <w:t xml:space="preserve"> aģentūrai</w:t>
            </w:r>
            <w:r w:rsidR="000C1284" w:rsidRPr="00C36483">
              <w:rPr>
                <w:sz w:val="28"/>
                <w:szCs w:val="28"/>
              </w:rPr>
              <w:t>.</w:t>
            </w:r>
            <w:r w:rsidR="001E25AC" w:rsidRPr="00C36483">
              <w:rPr>
                <w:sz w:val="28"/>
                <w:szCs w:val="28"/>
              </w:rPr>
              <w:t xml:space="preserve"> </w:t>
            </w:r>
            <w:r w:rsidR="0000336E" w:rsidRPr="00C36483">
              <w:rPr>
                <w:sz w:val="28"/>
                <w:szCs w:val="28"/>
              </w:rPr>
              <w:t>Pašreiz spēkā esošie normatīvie akti, tostarp</w:t>
            </w:r>
            <w:r w:rsidR="00553AF3" w:rsidRPr="00C36483">
              <w:rPr>
                <w:sz w:val="28"/>
                <w:szCs w:val="28"/>
              </w:rPr>
              <w:t>,</w:t>
            </w:r>
            <w:r w:rsidR="0000336E" w:rsidRPr="00C36483">
              <w:rPr>
                <w:sz w:val="28"/>
                <w:szCs w:val="28"/>
              </w:rPr>
              <w:t xml:space="preserve"> noteikumi Nr.</w:t>
            </w:r>
            <w:r w:rsidR="000C1284" w:rsidRPr="00C36483">
              <w:rPr>
                <w:sz w:val="28"/>
                <w:szCs w:val="28"/>
              </w:rPr>
              <w:t>1011</w:t>
            </w:r>
            <w:r w:rsidR="00A00D3D" w:rsidRPr="00C36483">
              <w:rPr>
                <w:sz w:val="28"/>
                <w:szCs w:val="28"/>
              </w:rPr>
              <w:t>,</w:t>
            </w:r>
            <w:r w:rsidR="0038142B" w:rsidRPr="00C36483">
              <w:rPr>
                <w:sz w:val="28"/>
                <w:szCs w:val="28"/>
              </w:rPr>
              <w:t xml:space="preserve"> neparedz kārtību, kādā aģentūrai nodod </w:t>
            </w:r>
            <w:r w:rsidR="000228B0" w:rsidRPr="00C36483">
              <w:rPr>
                <w:sz w:val="28"/>
                <w:szCs w:val="28"/>
              </w:rPr>
              <w:t>un</w:t>
            </w:r>
            <w:r w:rsidR="0038142B" w:rsidRPr="00C36483">
              <w:rPr>
                <w:sz w:val="28"/>
                <w:szCs w:val="28"/>
              </w:rPr>
              <w:t xml:space="preserve"> aģentūra pieņem un</w:t>
            </w:r>
            <w:r w:rsidR="00A00D3D" w:rsidRPr="00C36483">
              <w:rPr>
                <w:sz w:val="28"/>
                <w:szCs w:val="28"/>
              </w:rPr>
              <w:t xml:space="preserve"> iznīcina</w:t>
            </w:r>
            <w:r w:rsidR="0038142B" w:rsidRPr="00C36483">
              <w:rPr>
                <w:sz w:val="28"/>
                <w:szCs w:val="28"/>
              </w:rPr>
              <w:t xml:space="preserve"> </w:t>
            </w:r>
            <w:r w:rsidR="00A00D3D" w:rsidRPr="00C36483">
              <w:rPr>
                <w:sz w:val="28"/>
                <w:szCs w:val="28"/>
              </w:rPr>
              <w:t>ieročus</w:t>
            </w:r>
            <w:r w:rsidR="002700D3" w:rsidRPr="00C36483">
              <w:rPr>
                <w:sz w:val="28"/>
                <w:szCs w:val="28"/>
              </w:rPr>
              <w:t xml:space="preserve"> un speciālos līdzekļus</w:t>
            </w:r>
            <w:r w:rsidR="000228B0" w:rsidRPr="00C36483">
              <w:rPr>
                <w:sz w:val="28"/>
                <w:szCs w:val="28"/>
              </w:rPr>
              <w:t>. Ievērojot minēto,</w:t>
            </w:r>
            <w:r w:rsidRPr="00C36483">
              <w:rPr>
                <w:sz w:val="28"/>
                <w:szCs w:val="28"/>
              </w:rPr>
              <w:t xml:space="preserve"> ir nepieciešams </w:t>
            </w:r>
            <w:r w:rsidR="00A00D3D" w:rsidRPr="00C36483">
              <w:rPr>
                <w:sz w:val="28"/>
                <w:szCs w:val="28"/>
              </w:rPr>
              <w:t>veikt grozījumus noteikumo</w:t>
            </w:r>
            <w:r w:rsidR="005C7F33" w:rsidRPr="00C36483">
              <w:rPr>
                <w:sz w:val="28"/>
                <w:szCs w:val="28"/>
              </w:rPr>
              <w:t>s Nr.</w:t>
            </w:r>
            <w:r w:rsidR="000C1284" w:rsidRPr="00C36483">
              <w:rPr>
                <w:sz w:val="28"/>
                <w:szCs w:val="28"/>
              </w:rPr>
              <w:t>1011</w:t>
            </w:r>
            <w:r w:rsidR="005C7F33" w:rsidRPr="00C36483">
              <w:rPr>
                <w:sz w:val="28"/>
                <w:szCs w:val="28"/>
              </w:rPr>
              <w:t xml:space="preserve"> un </w:t>
            </w:r>
            <w:r w:rsidR="0038142B" w:rsidRPr="00C36483">
              <w:rPr>
                <w:sz w:val="28"/>
                <w:szCs w:val="28"/>
              </w:rPr>
              <w:t xml:space="preserve">atbilstoši Ieroču un speciālo līdzekļu aprites likuma 53.pantā ietvertajam </w:t>
            </w:r>
            <w:r w:rsidR="00BE6583" w:rsidRPr="00C36483">
              <w:rPr>
                <w:sz w:val="28"/>
                <w:szCs w:val="28"/>
              </w:rPr>
              <w:t xml:space="preserve">uzdevumam </w:t>
            </w:r>
            <w:r w:rsidR="005C7F33" w:rsidRPr="00C36483">
              <w:rPr>
                <w:sz w:val="28"/>
                <w:szCs w:val="28"/>
              </w:rPr>
              <w:t>noteikt kārtību, kādā aģentūra</w:t>
            </w:r>
            <w:r w:rsidR="00A00D3D" w:rsidRPr="00C36483">
              <w:rPr>
                <w:sz w:val="28"/>
                <w:szCs w:val="28"/>
              </w:rPr>
              <w:t>i nodod, bet aģentūra pieņem un</w:t>
            </w:r>
            <w:r w:rsidR="0000336E" w:rsidRPr="00C36483">
              <w:rPr>
                <w:sz w:val="28"/>
                <w:szCs w:val="28"/>
              </w:rPr>
              <w:t xml:space="preserve"> </w:t>
            </w:r>
            <w:r w:rsidR="005C7F33" w:rsidRPr="00C36483">
              <w:rPr>
                <w:sz w:val="28"/>
                <w:szCs w:val="28"/>
              </w:rPr>
              <w:t xml:space="preserve">iznīcina </w:t>
            </w:r>
            <w:r w:rsidR="00A00D3D" w:rsidRPr="00C36483">
              <w:rPr>
                <w:sz w:val="28"/>
                <w:szCs w:val="28"/>
              </w:rPr>
              <w:t>ieročus</w:t>
            </w:r>
            <w:r w:rsidR="002700D3" w:rsidRPr="00C36483">
              <w:rPr>
                <w:sz w:val="28"/>
                <w:szCs w:val="28"/>
              </w:rPr>
              <w:t xml:space="preserve"> un speciālos līdzekļus</w:t>
            </w:r>
            <w:r w:rsidR="0000336E" w:rsidRPr="00C36483">
              <w:rPr>
                <w:sz w:val="28"/>
                <w:szCs w:val="28"/>
              </w:rPr>
              <w:t>.</w:t>
            </w:r>
          </w:p>
        </w:tc>
      </w:tr>
      <w:tr w:rsidR="00CD0A3D" w:rsidRPr="00C36483" w:rsidTr="00344087">
        <w:trPr>
          <w:trHeight w:val="520"/>
        </w:trPr>
        <w:tc>
          <w:tcPr>
            <w:tcW w:w="550" w:type="dxa"/>
          </w:tcPr>
          <w:p w:rsidR="00CD0A3D" w:rsidRPr="00C36483" w:rsidRDefault="00CD0A3D" w:rsidP="00F533E2">
            <w:pPr>
              <w:pStyle w:val="naiskr"/>
              <w:spacing w:before="0" w:after="0"/>
              <w:rPr>
                <w:sz w:val="28"/>
                <w:szCs w:val="28"/>
              </w:rPr>
            </w:pPr>
            <w:r w:rsidRPr="00C36483">
              <w:rPr>
                <w:sz w:val="28"/>
                <w:szCs w:val="28"/>
              </w:rPr>
              <w:t>3.</w:t>
            </w:r>
          </w:p>
        </w:tc>
        <w:tc>
          <w:tcPr>
            <w:tcW w:w="2149" w:type="dxa"/>
          </w:tcPr>
          <w:p w:rsidR="00CD0A3D" w:rsidRPr="00C36483" w:rsidRDefault="00CD0A3D" w:rsidP="00F533E2">
            <w:pPr>
              <w:pStyle w:val="naiskr"/>
              <w:spacing w:before="0" w:after="0"/>
              <w:rPr>
                <w:sz w:val="28"/>
                <w:szCs w:val="28"/>
              </w:rPr>
            </w:pPr>
            <w:r w:rsidRPr="00C36483">
              <w:rPr>
                <w:sz w:val="28"/>
                <w:szCs w:val="28"/>
              </w:rPr>
              <w:t>Saistītie politikas ietekmes novērtējumi un pētījumi</w:t>
            </w:r>
          </w:p>
        </w:tc>
        <w:tc>
          <w:tcPr>
            <w:tcW w:w="7026" w:type="dxa"/>
          </w:tcPr>
          <w:p w:rsidR="00CD0A3D" w:rsidRPr="00C36483" w:rsidRDefault="00352BCE" w:rsidP="001F0D24">
            <w:pPr>
              <w:pStyle w:val="naiskr"/>
              <w:spacing w:before="0" w:after="0"/>
              <w:ind w:firstLine="385"/>
              <w:jc w:val="both"/>
              <w:rPr>
                <w:sz w:val="28"/>
                <w:szCs w:val="28"/>
              </w:rPr>
            </w:pPr>
            <w:r w:rsidRPr="00C36483">
              <w:rPr>
                <w:sz w:val="28"/>
                <w:szCs w:val="28"/>
              </w:rPr>
              <w:t>Projekts šo jomu neskar</w:t>
            </w:r>
            <w:r w:rsidR="0000336E" w:rsidRPr="00C36483">
              <w:rPr>
                <w:sz w:val="28"/>
                <w:szCs w:val="28"/>
              </w:rPr>
              <w:t>.</w:t>
            </w:r>
          </w:p>
        </w:tc>
      </w:tr>
      <w:tr w:rsidR="00CD0A3D" w:rsidRPr="00C36483" w:rsidTr="00344087">
        <w:trPr>
          <w:trHeight w:val="384"/>
        </w:trPr>
        <w:tc>
          <w:tcPr>
            <w:tcW w:w="550" w:type="dxa"/>
          </w:tcPr>
          <w:p w:rsidR="00CD0A3D" w:rsidRPr="00C36483" w:rsidRDefault="00CD0A3D" w:rsidP="00F533E2">
            <w:pPr>
              <w:pStyle w:val="naiskr"/>
              <w:spacing w:before="0" w:after="0"/>
              <w:rPr>
                <w:sz w:val="28"/>
                <w:szCs w:val="28"/>
              </w:rPr>
            </w:pPr>
            <w:r w:rsidRPr="00C36483">
              <w:rPr>
                <w:sz w:val="28"/>
                <w:szCs w:val="28"/>
              </w:rPr>
              <w:lastRenderedPageBreak/>
              <w:t>4.</w:t>
            </w:r>
          </w:p>
        </w:tc>
        <w:tc>
          <w:tcPr>
            <w:tcW w:w="2149" w:type="dxa"/>
          </w:tcPr>
          <w:p w:rsidR="00CD0A3D" w:rsidRPr="00C36483" w:rsidRDefault="00CD0A3D" w:rsidP="00F533E2">
            <w:pPr>
              <w:pStyle w:val="naiskr"/>
              <w:spacing w:before="0" w:after="0"/>
              <w:rPr>
                <w:sz w:val="28"/>
                <w:szCs w:val="28"/>
              </w:rPr>
            </w:pPr>
            <w:r w:rsidRPr="00C36483">
              <w:rPr>
                <w:sz w:val="28"/>
                <w:szCs w:val="28"/>
              </w:rPr>
              <w:t>Tiesiskā regulējuma mērķis un būtība</w:t>
            </w:r>
          </w:p>
        </w:tc>
        <w:tc>
          <w:tcPr>
            <w:tcW w:w="7026" w:type="dxa"/>
          </w:tcPr>
          <w:p w:rsidR="00E06702" w:rsidRPr="00C36483" w:rsidRDefault="00E06702" w:rsidP="001F0D24">
            <w:pPr>
              <w:pStyle w:val="naiskr"/>
              <w:spacing w:before="0" w:after="0"/>
              <w:ind w:firstLine="385"/>
              <w:jc w:val="both"/>
              <w:rPr>
                <w:iCs/>
                <w:sz w:val="28"/>
                <w:szCs w:val="28"/>
              </w:rPr>
            </w:pPr>
            <w:r w:rsidRPr="00C36483">
              <w:rPr>
                <w:iCs/>
                <w:sz w:val="28"/>
                <w:szCs w:val="28"/>
              </w:rPr>
              <w:t xml:space="preserve">Projekta mērķis ir izpildīt </w:t>
            </w:r>
            <w:r w:rsidR="000228B0" w:rsidRPr="00C36483">
              <w:rPr>
                <w:iCs/>
                <w:sz w:val="28"/>
                <w:szCs w:val="28"/>
              </w:rPr>
              <w:t xml:space="preserve">ar </w:t>
            </w:r>
            <w:r w:rsidR="00B83CAE" w:rsidRPr="00C36483">
              <w:rPr>
                <w:iCs/>
                <w:sz w:val="28"/>
                <w:szCs w:val="28"/>
              </w:rPr>
              <w:t xml:space="preserve">2012.gada 19.janvāra grozījumiem Ieroču un speciālo līdzekļu aprites </w:t>
            </w:r>
            <w:r w:rsidR="000228B0" w:rsidRPr="00C36483">
              <w:rPr>
                <w:iCs/>
                <w:sz w:val="28"/>
                <w:szCs w:val="28"/>
              </w:rPr>
              <w:t xml:space="preserve">likuma </w:t>
            </w:r>
            <w:r w:rsidRPr="00C36483">
              <w:rPr>
                <w:iCs/>
                <w:sz w:val="28"/>
                <w:szCs w:val="28"/>
              </w:rPr>
              <w:t xml:space="preserve">53.pantā aktualizēto deleģējumu Ministru kabinetam noteikt </w:t>
            </w:r>
            <w:r w:rsidR="000C1284" w:rsidRPr="00C36483">
              <w:rPr>
                <w:iCs/>
                <w:sz w:val="28"/>
                <w:szCs w:val="28"/>
              </w:rPr>
              <w:t>i</w:t>
            </w:r>
            <w:r w:rsidR="00181032" w:rsidRPr="00C36483">
              <w:rPr>
                <w:iCs/>
                <w:sz w:val="28"/>
                <w:szCs w:val="28"/>
              </w:rPr>
              <w:t>eroču</w:t>
            </w:r>
            <w:r w:rsidR="002700D3" w:rsidRPr="00C36483">
              <w:rPr>
                <w:iCs/>
                <w:sz w:val="28"/>
                <w:szCs w:val="28"/>
              </w:rPr>
              <w:t xml:space="preserve"> un speciālo līdzekļu</w:t>
            </w:r>
            <w:r w:rsidR="00181032" w:rsidRPr="00C36483">
              <w:rPr>
                <w:iCs/>
                <w:sz w:val="28"/>
                <w:szCs w:val="28"/>
              </w:rPr>
              <w:t xml:space="preserve"> </w:t>
            </w:r>
            <w:r w:rsidRPr="00C36483">
              <w:rPr>
                <w:iCs/>
                <w:sz w:val="28"/>
                <w:szCs w:val="28"/>
              </w:rPr>
              <w:t>iznīcināšanas kārtību.</w:t>
            </w:r>
          </w:p>
          <w:p w:rsidR="00E06702" w:rsidRPr="00C36483" w:rsidRDefault="00E06702" w:rsidP="001F0D24">
            <w:pPr>
              <w:pStyle w:val="naiskr"/>
              <w:spacing w:before="0" w:after="0"/>
              <w:ind w:firstLine="385"/>
              <w:jc w:val="both"/>
              <w:rPr>
                <w:sz w:val="28"/>
                <w:szCs w:val="28"/>
              </w:rPr>
            </w:pPr>
            <w:r w:rsidRPr="00C36483">
              <w:rPr>
                <w:sz w:val="28"/>
                <w:szCs w:val="28"/>
              </w:rPr>
              <w:t>Projekts nosaka:</w:t>
            </w:r>
          </w:p>
          <w:p w:rsidR="00C31B7C" w:rsidRPr="00C36483" w:rsidRDefault="00BF01C4" w:rsidP="001F0D24">
            <w:pPr>
              <w:pStyle w:val="naiskr"/>
              <w:spacing w:before="0" w:after="0"/>
              <w:ind w:firstLine="385"/>
              <w:jc w:val="both"/>
              <w:rPr>
                <w:sz w:val="28"/>
                <w:szCs w:val="28"/>
              </w:rPr>
            </w:pPr>
            <w:r w:rsidRPr="00C36483">
              <w:rPr>
                <w:sz w:val="28"/>
                <w:szCs w:val="28"/>
              </w:rPr>
              <w:t xml:space="preserve">1. </w:t>
            </w:r>
            <w:r w:rsidR="002700D3" w:rsidRPr="00C36483">
              <w:rPr>
                <w:sz w:val="28"/>
                <w:szCs w:val="28"/>
              </w:rPr>
              <w:t xml:space="preserve">kārtību, kādā ieročus </w:t>
            </w:r>
            <w:r w:rsidR="00DD0B36" w:rsidRPr="00C36483">
              <w:rPr>
                <w:sz w:val="28"/>
                <w:szCs w:val="28"/>
              </w:rPr>
              <w:t>un speciālos līdzekļus</w:t>
            </w:r>
            <w:r w:rsidR="00CB79C6" w:rsidRPr="00C36483">
              <w:rPr>
                <w:sz w:val="28"/>
                <w:szCs w:val="28"/>
              </w:rPr>
              <w:t xml:space="preserve"> nodod aģentūrai iznīcināšanai;</w:t>
            </w:r>
          </w:p>
          <w:p w:rsidR="00CB79C6" w:rsidRPr="00C36483" w:rsidRDefault="00CB79C6" w:rsidP="001F0D24">
            <w:pPr>
              <w:pStyle w:val="naiskr"/>
              <w:spacing w:before="0" w:after="0"/>
              <w:ind w:firstLine="385"/>
              <w:jc w:val="both"/>
              <w:rPr>
                <w:sz w:val="28"/>
                <w:szCs w:val="28"/>
              </w:rPr>
            </w:pPr>
            <w:r w:rsidRPr="00C36483">
              <w:rPr>
                <w:sz w:val="28"/>
                <w:szCs w:val="28"/>
              </w:rPr>
              <w:t>2. kārtību, kādā aģentūr</w:t>
            </w:r>
            <w:r w:rsidR="002700D3" w:rsidRPr="00C36483">
              <w:rPr>
                <w:sz w:val="28"/>
                <w:szCs w:val="28"/>
              </w:rPr>
              <w:t xml:space="preserve">a pieņem iznīcināšanai ieročus </w:t>
            </w:r>
            <w:r w:rsidRPr="00C36483">
              <w:rPr>
                <w:sz w:val="28"/>
                <w:szCs w:val="28"/>
              </w:rPr>
              <w:t>un speciālos līdzekļus;</w:t>
            </w:r>
          </w:p>
          <w:p w:rsidR="00181032" w:rsidRPr="00C36483" w:rsidRDefault="00CB79C6" w:rsidP="001F0D24">
            <w:pPr>
              <w:pStyle w:val="naiskr"/>
              <w:spacing w:before="0" w:after="0"/>
              <w:ind w:firstLine="385"/>
              <w:jc w:val="both"/>
              <w:rPr>
                <w:sz w:val="28"/>
                <w:szCs w:val="28"/>
              </w:rPr>
            </w:pPr>
            <w:r w:rsidRPr="00C36483">
              <w:rPr>
                <w:sz w:val="28"/>
                <w:szCs w:val="28"/>
              </w:rPr>
              <w:t xml:space="preserve">3. </w:t>
            </w:r>
            <w:r w:rsidR="00F64175" w:rsidRPr="00C36483">
              <w:rPr>
                <w:sz w:val="28"/>
                <w:szCs w:val="28"/>
              </w:rPr>
              <w:t>kārtī</w:t>
            </w:r>
            <w:r w:rsidR="002700D3" w:rsidRPr="00C36483">
              <w:rPr>
                <w:sz w:val="28"/>
                <w:szCs w:val="28"/>
              </w:rPr>
              <w:t>bu, kādā aģentūra veic ieroču</w:t>
            </w:r>
            <w:r w:rsidR="00F64175" w:rsidRPr="00C36483">
              <w:rPr>
                <w:sz w:val="28"/>
                <w:szCs w:val="28"/>
              </w:rPr>
              <w:t xml:space="preserve"> un</w:t>
            </w:r>
            <w:r w:rsidR="00181032" w:rsidRPr="00C36483">
              <w:rPr>
                <w:sz w:val="28"/>
                <w:szCs w:val="28"/>
              </w:rPr>
              <w:t xml:space="preserve"> speciālo līdzekļu iznīcināšanu.</w:t>
            </w:r>
          </w:p>
          <w:p w:rsidR="00CD0A3D" w:rsidRPr="00C36483" w:rsidRDefault="00DE3CDF" w:rsidP="001F0D24">
            <w:pPr>
              <w:pStyle w:val="naiskr"/>
              <w:spacing w:before="0" w:after="0"/>
              <w:ind w:firstLine="385"/>
              <w:jc w:val="both"/>
              <w:rPr>
                <w:iCs/>
                <w:sz w:val="28"/>
                <w:szCs w:val="28"/>
              </w:rPr>
            </w:pPr>
            <w:r w:rsidRPr="00C36483">
              <w:rPr>
                <w:sz w:val="28"/>
                <w:szCs w:val="28"/>
              </w:rPr>
              <w:t>Ievērojot minēto, projektā paredzēts noteikt aģentūras</w:t>
            </w:r>
            <w:r w:rsidR="002700D3" w:rsidRPr="00C36483">
              <w:rPr>
                <w:sz w:val="28"/>
                <w:szCs w:val="28"/>
              </w:rPr>
              <w:t xml:space="preserve"> tiesības un pienākumus ieroču </w:t>
            </w:r>
            <w:r w:rsidRPr="00C36483">
              <w:rPr>
                <w:sz w:val="28"/>
                <w:szCs w:val="28"/>
              </w:rPr>
              <w:t>un speciālo līdzekļu iznīcināšanas procesā, kas novērsīs pēc grozījumiem Ieroču un speciālo</w:t>
            </w:r>
            <w:r w:rsidRPr="00C36483">
              <w:rPr>
                <w:iCs/>
                <w:sz w:val="28"/>
                <w:szCs w:val="28"/>
              </w:rPr>
              <w:t xml:space="preserve"> līdzekļu aprites likumā izveidojuš</w:t>
            </w:r>
            <w:r w:rsidR="00C31B7C" w:rsidRPr="00C36483">
              <w:rPr>
                <w:iCs/>
                <w:sz w:val="28"/>
                <w:szCs w:val="28"/>
              </w:rPr>
              <w:t>os tiesiskā regulējuma trūkumu.</w:t>
            </w:r>
          </w:p>
          <w:p w:rsidR="009E4240" w:rsidRPr="00C36483" w:rsidRDefault="00B83CAE" w:rsidP="00344087">
            <w:pPr>
              <w:pStyle w:val="naiskr"/>
              <w:spacing w:before="0" w:after="0"/>
              <w:ind w:firstLine="385"/>
              <w:jc w:val="both"/>
              <w:rPr>
                <w:iCs/>
                <w:sz w:val="28"/>
                <w:szCs w:val="28"/>
              </w:rPr>
            </w:pPr>
            <w:r w:rsidRPr="00C36483">
              <w:rPr>
                <w:iCs/>
                <w:sz w:val="28"/>
                <w:szCs w:val="28"/>
              </w:rPr>
              <w:t>2012.gada 19.janvāra g</w:t>
            </w:r>
            <w:r w:rsidR="002C14D4" w:rsidRPr="00C36483">
              <w:rPr>
                <w:iCs/>
                <w:sz w:val="28"/>
                <w:szCs w:val="28"/>
              </w:rPr>
              <w:t xml:space="preserve">rozījumi Ieroču un speciālo līdzekļu aprites likumā paredz ne tikai institūcijas, kura veic ieroču iznīcināšanu maiņu, bet arī nosaka, ka šī institūcija </w:t>
            </w:r>
            <w:r w:rsidR="00D910A1" w:rsidRPr="00C36483">
              <w:rPr>
                <w:iCs/>
                <w:sz w:val="28"/>
                <w:szCs w:val="28"/>
              </w:rPr>
              <w:t>veic</w:t>
            </w:r>
            <w:r w:rsidR="002C14D4" w:rsidRPr="00C36483">
              <w:rPr>
                <w:iCs/>
                <w:sz w:val="28"/>
                <w:szCs w:val="28"/>
              </w:rPr>
              <w:t xml:space="preserve"> ne tikai ieroču, bet arī</w:t>
            </w:r>
            <w:r w:rsidR="00553AF3" w:rsidRPr="00C36483">
              <w:rPr>
                <w:iCs/>
                <w:sz w:val="28"/>
                <w:szCs w:val="28"/>
              </w:rPr>
              <w:t xml:space="preserve"> speciālo līdzekļu iznīcināšanu.</w:t>
            </w:r>
            <w:r w:rsidR="002C14D4" w:rsidRPr="00C36483">
              <w:rPr>
                <w:iCs/>
                <w:sz w:val="28"/>
                <w:szCs w:val="28"/>
              </w:rPr>
              <w:t xml:space="preserve"> </w:t>
            </w:r>
            <w:r w:rsidR="00553AF3" w:rsidRPr="00C36483">
              <w:rPr>
                <w:iCs/>
                <w:sz w:val="28"/>
                <w:szCs w:val="28"/>
              </w:rPr>
              <w:t>L</w:t>
            </w:r>
            <w:r w:rsidR="002C14D4" w:rsidRPr="00C36483">
              <w:rPr>
                <w:iCs/>
                <w:sz w:val="28"/>
                <w:szCs w:val="28"/>
              </w:rPr>
              <w:t>īdz ar to noteikum</w:t>
            </w:r>
            <w:r w:rsidR="00AC2EDF" w:rsidRPr="00C36483">
              <w:rPr>
                <w:iCs/>
                <w:sz w:val="28"/>
                <w:szCs w:val="28"/>
              </w:rPr>
              <w:t>i</w:t>
            </w:r>
            <w:r w:rsidR="002C14D4" w:rsidRPr="00C36483">
              <w:rPr>
                <w:iCs/>
                <w:sz w:val="28"/>
                <w:szCs w:val="28"/>
              </w:rPr>
              <w:t xml:space="preserve"> Nr.1011 tiek papildināti</w:t>
            </w:r>
            <w:r w:rsidR="00D971A2" w:rsidRPr="00C36483">
              <w:rPr>
                <w:iCs/>
                <w:sz w:val="28"/>
                <w:szCs w:val="28"/>
              </w:rPr>
              <w:t xml:space="preserve"> ar speciālo līdzekļu iznīcināšanas kārtību,</w:t>
            </w:r>
            <w:r w:rsidR="00AC2EDF" w:rsidRPr="00C36483">
              <w:rPr>
                <w:iCs/>
                <w:sz w:val="28"/>
                <w:szCs w:val="28"/>
              </w:rPr>
              <w:t xml:space="preserve"> kas pamatā neatšķiras no kārtības, kas paredzēta ieroču iznīcināšanai</w:t>
            </w:r>
            <w:r w:rsidR="002C14D4" w:rsidRPr="00C36483">
              <w:rPr>
                <w:iCs/>
                <w:sz w:val="28"/>
                <w:szCs w:val="28"/>
              </w:rPr>
              <w:t>.</w:t>
            </w:r>
            <w:r w:rsidR="00AC2EDF" w:rsidRPr="00C36483">
              <w:rPr>
                <w:iCs/>
                <w:sz w:val="28"/>
                <w:szCs w:val="28"/>
              </w:rPr>
              <w:t xml:space="preserve"> Noteikumos Nr.1011 tiek ietverts jauns 272.</w:t>
            </w:r>
            <w:r w:rsidR="00AC2EDF" w:rsidRPr="00C36483">
              <w:rPr>
                <w:iCs/>
                <w:sz w:val="28"/>
                <w:szCs w:val="28"/>
                <w:vertAlign w:val="superscript"/>
              </w:rPr>
              <w:t xml:space="preserve">1 </w:t>
            </w:r>
            <w:r w:rsidR="00AC2EDF" w:rsidRPr="00C36483">
              <w:rPr>
                <w:iCs/>
                <w:sz w:val="28"/>
                <w:szCs w:val="28"/>
              </w:rPr>
              <w:t>un 272.</w:t>
            </w:r>
            <w:r w:rsidR="00AC2EDF" w:rsidRPr="00C36483">
              <w:rPr>
                <w:iCs/>
                <w:sz w:val="28"/>
                <w:szCs w:val="28"/>
                <w:vertAlign w:val="superscript"/>
              </w:rPr>
              <w:t>2</w:t>
            </w:r>
            <w:r w:rsidR="00AC2EDF" w:rsidRPr="00C36483">
              <w:rPr>
                <w:iCs/>
                <w:sz w:val="28"/>
                <w:szCs w:val="28"/>
              </w:rPr>
              <w:t>pants, kas noteic informācijas apjomu, kas norādāms</w:t>
            </w:r>
            <w:r w:rsidR="00B06D5D" w:rsidRPr="00C36483">
              <w:rPr>
                <w:iCs/>
                <w:sz w:val="28"/>
                <w:szCs w:val="28"/>
              </w:rPr>
              <w:t xml:space="preserve"> dokumentā par speciālā līdzekļa izņemšanu.</w:t>
            </w:r>
          </w:p>
          <w:p w:rsidR="0016100C" w:rsidRPr="00C36483" w:rsidRDefault="0016100C" w:rsidP="00344087">
            <w:pPr>
              <w:pStyle w:val="naiskr"/>
              <w:spacing w:before="0" w:after="0"/>
              <w:ind w:firstLine="385"/>
              <w:jc w:val="both"/>
              <w:rPr>
                <w:iCs/>
                <w:sz w:val="28"/>
                <w:szCs w:val="28"/>
              </w:rPr>
            </w:pPr>
            <w:r w:rsidRPr="00C36483">
              <w:rPr>
                <w:iCs/>
                <w:sz w:val="28"/>
                <w:szCs w:val="28"/>
              </w:rPr>
              <w:t xml:space="preserve">Aģentūrai </w:t>
            </w:r>
            <w:r w:rsidR="007D5E46" w:rsidRPr="00C36483">
              <w:rPr>
                <w:iCs/>
                <w:sz w:val="28"/>
                <w:szCs w:val="28"/>
              </w:rPr>
              <w:t>atbilstoši</w:t>
            </w:r>
            <w:r w:rsidRPr="00C36483">
              <w:rPr>
                <w:iCs/>
                <w:sz w:val="28"/>
                <w:szCs w:val="28"/>
              </w:rPr>
              <w:t xml:space="preserve"> Ministru kabineta 2011.gada 7.jūnija noteikumu Nr.429 „Noteikumi par integrētajā iekšlietu informācijas sistēmā iekļaujamām ziņām personas, mantas vai dokumenta atrašanās vietas vai cilvēka personības noskaidrošanai vai neatpazīta cilvēka līķa identificēšanai”</w:t>
            </w:r>
            <w:r w:rsidR="00AC2EDF" w:rsidRPr="00C36483">
              <w:rPr>
                <w:iCs/>
                <w:sz w:val="28"/>
                <w:szCs w:val="28"/>
              </w:rPr>
              <w:t xml:space="preserve"> (turpmāk – noteikumi Nr.429)</w:t>
            </w:r>
            <w:r w:rsidRPr="00C36483">
              <w:rPr>
                <w:iCs/>
                <w:sz w:val="28"/>
                <w:szCs w:val="28"/>
              </w:rPr>
              <w:t xml:space="preserve"> </w:t>
            </w:r>
            <w:r w:rsidR="00D971A2" w:rsidRPr="00C36483">
              <w:rPr>
                <w:iCs/>
                <w:sz w:val="28"/>
                <w:szCs w:val="28"/>
              </w:rPr>
              <w:t xml:space="preserve">IV nodaļai </w:t>
            </w:r>
            <w:r w:rsidRPr="00C36483">
              <w:rPr>
                <w:iCs/>
                <w:sz w:val="28"/>
                <w:szCs w:val="28"/>
              </w:rPr>
              <w:t xml:space="preserve">nav paredzētas tiesības piekļūt </w:t>
            </w:r>
            <w:r w:rsidR="00D971A2" w:rsidRPr="00C36483">
              <w:rPr>
                <w:iCs/>
                <w:sz w:val="28"/>
                <w:szCs w:val="28"/>
              </w:rPr>
              <w:t>un izmantot ziņas, kas iekļautas Integrētajā</w:t>
            </w:r>
            <w:r w:rsidR="00553AF3" w:rsidRPr="00C36483">
              <w:rPr>
                <w:iCs/>
                <w:sz w:val="28"/>
                <w:szCs w:val="28"/>
              </w:rPr>
              <w:t xml:space="preserve"> iekšlietu informācijas sistēmā.</w:t>
            </w:r>
            <w:r w:rsidR="00D971A2" w:rsidRPr="00C36483">
              <w:rPr>
                <w:iCs/>
                <w:sz w:val="28"/>
                <w:szCs w:val="28"/>
              </w:rPr>
              <w:t xml:space="preserve"> </w:t>
            </w:r>
            <w:r w:rsidR="00553AF3" w:rsidRPr="00C36483">
              <w:rPr>
                <w:iCs/>
                <w:sz w:val="28"/>
                <w:szCs w:val="28"/>
              </w:rPr>
              <w:t>L</w:t>
            </w:r>
            <w:r w:rsidR="00D971A2" w:rsidRPr="00C36483">
              <w:rPr>
                <w:iCs/>
                <w:sz w:val="28"/>
                <w:szCs w:val="28"/>
              </w:rPr>
              <w:t>īdz ar to noteikumos Nr.1011 nepieciešams noteikt, kādā veidā notiek</w:t>
            </w:r>
            <w:r w:rsidR="00352BCE" w:rsidRPr="00C36483">
              <w:rPr>
                <w:iCs/>
                <w:sz w:val="28"/>
                <w:szCs w:val="28"/>
              </w:rPr>
              <w:t xml:space="preserve"> ziņu par</w:t>
            </w:r>
            <w:r w:rsidR="00D971A2" w:rsidRPr="00C36483">
              <w:rPr>
                <w:iCs/>
                <w:sz w:val="28"/>
                <w:szCs w:val="28"/>
              </w:rPr>
              <w:t xml:space="preserve"> iznīcināšanai nododamo ieroču </w:t>
            </w:r>
            <w:r w:rsidR="00352BCE" w:rsidRPr="00C36483">
              <w:rPr>
                <w:iCs/>
                <w:sz w:val="28"/>
                <w:szCs w:val="28"/>
              </w:rPr>
              <w:t xml:space="preserve">un speciālo līdzekļu esamības </w:t>
            </w:r>
            <w:r w:rsidR="00D971A2" w:rsidRPr="00C36483">
              <w:rPr>
                <w:iCs/>
                <w:sz w:val="28"/>
                <w:szCs w:val="28"/>
              </w:rPr>
              <w:t xml:space="preserve">pārbaude </w:t>
            </w:r>
            <w:r w:rsidR="007D5E46" w:rsidRPr="00C36483">
              <w:rPr>
                <w:iCs/>
                <w:sz w:val="28"/>
                <w:szCs w:val="28"/>
              </w:rPr>
              <w:t>šīs sistēmas apakšsistēmās „Mantu meklēšana” un „Ieroču reģistrs”</w:t>
            </w:r>
            <w:r w:rsidR="00CB1734" w:rsidRPr="00C36483">
              <w:rPr>
                <w:iCs/>
                <w:sz w:val="28"/>
                <w:szCs w:val="28"/>
              </w:rPr>
              <w:t>, kā arī kādā veidā aģentūra tiek informēta par šīs pārbaudes rezultātiem</w:t>
            </w:r>
            <w:r w:rsidR="007D5E46" w:rsidRPr="00C36483">
              <w:rPr>
                <w:iCs/>
                <w:sz w:val="28"/>
                <w:szCs w:val="28"/>
              </w:rPr>
              <w:t>. Tas tiek panākts, precizējot noteikumu Nr.1011 278.</w:t>
            </w:r>
            <w:r w:rsidR="00CB1734" w:rsidRPr="00C36483">
              <w:rPr>
                <w:iCs/>
                <w:sz w:val="28"/>
                <w:szCs w:val="28"/>
              </w:rPr>
              <w:t>punktu, to papildinot ar 278.1. un</w:t>
            </w:r>
            <w:r w:rsidR="007D5E46" w:rsidRPr="00C36483">
              <w:rPr>
                <w:iCs/>
                <w:sz w:val="28"/>
                <w:szCs w:val="28"/>
              </w:rPr>
              <w:t xml:space="preserve"> 278.2</w:t>
            </w:r>
            <w:r w:rsidR="00CB1734" w:rsidRPr="00C36483">
              <w:rPr>
                <w:iCs/>
                <w:sz w:val="28"/>
                <w:szCs w:val="28"/>
              </w:rPr>
              <w:t>.</w:t>
            </w:r>
            <w:r w:rsidR="007D5E46" w:rsidRPr="00C36483">
              <w:rPr>
                <w:iCs/>
                <w:sz w:val="28"/>
                <w:szCs w:val="28"/>
              </w:rPr>
              <w:t xml:space="preserve">apakšpunktu. Minētās normas noteic, ka tā iestāde, kas aģentūrai nodod ieroci </w:t>
            </w:r>
            <w:r w:rsidR="00352BCE" w:rsidRPr="00C36483">
              <w:rPr>
                <w:iCs/>
                <w:sz w:val="28"/>
                <w:szCs w:val="28"/>
              </w:rPr>
              <w:t xml:space="preserve">vai speciālo līdzekli </w:t>
            </w:r>
            <w:r w:rsidR="007D5E46" w:rsidRPr="00C36483">
              <w:rPr>
                <w:iCs/>
                <w:sz w:val="28"/>
                <w:szCs w:val="28"/>
              </w:rPr>
              <w:t xml:space="preserve">iznīcināšanai, pati veic </w:t>
            </w:r>
            <w:r w:rsidR="00876EF6" w:rsidRPr="00C36483">
              <w:rPr>
                <w:iCs/>
                <w:sz w:val="28"/>
                <w:szCs w:val="28"/>
              </w:rPr>
              <w:t xml:space="preserve">ziņu esamības </w:t>
            </w:r>
            <w:r w:rsidR="007D5E46" w:rsidRPr="00C36483">
              <w:rPr>
                <w:iCs/>
                <w:sz w:val="28"/>
                <w:szCs w:val="28"/>
              </w:rPr>
              <w:t xml:space="preserve">pārbaudi minētajās sistēmās un paziņo par </w:t>
            </w:r>
            <w:r w:rsidR="007D5E46" w:rsidRPr="00C36483">
              <w:rPr>
                <w:iCs/>
                <w:sz w:val="28"/>
                <w:szCs w:val="28"/>
              </w:rPr>
              <w:lastRenderedPageBreak/>
              <w:t>to aģentūrai, uz pavaddokumenta, ar kuru ierocis</w:t>
            </w:r>
            <w:r w:rsidR="00876EF6" w:rsidRPr="00C36483">
              <w:rPr>
                <w:iCs/>
                <w:sz w:val="28"/>
                <w:szCs w:val="28"/>
              </w:rPr>
              <w:t xml:space="preserve"> vai speciālais līdzeklis</w:t>
            </w:r>
            <w:r w:rsidR="007D5E46" w:rsidRPr="00C36483">
              <w:rPr>
                <w:iCs/>
                <w:sz w:val="28"/>
                <w:szCs w:val="28"/>
              </w:rPr>
              <w:t xml:space="preserve"> tiek nodots iznīcināšanai</w:t>
            </w:r>
            <w:r w:rsidR="00876EF6" w:rsidRPr="00C36483">
              <w:rPr>
                <w:iCs/>
                <w:sz w:val="28"/>
                <w:szCs w:val="28"/>
              </w:rPr>
              <w:t>, norādot informāciju par veiktās ziņu esamības pārbaudes rezultātiem</w:t>
            </w:r>
            <w:r w:rsidR="007D5E46" w:rsidRPr="00C36483">
              <w:rPr>
                <w:iCs/>
                <w:sz w:val="28"/>
                <w:szCs w:val="28"/>
              </w:rPr>
              <w:t>.</w:t>
            </w:r>
            <w:r w:rsidR="00D910A1" w:rsidRPr="00C36483">
              <w:rPr>
                <w:iCs/>
                <w:sz w:val="28"/>
                <w:szCs w:val="28"/>
              </w:rPr>
              <w:t xml:space="preserve"> </w:t>
            </w:r>
            <w:r w:rsidR="00876EF6" w:rsidRPr="00C36483">
              <w:rPr>
                <w:iCs/>
                <w:sz w:val="28"/>
                <w:szCs w:val="28"/>
              </w:rPr>
              <w:t xml:space="preserve"> Uz speciālajiem līdzekļiem nav attiecināma prasība par ziņu esamības pārbaudi apakšsistēmā „Ieroču reģistrs”</w:t>
            </w:r>
            <w:r w:rsidR="00906F25" w:rsidRPr="00C36483">
              <w:rPr>
                <w:iCs/>
                <w:sz w:val="28"/>
                <w:szCs w:val="28"/>
              </w:rPr>
              <w:t>, ņemot vērā, ka šajā reģistrā ziņas par speciālajiem līdzekļiem netiek ietvertas.</w:t>
            </w:r>
            <w:r w:rsidR="00876EF6" w:rsidRPr="00C36483">
              <w:rPr>
                <w:iCs/>
                <w:sz w:val="28"/>
                <w:szCs w:val="28"/>
              </w:rPr>
              <w:t xml:space="preserve"> </w:t>
            </w:r>
            <w:r w:rsidR="00D910A1" w:rsidRPr="00C36483">
              <w:rPr>
                <w:iCs/>
                <w:sz w:val="28"/>
                <w:szCs w:val="28"/>
              </w:rPr>
              <w:t xml:space="preserve">Savukārt </w:t>
            </w:r>
            <w:r w:rsidR="00CB1734" w:rsidRPr="00C36483">
              <w:rPr>
                <w:iCs/>
                <w:sz w:val="28"/>
                <w:szCs w:val="28"/>
              </w:rPr>
              <w:t>278.3.apakšpunkts noteic, ka gadījumā, ja iestāde konstatē, ka iznīcināšanai nododamais ierocis</w:t>
            </w:r>
            <w:r w:rsidR="00906F25" w:rsidRPr="00C36483">
              <w:rPr>
                <w:iCs/>
                <w:sz w:val="28"/>
                <w:szCs w:val="28"/>
              </w:rPr>
              <w:t xml:space="preserve"> vai speciālais līdzeklis</w:t>
            </w:r>
            <w:r w:rsidR="00CB1734" w:rsidRPr="00C36483">
              <w:rPr>
                <w:iCs/>
                <w:sz w:val="28"/>
                <w:szCs w:val="28"/>
              </w:rPr>
              <w:t xml:space="preserve"> saskaņā ar apakšsistēmas „Mantu meklēšana” datiem atrodas meklēšanā, tā veic nepieciešamos pasākumus, lai meklēšanu p</w:t>
            </w:r>
            <w:r w:rsidR="00AC2EDF" w:rsidRPr="00C36483">
              <w:rPr>
                <w:iCs/>
                <w:sz w:val="28"/>
                <w:szCs w:val="28"/>
              </w:rPr>
              <w:t>ārtrauktu, jo aģentūrai saskaņā ar noteikumu Nr.429 IV nodaļu nav piešķirtas tiesības veikt darbības Integrētajā iekšlietu informācijas sistēmas apakšsistēmās „Mantu meklēšana” un „Ieroču reģistrs”.</w:t>
            </w:r>
          </w:p>
          <w:p w:rsidR="00906F25" w:rsidRPr="00C36483" w:rsidRDefault="00906F25" w:rsidP="00344087">
            <w:pPr>
              <w:pStyle w:val="naiskr"/>
              <w:spacing w:before="0" w:after="0"/>
              <w:ind w:firstLine="385"/>
              <w:jc w:val="both"/>
              <w:rPr>
                <w:iCs/>
                <w:sz w:val="28"/>
                <w:szCs w:val="28"/>
              </w:rPr>
            </w:pPr>
            <w:r w:rsidRPr="00C36483">
              <w:rPr>
                <w:iCs/>
                <w:sz w:val="28"/>
                <w:szCs w:val="28"/>
              </w:rPr>
              <w:t>Noteikumi Nr.1011 tiek papildināti ar 280.</w:t>
            </w:r>
            <w:r w:rsidRPr="00C36483">
              <w:rPr>
                <w:iCs/>
                <w:sz w:val="28"/>
                <w:szCs w:val="28"/>
                <w:vertAlign w:val="superscript"/>
              </w:rPr>
              <w:t>2</w:t>
            </w:r>
            <w:r w:rsidRPr="00C36483">
              <w:rPr>
                <w:iCs/>
                <w:sz w:val="28"/>
                <w:szCs w:val="28"/>
              </w:rPr>
              <w:t>2.</w:t>
            </w:r>
            <w:r w:rsidR="00977C6C" w:rsidRPr="00C36483">
              <w:rPr>
                <w:iCs/>
                <w:sz w:val="28"/>
                <w:szCs w:val="28"/>
              </w:rPr>
              <w:t xml:space="preserve">apakšpunktu, kas noteic aģentūrai pienākumu organizēt ieroču vai speciālo līdzekļu iznīcināšanu, tādējādi </w:t>
            </w:r>
            <w:r w:rsidR="001C6303" w:rsidRPr="00C36483">
              <w:rPr>
                <w:iCs/>
                <w:sz w:val="28"/>
                <w:szCs w:val="28"/>
              </w:rPr>
              <w:t xml:space="preserve">paredzot </w:t>
            </w:r>
            <w:r w:rsidR="00977C6C" w:rsidRPr="00C36483">
              <w:rPr>
                <w:iCs/>
                <w:sz w:val="28"/>
                <w:szCs w:val="28"/>
              </w:rPr>
              <w:t>aģentūrai</w:t>
            </w:r>
            <w:r w:rsidR="001C6303" w:rsidRPr="00C36483">
              <w:rPr>
                <w:iCs/>
                <w:sz w:val="28"/>
                <w:szCs w:val="28"/>
              </w:rPr>
              <w:t xml:space="preserve"> tiesības gan pašai veikt ieroču vai speciālo līdzekļu iznīcināšanu, gan šim nolūkam piesaistīt komersantu.</w:t>
            </w:r>
          </w:p>
          <w:p w:rsidR="00347FDC" w:rsidRPr="00C36483" w:rsidRDefault="00347FDC" w:rsidP="00A35ACB">
            <w:pPr>
              <w:pStyle w:val="naiskr"/>
              <w:spacing w:before="0" w:after="0"/>
              <w:ind w:firstLine="385"/>
              <w:jc w:val="both"/>
              <w:rPr>
                <w:iCs/>
                <w:sz w:val="28"/>
                <w:szCs w:val="28"/>
              </w:rPr>
            </w:pPr>
            <w:r w:rsidRPr="00C36483">
              <w:rPr>
                <w:iCs/>
                <w:sz w:val="28"/>
                <w:szCs w:val="28"/>
              </w:rPr>
              <w:t>Noteikumu Nr.1011 281. un 283.punktā paredzēts mainīt iznīcināšanas komisijas locekļu minimālo skaitu no pieciem uz trim, ievērojot konsekvenci ar regulējumu lietisko pierādījumu un izņemtās mantas jomā, proti, Ministru kabineta 2011.gada 27.decembra noteikumos Nr.1025 „Noteikumi par rīcību ar lietiskajiem pierādījumiem un arestēto mantu”</w:t>
            </w:r>
            <w:r w:rsidR="00B871AE" w:rsidRPr="00C36483">
              <w:rPr>
                <w:iCs/>
                <w:sz w:val="28"/>
                <w:szCs w:val="28"/>
              </w:rPr>
              <w:t xml:space="preserve"> (turpmāk – noteikumi Nr.1025) </w:t>
            </w:r>
            <w:r w:rsidRPr="00C36483">
              <w:rPr>
                <w:iCs/>
                <w:sz w:val="28"/>
                <w:szCs w:val="28"/>
              </w:rPr>
              <w:t xml:space="preserve"> noteikto. Komisijas locekļu skaita samazināšana vienlīdz saistīta ar tendenci mantas iznīcināšanu nodot vienas atbildīgās amatpersonas kompetencē</w:t>
            </w:r>
            <w:r w:rsidR="00B871AE" w:rsidRPr="00C36483">
              <w:rPr>
                <w:iCs/>
                <w:sz w:val="28"/>
                <w:szCs w:val="28"/>
              </w:rPr>
              <w:t>, proti, jau šobrīd noteikum</w:t>
            </w:r>
            <w:r w:rsidR="00A35ACB" w:rsidRPr="00C36483">
              <w:rPr>
                <w:iCs/>
                <w:sz w:val="28"/>
                <w:szCs w:val="28"/>
              </w:rPr>
              <w:t>u</w:t>
            </w:r>
            <w:r w:rsidR="00B871AE" w:rsidRPr="00C36483">
              <w:rPr>
                <w:iCs/>
                <w:sz w:val="28"/>
                <w:szCs w:val="28"/>
              </w:rPr>
              <w:t xml:space="preserve"> Nr.1025 </w:t>
            </w:r>
            <w:r w:rsidR="00A35ACB" w:rsidRPr="00C36483">
              <w:rPr>
                <w:iCs/>
                <w:sz w:val="28"/>
                <w:szCs w:val="28"/>
              </w:rPr>
              <w:t xml:space="preserve">nosacījumi pieļauj tikai vienas amatpersonas nozīmēšanu par atbildīgo amatpersonu </w:t>
            </w:r>
            <w:r w:rsidR="00B871AE" w:rsidRPr="00C36483">
              <w:rPr>
                <w:iCs/>
                <w:sz w:val="28"/>
                <w:szCs w:val="28"/>
              </w:rPr>
              <w:t>par mantas iznīcināšanu,</w:t>
            </w:r>
            <w:r w:rsidRPr="00C36483">
              <w:rPr>
                <w:iCs/>
                <w:sz w:val="28"/>
                <w:szCs w:val="28"/>
              </w:rPr>
              <w:t xml:space="preserve"> un vispārējo tendenci samazināt admin</w:t>
            </w:r>
            <w:r w:rsidR="00B871AE" w:rsidRPr="00C36483">
              <w:rPr>
                <w:iCs/>
                <w:sz w:val="28"/>
                <w:szCs w:val="28"/>
              </w:rPr>
              <w:t>istratīvo slogu valsts pārvaldē, kā arī aģentūras ierobežotās iespējas nodrošināt, ka vienu</w:t>
            </w:r>
            <w:r w:rsidR="009D13AB" w:rsidRPr="00C36483">
              <w:rPr>
                <w:iCs/>
                <w:sz w:val="28"/>
                <w:szCs w:val="28"/>
              </w:rPr>
              <w:t xml:space="preserve"> iznīcināšanas</w:t>
            </w:r>
            <w:r w:rsidR="00B871AE" w:rsidRPr="00C36483">
              <w:rPr>
                <w:iCs/>
                <w:sz w:val="28"/>
                <w:szCs w:val="28"/>
              </w:rPr>
              <w:t xml:space="preserve"> procesu uzrauga pieci nodarbinātie.</w:t>
            </w:r>
          </w:p>
        </w:tc>
      </w:tr>
      <w:tr w:rsidR="00CD0A3D" w:rsidRPr="00C36483" w:rsidTr="00344087">
        <w:trPr>
          <w:trHeight w:val="476"/>
        </w:trPr>
        <w:tc>
          <w:tcPr>
            <w:tcW w:w="550" w:type="dxa"/>
          </w:tcPr>
          <w:p w:rsidR="00CD0A3D" w:rsidRPr="00C36483" w:rsidRDefault="00CD0A3D" w:rsidP="00F533E2">
            <w:pPr>
              <w:pStyle w:val="naiskr"/>
              <w:spacing w:before="0" w:after="0"/>
              <w:rPr>
                <w:sz w:val="28"/>
                <w:szCs w:val="28"/>
              </w:rPr>
            </w:pPr>
            <w:r w:rsidRPr="00C36483">
              <w:rPr>
                <w:sz w:val="28"/>
                <w:szCs w:val="28"/>
              </w:rPr>
              <w:lastRenderedPageBreak/>
              <w:t>5.</w:t>
            </w:r>
          </w:p>
        </w:tc>
        <w:tc>
          <w:tcPr>
            <w:tcW w:w="2149" w:type="dxa"/>
          </w:tcPr>
          <w:p w:rsidR="00CD0A3D" w:rsidRPr="00C36483" w:rsidRDefault="00CD0A3D" w:rsidP="00F533E2">
            <w:pPr>
              <w:pStyle w:val="naiskr"/>
              <w:spacing w:before="0" w:after="0"/>
              <w:rPr>
                <w:sz w:val="28"/>
                <w:szCs w:val="28"/>
              </w:rPr>
            </w:pPr>
            <w:r w:rsidRPr="00C36483">
              <w:rPr>
                <w:sz w:val="28"/>
                <w:szCs w:val="28"/>
              </w:rPr>
              <w:t>Projekta izstrādē iesaistītās institūcijas</w:t>
            </w:r>
          </w:p>
        </w:tc>
        <w:tc>
          <w:tcPr>
            <w:tcW w:w="7026" w:type="dxa"/>
          </w:tcPr>
          <w:p w:rsidR="00CD0A3D" w:rsidRPr="00C36483" w:rsidRDefault="00DD6091" w:rsidP="00DD6091">
            <w:pPr>
              <w:pStyle w:val="naiskr"/>
              <w:spacing w:before="0" w:after="0"/>
              <w:ind w:firstLine="385"/>
              <w:jc w:val="both"/>
              <w:rPr>
                <w:sz w:val="28"/>
                <w:szCs w:val="28"/>
              </w:rPr>
            </w:pPr>
            <w:r w:rsidRPr="00C36483">
              <w:rPr>
                <w:iCs/>
                <w:sz w:val="28"/>
                <w:szCs w:val="28"/>
              </w:rPr>
              <w:t>Nodrošinājuma valsts a</w:t>
            </w:r>
            <w:r w:rsidR="000228B0" w:rsidRPr="00C36483">
              <w:rPr>
                <w:iCs/>
                <w:sz w:val="28"/>
                <w:szCs w:val="28"/>
              </w:rPr>
              <w:t xml:space="preserve">ģentūra un </w:t>
            </w:r>
            <w:r w:rsidR="00DE3CDF" w:rsidRPr="00C36483">
              <w:rPr>
                <w:iCs/>
                <w:sz w:val="28"/>
                <w:szCs w:val="28"/>
              </w:rPr>
              <w:t>Iekšlietu ministrija.</w:t>
            </w:r>
          </w:p>
        </w:tc>
      </w:tr>
      <w:tr w:rsidR="00CD0A3D" w:rsidRPr="00C36483" w:rsidTr="00344087">
        <w:trPr>
          <w:trHeight w:val="1340"/>
        </w:trPr>
        <w:tc>
          <w:tcPr>
            <w:tcW w:w="550" w:type="dxa"/>
          </w:tcPr>
          <w:p w:rsidR="00CD0A3D" w:rsidRPr="00C36483" w:rsidRDefault="00CD0A3D" w:rsidP="00F533E2">
            <w:pPr>
              <w:pStyle w:val="naiskr"/>
              <w:spacing w:before="0" w:after="0"/>
              <w:rPr>
                <w:sz w:val="28"/>
                <w:szCs w:val="28"/>
              </w:rPr>
            </w:pPr>
            <w:r w:rsidRPr="00C36483">
              <w:rPr>
                <w:sz w:val="28"/>
                <w:szCs w:val="28"/>
              </w:rPr>
              <w:t>6.</w:t>
            </w:r>
          </w:p>
        </w:tc>
        <w:tc>
          <w:tcPr>
            <w:tcW w:w="2149" w:type="dxa"/>
          </w:tcPr>
          <w:p w:rsidR="00CD0A3D" w:rsidRPr="00C36483" w:rsidRDefault="00CD0A3D" w:rsidP="00F533E2">
            <w:pPr>
              <w:pStyle w:val="naiskr"/>
              <w:spacing w:before="0" w:after="0"/>
              <w:rPr>
                <w:i/>
                <w:sz w:val="28"/>
                <w:szCs w:val="28"/>
                <w:highlight w:val="yellow"/>
              </w:rPr>
            </w:pPr>
            <w:r w:rsidRPr="00C36483">
              <w:rPr>
                <w:sz w:val="28"/>
                <w:szCs w:val="28"/>
              </w:rPr>
              <w:t>Iemesli, kādēļ netika nodrošināta sabiedrības līdzdalība</w:t>
            </w:r>
          </w:p>
        </w:tc>
        <w:tc>
          <w:tcPr>
            <w:tcW w:w="7026" w:type="dxa"/>
          </w:tcPr>
          <w:p w:rsidR="00CD0A3D" w:rsidRPr="00C36483" w:rsidRDefault="00673223" w:rsidP="001F0D24">
            <w:pPr>
              <w:pStyle w:val="naiskr"/>
              <w:spacing w:before="0" w:after="0"/>
              <w:ind w:firstLine="385"/>
              <w:jc w:val="both"/>
              <w:rPr>
                <w:iCs/>
                <w:sz w:val="28"/>
                <w:szCs w:val="28"/>
              </w:rPr>
            </w:pPr>
            <w:r w:rsidRPr="00C36483">
              <w:rPr>
                <w:iCs/>
                <w:sz w:val="28"/>
                <w:szCs w:val="28"/>
              </w:rPr>
              <w:t xml:space="preserve">Sabiedrības līdzdalība projekta izstrādē nebija </w:t>
            </w:r>
            <w:r w:rsidRPr="00C36483">
              <w:rPr>
                <w:sz w:val="28"/>
                <w:szCs w:val="28"/>
              </w:rPr>
              <w:t>nepieciešama</w:t>
            </w:r>
            <w:r w:rsidR="007E58A0" w:rsidRPr="00C36483">
              <w:rPr>
                <w:iCs/>
                <w:sz w:val="28"/>
                <w:szCs w:val="28"/>
              </w:rPr>
              <w:t>, jo projekts tiešā veidā sabiedrību neietekmē.</w:t>
            </w:r>
          </w:p>
        </w:tc>
      </w:tr>
      <w:tr w:rsidR="00CD0A3D" w:rsidRPr="00C36483" w:rsidTr="00344087">
        <w:trPr>
          <w:trHeight w:val="304"/>
        </w:trPr>
        <w:tc>
          <w:tcPr>
            <w:tcW w:w="550" w:type="dxa"/>
          </w:tcPr>
          <w:p w:rsidR="00CD0A3D" w:rsidRPr="00C36483" w:rsidRDefault="00CD0A3D" w:rsidP="00F533E2">
            <w:pPr>
              <w:pStyle w:val="naiskr"/>
              <w:spacing w:before="0" w:after="0"/>
              <w:rPr>
                <w:sz w:val="28"/>
                <w:szCs w:val="28"/>
              </w:rPr>
            </w:pPr>
            <w:r w:rsidRPr="00C36483">
              <w:rPr>
                <w:sz w:val="28"/>
                <w:szCs w:val="28"/>
              </w:rPr>
              <w:t>7.</w:t>
            </w:r>
          </w:p>
        </w:tc>
        <w:tc>
          <w:tcPr>
            <w:tcW w:w="2149" w:type="dxa"/>
          </w:tcPr>
          <w:p w:rsidR="00CD0A3D" w:rsidRPr="00C36483" w:rsidRDefault="00CD0A3D" w:rsidP="00F533E2">
            <w:pPr>
              <w:pStyle w:val="naiskr"/>
              <w:spacing w:before="0" w:after="0"/>
              <w:rPr>
                <w:sz w:val="28"/>
                <w:szCs w:val="28"/>
              </w:rPr>
            </w:pPr>
            <w:r w:rsidRPr="00C36483">
              <w:rPr>
                <w:sz w:val="28"/>
                <w:szCs w:val="28"/>
              </w:rPr>
              <w:t>Cita informācija</w:t>
            </w:r>
          </w:p>
        </w:tc>
        <w:tc>
          <w:tcPr>
            <w:tcW w:w="7026" w:type="dxa"/>
          </w:tcPr>
          <w:p w:rsidR="00CD0A3D" w:rsidRPr="00C36483" w:rsidRDefault="00673223" w:rsidP="00F533E2">
            <w:pPr>
              <w:pStyle w:val="naiskr"/>
              <w:spacing w:before="0" w:after="0"/>
              <w:rPr>
                <w:sz w:val="28"/>
                <w:szCs w:val="28"/>
              </w:rPr>
            </w:pPr>
            <w:r w:rsidRPr="00C36483">
              <w:rPr>
                <w:sz w:val="28"/>
                <w:szCs w:val="28"/>
              </w:rPr>
              <w:t>Nav.</w:t>
            </w:r>
          </w:p>
        </w:tc>
      </w:tr>
    </w:tbl>
    <w:p w:rsidR="00CD0A3D" w:rsidRPr="00C36483" w:rsidRDefault="00CD0A3D" w:rsidP="00CD0A3D">
      <w:pPr>
        <w:ind w:firstLine="0"/>
        <w:jc w:val="center"/>
        <w:rPr>
          <w:sz w:val="28"/>
          <w:szCs w:val="28"/>
        </w:rPr>
      </w:pPr>
    </w:p>
    <w:tbl>
      <w:tblPr>
        <w:tblW w:w="1012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1331"/>
        <w:gridCol w:w="1354"/>
        <w:gridCol w:w="1354"/>
        <w:gridCol w:w="1355"/>
        <w:gridCol w:w="1406"/>
      </w:tblGrid>
      <w:tr w:rsidR="00C06506" w:rsidRPr="00C36483" w:rsidTr="00A01DEA">
        <w:trPr>
          <w:trHeight w:val="652"/>
          <w:jc w:val="center"/>
        </w:trPr>
        <w:tc>
          <w:tcPr>
            <w:tcW w:w="10124" w:type="dxa"/>
            <w:gridSpan w:val="6"/>
          </w:tcPr>
          <w:p w:rsidR="00C06506" w:rsidRPr="00C36483" w:rsidRDefault="00C06506" w:rsidP="00A01DEA">
            <w:pPr>
              <w:pStyle w:val="naisnod"/>
              <w:spacing w:before="0" w:after="0"/>
              <w:rPr>
                <w:i/>
                <w:sz w:val="28"/>
                <w:szCs w:val="28"/>
              </w:rPr>
            </w:pPr>
            <w:r w:rsidRPr="00C36483">
              <w:rPr>
                <w:sz w:val="28"/>
                <w:szCs w:val="28"/>
              </w:rPr>
              <w:br w:type="page"/>
              <w:t>III. Tiesību akta projekta ietekme uz valsts budžetu un pašvaldību budžetiem</w:t>
            </w:r>
          </w:p>
        </w:tc>
      </w:tr>
      <w:tr w:rsidR="00C06506" w:rsidRPr="00C36483" w:rsidTr="00A01DEA">
        <w:trPr>
          <w:jc w:val="center"/>
        </w:trPr>
        <w:tc>
          <w:tcPr>
            <w:tcW w:w="3324" w:type="dxa"/>
            <w:vMerge w:val="restart"/>
            <w:vAlign w:val="center"/>
          </w:tcPr>
          <w:p w:rsidR="00C06506" w:rsidRPr="00C36483" w:rsidRDefault="00C06506" w:rsidP="00A01DEA">
            <w:pPr>
              <w:pStyle w:val="naisf"/>
              <w:spacing w:before="0" w:after="0"/>
              <w:ind w:firstLine="0"/>
              <w:jc w:val="center"/>
              <w:rPr>
                <w:b/>
                <w:sz w:val="28"/>
                <w:szCs w:val="28"/>
              </w:rPr>
            </w:pPr>
            <w:r w:rsidRPr="00C36483">
              <w:rPr>
                <w:b/>
                <w:sz w:val="28"/>
                <w:szCs w:val="28"/>
              </w:rPr>
              <w:t>Rādītāji</w:t>
            </w:r>
          </w:p>
        </w:tc>
        <w:tc>
          <w:tcPr>
            <w:tcW w:w="2685" w:type="dxa"/>
            <w:gridSpan w:val="2"/>
            <w:vMerge w:val="restart"/>
            <w:vAlign w:val="center"/>
          </w:tcPr>
          <w:p w:rsidR="00C06506" w:rsidRPr="00C36483" w:rsidRDefault="009D13AB" w:rsidP="009D13AB">
            <w:pPr>
              <w:pStyle w:val="naisf"/>
              <w:spacing w:before="0" w:after="0"/>
              <w:ind w:firstLine="0"/>
              <w:jc w:val="center"/>
              <w:rPr>
                <w:b/>
                <w:sz w:val="28"/>
                <w:szCs w:val="28"/>
              </w:rPr>
            </w:pPr>
            <w:r w:rsidRPr="00C36483">
              <w:rPr>
                <w:b/>
                <w:sz w:val="28"/>
                <w:szCs w:val="28"/>
              </w:rPr>
              <w:t>2012.</w:t>
            </w:r>
            <w:r w:rsidR="00C06506" w:rsidRPr="00C36483">
              <w:rPr>
                <w:b/>
                <w:sz w:val="28"/>
                <w:szCs w:val="28"/>
              </w:rPr>
              <w:t>gads</w:t>
            </w:r>
          </w:p>
        </w:tc>
        <w:tc>
          <w:tcPr>
            <w:tcW w:w="4115" w:type="dxa"/>
            <w:gridSpan w:val="3"/>
            <w:vAlign w:val="center"/>
          </w:tcPr>
          <w:p w:rsidR="00C06506" w:rsidRPr="00C36483" w:rsidRDefault="00C06506" w:rsidP="00A01DEA">
            <w:pPr>
              <w:pStyle w:val="naisf"/>
              <w:spacing w:before="0" w:after="0"/>
              <w:ind w:firstLine="0"/>
              <w:jc w:val="center"/>
              <w:rPr>
                <w:b/>
                <w:i/>
                <w:sz w:val="28"/>
                <w:szCs w:val="28"/>
              </w:rPr>
            </w:pPr>
            <w:r w:rsidRPr="00C36483">
              <w:rPr>
                <w:sz w:val="28"/>
                <w:szCs w:val="28"/>
              </w:rPr>
              <w:t>Turpmākie trīs gadi (tūkst</w:t>
            </w:r>
            <w:smartTag w:uri="schemas-tilde-lv/tildestengine" w:element="currency2">
              <w:smartTagPr>
                <w:attr w:name="currency_text" w:val="latu"/>
                <w:attr w:name="currency_value" w:val="."/>
                <w:attr w:name="currency_key" w:val="LVL"/>
                <w:attr w:name="currency_id" w:val="48"/>
              </w:smartTagPr>
              <w:r w:rsidRPr="00C36483">
                <w:rPr>
                  <w:sz w:val="28"/>
                  <w:szCs w:val="28"/>
                </w:rPr>
                <w:t>. latu</w:t>
              </w:r>
            </w:smartTag>
            <w:r w:rsidRPr="00C36483">
              <w:rPr>
                <w:sz w:val="28"/>
                <w:szCs w:val="28"/>
              </w:rPr>
              <w:t>)</w:t>
            </w:r>
          </w:p>
        </w:tc>
      </w:tr>
      <w:tr w:rsidR="00C06506" w:rsidRPr="00C36483" w:rsidTr="00A01DEA">
        <w:trPr>
          <w:jc w:val="center"/>
        </w:trPr>
        <w:tc>
          <w:tcPr>
            <w:tcW w:w="3324" w:type="dxa"/>
            <w:vMerge/>
            <w:vAlign w:val="center"/>
          </w:tcPr>
          <w:p w:rsidR="00C06506" w:rsidRPr="00C36483" w:rsidRDefault="00C06506" w:rsidP="00A01DEA">
            <w:pPr>
              <w:pStyle w:val="naisf"/>
              <w:spacing w:before="0" w:after="0"/>
              <w:ind w:firstLine="0"/>
              <w:jc w:val="center"/>
              <w:rPr>
                <w:b/>
                <w:i/>
                <w:sz w:val="28"/>
                <w:szCs w:val="28"/>
              </w:rPr>
            </w:pPr>
          </w:p>
        </w:tc>
        <w:tc>
          <w:tcPr>
            <w:tcW w:w="2685" w:type="dxa"/>
            <w:gridSpan w:val="2"/>
            <w:vMerge/>
            <w:vAlign w:val="center"/>
          </w:tcPr>
          <w:p w:rsidR="00C06506" w:rsidRPr="00C36483" w:rsidRDefault="00C06506" w:rsidP="00A01DEA">
            <w:pPr>
              <w:pStyle w:val="naisf"/>
              <w:spacing w:before="0" w:after="0"/>
              <w:ind w:firstLine="0"/>
              <w:jc w:val="center"/>
              <w:rPr>
                <w:b/>
                <w:i/>
                <w:sz w:val="28"/>
                <w:szCs w:val="28"/>
              </w:rPr>
            </w:pPr>
          </w:p>
        </w:tc>
        <w:tc>
          <w:tcPr>
            <w:tcW w:w="1354" w:type="dxa"/>
            <w:vAlign w:val="center"/>
          </w:tcPr>
          <w:p w:rsidR="00C06506" w:rsidRPr="00C36483" w:rsidRDefault="009D13AB" w:rsidP="00A01DEA">
            <w:pPr>
              <w:pStyle w:val="naisf"/>
              <w:spacing w:before="0" w:after="0"/>
              <w:ind w:firstLine="0"/>
              <w:jc w:val="center"/>
              <w:rPr>
                <w:b/>
                <w:i/>
                <w:sz w:val="28"/>
                <w:szCs w:val="28"/>
              </w:rPr>
            </w:pPr>
            <w:r w:rsidRPr="00C36483">
              <w:rPr>
                <w:b/>
                <w:bCs/>
                <w:sz w:val="28"/>
                <w:szCs w:val="28"/>
              </w:rPr>
              <w:t>2013</w:t>
            </w:r>
            <w:r w:rsidR="007317D1" w:rsidRPr="00C36483">
              <w:rPr>
                <w:b/>
                <w:bCs/>
                <w:sz w:val="28"/>
                <w:szCs w:val="28"/>
              </w:rPr>
              <w:t>.</w:t>
            </w:r>
          </w:p>
        </w:tc>
        <w:tc>
          <w:tcPr>
            <w:tcW w:w="1355" w:type="dxa"/>
            <w:vAlign w:val="center"/>
          </w:tcPr>
          <w:p w:rsidR="00C06506" w:rsidRPr="00C36483" w:rsidRDefault="009D13AB" w:rsidP="00A01DEA">
            <w:pPr>
              <w:pStyle w:val="naisf"/>
              <w:spacing w:before="0" w:after="0"/>
              <w:ind w:firstLine="0"/>
              <w:jc w:val="center"/>
              <w:rPr>
                <w:b/>
                <w:i/>
                <w:sz w:val="28"/>
                <w:szCs w:val="28"/>
              </w:rPr>
            </w:pPr>
            <w:r w:rsidRPr="00C36483">
              <w:rPr>
                <w:b/>
                <w:bCs/>
                <w:sz w:val="28"/>
                <w:szCs w:val="28"/>
              </w:rPr>
              <w:t>2014</w:t>
            </w:r>
            <w:r w:rsidR="007317D1" w:rsidRPr="00C36483">
              <w:rPr>
                <w:b/>
                <w:bCs/>
                <w:sz w:val="28"/>
                <w:szCs w:val="28"/>
              </w:rPr>
              <w:t>.</w:t>
            </w:r>
          </w:p>
        </w:tc>
        <w:tc>
          <w:tcPr>
            <w:tcW w:w="1406" w:type="dxa"/>
            <w:vAlign w:val="center"/>
          </w:tcPr>
          <w:p w:rsidR="00C06506" w:rsidRPr="00C36483" w:rsidRDefault="009D13AB" w:rsidP="00A01DEA">
            <w:pPr>
              <w:pStyle w:val="naisf"/>
              <w:spacing w:before="0" w:after="0"/>
              <w:ind w:firstLine="0"/>
              <w:jc w:val="center"/>
              <w:rPr>
                <w:b/>
                <w:i/>
                <w:sz w:val="28"/>
                <w:szCs w:val="28"/>
              </w:rPr>
            </w:pPr>
            <w:r w:rsidRPr="00C36483">
              <w:rPr>
                <w:b/>
                <w:bCs/>
                <w:sz w:val="28"/>
                <w:szCs w:val="28"/>
              </w:rPr>
              <w:t>2015</w:t>
            </w:r>
            <w:r w:rsidR="007317D1" w:rsidRPr="00C36483">
              <w:rPr>
                <w:b/>
                <w:bCs/>
                <w:sz w:val="28"/>
                <w:szCs w:val="28"/>
              </w:rPr>
              <w:t>.</w:t>
            </w:r>
          </w:p>
        </w:tc>
      </w:tr>
      <w:tr w:rsidR="00C06506" w:rsidRPr="00C36483" w:rsidTr="00A01DEA">
        <w:trPr>
          <w:jc w:val="center"/>
        </w:trPr>
        <w:tc>
          <w:tcPr>
            <w:tcW w:w="3324" w:type="dxa"/>
            <w:vMerge/>
            <w:vAlign w:val="center"/>
          </w:tcPr>
          <w:p w:rsidR="00C06506" w:rsidRPr="00C36483" w:rsidRDefault="00C06506" w:rsidP="00A01DEA">
            <w:pPr>
              <w:pStyle w:val="naisf"/>
              <w:spacing w:before="0" w:after="0"/>
              <w:ind w:firstLine="0"/>
              <w:jc w:val="center"/>
              <w:rPr>
                <w:b/>
                <w:i/>
                <w:sz w:val="28"/>
                <w:szCs w:val="28"/>
              </w:rPr>
            </w:pPr>
          </w:p>
        </w:tc>
        <w:tc>
          <w:tcPr>
            <w:tcW w:w="1331" w:type="dxa"/>
            <w:vAlign w:val="center"/>
          </w:tcPr>
          <w:p w:rsidR="00C06506" w:rsidRPr="00C36483" w:rsidRDefault="00C06506" w:rsidP="00A01DEA">
            <w:pPr>
              <w:pStyle w:val="naisf"/>
              <w:spacing w:before="0" w:after="0"/>
              <w:ind w:firstLine="0"/>
              <w:jc w:val="center"/>
              <w:rPr>
                <w:b/>
                <w:i/>
                <w:sz w:val="28"/>
                <w:szCs w:val="28"/>
              </w:rPr>
            </w:pPr>
            <w:r w:rsidRPr="00C36483">
              <w:rPr>
                <w:sz w:val="28"/>
                <w:szCs w:val="28"/>
              </w:rPr>
              <w:t>Saskaņā ar valsts budžetu kārtējam gadam</w:t>
            </w:r>
          </w:p>
        </w:tc>
        <w:tc>
          <w:tcPr>
            <w:tcW w:w="1354" w:type="dxa"/>
            <w:vAlign w:val="center"/>
          </w:tcPr>
          <w:p w:rsidR="00C06506" w:rsidRPr="00C36483" w:rsidRDefault="00C06506" w:rsidP="00A01DEA">
            <w:pPr>
              <w:pStyle w:val="naisf"/>
              <w:spacing w:before="0" w:after="0"/>
              <w:ind w:firstLine="0"/>
              <w:jc w:val="center"/>
              <w:rPr>
                <w:b/>
                <w:i/>
                <w:sz w:val="28"/>
                <w:szCs w:val="28"/>
              </w:rPr>
            </w:pPr>
            <w:r w:rsidRPr="00C36483">
              <w:rPr>
                <w:sz w:val="28"/>
                <w:szCs w:val="28"/>
              </w:rPr>
              <w:t>Izmaiņas kārtējā gadā, salīdzinot ar budžetu kārtējam gadam</w:t>
            </w:r>
          </w:p>
        </w:tc>
        <w:tc>
          <w:tcPr>
            <w:tcW w:w="1354" w:type="dxa"/>
            <w:vAlign w:val="center"/>
          </w:tcPr>
          <w:p w:rsidR="00C06506" w:rsidRPr="00C36483" w:rsidRDefault="00C06506" w:rsidP="00A01DEA">
            <w:pPr>
              <w:pStyle w:val="naisf"/>
              <w:spacing w:before="0" w:after="0"/>
              <w:ind w:firstLine="0"/>
              <w:jc w:val="center"/>
              <w:rPr>
                <w:b/>
                <w:i/>
                <w:sz w:val="28"/>
                <w:szCs w:val="28"/>
              </w:rPr>
            </w:pPr>
            <w:r w:rsidRPr="00C36483">
              <w:rPr>
                <w:sz w:val="28"/>
                <w:szCs w:val="28"/>
              </w:rPr>
              <w:t>Izmaiņas, salīdzinot ar kārtējo (n) gadu</w:t>
            </w:r>
          </w:p>
        </w:tc>
        <w:tc>
          <w:tcPr>
            <w:tcW w:w="1355" w:type="dxa"/>
            <w:vAlign w:val="center"/>
          </w:tcPr>
          <w:p w:rsidR="00C06506" w:rsidRPr="00C36483" w:rsidRDefault="00C06506" w:rsidP="00A01DEA">
            <w:pPr>
              <w:pStyle w:val="naisf"/>
              <w:spacing w:before="0" w:after="0"/>
              <w:ind w:firstLine="0"/>
              <w:jc w:val="center"/>
              <w:rPr>
                <w:b/>
                <w:i/>
                <w:sz w:val="28"/>
                <w:szCs w:val="28"/>
              </w:rPr>
            </w:pPr>
            <w:r w:rsidRPr="00C36483">
              <w:rPr>
                <w:sz w:val="28"/>
                <w:szCs w:val="28"/>
              </w:rPr>
              <w:t>Izmaiņas, salīdzinot ar kārtējo (n) gadu</w:t>
            </w:r>
          </w:p>
        </w:tc>
        <w:tc>
          <w:tcPr>
            <w:tcW w:w="1406" w:type="dxa"/>
            <w:vAlign w:val="center"/>
          </w:tcPr>
          <w:p w:rsidR="00C06506" w:rsidRPr="00C36483" w:rsidRDefault="00C06506" w:rsidP="00A01DEA">
            <w:pPr>
              <w:pStyle w:val="naisf"/>
              <w:spacing w:before="0" w:after="0"/>
              <w:ind w:firstLine="0"/>
              <w:jc w:val="center"/>
              <w:rPr>
                <w:b/>
                <w:i/>
                <w:sz w:val="28"/>
                <w:szCs w:val="28"/>
              </w:rPr>
            </w:pPr>
            <w:r w:rsidRPr="00C36483">
              <w:rPr>
                <w:sz w:val="28"/>
                <w:szCs w:val="28"/>
              </w:rPr>
              <w:t>Izmaiņas, salīdzinot ar kārtējo (n) gadu</w:t>
            </w:r>
          </w:p>
        </w:tc>
      </w:tr>
      <w:tr w:rsidR="00C06506" w:rsidRPr="00C36483" w:rsidTr="00A01DEA">
        <w:trPr>
          <w:jc w:val="center"/>
        </w:trPr>
        <w:tc>
          <w:tcPr>
            <w:tcW w:w="3324" w:type="dxa"/>
            <w:vAlign w:val="center"/>
          </w:tcPr>
          <w:p w:rsidR="00C06506" w:rsidRPr="00C36483" w:rsidRDefault="00C06506" w:rsidP="00A01DEA">
            <w:pPr>
              <w:pStyle w:val="naisf"/>
              <w:spacing w:before="0" w:after="0"/>
              <w:ind w:firstLine="0"/>
              <w:jc w:val="center"/>
              <w:rPr>
                <w:bCs/>
                <w:sz w:val="28"/>
                <w:szCs w:val="28"/>
              </w:rPr>
            </w:pPr>
            <w:r w:rsidRPr="00C36483">
              <w:rPr>
                <w:bCs/>
                <w:sz w:val="28"/>
                <w:szCs w:val="28"/>
              </w:rPr>
              <w:t>1</w:t>
            </w:r>
          </w:p>
        </w:tc>
        <w:tc>
          <w:tcPr>
            <w:tcW w:w="1331" w:type="dxa"/>
            <w:vAlign w:val="center"/>
          </w:tcPr>
          <w:p w:rsidR="00C06506" w:rsidRPr="00C36483" w:rsidRDefault="00C06506" w:rsidP="00A01DEA">
            <w:pPr>
              <w:pStyle w:val="naisf"/>
              <w:spacing w:before="0" w:after="0"/>
              <w:ind w:firstLine="0"/>
              <w:jc w:val="center"/>
              <w:rPr>
                <w:bCs/>
                <w:sz w:val="28"/>
                <w:szCs w:val="28"/>
              </w:rPr>
            </w:pPr>
            <w:r w:rsidRPr="00C36483">
              <w:rPr>
                <w:bCs/>
                <w:sz w:val="28"/>
                <w:szCs w:val="28"/>
              </w:rPr>
              <w:t>2</w:t>
            </w:r>
          </w:p>
        </w:tc>
        <w:tc>
          <w:tcPr>
            <w:tcW w:w="1354" w:type="dxa"/>
            <w:vAlign w:val="center"/>
          </w:tcPr>
          <w:p w:rsidR="00C06506" w:rsidRPr="00C36483" w:rsidRDefault="00C06506" w:rsidP="00A01DEA">
            <w:pPr>
              <w:pStyle w:val="naisf"/>
              <w:spacing w:before="0" w:after="0"/>
              <w:ind w:firstLine="0"/>
              <w:jc w:val="center"/>
              <w:rPr>
                <w:bCs/>
                <w:sz w:val="28"/>
                <w:szCs w:val="28"/>
              </w:rPr>
            </w:pPr>
            <w:r w:rsidRPr="00C36483">
              <w:rPr>
                <w:bCs/>
                <w:sz w:val="28"/>
                <w:szCs w:val="28"/>
              </w:rPr>
              <w:t>3</w:t>
            </w:r>
          </w:p>
        </w:tc>
        <w:tc>
          <w:tcPr>
            <w:tcW w:w="1354" w:type="dxa"/>
            <w:vAlign w:val="center"/>
          </w:tcPr>
          <w:p w:rsidR="00C06506" w:rsidRPr="00C36483" w:rsidRDefault="00C06506" w:rsidP="00A01DEA">
            <w:pPr>
              <w:pStyle w:val="naisf"/>
              <w:spacing w:before="0" w:after="0"/>
              <w:ind w:firstLine="0"/>
              <w:jc w:val="center"/>
              <w:rPr>
                <w:bCs/>
                <w:sz w:val="28"/>
                <w:szCs w:val="28"/>
              </w:rPr>
            </w:pPr>
            <w:r w:rsidRPr="00C36483">
              <w:rPr>
                <w:bCs/>
                <w:sz w:val="28"/>
                <w:szCs w:val="28"/>
              </w:rPr>
              <w:t>4</w:t>
            </w:r>
          </w:p>
        </w:tc>
        <w:tc>
          <w:tcPr>
            <w:tcW w:w="1355" w:type="dxa"/>
            <w:vAlign w:val="center"/>
          </w:tcPr>
          <w:p w:rsidR="00C06506" w:rsidRPr="00C36483" w:rsidRDefault="00C06506" w:rsidP="00A01DEA">
            <w:pPr>
              <w:pStyle w:val="naisf"/>
              <w:spacing w:before="0" w:after="0"/>
              <w:ind w:firstLine="0"/>
              <w:jc w:val="center"/>
              <w:rPr>
                <w:bCs/>
                <w:sz w:val="28"/>
                <w:szCs w:val="28"/>
              </w:rPr>
            </w:pPr>
            <w:r w:rsidRPr="00C36483">
              <w:rPr>
                <w:bCs/>
                <w:sz w:val="28"/>
                <w:szCs w:val="28"/>
              </w:rPr>
              <w:t>5</w:t>
            </w:r>
          </w:p>
        </w:tc>
        <w:tc>
          <w:tcPr>
            <w:tcW w:w="1406" w:type="dxa"/>
            <w:vAlign w:val="center"/>
          </w:tcPr>
          <w:p w:rsidR="00C06506" w:rsidRPr="00C36483" w:rsidRDefault="00C06506" w:rsidP="00A01DEA">
            <w:pPr>
              <w:pStyle w:val="naisf"/>
              <w:spacing w:before="0" w:after="0"/>
              <w:ind w:firstLine="0"/>
              <w:jc w:val="center"/>
              <w:rPr>
                <w:bCs/>
                <w:sz w:val="28"/>
                <w:szCs w:val="28"/>
              </w:rPr>
            </w:pPr>
            <w:r w:rsidRPr="00C36483">
              <w:rPr>
                <w:bCs/>
                <w:sz w:val="28"/>
                <w:szCs w:val="28"/>
              </w:rPr>
              <w:t>6</w:t>
            </w:r>
          </w:p>
        </w:tc>
      </w:tr>
      <w:tr w:rsidR="00D17609" w:rsidRPr="00C36483" w:rsidTr="00414510">
        <w:trPr>
          <w:jc w:val="center"/>
        </w:trPr>
        <w:tc>
          <w:tcPr>
            <w:tcW w:w="3324" w:type="dxa"/>
          </w:tcPr>
          <w:p w:rsidR="00D17609" w:rsidRPr="00C36483" w:rsidRDefault="00D17609" w:rsidP="00A01DEA">
            <w:pPr>
              <w:pStyle w:val="naisf"/>
              <w:spacing w:before="0" w:after="0"/>
              <w:ind w:firstLine="0"/>
              <w:rPr>
                <w:i/>
                <w:sz w:val="28"/>
                <w:szCs w:val="28"/>
              </w:rPr>
            </w:pPr>
            <w:r w:rsidRPr="00C36483">
              <w:rPr>
                <w:sz w:val="28"/>
                <w:szCs w:val="28"/>
              </w:rPr>
              <w:t>1. Budžeta ieņēmumi:</w:t>
            </w:r>
          </w:p>
        </w:tc>
        <w:tc>
          <w:tcPr>
            <w:tcW w:w="1331" w:type="dxa"/>
            <w:vAlign w:val="center"/>
          </w:tcPr>
          <w:p w:rsidR="00D17609" w:rsidRPr="00C36483" w:rsidRDefault="00D17609" w:rsidP="00414510">
            <w:pPr>
              <w:pStyle w:val="naisc"/>
              <w:jc w:val="center"/>
              <w:rPr>
                <w:sz w:val="28"/>
                <w:szCs w:val="28"/>
              </w:rPr>
            </w:pPr>
            <w:r w:rsidRPr="00C36483">
              <w:rPr>
                <w:sz w:val="28"/>
                <w:szCs w:val="28"/>
              </w:rPr>
              <w:t>0</w:t>
            </w:r>
          </w:p>
        </w:tc>
        <w:tc>
          <w:tcPr>
            <w:tcW w:w="1354" w:type="dxa"/>
            <w:vAlign w:val="center"/>
          </w:tcPr>
          <w:p w:rsidR="00D17609" w:rsidRPr="00C36483" w:rsidRDefault="00D17609" w:rsidP="00414510">
            <w:pPr>
              <w:pStyle w:val="naisc"/>
              <w:jc w:val="center"/>
              <w:rPr>
                <w:sz w:val="28"/>
                <w:szCs w:val="28"/>
              </w:rPr>
            </w:pPr>
            <w:r w:rsidRPr="00C36483">
              <w:rPr>
                <w:sz w:val="28"/>
                <w:szCs w:val="28"/>
              </w:rPr>
              <w:t>0</w:t>
            </w:r>
          </w:p>
        </w:tc>
        <w:tc>
          <w:tcPr>
            <w:tcW w:w="1354" w:type="dxa"/>
            <w:vAlign w:val="center"/>
          </w:tcPr>
          <w:p w:rsidR="00D17609" w:rsidRPr="00C36483" w:rsidRDefault="00D17609" w:rsidP="00414510">
            <w:pPr>
              <w:pStyle w:val="naisf"/>
              <w:ind w:firstLine="0"/>
              <w:jc w:val="center"/>
              <w:rPr>
                <w:sz w:val="28"/>
                <w:szCs w:val="28"/>
              </w:rPr>
            </w:pPr>
            <w:r w:rsidRPr="00C36483">
              <w:rPr>
                <w:sz w:val="28"/>
                <w:szCs w:val="28"/>
              </w:rPr>
              <w:t>0</w:t>
            </w:r>
          </w:p>
        </w:tc>
        <w:tc>
          <w:tcPr>
            <w:tcW w:w="1355" w:type="dxa"/>
            <w:vAlign w:val="center"/>
          </w:tcPr>
          <w:p w:rsidR="00D17609" w:rsidRPr="00C36483" w:rsidRDefault="00D17609" w:rsidP="00414510">
            <w:pPr>
              <w:pStyle w:val="naisf"/>
              <w:ind w:firstLine="0"/>
              <w:jc w:val="center"/>
              <w:rPr>
                <w:sz w:val="28"/>
                <w:szCs w:val="28"/>
              </w:rPr>
            </w:pPr>
            <w:r w:rsidRPr="00C36483">
              <w:rPr>
                <w:sz w:val="28"/>
                <w:szCs w:val="28"/>
              </w:rPr>
              <w:t>0</w:t>
            </w:r>
          </w:p>
        </w:tc>
        <w:tc>
          <w:tcPr>
            <w:tcW w:w="1406" w:type="dxa"/>
            <w:vAlign w:val="center"/>
          </w:tcPr>
          <w:p w:rsidR="00D17609" w:rsidRPr="00C36483" w:rsidRDefault="00D17609" w:rsidP="00414510">
            <w:pPr>
              <w:pStyle w:val="naisf"/>
              <w:ind w:firstLine="0"/>
              <w:jc w:val="center"/>
              <w:rPr>
                <w:sz w:val="28"/>
                <w:szCs w:val="28"/>
              </w:rPr>
            </w:pPr>
            <w:r w:rsidRPr="00C36483">
              <w:rPr>
                <w:sz w:val="28"/>
                <w:szCs w:val="28"/>
              </w:rPr>
              <w:t>0</w:t>
            </w:r>
          </w:p>
        </w:tc>
      </w:tr>
      <w:tr w:rsidR="00D17609" w:rsidRPr="00C36483" w:rsidTr="00414510">
        <w:trPr>
          <w:jc w:val="center"/>
        </w:trPr>
        <w:tc>
          <w:tcPr>
            <w:tcW w:w="3324" w:type="dxa"/>
          </w:tcPr>
          <w:p w:rsidR="00D17609" w:rsidRPr="00C36483" w:rsidRDefault="00D17609" w:rsidP="00A01DEA">
            <w:pPr>
              <w:pStyle w:val="naisf"/>
              <w:spacing w:before="0" w:after="0"/>
              <w:ind w:firstLine="0"/>
              <w:rPr>
                <w:i/>
                <w:sz w:val="28"/>
                <w:szCs w:val="28"/>
              </w:rPr>
            </w:pPr>
            <w:r w:rsidRPr="00C36483">
              <w:rPr>
                <w:sz w:val="28"/>
                <w:szCs w:val="28"/>
              </w:rPr>
              <w:t>1.1. valsts pamatbudžets, tai skaitā ieņēmumi no maksas pakalpojumiem un citi pašu ieņēmumi</w:t>
            </w:r>
          </w:p>
        </w:tc>
        <w:tc>
          <w:tcPr>
            <w:tcW w:w="1331" w:type="dxa"/>
            <w:vAlign w:val="center"/>
          </w:tcPr>
          <w:p w:rsidR="00D17609" w:rsidRPr="00C36483" w:rsidRDefault="00D17609" w:rsidP="00414510">
            <w:pPr>
              <w:pStyle w:val="naisc"/>
              <w:jc w:val="center"/>
              <w:rPr>
                <w:sz w:val="28"/>
                <w:szCs w:val="28"/>
              </w:rPr>
            </w:pPr>
            <w:r w:rsidRPr="00C36483">
              <w:rPr>
                <w:sz w:val="28"/>
                <w:szCs w:val="28"/>
              </w:rPr>
              <w:t>0</w:t>
            </w:r>
          </w:p>
        </w:tc>
        <w:tc>
          <w:tcPr>
            <w:tcW w:w="1354" w:type="dxa"/>
            <w:vAlign w:val="center"/>
          </w:tcPr>
          <w:p w:rsidR="00D17609" w:rsidRPr="00C36483" w:rsidRDefault="00D17609" w:rsidP="00414510">
            <w:pPr>
              <w:pStyle w:val="naisc"/>
              <w:jc w:val="center"/>
              <w:rPr>
                <w:sz w:val="28"/>
                <w:szCs w:val="28"/>
              </w:rPr>
            </w:pPr>
            <w:r w:rsidRPr="00C36483">
              <w:rPr>
                <w:sz w:val="28"/>
                <w:szCs w:val="28"/>
              </w:rPr>
              <w:t>0</w:t>
            </w:r>
          </w:p>
        </w:tc>
        <w:tc>
          <w:tcPr>
            <w:tcW w:w="1354" w:type="dxa"/>
            <w:vAlign w:val="center"/>
          </w:tcPr>
          <w:p w:rsidR="00D17609" w:rsidRPr="00C36483" w:rsidRDefault="00D17609" w:rsidP="00414510">
            <w:pPr>
              <w:pStyle w:val="naisc"/>
              <w:jc w:val="center"/>
              <w:rPr>
                <w:sz w:val="28"/>
                <w:szCs w:val="28"/>
              </w:rPr>
            </w:pPr>
            <w:r w:rsidRPr="00C36483">
              <w:rPr>
                <w:sz w:val="28"/>
                <w:szCs w:val="28"/>
              </w:rPr>
              <w:t>0</w:t>
            </w:r>
          </w:p>
        </w:tc>
        <w:tc>
          <w:tcPr>
            <w:tcW w:w="1355" w:type="dxa"/>
            <w:vAlign w:val="center"/>
          </w:tcPr>
          <w:p w:rsidR="00D17609" w:rsidRPr="00C36483" w:rsidRDefault="00D17609" w:rsidP="00414510">
            <w:pPr>
              <w:pStyle w:val="naisc"/>
              <w:jc w:val="center"/>
              <w:rPr>
                <w:sz w:val="28"/>
                <w:szCs w:val="28"/>
              </w:rPr>
            </w:pPr>
            <w:r w:rsidRPr="00C36483">
              <w:rPr>
                <w:sz w:val="28"/>
                <w:szCs w:val="28"/>
              </w:rPr>
              <w:t>0</w:t>
            </w:r>
          </w:p>
        </w:tc>
        <w:tc>
          <w:tcPr>
            <w:tcW w:w="1406" w:type="dxa"/>
            <w:vAlign w:val="center"/>
          </w:tcPr>
          <w:p w:rsidR="00D17609" w:rsidRPr="00C36483" w:rsidRDefault="00D17609" w:rsidP="00414510">
            <w:pPr>
              <w:pStyle w:val="naisc"/>
              <w:jc w:val="center"/>
              <w:rPr>
                <w:sz w:val="28"/>
                <w:szCs w:val="28"/>
              </w:rPr>
            </w:pPr>
            <w:r w:rsidRPr="00C36483">
              <w:rPr>
                <w:sz w:val="28"/>
                <w:szCs w:val="28"/>
              </w:rPr>
              <w:t>0</w:t>
            </w:r>
          </w:p>
        </w:tc>
      </w:tr>
      <w:tr w:rsidR="00D17609" w:rsidRPr="00C36483" w:rsidTr="00414510">
        <w:trPr>
          <w:jc w:val="center"/>
        </w:trPr>
        <w:tc>
          <w:tcPr>
            <w:tcW w:w="3324" w:type="dxa"/>
          </w:tcPr>
          <w:p w:rsidR="00D17609" w:rsidRPr="00C36483" w:rsidRDefault="00D17609" w:rsidP="00A01DEA">
            <w:pPr>
              <w:pStyle w:val="naisf"/>
              <w:spacing w:before="0" w:after="0"/>
              <w:ind w:firstLine="0"/>
              <w:rPr>
                <w:i/>
                <w:sz w:val="28"/>
                <w:szCs w:val="28"/>
              </w:rPr>
            </w:pPr>
            <w:r w:rsidRPr="00C36483">
              <w:rPr>
                <w:sz w:val="28"/>
                <w:szCs w:val="28"/>
              </w:rPr>
              <w:t>1.2. valsts speciālais budžets</w:t>
            </w:r>
          </w:p>
        </w:tc>
        <w:tc>
          <w:tcPr>
            <w:tcW w:w="1331" w:type="dxa"/>
            <w:vAlign w:val="center"/>
          </w:tcPr>
          <w:p w:rsidR="00D17609" w:rsidRPr="00C36483" w:rsidRDefault="00D17609" w:rsidP="00414510">
            <w:pPr>
              <w:pStyle w:val="naisc"/>
              <w:jc w:val="center"/>
              <w:rPr>
                <w:sz w:val="28"/>
                <w:szCs w:val="28"/>
              </w:rPr>
            </w:pPr>
            <w:r w:rsidRPr="00C36483">
              <w:rPr>
                <w:sz w:val="28"/>
                <w:szCs w:val="28"/>
              </w:rPr>
              <w:t>0</w:t>
            </w:r>
          </w:p>
        </w:tc>
        <w:tc>
          <w:tcPr>
            <w:tcW w:w="1354" w:type="dxa"/>
            <w:vAlign w:val="center"/>
          </w:tcPr>
          <w:p w:rsidR="00D17609" w:rsidRPr="00C36483" w:rsidRDefault="00D17609" w:rsidP="00414510">
            <w:pPr>
              <w:pStyle w:val="naisc"/>
              <w:jc w:val="center"/>
              <w:rPr>
                <w:sz w:val="28"/>
                <w:szCs w:val="28"/>
              </w:rPr>
            </w:pPr>
            <w:r w:rsidRPr="00C36483">
              <w:rPr>
                <w:sz w:val="28"/>
                <w:szCs w:val="28"/>
              </w:rPr>
              <w:t>0</w:t>
            </w:r>
          </w:p>
        </w:tc>
        <w:tc>
          <w:tcPr>
            <w:tcW w:w="1354" w:type="dxa"/>
            <w:vAlign w:val="center"/>
          </w:tcPr>
          <w:p w:rsidR="00D17609" w:rsidRPr="00C36483" w:rsidRDefault="00D17609" w:rsidP="00414510">
            <w:pPr>
              <w:pStyle w:val="naisf"/>
              <w:ind w:firstLine="0"/>
              <w:jc w:val="center"/>
              <w:rPr>
                <w:sz w:val="28"/>
                <w:szCs w:val="28"/>
              </w:rPr>
            </w:pPr>
            <w:r w:rsidRPr="00C36483">
              <w:rPr>
                <w:sz w:val="28"/>
                <w:szCs w:val="28"/>
              </w:rPr>
              <w:t>0</w:t>
            </w:r>
          </w:p>
        </w:tc>
        <w:tc>
          <w:tcPr>
            <w:tcW w:w="1355" w:type="dxa"/>
            <w:vAlign w:val="center"/>
          </w:tcPr>
          <w:p w:rsidR="00D17609" w:rsidRPr="00C36483" w:rsidRDefault="00D17609" w:rsidP="00414510">
            <w:pPr>
              <w:pStyle w:val="naisf"/>
              <w:ind w:firstLine="0"/>
              <w:jc w:val="center"/>
              <w:rPr>
                <w:sz w:val="28"/>
                <w:szCs w:val="28"/>
              </w:rPr>
            </w:pPr>
            <w:r w:rsidRPr="00C36483">
              <w:rPr>
                <w:sz w:val="28"/>
                <w:szCs w:val="28"/>
              </w:rPr>
              <w:t>0</w:t>
            </w:r>
          </w:p>
        </w:tc>
        <w:tc>
          <w:tcPr>
            <w:tcW w:w="1406" w:type="dxa"/>
            <w:vAlign w:val="center"/>
          </w:tcPr>
          <w:p w:rsidR="00D17609" w:rsidRPr="00C36483" w:rsidRDefault="00D17609" w:rsidP="00414510">
            <w:pPr>
              <w:pStyle w:val="naisf"/>
              <w:ind w:firstLine="0"/>
              <w:jc w:val="center"/>
              <w:rPr>
                <w:sz w:val="28"/>
                <w:szCs w:val="28"/>
              </w:rPr>
            </w:pPr>
            <w:r w:rsidRPr="00C36483">
              <w:rPr>
                <w:sz w:val="28"/>
                <w:szCs w:val="28"/>
              </w:rPr>
              <w:t>0</w:t>
            </w:r>
          </w:p>
        </w:tc>
      </w:tr>
      <w:tr w:rsidR="00D17609" w:rsidRPr="00C36483" w:rsidTr="00414510">
        <w:trPr>
          <w:jc w:val="center"/>
        </w:trPr>
        <w:tc>
          <w:tcPr>
            <w:tcW w:w="3324" w:type="dxa"/>
          </w:tcPr>
          <w:p w:rsidR="00D17609" w:rsidRPr="00C36483" w:rsidRDefault="00D17609" w:rsidP="00A01DEA">
            <w:pPr>
              <w:pStyle w:val="naisf"/>
              <w:spacing w:before="0" w:after="0"/>
              <w:ind w:firstLine="0"/>
              <w:rPr>
                <w:i/>
                <w:sz w:val="28"/>
                <w:szCs w:val="28"/>
              </w:rPr>
            </w:pPr>
            <w:r w:rsidRPr="00C36483">
              <w:rPr>
                <w:sz w:val="28"/>
                <w:szCs w:val="28"/>
              </w:rPr>
              <w:t>1.3. pašvaldību budžets</w:t>
            </w:r>
          </w:p>
        </w:tc>
        <w:tc>
          <w:tcPr>
            <w:tcW w:w="1331" w:type="dxa"/>
            <w:vAlign w:val="center"/>
          </w:tcPr>
          <w:p w:rsidR="00D17609" w:rsidRPr="00C36483" w:rsidRDefault="00D17609" w:rsidP="00414510">
            <w:pPr>
              <w:pStyle w:val="naisc"/>
              <w:jc w:val="center"/>
              <w:rPr>
                <w:sz w:val="28"/>
                <w:szCs w:val="28"/>
              </w:rPr>
            </w:pPr>
            <w:r w:rsidRPr="00C36483">
              <w:rPr>
                <w:sz w:val="28"/>
                <w:szCs w:val="28"/>
              </w:rPr>
              <w:t>0</w:t>
            </w:r>
          </w:p>
        </w:tc>
        <w:tc>
          <w:tcPr>
            <w:tcW w:w="1354" w:type="dxa"/>
            <w:vAlign w:val="center"/>
          </w:tcPr>
          <w:p w:rsidR="00D17609" w:rsidRPr="00C36483" w:rsidRDefault="00D17609" w:rsidP="00414510">
            <w:pPr>
              <w:pStyle w:val="naisc"/>
              <w:jc w:val="center"/>
              <w:rPr>
                <w:sz w:val="28"/>
                <w:szCs w:val="28"/>
              </w:rPr>
            </w:pPr>
            <w:r w:rsidRPr="00C36483">
              <w:rPr>
                <w:sz w:val="28"/>
                <w:szCs w:val="28"/>
              </w:rPr>
              <w:t>0</w:t>
            </w:r>
          </w:p>
        </w:tc>
        <w:tc>
          <w:tcPr>
            <w:tcW w:w="1354" w:type="dxa"/>
            <w:vAlign w:val="center"/>
          </w:tcPr>
          <w:p w:rsidR="00D17609" w:rsidRPr="00C36483" w:rsidRDefault="00D17609" w:rsidP="00414510">
            <w:pPr>
              <w:pStyle w:val="naisf"/>
              <w:ind w:firstLine="0"/>
              <w:jc w:val="center"/>
              <w:rPr>
                <w:sz w:val="28"/>
                <w:szCs w:val="28"/>
              </w:rPr>
            </w:pPr>
            <w:r w:rsidRPr="00C36483">
              <w:rPr>
                <w:sz w:val="28"/>
                <w:szCs w:val="28"/>
              </w:rPr>
              <w:t>0</w:t>
            </w:r>
          </w:p>
        </w:tc>
        <w:tc>
          <w:tcPr>
            <w:tcW w:w="1355" w:type="dxa"/>
            <w:vAlign w:val="center"/>
          </w:tcPr>
          <w:p w:rsidR="00D17609" w:rsidRPr="00C36483" w:rsidRDefault="00D17609" w:rsidP="00414510">
            <w:pPr>
              <w:pStyle w:val="naisf"/>
              <w:ind w:firstLine="0"/>
              <w:jc w:val="center"/>
              <w:rPr>
                <w:sz w:val="28"/>
                <w:szCs w:val="28"/>
              </w:rPr>
            </w:pPr>
            <w:r w:rsidRPr="00C36483">
              <w:rPr>
                <w:sz w:val="28"/>
                <w:szCs w:val="28"/>
              </w:rPr>
              <w:t>0</w:t>
            </w:r>
          </w:p>
        </w:tc>
        <w:tc>
          <w:tcPr>
            <w:tcW w:w="1406" w:type="dxa"/>
            <w:vAlign w:val="center"/>
          </w:tcPr>
          <w:p w:rsidR="00D17609" w:rsidRPr="00C36483" w:rsidRDefault="00D17609" w:rsidP="00414510">
            <w:pPr>
              <w:pStyle w:val="naisf"/>
              <w:ind w:firstLine="0"/>
              <w:jc w:val="center"/>
              <w:rPr>
                <w:sz w:val="28"/>
                <w:szCs w:val="28"/>
              </w:rPr>
            </w:pPr>
            <w:r w:rsidRPr="00C36483">
              <w:rPr>
                <w:sz w:val="28"/>
                <w:szCs w:val="28"/>
              </w:rPr>
              <w:t>0</w:t>
            </w:r>
          </w:p>
        </w:tc>
      </w:tr>
      <w:tr w:rsidR="00213A1D" w:rsidRPr="00C36483" w:rsidTr="00213A1D">
        <w:trPr>
          <w:jc w:val="center"/>
        </w:trPr>
        <w:tc>
          <w:tcPr>
            <w:tcW w:w="3324" w:type="dxa"/>
          </w:tcPr>
          <w:p w:rsidR="00213A1D" w:rsidRPr="00C36483" w:rsidRDefault="00213A1D" w:rsidP="00A01DEA">
            <w:pPr>
              <w:rPr>
                <w:sz w:val="28"/>
                <w:szCs w:val="28"/>
              </w:rPr>
            </w:pPr>
            <w:r w:rsidRPr="00C36483">
              <w:rPr>
                <w:sz w:val="28"/>
                <w:szCs w:val="28"/>
              </w:rPr>
              <w:t>2. Budžeta izdevumi:</w:t>
            </w:r>
          </w:p>
        </w:tc>
        <w:tc>
          <w:tcPr>
            <w:tcW w:w="1331" w:type="dxa"/>
            <w:shd w:val="clear" w:color="auto" w:fill="auto"/>
            <w:vAlign w:val="center"/>
          </w:tcPr>
          <w:p w:rsidR="00213A1D" w:rsidRPr="00C36483" w:rsidRDefault="00213A1D" w:rsidP="00D60180">
            <w:pPr>
              <w:pStyle w:val="naisc"/>
              <w:jc w:val="center"/>
              <w:rPr>
                <w:sz w:val="28"/>
                <w:szCs w:val="28"/>
              </w:rPr>
            </w:pPr>
            <w:r w:rsidRPr="00C36483">
              <w:rPr>
                <w:sz w:val="28"/>
                <w:szCs w:val="28"/>
              </w:rPr>
              <w:t>0</w:t>
            </w:r>
          </w:p>
        </w:tc>
        <w:tc>
          <w:tcPr>
            <w:tcW w:w="1354" w:type="dxa"/>
            <w:shd w:val="clear" w:color="auto" w:fill="auto"/>
            <w:vAlign w:val="center"/>
          </w:tcPr>
          <w:p w:rsidR="00213A1D" w:rsidRPr="00C36483" w:rsidRDefault="00213A1D" w:rsidP="00D60180">
            <w:pPr>
              <w:pStyle w:val="naisc"/>
              <w:jc w:val="center"/>
              <w:rPr>
                <w:sz w:val="28"/>
                <w:szCs w:val="28"/>
              </w:rPr>
            </w:pPr>
            <w:r w:rsidRPr="00C36483">
              <w:rPr>
                <w:sz w:val="28"/>
                <w:szCs w:val="28"/>
              </w:rPr>
              <w:t>4,0</w:t>
            </w:r>
          </w:p>
        </w:tc>
        <w:tc>
          <w:tcPr>
            <w:tcW w:w="1354" w:type="dxa"/>
            <w:shd w:val="clear" w:color="auto" w:fill="auto"/>
            <w:vAlign w:val="center"/>
          </w:tcPr>
          <w:p w:rsidR="00213A1D" w:rsidRPr="00C36483" w:rsidRDefault="00213A1D" w:rsidP="00D60180">
            <w:pPr>
              <w:pStyle w:val="naisf"/>
              <w:ind w:firstLine="0"/>
              <w:jc w:val="center"/>
              <w:rPr>
                <w:sz w:val="28"/>
                <w:szCs w:val="28"/>
              </w:rPr>
            </w:pPr>
            <w:r w:rsidRPr="00C36483">
              <w:rPr>
                <w:sz w:val="28"/>
                <w:szCs w:val="28"/>
              </w:rPr>
              <w:t>5,4</w:t>
            </w:r>
          </w:p>
        </w:tc>
        <w:tc>
          <w:tcPr>
            <w:tcW w:w="1355" w:type="dxa"/>
            <w:shd w:val="clear" w:color="auto" w:fill="auto"/>
            <w:vAlign w:val="center"/>
          </w:tcPr>
          <w:p w:rsidR="00213A1D" w:rsidRPr="00C36483" w:rsidRDefault="00213A1D" w:rsidP="00D60180">
            <w:pPr>
              <w:pStyle w:val="naisf"/>
              <w:ind w:firstLine="0"/>
              <w:jc w:val="center"/>
              <w:rPr>
                <w:sz w:val="28"/>
                <w:szCs w:val="28"/>
              </w:rPr>
            </w:pPr>
            <w:r w:rsidRPr="00C36483">
              <w:rPr>
                <w:sz w:val="28"/>
                <w:szCs w:val="28"/>
              </w:rPr>
              <w:t>5,4</w:t>
            </w:r>
          </w:p>
        </w:tc>
        <w:tc>
          <w:tcPr>
            <w:tcW w:w="1406" w:type="dxa"/>
            <w:shd w:val="clear" w:color="auto" w:fill="auto"/>
            <w:vAlign w:val="center"/>
          </w:tcPr>
          <w:p w:rsidR="00213A1D" w:rsidRPr="00C36483" w:rsidRDefault="00213A1D" w:rsidP="00D60180">
            <w:pPr>
              <w:pStyle w:val="naisf"/>
              <w:ind w:firstLine="0"/>
              <w:jc w:val="center"/>
              <w:rPr>
                <w:sz w:val="28"/>
                <w:szCs w:val="28"/>
              </w:rPr>
            </w:pPr>
            <w:r w:rsidRPr="00C36483">
              <w:rPr>
                <w:sz w:val="28"/>
                <w:szCs w:val="28"/>
              </w:rPr>
              <w:t>5,4</w:t>
            </w:r>
          </w:p>
        </w:tc>
      </w:tr>
      <w:tr w:rsidR="00213A1D" w:rsidRPr="00C36483" w:rsidTr="00213A1D">
        <w:trPr>
          <w:jc w:val="center"/>
        </w:trPr>
        <w:tc>
          <w:tcPr>
            <w:tcW w:w="3324" w:type="dxa"/>
          </w:tcPr>
          <w:p w:rsidR="00213A1D" w:rsidRPr="00C36483" w:rsidRDefault="00213A1D" w:rsidP="00A01DEA">
            <w:pPr>
              <w:rPr>
                <w:sz w:val="28"/>
                <w:szCs w:val="28"/>
              </w:rPr>
            </w:pPr>
            <w:r w:rsidRPr="00C36483">
              <w:rPr>
                <w:sz w:val="28"/>
                <w:szCs w:val="28"/>
              </w:rPr>
              <w:t>2.1. valsts pamatbudžets</w:t>
            </w:r>
          </w:p>
        </w:tc>
        <w:tc>
          <w:tcPr>
            <w:tcW w:w="1331" w:type="dxa"/>
            <w:shd w:val="clear" w:color="auto" w:fill="auto"/>
            <w:vAlign w:val="center"/>
          </w:tcPr>
          <w:p w:rsidR="00213A1D" w:rsidRPr="00C36483" w:rsidRDefault="00213A1D" w:rsidP="00D60180">
            <w:pPr>
              <w:pStyle w:val="naisc"/>
              <w:jc w:val="center"/>
              <w:rPr>
                <w:sz w:val="28"/>
                <w:szCs w:val="28"/>
              </w:rPr>
            </w:pPr>
            <w:r w:rsidRPr="00C36483">
              <w:rPr>
                <w:sz w:val="28"/>
                <w:szCs w:val="28"/>
              </w:rPr>
              <w:t>0</w:t>
            </w:r>
          </w:p>
        </w:tc>
        <w:tc>
          <w:tcPr>
            <w:tcW w:w="1354" w:type="dxa"/>
            <w:shd w:val="clear" w:color="auto" w:fill="auto"/>
            <w:vAlign w:val="center"/>
          </w:tcPr>
          <w:p w:rsidR="00213A1D" w:rsidRPr="00C36483" w:rsidRDefault="00213A1D" w:rsidP="00D60180">
            <w:pPr>
              <w:pStyle w:val="naisc"/>
              <w:jc w:val="center"/>
              <w:rPr>
                <w:sz w:val="28"/>
                <w:szCs w:val="28"/>
              </w:rPr>
            </w:pPr>
            <w:r w:rsidRPr="00C36483">
              <w:rPr>
                <w:sz w:val="28"/>
                <w:szCs w:val="28"/>
              </w:rPr>
              <w:t>4,0</w:t>
            </w:r>
          </w:p>
        </w:tc>
        <w:tc>
          <w:tcPr>
            <w:tcW w:w="1354" w:type="dxa"/>
            <w:shd w:val="clear" w:color="auto" w:fill="auto"/>
            <w:vAlign w:val="center"/>
          </w:tcPr>
          <w:p w:rsidR="00213A1D" w:rsidRPr="00C36483" w:rsidRDefault="00213A1D" w:rsidP="00D60180">
            <w:pPr>
              <w:pStyle w:val="naisf"/>
              <w:ind w:firstLine="0"/>
              <w:jc w:val="center"/>
              <w:rPr>
                <w:sz w:val="28"/>
                <w:szCs w:val="28"/>
              </w:rPr>
            </w:pPr>
            <w:r w:rsidRPr="00C36483">
              <w:rPr>
                <w:sz w:val="28"/>
                <w:szCs w:val="28"/>
              </w:rPr>
              <w:t>5,4</w:t>
            </w:r>
          </w:p>
        </w:tc>
        <w:tc>
          <w:tcPr>
            <w:tcW w:w="1355" w:type="dxa"/>
            <w:shd w:val="clear" w:color="auto" w:fill="auto"/>
            <w:vAlign w:val="center"/>
          </w:tcPr>
          <w:p w:rsidR="00213A1D" w:rsidRPr="00C36483" w:rsidRDefault="00213A1D" w:rsidP="00D60180">
            <w:pPr>
              <w:pStyle w:val="naisf"/>
              <w:ind w:firstLine="0"/>
              <w:jc w:val="center"/>
              <w:rPr>
                <w:sz w:val="28"/>
                <w:szCs w:val="28"/>
              </w:rPr>
            </w:pPr>
            <w:r w:rsidRPr="00C36483">
              <w:rPr>
                <w:sz w:val="28"/>
                <w:szCs w:val="28"/>
              </w:rPr>
              <w:t>5,4</w:t>
            </w:r>
          </w:p>
        </w:tc>
        <w:tc>
          <w:tcPr>
            <w:tcW w:w="1406" w:type="dxa"/>
            <w:shd w:val="clear" w:color="auto" w:fill="auto"/>
            <w:vAlign w:val="center"/>
          </w:tcPr>
          <w:p w:rsidR="00213A1D" w:rsidRPr="00C36483" w:rsidRDefault="00213A1D" w:rsidP="00D60180">
            <w:pPr>
              <w:pStyle w:val="naisf"/>
              <w:ind w:firstLine="0"/>
              <w:jc w:val="center"/>
              <w:rPr>
                <w:sz w:val="28"/>
                <w:szCs w:val="28"/>
              </w:rPr>
            </w:pPr>
            <w:r w:rsidRPr="00C36483">
              <w:rPr>
                <w:sz w:val="28"/>
                <w:szCs w:val="28"/>
              </w:rPr>
              <w:t>5,4</w:t>
            </w:r>
          </w:p>
        </w:tc>
      </w:tr>
      <w:tr w:rsidR="00213A1D" w:rsidRPr="00C36483" w:rsidTr="00213A1D">
        <w:trPr>
          <w:jc w:val="center"/>
        </w:trPr>
        <w:tc>
          <w:tcPr>
            <w:tcW w:w="3324" w:type="dxa"/>
          </w:tcPr>
          <w:p w:rsidR="00213A1D" w:rsidRPr="00C36483" w:rsidRDefault="00213A1D" w:rsidP="00A01DEA">
            <w:pPr>
              <w:rPr>
                <w:sz w:val="28"/>
                <w:szCs w:val="28"/>
              </w:rPr>
            </w:pPr>
            <w:r w:rsidRPr="00C36483">
              <w:rPr>
                <w:sz w:val="28"/>
                <w:szCs w:val="28"/>
              </w:rPr>
              <w:t>2.2. valsts speciālais budžets</w:t>
            </w:r>
          </w:p>
        </w:tc>
        <w:tc>
          <w:tcPr>
            <w:tcW w:w="1331" w:type="dxa"/>
            <w:shd w:val="clear" w:color="auto" w:fill="auto"/>
            <w:vAlign w:val="center"/>
          </w:tcPr>
          <w:p w:rsidR="00213A1D" w:rsidRPr="00C36483" w:rsidRDefault="00213A1D" w:rsidP="00D60180">
            <w:pPr>
              <w:pStyle w:val="naisc"/>
              <w:jc w:val="center"/>
              <w:rPr>
                <w:sz w:val="28"/>
                <w:szCs w:val="28"/>
              </w:rPr>
            </w:pPr>
            <w:r w:rsidRPr="00C36483">
              <w:rPr>
                <w:sz w:val="28"/>
                <w:szCs w:val="28"/>
              </w:rPr>
              <w:t>0</w:t>
            </w:r>
          </w:p>
        </w:tc>
        <w:tc>
          <w:tcPr>
            <w:tcW w:w="1354" w:type="dxa"/>
            <w:shd w:val="clear" w:color="auto" w:fill="auto"/>
            <w:vAlign w:val="center"/>
          </w:tcPr>
          <w:p w:rsidR="00213A1D" w:rsidRPr="00C36483" w:rsidRDefault="00213A1D" w:rsidP="00D60180">
            <w:pPr>
              <w:pStyle w:val="naisf"/>
              <w:ind w:firstLine="0"/>
              <w:jc w:val="center"/>
              <w:rPr>
                <w:sz w:val="28"/>
                <w:szCs w:val="28"/>
              </w:rPr>
            </w:pPr>
            <w:r w:rsidRPr="00C36483">
              <w:rPr>
                <w:sz w:val="28"/>
                <w:szCs w:val="28"/>
              </w:rPr>
              <w:t>0</w:t>
            </w:r>
          </w:p>
        </w:tc>
        <w:tc>
          <w:tcPr>
            <w:tcW w:w="1354" w:type="dxa"/>
            <w:shd w:val="clear" w:color="auto" w:fill="auto"/>
            <w:vAlign w:val="center"/>
          </w:tcPr>
          <w:p w:rsidR="00213A1D" w:rsidRPr="00C36483" w:rsidRDefault="00213A1D" w:rsidP="00D60180">
            <w:pPr>
              <w:pStyle w:val="naisf"/>
              <w:ind w:firstLine="0"/>
              <w:jc w:val="center"/>
              <w:rPr>
                <w:sz w:val="28"/>
                <w:szCs w:val="28"/>
              </w:rPr>
            </w:pPr>
            <w:r w:rsidRPr="00C36483">
              <w:rPr>
                <w:sz w:val="28"/>
                <w:szCs w:val="28"/>
              </w:rPr>
              <w:t>0</w:t>
            </w:r>
          </w:p>
        </w:tc>
        <w:tc>
          <w:tcPr>
            <w:tcW w:w="1355" w:type="dxa"/>
            <w:shd w:val="clear" w:color="auto" w:fill="auto"/>
            <w:vAlign w:val="center"/>
          </w:tcPr>
          <w:p w:rsidR="00213A1D" w:rsidRPr="00C36483" w:rsidRDefault="00213A1D" w:rsidP="00D60180">
            <w:pPr>
              <w:pStyle w:val="naisf"/>
              <w:ind w:firstLine="0"/>
              <w:jc w:val="center"/>
              <w:rPr>
                <w:sz w:val="28"/>
                <w:szCs w:val="28"/>
              </w:rPr>
            </w:pPr>
            <w:r w:rsidRPr="00C36483">
              <w:rPr>
                <w:sz w:val="28"/>
                <w:szCs w:val="28"/>
              </w:rPr>
              <w:t>0</w:t>
            </w:r>
          </w:p>
        </w:tc>
        <w:tc>
          <w:tcPr>
            <w:tcW w:w="1406" w:type="dxa"/>
            <w:shd w:val="clear" w:color="auto" w:fill="auto"/>
            <w:vAlign w:val="center"/>
          </w:tcPr>
          <w:p w:rsidR="00213A1D" w:rsidRPr="00C36483" w:rsidRDefault="00213A1D" w:rsidP="00D60180">
            <w:pPr>
              <w:pStyle w:val="naisf"/>
              <w:ind w:firstLine="0"/>
              <w:jc w:val="center"/>
              <w:rPr>
                <w:sz w:val="28"/>
                <w:szCs w:val="28"/>
              </w:rPr>
            </w:pPr>
            <w:r w:rsidRPr="00C36483">
              <w:rPr>
                <w:sz w:val="28"/>
                <w:szCs w:val="28"/>
              </w:rPr>
              <w:t>0</w:t>
            </w:r>
          </w:p>
        </w:tc>
      </w:tr>
      <w:tr w:rsidR="00213A1D" w:rsidRPr="00C36483" w:rsidTr="00213A1D">
        <w:trPr>
          <w:jc w:val="center"/>
        </w:trPr>
        <w:tc>
          <w:tcPr>
            <w:tcW w:w="3324" w:type="dxa"/>
          </w:tcPr>
          <w:p w:rsidR="00213A1D" w:rsidRPr="00C36483" w:rsidRDefault="00213A1D" w:rsidP="00A01DEA">
            <w:pPr>
              <w:rPr>
                <w:sz w:val="28"/>
                <w:szCs w:val="28"/>
              </w:rPr>
            </w:pPr>
            <w:r w:rsidRPr="00C36483">
              <w:rPr>
                <w:sz w:val="28"/>
                <w:szCs w:val="28"/>
              </w:rPr>
              <w:t xml:space="preserve">2.3. pašvaldību budžets </w:t>
            </w:r>
          </w:p>
        </w:tc>
        <w:tc>
          <w:tcPr>
            <w:tcW w:w="1331" w:type="dxa"/>
            <w:shd w:val="clear" w:color="auto" w:fill="auto"/>
            <w:vAlign w:val="center"/>
          </w:tcPr>
          <w:p w:rsidR="00213A1D" w:rsidRPr="00C36483" w:rsidRDefault="00213A1D" w:rsidP="00D60180">
            <w:pPr>
              <w:pStyle w:val="naisc"/>
              <w:jc w:val="center"/>
              <w:rPr>
                <w:sz w:val="28"/>
                <w:szCs w:val="28"/>
              </w:rPr>
            </w:pPr>
            <w:r w:rsidRPr="00C36483">
              <w:rPr>
                <w:sz w:val="28"/>
                <w:szCs w:val="28"/>
              </w:rPr>
              <w:t>0</w:t>
            </w:r>
          </w:p>
        </w:tc>
        <w:tc>
          <w:tcPr>
            <w:tcW w:w="1354" w:type="dxa"/>
            <w:shd w:val="clear" w:color="auto" w:fill="auto"/>
            <w:vAlign w:val="center"/>
          </w:tcPr>
          <w:p w:rsidR="00213A1D" w:rsidRPr="00C36483" w:rsidRDefault="00213A1D" w:rsidP="00D60180">
            <w:pPr>
              <w:pStyle w:val="naisf"/>
              <w:ind w:firstLine="0"/>
              <w:jc w:val="center"/>
              <w:rPr>
                <w:sz w:val="28"/>
                <w:szCs w:val="28"/>
              </w:rPr>
            </w:pPr>
            <w:r w:rsidRPr="00C36483">
              <w:rPr>
                <w:sz w:val="28"/>
                <w:szCs w:val="28"/>
              </w:rPr>
              <w:t>0</w:t>
            </w:r>
          </w:p>
        </w:tc>
        <w:tc>
          <w:tcPr>
            <w:tcW w:w="1354" w:type="dxa"/>
            <w:shd w:val="clear" w:color="auto" w:fill="auto"/>
            <w:vAlign w:val="center"/>
          </w:tcPr>
          <w:p w:rsidR="00213A1D" w:rsidRPr="00C36483" w:rsidRDefault="00213A1D" w:rsidP="00D60180">
            <w:pPr>
              <w:pStyle w:val="naisf"/>
              <w:ind w:firstLine="0"/>
              <w:jc w:val="center"/>
              <w:rPr>
                <w:sz w:val="28"/>
                <w:szCs w:val="28"/>
              </w:rPr>
            </w:pPr>
            <w:r w:rsidRPr="00C36483">
              <w:rPr>
                <w:sz w:val="28"/>
                <w:szCs w:val="28"/>
              </w:rPr>
              <w:t>0</w:t>
            </w:r>
          </w:p>
        </w:tc>
        <w:tc>
          <w:tcPr>
            <w:tcW w:w="1355" w:type="dxa"/>
            <w:shd w:val="clear" w:color="auto" w:fill="auto"/>
            <w:vAlign w:val="center"/>
          </w:tcPr>
          <w:p w:rsidR="00213A1D" w:rsidRPr="00C36483" w:rsidRDefault="00213A1D" w:rsidP="00D60180">
            <w:pPr>
              <w:pStyle w:val="naisf"/>
              <w:ind w:firstLine="0"/>
              <w:jc w:val="center"/>
              <w:rPr>
                <w:sz w:val="28"/>
                <w:szCs w:val="28"/>
              </w:rPr>
            </w:pPr>
            <w:r w:rsidRPr="00C36483">
              <w:rPr>
                <w:sz w:val="28"/>
                <w:szCs w:val="28"/>
              </w:rPr>
              <w:t>0</w:t>
            </w:r>
          </w:p>
        </w:tc>
        <w:tc>
          <w:tcPr>
            <w:tcW w:w="1406" w:type="dxa"/>
            <w:shd w:val="clear" w:color="auto" w:fill="auto"/>
            <w:vAlign w:val="center"/>
          </w:tcPr>
          <w:p w:rsidR="00213A1D" w:rsidRPr="00C36483" w:rsidRDefault="00213A1D" w:rsidP="00D60180">
            <w:pPr>
              <w:pStyle w:val="naisf"/>
              <w:ind w:firstLine="0"/>
              <w:jc w:val="center"/>
              <w:rPr>
                <w:sz w:val="28"/>
                <w:szCs w:val="28"/>
              </w:rPr>
            </w:pPr>
            <w:r w:rsidRPr="00C36483">
              <w:rPr>
                <w:sz w:val="28"/>
                <w:szCs w:val="28"/>
              </w:rPr>
              <w:t>0</w:t>
            </w:r>
          </w:p>
        </w:tc>
      </w:tr>
      <w:tr w:rsidR="00213A1D" w:rsidRPr="00C36483" w:rsidTr="00213A1D">
        <w:trPr>
          <w:jc w:val="center"/>
        </w:trPr>
        <w:tc>
          <w:tcPr>
            <w:tcW w:w="3324" w:type="dxa"/>
          </w:tcPr>
          <w:p w:rsidR="00213A1D" w:rsidRPr="00C36483" w:rsidRDefault="00213A1D" w:rsidP="00A01DEA">
            <w:pPr>
              <w:rPr>
                <w:sz w:val="28"/>
                <w:szCs w:val="28"/>
              </w:rPr>
            </w:pPr>
            <w:r w:rsidRPr="00C36483">
              <w:rPr>
                <w:sz w:val="28"/>
                <w:szCs w:val="28"/>
              </w:rPr>
              <w:t>3. Finansiālā ietekme:</w:t>
            </w:r>
          </w:p>
        </w:tc>
        <w:tc>
          <w:tcPr>
            <w:tcW w:w="1331" w:type="dxa"/>
            <w:shd w:val="clear" w:color="auto" w:fill="auto"/>
            <w:vAlign w:val="center"/>
          </w:tcPr>
          <w:p w:rsidR="00213A1D" w:rsidRPr="00C36483" w:rsidRDefault="00213A1D" w:rsidP="00D60180">
            <w:pPr>
              <w:pStyle w:val="naisc"/>
              <w:jc w:val="center"/>
              <w:rPr>
                <w:sz w:val="28"/>
                <w:szCs w:val="28"/>
              </w:rPr>
            </w:pPr>
            <w:r w:rsidRPr="00C36483">
              <w:rPr>
                <w:sz w:val="28"/>
                <w:szCs w:val="28"/>
              </w:rPr>
              <w:t>0</w:t>
            </w:r>
          </w:p>
        </w:tc>
        <w:tc>
          <w:tcPr>
            <w:tcW w:w="1354" w:type="dxa"/>
            <w:shd w:val="clear" w:color="auto" w:fill="auto"/>
            <w:vAlign w:val="center"/>
          </w:tcPr>
          <w:p w:rsidR="00213A1D" w:rsidRPr="00C36483" w:rsidRDefault="00213A1D" w:rsidP="00D60180">
            <w:pPr>
              <w:pStyle w:val="naisc"/>
              <w:jc w:val="center"/>
              <w:rPr>
                <w:sz w:val="28"/>
                <w:szCs w:val="28"/>
              </w:rPr>
            </w:pPr>
            <w:r w:rsidRPr="00C36483">
              <w:rPr>
                <w:sz w:val="28"/>
                <w:szCs w:val="28"/>
              </w:rPr>
              <w:t>-4,0</w:t>
            </w:r>
          </w:p>
        </w:tc>
        <w:tc>
          <w:tcPr>
            <w:tcW w:w="1354" w:type="dxa"/>
            <w:shd w:val="clear" w:color="auto" w:fill="auto"/>
            <w:vAlign w:val="center"/>
          </w:tcPr>
          <w:p w:rsidR="00213A1D" w:rsidRPr="00C36483" w:rsidRDefault="00213A1D" w:rsidP="00D60180">
            <w:pPr>
              <w:pStyle w:val="naisf"/>
              <w:ind w:firstLine="0"/>
              <w:jc w:val="center"/>
              <w:rPr>
                <w:sz w:val="28"/>
                <w:szCs w:val="28"/>
              </w:rPr>
            </w:pPr>
            <w:r w:rsidRPr="00C36483">
              <w:rPr>
                <w:sz w:val="28"/>
                <w:szCs w:val="28"/>
              </w:rPr>
              <w:t>-5,4</w:t>
            </w:r>
          </w:p>
        </w:tc>
        <w:tc>
          <w:tcPr>
            <w:tcW w:w="1355" w:type="dxa"/>
            <w:shd w:val="clear" w:color="auto" w:fill="auto"/>
            <w:vAlign w:val="center"/>
          </w:tcPr>
          <w:p w:rsidR="00213A1D" w:rsidRPr="00C36483" w:rsidRDefault="00213A1D" w:rsidP="00D60180">
            <w:pPr>
              <w:pStyle w:val="naisf"/>
              <w:ind w:firstLine="0"/>
              <w:jc w:val="center"/>
              <w:rPr>
                <w:sz w:val="28"/>
                <w:szCs w:val="28"/>
              </w:rPr>
            </w:pPr>
            <w:r w:rsidRPr="00C36483">
              <w:rPr>
                <w:sz w:val="28"/>
                <w:szCs w:val="28"/>
              </w:rPr>
              <w:t>-5,4</w:t>
            </w:r>
          </w:p>
        </w:tc>
        <w:tc>
          <w:tcPr>
            <w:tcW w:w="1406" w:type="dxa"/>
            <w:shd w:val="clear" w:color="auto" w:fill="auto"/>
            <w:vAlign w:val="center"/>
          </w:tcPr>
          <w:p w:rsidR="00213A1D" w:rsidRPr="00C36483" w:rsidRDefault="00213A1D" w:rsidP="00D60180">
            <w:pPr>
              <w:pStyle w:val="naisf"/>
              <w:ind w:firstLine="0"/>
              <w:jc w:val="center"/>
              <w:rPr>
                <w:sz w:val="28"/>
                <w:szCs w:val="28"/>
              </w:rPr>
            </w:pPr>
            <w:r w:rsidRPr="00C36483">
              <w:rPr>
                <w:sz w:val="28"/>
                <w:szCs w:val="28"/>
              </w:rPr>
              <w:t>-5,4</w:t>
            </w:r>
          </w:p>
        </w:tc>
      </w:tr>
      <w:tr w:rsidR="00213A1D" w:rsidRPr="00C36483" w:rsidTr="00213A1D">
        <w:trPr>
          <w:jc w:val="center"/>
        </w:trPr>
        <w:tc>
          <w:tcPr>
            <w:tcW w:w="3324" w:type="dxa"/>
          </w:tcPr>
          <w:p w:rsidR="00213A1D" w:rsidRPr="00C36483" w:rsidRDefault="00213A1D" w:rsidP="00A01DEA">
            <w:pPr>
              <w:rPr>
                <w:sz w:val="28"/>
                <w:szCs w:val="28"/>
              </w:rPr>
            </w:pPr>
            <w:r w:rsidRPr="00C36483">
              <w:rPr>
                <w:sz w:val="28"/>
                <w:szCs w:val="28"/>
              </w:rPr>
              <w:t>3.1. valsts pamatbudžets</w:t>
            </w:r>
          </w:p>
        </w:tc>
        <w:tc>
          <w:tcPr>
            <w:tcW w:w="1331" w:type="dxa"/>
            <w:shd w:val="clear" w:color="auto" w:fill="auto"/>
            <w:vAlign w:val="center"/>
          </w:tcPr>
          <w:p w:rsidR="00213A1D" w:rsidRPr="00C36483" w:rsidRDefault="00213A1D" w:rsidP="00D60180">
            <w:pPr>
              <w:pStyle w:val="naisc"/>
              <w:jc w:val="center"/>
              <w:rPr>
                <w:sz w:val="28"/>
                <w:szCs w:val="28"/>
              </w:rPr>
            </w:pPr>
            <w:r w:rsidRPr="00C36483">
              <w:rPr>
                <w:sz w:val="28"/>
                <w:szCs w:val="28"/>
              </w:rPr>
              <w:t>0</w:t>
            </w:r>
          </w:p>
        </w:tc>
        <w:tc>
          <w:tcPr>
            <w:tcW w:w="1354" w:type="dxa"/>
            <w:shd w:val="clear" w:color="auto" w:fill="auto"/>
            <w:vAlign w:val="center"/>
          </w:tcPr>
          <w:p w:rsidR="00213A1D" w:rsidRPr="00C36483" w:rsidRDefault="00213A1D" w:rsidP="00D60180">
            <w:pPr>
              <w:pStyle w:val="naisc"/>
              <w:jc w:val="center"/>
              <w:rPr>
                <w:sz w:val="28"/>
                <w:szCs w:val="28"/>
              </w:rPr>
            </w:pPr>
            <w:r w:rsidRPr="00C36483">
              <w:rPr>
                <w:sz w:val="28"/>
                <w:szCs w:val="28"/>
              </w:rPr>
              <w:t>-4,0</w:t>
            </w:r>
          </w:p>
        </w:tc>
        <w:tc>
          <w:tcPr>
            <w:tcW w:w="1354" w:type="dxa"/>
            <w:shd w:val="clear" w:color="auto" w:fill="auto"/>
            <w:vAlign w:val="center"/>
          </w:tcPr>
          <w:p w:rsidR="00213A1D" w:rsidRPr="00C36483" w:rsidRDefault="00213A1D" w:rsidP="00D60180">
            <w:pPr>
              <w:pStyle w:val="naisf"/>
              <w:ind w:firstLine="0"/>
              <w:jc w:val="center"/>
              <w:rPr>
                <w:sz w:val="28"/>
                <w:szCs w:val="28"/>
              </w:rPr>
            </w:pPr>
            <w:r w:rsidRPr="00C36483">
              <w:rPr>
                <w:sz w:val="28"/>
                <w:szCs w:val="28"/>
              </w:rPr>
              <w:t>-5,4</w:t>
            </w:r>
          </w:p>
        </w:tc>
        <w:tc>
          <w:tcPr>
            <w:tcW w:w="1355" w:type="dxa"/>
            <w:shd w:val="clear" w:color="auto" w:fill="auto"/>
            <w:vAlign w:val="center"/>
          </w:tcPr>
          <w:p w:rsidR="00213A1D" w:rsidRPr="00C36483" w:rsidRDefault="00213A1D" w:rsidP="00D60180">
            <w:pPr>
              <w:pStyle w:val="naisf"/>
              <w:ind w:firstLine="0"/>
              <w:jc w:val="center"/>
              <w:rPr>
                <w:sz w:val="28"/>
                <w:szCs w:val="28"/>
              </w:rPr>
            </w:pPr>
            <w:r w:rsidRPr="00C36483">
              <w:rPr>
                <w:sz w:val="28"/>
                <w:szCs w:val="28"/>
              </w:rPr>
              <w:t>-5,4</w:t>
            </w:r>
          </w:p>
        </w:tc>
        <w:tc>
          <w:tcPr>
            <w:tcW w:w="1406" w:type="dxa"/>
            <w:shd w:val="clear" w:color="auto" w:fill="auto"/>
            <w:vAlign w:val="center"/>
          </w:tcPr>
          <w:p w:rsidR="00213A1D" w:rsidRPr="00C36483" w:rsidRDefault="00213A1D" w:rsidP="00D60180">
            <w:pPr>
              <w:pStyle w:val="naisf"/>
              <w:ind w:firstLine="0"/>
              <w:jc w:val="center"/>
              <w:rPr>
                <w:sz w:val="28"/>
                <w:szCs w:val="28"/>
              </w:rPr>
            </w:pPr>
            <w:r w:rsidRPr="00C36483">
              <w:rPr>
                <w:sz w:val="28"/>
                <w:szCs w:val="28"/>
              </w:rPr>
              <w:t>-5,4</w:t>
            </w:r>
          </w:p>
        </w:tc>
      </w:tr>
      <w:tr w:rsidR="00213A1D" w:rsidRPr="00C36483" w:rsidTr="00213A1D">
        <w:trPr>
          <w:jc w:val="center"/>
        </w:trPr>
        <w:tc>
          <w:tcPr>
            <w:tcW w:w="3324" w:type="dxa"/>
          </w:tcPr>
          <w:p w:rsidR="00213A1D" w:rsidRPr="00C36483" w:rsidRDefault="00213A1D" w:rsidP="00A01DEA">
            <w:pPr>
              <w:rPr>
                <w:sz w:val="28"/>
                <w:szCs w:val="28"/>
              </w:rPr>
            </w:pPr>
            <w:r w:rsidRPr="00C36483">
              <w:rPr>
                <w:sz w:val="28"/>
                <w:szCs w:val="28"/>
              </w:rPr>
              <w:t>3.2. speciālais budžets</w:t>
            </w:r>
          </w:p>
        </w:tc>
        <w:tc>
          <w:tcPr>
            <w:tcW w:w="1331" w:type="dxa"/>
            <w:shd w:val="clear" w:color="auto" w:fill="auto"/>
            <w:vAlign w:val="center"/>
          </w:tcPr>
          <w:p w:rsidR="00213A1D" w:rsidRPr="00C36483" w:rsidRDefault="00213A1D" w:rsidP="00D60180">
            <w:pPr>
              <w:pStyle w:val="naisc"/>
              <w:jc w:val="center"/>
              <w:rPr>
                <w:sz w:val="28"/>
                <w:szCs w:val="28"/>
              </w:rPr>
            </w:pPr>
            <w:r w:rsidRPr="00C36483">
              <w:rPr>
                <w:sz w:val="28"/>
                <w:szCs w:val="28"/>
              </w:rPr>
              <w:t>0</w:t>
            </w:r>
          </w:p>
        </w:tc>
        <w:tc>
          <w:tcPr>
            <w:tcW w:w="1354" w:type="dxa"/>
            <w:shd w:val="clear" w:color="auto" w:fill="auto"/>
            <w:vAlign w:val="center"/>
          </w:tcPr>
          <w:p w:rsidR="00213A1D" w:rsidRPr="00C36483" w:rsidRDefault="00213A1D" w:rsidP="00D60180">
            <w:pPr>
              <w:pStyle w:val="naisc"/>
              <w:jc w:val="center"/>
              <w:rPr>
                <w:sz w:val="28"/>
                <w:szCs w:val="28"/>
              </w:rPr>
            </w:pPr>
            <w:r w:rsidRPr="00C36483">
              <w:rPr>
                <w:sz w:val="28"/>
                <w:szCs w:val="28"/>
              </w:rPr>
              <w:t>0</w:t>
            </w:r>
          </w:p>
        </w:tc>
        <w:tc>
          <w:tcPr>
            <w:tcW w:w="1354" w:type="dxa"/>
            <w:shd w:val="clear" w:color="auto" w:fill="auto"/>
            <w:vAlign w:val="center"/>
          </w:tcPr>
          <w:p w:rsidR="00213A1D" w:rsidRPr="00C36483" w:rsidRDefault="00213A1D" w:rsidP="00D60180">
            <w:pPr>
              <w:pStyle w:val="naisf"/>
              <w:ind w:firstLine="0"/>
              <w:jc w:val="center"/>
              <w:rPr>
                <w:sz w:val="28"/>
                <w:szCs w:val="28"/>
              </w:rPr>
            </w:pPr>
            <w:r w:rsidRPr="00C36483">
              <w:rPr>
                <w:sz w:val="28"/>
                <w:szCs w:val="28"/>
              </w:rPr>
              <w:t>0</w:t>
            </w:r>
          </w:p>
        </w:tc>
        <w:tc>
          <w:tcPr>
            <w:tcW w:w="1355" w:type="dxa"/>
            <w:shd w:val="clear" w:color="auto" w:fill="auto"/>
            <w:vAlign w:val="center"/>
          </w:tcPr>
          <w:p w:rsidR="00213A1D" w:rsidRPr="00C36483" w:rsidRDefault="00213A1D" w:rsidP="00D60180">
            <w:pPr>
              <w:pStyle w:val="naisf"/>
              <w:ind w:firstLine="0"/>
              <w:jc w:val="center"/>
              <w:rPr>
                <w:sz w:val="28"/>
                <w:szCs w:val="28"/>
              </w:rPr>
            </w:pPr>
            <w:r w:rsidRPr="00C36483">
              <w:rPr>
                <w:sz w:val="28"/>
                <w:szCs w:val="28"/>
              </w:rPr>
              <w:t>0</w:t>
            </w:r>
          </w:p>
        </w:tc>
        <w:tc>
          <w:tcPr>
            <w:tcW w:w="1406" w:type="dxa"/>
            <w:shd w:val="clear" w:color="auto" w:fill="auto"/>
            <w:vAlign w:val="center"/>
          </w:tcPr>
          <w:p w:rsidR="00213A1D" w:rsidRPr="00C36483" w:rsidRDefault="00213A1D" w:rsidP="00D60180">
            <w:pPr>
              <w:pStyle w:val="naisf"/>
              <w:ind w:firstLine="0"/>
              <w:jc w:val="center"/>
              <w:rPr>
                <w:sz w:val="28"/>
                <w:szCs w:val="28"/>
              </w:rPr>
            </w:pPr>
            <w:r w:rsidRPr="00C36483">
              <w:rPr>
                <w:sz w:val="28"/>
                <w:szCs w:val="28"/>
              </w:rPr>
              <w:t>0</w:t>
            </w:r>
          </w:p>
        </w:tc>
      </w:tr>
      <w:tr w:rsidR="00213A1D" w:rsidRPr="00C36483" w:rsidTr="00213A1D">
        <w:trPr>
          <w:jc w:val="center"/>
        </w:trPr>
        <w:tc>
          <w:tcPr>
            <w:tcW w:w="3324" w:type="dxa"/>
          </w:tcPr>
          <w:p w:rsidR="00213A1D" w:rsidRPr="00C36483" w:rsidRDefault="00213A1D" w:rsidP="00A01DEA">
            <w:pPr>
              <w:rPr>
                <w:sz w:val="28"/>
                <w:szCs w:val="28"/>
              </w:rPr>
            </w:pPr>
            <w:r w:rsidRPr="00C36483">
              <w:rPr>
                <w:sz w:val="28"/>
                <w:szCs w:val="28"/>
              </w:rPr>
              <w:t xml:space="preserve">3.3. pašvaldību budžets </w:t>
            </w:r>
          </w:p>
        </w:tc>
        <w:tc>
          <w:tcPr>
            <w:tcW w:w="1331" w:type="dxa"/>
            <w:shd w:val="clear" w:color="auto" w:fill="auto"/>
            <w:vAlign w:val="center"/>
          </w:tcPr>
          <w:p w:rsidR="00213A1D" w:rsidRPr="00C36483" w:rsidRDefault="00213A1D" w:rsidP="00D60180">
            <w:pPr>
              <w:pStyle w:val="naisc"/>
              <w:jc w:val="center"/>
              <w:rPr>
                <w:sz w:val="28"/>
                <w:szCs w:val="28"/>
              </w:rPr>
            </w:pPr>
            <w:r w:rsidRPr="00C36483">
              <w:rPr>
                <w:sz w:val="28"/>
                <w:szCs w:val="28"/>
              </w:rPr>
              <w:t>0</w:t>
            </w:r>
          </w:p>
        </w:tc>
        <w:tc>
          <w:tcPr>
            <w:tcW w:w="1354" w:type="dxa"/>
            <w:shd w:val="clear" w:color="auto" w:fill="auto"/>
            <w:vAlign w:val="center"/>
          </w:tcPr>
          <w:p w:rsidR="00213A1D" w:rsidRPr="00C36483" w:rsidRDefault="00213A1D" w:rsidP="00D60180">
            <w:pPr>
              <w:pStyle w:val="naisc"/>
              <w:jc w:val="center"/>
              <w:rPr>
                <w:sz w:val="28"/>
                <w:szCs w:val="28"/>
              </w:rPr>
            </w:pPr>
            <w:r w:rsidRPr="00C36483">
              <w:rPr>
                <w:sz w:val="28"/>
                <w:szCs w:val="28"/>
              </w:rPr>
              <w:t>0</w:t>
            </w:r>
          </w:p>
        </w:tc>
        <w:tc>
          <w:tcPr>
            <w:tcW w:w="1354" w:type="dxa"/>
            <w:shd w:val="clear" w:color="auto" w:fill="auto"/>
            <w:vAlign w:val="center"/>
          </w:tcPr>
          <w:p w:rsidR="00213A1D" w:rsidRPr="00C36483" w:rsidRDefault="00213A1D" w:rsidP="00D60180">
            <w:pPr>
              <w:pStyle w:val="naisf"/>
              <w:ind w:firstLine="0"/>
              <w:jc w:val="center"/>
              <w:rPr>
                <w:sz w:val="28"/>
                <w:szCs w:val="28"/>
              </w:rPr>
            </w:pPr>
            <w:r w:rsidRPr="00C36483">
              <w:rPr>
                <w:sz w:val="28"/>
                <w:szCs w:val="28"/>
              </w:rPr>
              <w:t>0</w:t>
            </w:r>
          </w:p>
        </w:tc>
        <w:tc>
          <w:tcPr>
            <w:tcW w:w="1355" w:type="dxa"/>
            <w:shd w:val="clear" w:color="auto" w:fill="auto"/>
            <w:vAlign w:val="center"/>
          </w:tcPr>
          <w:p w:rsidR="00213A1D" w:rsidRPr="00C36483" w:rsidRDefault="00213A1D" w:rsidP="00D60180">
            <w:pPr>
              <w:pStyle w:val="naisf"/>
              <w:ind w:firstLine="0"/>
              <w:jc w:val="center"/>
              <w:rPr>
                <w:sz w:val="28"/>
                <w:szCs w:val="28"/>
              </w:rPr>
            </w:pPr>
            <w:r w:rsidRPr="00C36483">
              <w:rPr>
                <w:sz w:val="28"/>
                <w:szCs w:val="28"/>
              </w:rPr>
              <w:t>0</w:t>
            </w:r>
          </w:p>
        </w:tc>
        <w:tc>
          <w:tcPr>
            <w:tcW w:w="1406" w:type="dxa"/>
            <w:shd w:val="clear" w:color="auto" w:fill="auto"/>
            <w:vAlign w:val="center"/>
          </w:tcPr>
          <w:p w:rsidR="00213A1D" w:rsidRPr="00C36483" w:rsidRDefault="00213A1D" w:rsidP="00D60180">
            <w:pPr>
              <w:pStyle w:val="naisf"/>
              <w:ind w:firstLine="0"/>
              <w:jc w:val="center"/>
              <w:rPr>
                <w:sz w:val="28"/>
                <w:szCs w:val="28"/>
              </w:rPr>
            </w:pPr>
            <w:r w:rsidRPr="00C36483">
              <w:rPr>
                <w:sz w:val="28"/>
                <w:szCs w:val="28"/>
              </w:rPr>
              <w:t>0</w:t>
            </w:r>
          </w:p>
        </w:tc>
      </w:tr>
      <w:tr w:rsidR="00213A1D" w:rsidRPr="00C36483" w:rsidTr="00213A1D">
        <w:trPr>
          <w:trHeight w:val="1932"/>
          <w:jc w:val="center"/>
        </w:trPr>
        <w:tc>
          <w:tcPr>
            <w:tcW w:w="3324" w:type="dxa"/>
          </w:tcPr>
          <w:p w:rsidR="00213A1D" w:rsidRPr="00C36483" w:rsidRDefault="00213A1D" w:rsidP="00A01DEA">
            <w:pPr>
              <w:rPr>
                <w:sz w:val="28"/>
                <w:szCs w:val="28"/>
              </w:rPr>
            </w:pPr>
            <w:r w:rsidRPr="00C36483">
              <w:rPr>
                <w:sz w:val="28"/>
                <w:szCs w:val="28"/>
              </w:rPr>
              <w:lastRenderedPageBreak/>
              <w:t>4. Finanšu līdzekļi papildu izde</w:t>
            </w:r>
            <w:r w:rsidRPr="00C36483">
              <w:rPr>
                <w:sz w:val="28"/>
                <w:szCs w:val="28"/>
              </w:rPr>
              <w:softHyphen/>
              <w:t>vumu finansēšanai (kompensējošu izdevumu samazinājumu norāda ar "+" zīmi)</w:t>
            </w:r>
          </w:p>
        </w:tc>
        <w:tc>
          <w:tcPr>
            <w:tcW w:w="1331" w:type="dxa"/>
            <w:shd w:val="clear" w:color="auto" w:fill="auto"/>
            <w:vAlign w:val="center"/>
          </w:tcPr>
          <w:p w:rsidR="00213A1D" w:rsidRPr="00C36483" w:rsidRDefault="00213A1D" w:rsidP="00D60180">
            <w:pPr>
              <w:pStyle w:val="naisc"/>
              <w:jc w:val="center"/>
              <w:rPr>
                <w:sz w:val="28"/>
                <w:szCs w:val="28"/>
              </w:rPr>
            </w:pPr>
            <w:r w:rsidRPr="00C36483">
              <w:rPr>
                <w:sz w:val="28"/>
                <w:szCs w:val="28"/>
              </w:rPr>
              <w:t>0</w:t>
            </w:r>
          </w:p>
        </w:tc>
        <w:tc>
          <w:tcPr>
            <w:tcW w:w="1354" w:type="dxa"/>
            <w:shd w:val="clear" w:color="auto" w:fill="auto"/>
            <w:vAlign w:val="center"/>
          </w:tcPr>
          <w:p w:rsidR="00213A1D" w:rsidRPr="00C36483" w:rsidRDefault="00213A1D" w:rsidP="00D60180">
            <w:pPr>
              <w:pStyle w:val="naisc"/>
              <w:jc w:val="center"/>
              <w:rPr>
                <w:sz w:val="28"/>
                <w:szCs w:val="28"/>
              </w:rPr>
            </w:pPr>
            <w:r w:rsidRPr="00C36483">
              <w:rPr>
                <w:sz w:val="28"/>
                <w:szCs w:val="28"/>
              </w:rPr>
              <w:t>+4,0</w:t>
            </w:r>
          </w:p>
        </w:tc>
        <w:tc>
          <w:tcPr>
            <w:tcW w:w="1354" w:type="dxa"/>
            <w:shd w:val="clear" w:color="auto" w:fill="auto"/>
            <w:vAlign w:val="center"/>
          </w:tcPr>
          <w:p w:rsidR="00213A1D" w:rsidRPr="00C36483" w:rsidRDefault="00213A1D" w:rsidP="00D60180">
            <w:pPr>
              <w:pStyle w:val="naisf"/>
              <w:ind w:firstLine="0"/>
              <w:jc w:val="center"/>
              <w:rPr>
                <w:sz w:val="28"/>
                <w:szCs w:val="28"/>
              </w:rPr>
            </w:pPr>
            <w:r w:rsidRPr="00C36483">
              <w:rPr>
                <w:sz w:val="28"/>
                <w:szCs w:val="28"/>
              </w:rPr>
              <w:t>+5,4</w:t>
            </w:r>
          </w:p>
        </w:tc>
        <w:tc>
          <w:tcPr>
            <w:tcW w:w="1355" w:type="dxa"/>
            <w:shd w:val="clear" w:color="auto" w:fill="auto"/>
            <w:vAlign w:val="center"/>
          </w:tcPr>
          <w:p w:rsidR="00213A1D" w:rsidRPr="00C36483" w:rsidRDefault="00213A1D" w:rsidP="00D60180">
            <w:pPr>
              <w:pStyle w:val="naisf"/>
              <w:ind w:firstLine="0"/>
              <w:jc w:val="center"/>
              <w:rPr>
                <w:sz w:val="28"/>
                <w:szCs w:val="28"/>
              </w:rPr>
            </w:pPr>
            <w:r w:rsidRPr="00C36483">
              <w:rPr>
                <w:sz w:val="28"/>
                <w:szCs w:val="28"/>
              </w:rPr>
              <w:t>+5,4</w:t>
            </w:r>
          </w:p>
        </w:tc>
        <w:tc>
          <w:tcPr>
            <w:tcW w:w="1406" w:type="dxa"/>
            <w:shd w:val="clear" w:color="auto" w:fill="auto"/>
            <w:vAlign w:val="center"/>
          </w:tcPr>
          <w:p w:rsidR="00213A1D" w:rsidRPr="00C36483" w:rsidRDefault="00213A1D" w:rsidP="00D60180">
            <w:pPr>
              <w:pStyle w:val="naisf"/>
              <w:ind w:firstLine="0"/>
              <w:jc w:val="center"/>
              <w:rPr>
                <w:sz w:val="28"/>
                <w:szCs w:val="28"/>
              </w:rPr>
            </w:pPr>
            <w:r w:rsidRPr="00C36483">
              <w:rPr>
                <w:sz w:val="28"/>
                <w:szCs w:val="28"/>
              </w:rPr>
              <w:t>+5,4</w:t>
            </w:r>
          </w:p>
        </w:tc>
      </w:tr>
      <w:tr w:rsidR="00213A1D" w:rsidRPr="00C36483" w:rsidTr="00414510">
        <w:trPr>
          <w:jc w:val="center"/>
        </w:trPr>
        <w:tc>
          <w:tcPr>
            <w:tcW w:w="3324" w:type="dxa"/>
          </w:tcPr>
          <w:p w:rsidR="00213A1D" w:rsidRPr="00C36483" w:rsidRDefault="00213A1D" w:rsidP="00A01DEA">
            <w:pPr>
              <w:rPr>
                <w:sz w:val="28"/>
                <w:szCs w:val="28"/>
              </w:rPr>
            </w:pPr>
            <w:r w:rsidRPr="00C36483">
              <w:rPr>
                <w:sz w:val="28"/>
                <w:szCs w:val="28"/>
              </w:rPr>
              <w:t>5. Precizēta finansiālā ietekme:</w:t>
            </w:r>
          </w:p>
        </w:tc>
        <w:tc>
          <w:tcPr>
            <w:tcW w:w="1331" w:type="dxa"/>
            <w:vMerge w:val="restart"/>
            <w:vAlign w:val="center"/>
          </w:tcPr>
          <w:p w:rsidR="00213A1D" w:rsidRPr="00C36483" w:rsidRDefault="00213A1D" w:rsidP="00414510">
            <w:pPr>
              <w:ind w:firstLine="0"/>
              <w:jc w:val="center"/>
              <w:rPr>
                <w:sz w:val="28"/>
                <w:szCs w:val="28"/>
              </w:rPr>
            </w:pPr>
            <w:r w:rsidRPr="00C36483">
              <w:rPr>
                <w:sz w:val="28"/>
                <w:szCs w:val="28"/>
              </w:rPr>
              <w:t>0</w:t>
            </w:r>
          </w:p>
          <w:p w:rsidR="00213A1D" w:rsidRPr="00C36483" w:rsidRDefault="00213A1D" w:rsidP="00414510">
            <w:pPr>
              <w:ind w:firstLine="0"/>
              <w:jc w:val="center"/>
              <w:rPr>
                <w:sz w:val="28"/>
                <w:szCs w:val="28"/>
              </w:rPr>
            </w:pPr>
          </w:p>
        </w:tc>
        <w:tc>
          <w:tcPr>
            <w:tcW w:w="1354" w:type="dxa"/>
            <w:vAlign w:val="center"/>
          </w:tcPr>
          <w:p w:rsidR="00213A1D" w:rsidRPr="00C36483" w:rsidRDefault="00213A1D" w:rsidP="00414510">
            <w:pPr>
              <w:pStyle w:val="naisc"/>
              <w:jc w:val="center"/>
              <w:rPr>
                <w:sz w:val="28"/>
                <w:szCs w:val="28"/>
              </w:rPr>
            </w:pPr>
            <w:r w:rsidRPr="00C36483">
              <w:rPr>
                <w:sz w:val="28"/>
                <w:szCs w:val="28"/>
              </w:rPr>
              <w:t>0</w:t>
            </w:r>
          </w:p>
        </w:tc>
        <w:tc>
          <w:tcPr>
            <w:tcW w:w="1354" w:type="dxa"/>
            <w:vAlign w:val="center"/>
          </w:tcPr>
          <w:p w:rsidR="00213A1D" w:rsidRPr="00C36483" w:rsidRDefault="00213A1D" w:rsidP="00414510">
            <w:pPr>
              <w:pStyle w:val="naisc"/>
              <w:jc w:val="center"/>
              <w:rPr>
                <w:sz w:val="28"/>
                <w:szCs w:val="28"/>
              </w:rPr>
            </w:pPr>
            <w:r w:rsidRPr="00C36483">
              <w:rPr>
                <w:sz w:val="28"/>
                <w:szCs w:val="28"/>
              </w:rPr>
              <w:t>0</w:t>
            </w:r>
          </w:p>
        </w:tc>
        <w:tc>
          <w:tcPr>
            <w:tcW w:w="1355" w:type="dxa"/>
            <w:vAlign w:val="center"/>
          </w:tcPr>
          <w:p w:rsidR="00213A1D" w:rsidRPr="00C36483" w:rsidRDefault="00213A1D" w:rsidP="00414510">
            <w:pPr>
              <w:pStyle w:val="naisc"/>
              <w:jc w:val="center"/>
              <w:rPr>
                <w:sz w:val="28"/>
                <w:szCs w:val="28"/>
              </w:rPr>
            </w:pPr>
            <w:r w:rsidRPr="00C36483">
              <w:rPr>
                <w:sz w:val="28"/>
                <w:szCs w:val="28"/>
              </w:rPr>
              <w:t>0</w:t>
            </w:r>
          </w:p>
        </w:tc>
        <w:tc>
          <w:tcPr>
            <w:tcW w:w="1406" w:type="dxa"/>
            <w:vAlign w:val="center"/>
          </w:tcPr>
          <w:p w:rsidR="00213A1D" w:rsidRPr="00C36483" w:rsidRDefault="00213A1D" w:rsidP="00414510">
            <w:pPr>
              <w:pStyle w:val="naiskr"/>
              <w:jc w:val="center"/>
              <w:rPr>
                <w:sz w:val="28"/>
                <w:szCs w:val="28"/>
              </w:rPr>
            </w:pPr>
            <w:r w:rsidRPr="00C36483">
              <w:rPr>
                <w:sz w:val="28"/>
                <w:szCs w:val="28"/>
              </w:rPr>
              <w:t>0</w:t>
            </w:r>
          </w:p>
        </w:tc>
      </w:tr>
      <w:tr w:rsidR="00213A1D" w:rsidRPr="00C36483" w:rsidTr="00414510">
        <w:trPr>
          <w:jc w:val="center"/>
        </w:trPr>
        <w:tc>
          <w:tcPr>
            <w:tcW w:w="3324" w:type="dxa"/>
          </w:tcPr>
          <w:p w:rsidR="00213A1D" w:rsidRPr="00C36483" w:rsidRDefault="00213A1D" w:rsidP="00A01DEA">
            <w:pPr>
              <w:rPr>
                <w:sz w:val="28"/>
                <w:szCs w:val="28"/>
              </w:rPr>
            </w:pPr>
            <w:r w:rsidRPr="00C36483">
              <w:rPr>
                <w:sz w:val="28"/>
                <w:szCs w:val="28"/>
              </w:rPr>
              <w:t>5.1. valsts pamatbudžets</w:t>
            </w:r>
          </w:p>
        </w:tc>
        <w:tc>
          <w:tcPr>
            <w:tcW w:w="1331" w:type="dxa"/>
            <w:vMerge/>
            <w:vAlign w:val="center"/>
          </w:tcPr>
          <w:p w:rsidR="00213A1D" w:rsidRPr="00C36483" w:rsidRDefault="00213A1D" w:rsidP="00414510">
            <w:pPr>
              <w:pStyle w:val="naisf"/>
              <w:spacing w:before="0" w:after="0"/>
              <w:ind w:firstLine="0"/>
              <w:jc w:val="center"/>
              <w:rPr>
                <w:i/>
                <w:sz w:val="28"/>
                <w:szCs w:val="28"/>
              </w:rPr>
            </w:pPr>
          </w:p>
        </w:tc>
        <w:tc>
          <w:tcPr>
            <w:tcW w:w="1354" w:type="dxa"/>
            <w:vAlign w:val="center"/>
          </w:tcPr>
          <w:p w:rsidR="00213A1D" w:rsidRPr="00C36483" w:rsidRDefault="00213A1D" w:rsidP="00414510">
            <w:pPr>
              <w:pStyle w:val="naisf"/>
              <w:spacing w:before="0" w:after="0"/>
              <w:ind w:firstLine="0"/>
              <w:jc w:val="center"/>
              <w:rPr>
                <w:b/>
                <w:i/>
                <w:sz w:val="28"/>
                <w:szCs w:val="28"/>
              </w:rPr>
            </w:pPr>
            <w:r w:rsidRPr="00C36483">
              <w:rPr>
                <w:sz w:val="28"/>
                <w:szCs w:val="28"/>
              </w:rPr>
              <w:t>0</w:t>
            </w:r>
          </w:p>
        </w:tc>
        <w:tc>
          <w:tcPr>
            <w:tcW w:w="1354" w:type="dxa"/>
            <w:vAlign w:val="center"/>
          </w:tcPr>
          <w:p w:rsidR="00213A1D" w:rsidRPr="00C36483" w:rsidRDefault="00213A1D" w:rsidP="00414510">
            <w:pPr>
              <w:pStyle w:val="naisf"/>
              <w:spacing w:before="0" w:after="0"/>
              <w:ind w:firstLine="0"/>
              <w:jc w:val="center"/>
              <w:rPr>
                <w:b/>
                <w:i/>
                <w:sz w:val="28"/>
                <w:szCs w:val="28"/>
              </w:rPr>
            </w:pPr>
            <w:r w:rsidRPr="00C36483">
              <w:rPr>
                <w:sz w:val="28"/>
                <w:szCs w:val="28"/>
              </w:rPr>
              <w:t>0</w:t>
            </w:r>
          </w:p>
        </w:tc>
        <w:tc>
          <w:tcPr>
            <w:tcW w:w="1355" w:type="dxa"/>
            <w:vAlign w:val="center"/>
          </w:tcPr>
          <w:p w:rsidR="00213A1D" w:rsidRPr="00C36483" w:rsidRDefault="00213A1D" w:rsidP="00414510">
            <w:pPr>
              <w:pStyle w:val="naisf"/>
              <w:spacing w:before="0" w:after="0"/>
              <w:ind w:firstLine="0"/>
              <w:jc w:val="center"/>
              <w:rPr>
                <w:b/>
                <w:i/>
                <w:sz w:val="28"/>
                <w:szCs w:val="28"/>
              </w:rPr>
            </w:pPr>
            <w:r w:rsidRPr="00C36483">
              <w:rPr>
                <w:sz w:val="28"/>
                <w:szCs w:val="28"/>
              </w:rPr>
              <w:t>0</w:t>
            </w:r>
          </w:p>
        </w:tc>
        <w:tc>
          <w:tcPr>
            <w:tcW w:w="1406" w:type="dxa"/>
            <w:vAlign w:val="center"/>
          </w:tcPr>
          <w:p w:rsidR="00213A1D" w:rsidRPr="00C36483" w:rsidRDefault="00213A1D" w:rsidP="00414510">
            <w:pPr>
              <w:pStyle w:val="naisf"/>
              <w:spacing w:before="0" w:after="0"/>
              <w:ind w:firstLine="0"/>
              <w:jc w:val="center"/>
              <w:rPr>
                <w:b/>
                <w:i/>
                <w:sz w:val="28"/>
                <w:szCs w:val="28"/>
              </w:rPr>
            </w:pPr>
            <w:r w:rsidRPr="00C36483">
              <w:rPr>
                <w:sz w:val="28"/>
                <w:szCs w:val="28"/>
              </w:rPr>
              <w:t>0</w:t>
            </w:r>
          </w:p>
        </w:tc>
      </w:tr>
      <w:tr w:rsidR="00213A1D" w:rsidRPr="00C36483" w:rsidTr="00414510">
        <w:trPr>
          <w:jc w:val="center"/>
        </w:trPr>
        <w:tc>
          <w:tcPr>
            <w:tcW w:w="3324" w:type="dxa"/>
          </w:tcPr>
          <w:p w:rsidR="00213A1D" w:rsidRPr="00C36483" w:rsidRDefault="00213A1D" w:rsidP="00A01DEA">
            <w:pPr>
              <w:rPr>
                <w:sz w:val="28"/>
                <w:szCs w:val="28"/>
              </w:rPr>
            </w:pPr>
            <w:r w:rsidRPr="00C36483">
              <w:rPr>
                <w:sz w:val="28"/>
                <w:szCs w:val="28"/>
              </w:rPr>
              <w:t>5.2. speciālais budžets</w:t>
            </w:r>
          </w:p>
        </w:tc>
        <w:tc>
          <w:tcPr>
            <w:tcW w:w="1331" w:type="dxa"/>
            <w:vMerge/>
            <w:vAlign w:val="center"/>
          </w:tcPr>
          <w:p w:rsidR="00213A1D" w:rsidRPr="00C36483" w:rsidRDefault="00213A1D" w:rsidP="00414510">
            <w:pPr>
              <w:pStyle w:val="naisf"/>
              <w:spacing w:before="0" w:after="0"/>
              <w:ind w:firstLine="0"/>
              <w:jc w:val="center"/>
              <w:rPr>
                <w:i/>
                <w:sz w:val="28"/>
                <w:szCs w:val="28"/>
              </w:rPr>
            </w:pPr>
          </w:p>
        </w:tc>
        <w:tc>
          <w:tcPr>
            <w:tcW w:w="1354" w:type="dxa"/>
            <w:vAlign w:val="center"/>
          </w:tcPr>
          <w:p w:rsidR="00213A1D" w:rsidRPr="00C36483" w:rsidRDefault="00213A1D" w:rsidP="00414510">
            <w:pPr>
              <w:pStyle w:val="naisf"/>
              <w:spacing w:before="0" w:after="0"/>
              <w:ind w:firstLine="0"/>
              <w:jc w:val="center"/>
              <w:rPr>
                <w:b/>
                <w:i/>
                <w:sz w:val="28"/>
                <w:szCs w:val="28"/>
              </w:rPr>
            </w:pPr>
            <w:r w:rsidRPr="00C36483">
              <w:rPr>
                <w:sz w:val="28"/>
                <w:szCs w:val="28"/>
              </w:rPr>
              <w:t>0</w:t>
            </w:r>
          </w:p>
        </w:tc>
        <w:tc>
          <w:tcPr>
            <w:tcW w:w="1354" w:type="dxa"/>
            <w:vAlign w:val="center"/>
          </w:tcPr>
          <w:p w:rsidR="00213A1D" w:rsidRPr="00C36483" w:rsidRDefault="00213A1D" w:rsidP="00414510">
            <w:pPr>
              <w:pStyle w:val="naisf"/>
              <w:spacing w:before="0" w:after="0"/>
              <w:ind w:firstLine="0"/>
              <w:jc w:val="center"/>
              <w:rPr>
                <w:b/>
                <w:i/>
                <w:sz w:val="28"/>
                <w:szCs w:val="28"/>
              </w:rPr>
            </w:pPr>
            <w:r w:rsidRPr="00C36483">
              <w:rPr>
                <w:sz w:val="28"/>
                <w:szCs w:val="28"/>
              </w:rPr>
              <w:t>0</w:t>
            </w:r>
          </w:p>
        </w:tc>
        <w:tc>
          <w:tcPr>
            <w:tcW w:w="1355" w:type="dxa"/>
            <w:vAlign w:val="center"/>
          </w:tcPr>
          <w:p w:rsidR="00213A1D" w:rsidRPr="00C36483" w:rsidRDefault="00213A1D" w:rsidP="00414510">
            <w:pPr>
              <w:pStyle w:val="naisf"/>
              <w:spacing w:before="0" w:after="0"/>
              <w:ind w:firstLine="0"/>
              <w:jc w:val="center"/>
              <w:rPr>
                <w:b/>
                <w:i/>
                <w:sz w:val="28"/>
                <w:szCs w:val="28"/>
              </w:rPr>
            </w:pPr>
            <w:r w:rsidRPr="00C36483">
              <w:rPr>
                <w:sz w:val="28"/>
                <w:szCs w:val="28"/>
              </w:rPr>
              <w:t>0</w:t>
            </w:r>
          </w:p>
        </w:tc>
        <w:tc>
          <w:tcPr>
            <w:tcW w:w="1406" w:type="dxa"/>
            <w:vAlign w:val="center"/>
          </w:tcPr>
          <w:p w:rsidR="00213A1D" w:rsidRPr="00C36483" w:rsidRDefault="00213A1D" w:rsidP="00414510">
            <w:pPr>
              <w:pStyle w:val="naisf"/>
              <w:spacing w:before="0" w:after="0"/>
              <w:ind w:firstLine="0"/>
              <w:jc w:val="center"/>
              <w:rPr>
                <w:b/>
                <w:i/>
                <w:sz w:val="28"/>
                <w:szCs w:val="28"/>
              </w:rPr>
            </w:pPr>
            <w:r w:rsidRPr="00C36483">
              <w:rPr>
                <w:sz w:val="28"/>
                <w:szCs w:val="28"/>
              </w:rPr>
              <w:t>0</w:t>
            </w:r>
          </w:p>
        </w:tc>
      </w:tr>
      <w:tr w:rsidR="00213A1D" w:rsidRPr="00C36483" w:rsidTr="00414510">
        <w:trPr>
          <w:jc w:val="center"/>
        </w:trPr>
        <w:tc>
          <w:tcPr>
            <w:tcW w:w="3324" w:type="dxa"/>
          </w:tcPr>
          <w:p w:rsidR="00213A1D" w:rsidRPr="00C36483" w:rsidRDefault="00213A1D" w:rsidP="00A01DEA">
            <w:pPr>
              <w:rPr>
                <w:sz w:val="28"/>
                <w:szCs w:val="28"/>
              </w:rPr>
            </w:pPr>
            <w:r w:rsidRPr="00C36483">
              <w:rPr>
                <w:sz w:val="28"/>
                <w:szCs w:val="28"/>
              </w:rPr>
              <w:t xml:space="preserve">5.3. pašvaldību budžets </w:t>
            </w:r>
          </w:p>
        </w:tc>
        <w:tc>
          <w:tcPr>
            <w:tcW w:w="1331" w:type="dxa"/>
            <w:vMerge/>
            <w:vAlign w:val="center"/>
          </w:tcPr>
          <w:p w:rsidR="00213A1D" w:rsidRPr="00C36483" w:rsidRDefault="00213A1D" w:rsidP="00414510">
            <w:pPr>
              <w:pStyle w:val="naisf"/>
              <w:spacing w:before="0" w:after="0"/>
              <w:ind w:firstLine="0"/>
              <w:jc w:val="center"/>
              <w:rPr>
                <w:i/>
                <w:sz w:val="28"/>
                <w:szCs w:val="28"/>
              </w:rPr>
            </w:pPr>
          </w:p>
        </w:tc>
        <w:tc>
          <w:tcPr>
            <w:tcW w:w="1354" w:type="dxa"/>
            <w:vAlign w:val="center"/>
          </w:tcPr>
          <w:p w:rsidR="00213A1D" w:rsidRPr="00C36483" w:rsidRDefault="00213A1D" w:rsidP="00414510">
            <w:pPr>
              <w:pStyle w:val="naisf"/>
              <w:spacing w:before="0" w:after="0"/>
              <w:ind w:firstLine="0"/>
              <w:jc w:val="center"/>
              <w:rPr>
                <w:b/>
                <w:i/>
                <w:sz w:val="28"/>
                <w:szCs w:val="28"/>
              </w:rPr>
            </w:pPr>
            <w:r w:rsidRPr="00C36483">
              <w:rPr>
                <w:sz w:val="28"/>
                <w:szCs w:val="28"/>
              </w:rPr>
              <w:t>0</w:t>
            </w:r>
          </w:p>
        </w:tc>
        <w:tc>
          <w:tcPr>
            <w:tcW w:w="1354" w:type="dxa"/>
            <w:vAlign w:val="center"/>
          </w:tcPr>
          <w:p w:rsidR="00213A1D" w:rsidRPr="00C36483" w:rsidRDefault="00213A1D" w:rsidP="00414510">
            <w:pPr>
              <w:pStyle w:val="naisf"/>
              <w:spacing w:before="0" w:after="0"/>
              <w:ind w:firstLine="0"/>
              <w:jc w:val="center"/>
              <w:rPr>
                <w:b/>
                <w:i/>
                <w:sz w:val="28"/>
                <w:szCs w:val="28"/>
              </w:rPr>
            </w:pPr>
            <w:r w:rsidRPr="00C36483">
              <w:rPr>
                <w:sz w:val="28"/>
                <w:szCs w:val="28"/>
              </w:rPr>
              <w:t>0</w:t>
            </w:r>
          </w:p>
        </w:tc>
        <w:tc>
          <w:tcPr>
            <w:tcW w:w="1355" w:type="dxa"/>
            <w:vAlign w:val="center"/>
          </w:tcPr>
          <w:p w:rsidR="00213A1D" w:rsidRPr="00C36483" w:rsidRDefault="00213A1D" w:rsidP="00414510">
            <w:pPr>
              <w:pStyle w:val="naisf"/>
              <w:spacing w:before="0" w:after="0"/>
              <w:ind w:firstLine="0"/>
              <w:jc w:val="center"/>
              <w:rPr>
                <w:b/>
                <w:i/>
                <w:sz w:val="28"/>
                <w:szCs w:val="28"/>
              </w:rPr>
            </w:pPr>
            <w:r w:rsidRPr="00C36483">
              <w:rPr>
                <w:sz w:val="28"/>
                <w:szCs w:val="28"/>
              </w:rPr>
              <w:t>0</w:t>
            </w:r>
          </w:p>
        </w:tc>
        <w:tc>
          <w:tcPr>
            <w:tcW w:w="1406" w:type="dxa"/>
            <w:vAlign w:val="center"/>
          </w:tcPr>
          <w:p w:rsidR="00213A1D" w:rsidRPr="00C36483" w:rsidRDefault="00213A1D" w:rsidP="00414510">
            <w:pPr>
              <w:pStyle w:val="naisf"/>
              <w:spacing w:before="0" w:after="0"/>
              <w:ind w:firstLine="0"/>
              <w:jc w:val="center"/>
              <w:rPr>
                <w:b/>
                <w:i/>
                <w:sz w:val="28"/>
                <w:szCs w:val="28"/>
              </w:rPr>
            </w:pPr>
            <w:r w:rsidRPr="00C36483">
              <w:rPr>
                <w:sz w:val="28"/>
                <w:szCs w:val="28"/>
              </w:rPr>
              <w:t>0</w:t>
            </w:r>
          </w:p>
        </w:tc>
      </w:tr>
      <w:tr w:rsidR="00213A1D" w:rsidRPr="00C36483" w:rsidTr="00A01DEA">
        <w:trPr>
          <w:jc w:val="center"/>
        </w:trPr>
        <w:tc>
          <w:tcPr>
            <w:tcW w:w="3324" w:type="dxa"/>
          </w:tcPr>
          <w:p w:rsidR="00213A1D" w:rsidRPr="00C36483" w:rsidRDefault="00213A1D" w:rsidP="00A01DEA">
            <w:pPr>
              <w:rPr>
                <w:sz w:val="28"/>
                <w:szCs w:val="28"/>
              </w:rPr>
            </w:pPr>
            <w:r w:rsidRPr="00C36483">
              <w:rPr>
                <w:sz w:val="28"/>
                <w:szCs w:val="28"/>
              </w:rPr>
              <w:t>6. Detalizēts ieņēmumu un izdevu</w:t>
            </w:r>
            <w:r w:rsidRPr="00C36483">
              <w:rPr>
                <w:sz w:val="28"/>
                <w:szCs w:val="28"/>
              </w:rPr>
              <w:softHyphen/>
              <w:t>mu aprēķins (ja nepieciešams, detalizētu ieņēmumu un izdevumu aprēķinu var pievienot anotācijas pielikumā):</w:t>
            </w:r>
          </w:p>
        </w:tc>
        <w:tc>
          <w:tcPr>
            <w:tcW w:w="6800" w:type="dxa"/>
            <w:gridSpan w:val="5"/>
            <w:vMerge w:val="restart"/>
            <w:vAlign w:val="center"/>
          </w:tcPr>
          <w:p w:rsidR="00213A1D" w:rsidRPr="00C36483" w:rsidRDefault="00213A1D" w:rsidP="00070BFC">
            <w:pPr>
              <w:pStyle w:val="naiskr"/>
              <w:spacing w:before="0" w:after="0"/>
              <w:ind w:firstLine="385"/>
              <w:jc w:val="both"/>
              <w:rPr>
                <w:iCs/>
                <w:sz w:val="28"/>
                <w:szCs w:val="28"/>
              </w:rPr>
            </w:pPr>
            <w:r w:rsidRPr="00C36483">
              <w:rPr>
                <w:iCs/>
                <w:sz w:val="28"/>
                <w:szCs w:val="28"/>
              </w:rPr>
              <w:t>Lai Nodrošinājuma valsts aģentūra nodrošinātu nodoto vai izņemto, kā arī konfiscēto šaujamieroču, to munīcijas un sastāvdaļu, lielas enerģijas pneimatisko ieroču, gāzes pistoļu (revolveru) un speciālo līdzekļu iznīcināšanu, nepieciešams veikt apropriācijas un vienas amata vietas pārdali no Iekšlietu ministrijas budžeta apakšprogrammas 06.01.00 „Valsts policija” uz Iekšlietu ministrijas budžeta apakšprogrammu 40.02.00 „Nekustamais īpašums un centralizētais iepirkums”:</w:t>
            </w:r>
          </w:p>
          <w:p w:rsidR="00213A1D" w:rsidRPr="00C36483" w:rsidRDefault="00213A1D" w:rsidP="00070BFC">
            <w:pPr>
              <w:pStyle w:val="naiskr"/>
              <w:spacing w:before="0" w:after="0"/>
              <w:rPr>
                <w:b/>
                <w:iCs/>
                <w:sz w:val="28"/>
                <w:szCs w:val="28"/>
              </w:rPr>
            </w:pPr>
            <w:r w:rsidRPr="00C36483">
              <w:rPr>
                <w:b/>
                <w:iCs/>
                <w:sz w:val="28"/>
                <w:szCs w:val="28"/>
              </w:rPr>
              <w:t>2012.gadā – Ls 4 021</w:t>
            </w:r>
          </w:p>
          <w:p w:rsidR="00213A1D" w:rsidRPr="00C36483" w:rsidRDefault="00213A1D" w:rsidP="00070BFC">
            <w:pPr>
              <w:pStyle w:val="naiskr"/>
              <w:numPr>
                <w:ilvl w:val="0"/>
                <w:numId w:val="1"/>
              </w:numPr>
              <w:spacing w:before="0" w:after="0"/>
              <w:rPr>
                <w:iCs/>
                <w:sz w:val="28"/>
                <w:szCs w:val="28"/>
              </w:rPr>
            </w:pPr>
            <w:r w:rsidRPr="00C36483">
              <w:rPr>
                <w:iCs/>
                <w:sz w:val="28"/>
                <w:szCs w:val="28"/>
              </w:rPr>
              <w:t>mēnešalga Ls 360 x 9 mēn. x 1 amata vieta = Ls 3 240 (IEKK 1119);</w:t>
            </w:r>
          </w:p>
          <w:p w:rsidR="00213A1D" w:rsidRPr="00C36483" w:rsidRDefault="00213A1D" w:rsidP="00070BFC">
            <w:pPr>
              <w:pStyle w:val="naiskr"/>
              <w:numPr>
                <w:ilvl w:val="0"/>
                <w:numId w:val="1"/>
              </w:numPr>
              <w:spacing w:before="0" w:after="0"/>
              <w:rPr>
                <w:iCs/>
                <w:sz w:val="28"/>
                <w:szCs w:val="28"/>
              </w:rPr>
            </w:pPr>
            <w:r w:rsidRPr="00C36483">
              <w:rPr>
                <w:iCs/>
                <w:sz w:val="28"/>
                <w:szCs w:val="28"/>
              </w:rPr>
              <w:t>valsts sociālās apdrošināšanas obligātās iemaksas 24,09% no Ls 360 = 86,72 x 9 mēn. = Ls 781 (IEKK 1210).</w:t>
            </w:r>
          </w:p>
          <w:p w:rsidR="00213A1D" w:rsidRPr="00C36483" w:rsidRDefault="00213A1D" w:rsidP="00070BFC">
            <w:pPr>
              <w:pStyle w:val="naiskr"/>
              <w:spacing w:before="0" w:after="0"/>
              <w:rPr>
                <w:b/>
                <w:iCs/>
                <w:sz w:val="28"/>
                <w:szCs w:val="28"/>
              </w:rPr>
            </w:pPr>
            <w:r w:rsidRPr="00C36483">
              <w:rPr>
                <w:b/>
                <w:iCs/>
                <w:sz w:val="28"/>
                <w:szCs w:val="28"/>
              </w:rPr>
              <w:t>2013.gadā un turpmāk ik gadu – Ls 5 361</w:t>
            </w:r>
          </w:p>
          <w:p w:rsidR="00213A1D" w:rsidRPr="00C36483" w:rsidRDefault="00213A1D" w:rsidP="00070BFC">
            <w:pPr>
              <w:pStyle w:val="naiskr"/>
              <w:numPr>
                <w:ilvl w:val="0"/>
                <w:numId w:val="1"/>
              </w:numPr>
              <w:spacing w:before="0" w:after="0"/>
              <w:rPr>
                <w:iCs/>
                <w:sz w:val="28"/>
                <w:szCs w:val="28"/>
              </w:rPr>
            </w:pPr>
            <w:r w:rsidRPr="00C36483">
              <w:rPr>
                <w:iCs/>
                <w:sz w:val="28"/>
                <w:szCs w:val="28"/>
              </w:rPr>
              <w:t>mēnešalga Ls 360 x 12 mēn. x 1 amata vieta = Ls 4 320 (IEKK 1119);</w:t>
            </w:r>
          </w:p>
          <w:p w:rsidR="00213A1D" w:rsidRPr="00C36483" w:rsidRDefault="00213A1D" w:rsidP="00070BFC">
            <w:pPr>
              <w:pStyle w:val="naiskr"/>
              <w:numPr>
                <w:ilvl w:val="0"/>
                <w:numId w:val="1"/>
              </w:numPr>
              <w:spacing w:before="0" w:after="0"/>
              <w:rPr>
                <w:iCs/>
                <w:sz w:val="28"/>
                <w:szCs w:val="28"/>
              </w:rPr>
            </w:pPr>
            <w:r w:rsidRPr="00C36483">
              <w:rPr>
                <w:iCs/>
                <w:sz w:val="28"/>
                <w:szCs w:val="28"/>
              </w:rPr>
              <w:t>valsts sociālās apdrošināšanas obligātās iemaksas 24,09% no Ls 360 = 86,72 x 12 mēn. = Ls 1 041 (IEKK 1210).</w:t>
            </w:r>
          </w:p>
        </w:tc>
      </w:tr>
      <w:tr w:rsidR="00213A1D" w:rsidRPr="00C36483" w:rsidTr="00A01DEA">
        <w:trPr>
          <w:jc w:val="center"/>
        </w:trPr>
        <w:tc>
          <w:tcPr>
            <w:tcW w:w="3324" w:type="dxa"/>
          </w:tcPr>
          <w:p w:rsidR="00213A1D" w:rsidRPr="00C36483" w:rsidRDefault="00213A1D" w:rsidP="00A01DEA">
            <w:pPr>
              <w:rPr>
                <w:sz w:val="28"/>
                <w:szCs w:val="28"/>
              </w:rPr>
            </w:pPr>
            <w:r w:rsidRPr="00C36483">
              <w:rPr>
                <w:sz w:val="28"/>
                <w:szCs w:val="28"/>
              </w:rPr>
              <w:t>6.1. detalizēts ieņēmumu aprēķins</w:t>
            </w:r>
          </w:p>
        </w:tc>
        <w:tc>
          <w:tcPr>
            <w:tcW w:w="6800" w:type="dxa"/>
            <w:gridSpan w:val="5"/>
            <w:vMerge/>
          </w:tcPr>
          <w:p w:rsidR="00213A1D" w:rsidRPr="00C36483" w:rsidRDefault="00213A1D" w:rsidP="00A01DEA">
            <w:pPr>
              <w:pStyle w:val="naisf"/>
              <w:spacing w:before="0" w:after="0"/>
              <w:ind w:firstLine="0"/>
              <w:rPr>
                <w:b/>
                <w:i/>
                <w:sz w:val="28"/>
                <w:szCs w:val="28"/>
              </w:rPr>
            </w:pPr>
          </w:p>
        </w:tc>
      </w:tr>
      <w:tr w:rsidR="00213A1D" w:rsidRPr="00C36483" w:rsidTr="00A01DEA">
        <w:trPr>
          <w:jc w:val="center"/>
        </w:trPr>
        <w:tc>
          <w:tcPr>
            <w:tcW w:w="3324" w:type="dxa"/>
          </w:tcPr>
          <w:p w:rsidR="00213A1D" w:rsidRPr="00C36483" w:rsidRDefault="00213A1D" w:rsidP="00A01DEA">
            <w:pPr>
              <w:rPr>
                <w:sz w:val="28"/>
                <w:szCs w:val="28"/>
              </w:rPr>
            </w:pPr>
            <w:r w:rsidRPr="00C36483">
              <w:rPr>
                <w:sz w:val="28"/>
                <w:szCs w:val="28"/>
              </w:rPr>
              <w:t>6.2. detalizēts izdevumu aprēķins</w:t>
            </w:r>
          </w:p>
        </w:tc>
        <w:tc>
          <w:tcPr>
            <w:tcW w:w="6800" w:type="dxa"/>
            <w:gridSpan w:val="5"/>
            <w:vMerge/>
          </w:tcPr>
          <w:p w:rsidR="00213A1D" w:rsidRPr="00C36483" w:rsidRDefault="00213A1D" w:rsidP="00A01DEA">
            <w:pPr>
              <w:pStyle w:val="naisf"/>
              <w:spacing w:before="0" w:after="0"/>
              <w:ind w:firstLine="0"/>
              <w:rPr>
                <w:b/>
                <w:i/>
                <w:sz w:val="28"/>
                <w:szCs w:val="28"/>
              </w:rPr>
            </w:pPr>
          </w:p>
        </w:tc>
      </w:tr>
      <w:tr w:rsidR="00213A1D" w:rsidRPr="00C36483" w:rsidTr="00A01DEA">
        <w:trPr>
          <w:jc w:val="center"/>
        </w:trPr>
        <w:tc>
          <w:tcPr>
            <w:tcW w:w="3324" w:type="dxa"/>
          </w:tcPr>
          <w:p w:rsidR="00213A1D" w:rsidRPr="00C36483" w:rsidRDefault="00213A1D" w:rsidP="00A01DEA">
            <w:pPr>
              <w:rPr>
                <w:sz w:val="28"/>
                <w:szCs w:val="28"/>
              </w:rPr>
            </w:pPr>
            <w:r w:rsidRPr="00C36483">
              <w:rPr>
                <w:sz w:val="28"/>
                <w:szCs w:val="28"/>
              </w:rPr>
              <w:t>7. Cita informācija</w:t>
            </w:r>
          </w:p>
        </w:tc>
        <w:tc>
          <w:tcPr>
            <w:tcW w:w="6800" w:type="dxa"/>
            <w:gridSpan w:val="5"/>
          </w:tcPr>
          <w:p w:rsidR="00213A1D" w:rsidRPr="00C36483" w:rsidRDefault="00213A1D" w:rsidP="00A01DEA">
            <w:pPr>
              <w:pStyle w:val="naisf"/>
              <w:tabs>
                <w:tab w:val="left" w:pos="4644"/>
              </w:tabs>
              <w:spacing w:before="0" w:after="0"/>
              <w:ind w:firstLine="0"/>
              <w:rPr>
                <w:sz w:val="28"/>
                <w:szCs w:val="28"/>
              </w:rPr>
            </w:pPr>
            <w:r w:rsidRPr="00C36483">
              <w:rPr>
                <w:sz w:val="28"/>
                <w:szCs w:val="28"/>
              </w:rPr>
              <w:t>Nav.</w:t>
            </w:r>
          </w:p>
        </w:tc>
      </w:tr>
    </w:tbl>
    <w:p w:rsidR="00C06506" w:rsidRPr="00C36483" w:rsidRDefault="00C06506" w:rsidP="00CD0A3D">
      <w:pPr>
        <w:ind w:firstLine="0"/>
        <w:jc w:val="center"/>
        <w:rPr>
          <w:sz w:val="28"/>
          <w:szCs w:val="28"/>
        </w:rPr>
      </w:pPr>
    </w:p>
    <w:p w:rsidR="00BB7E06" w:rsidRPr="00C36483" w:rsidRDefault="00BB7E06" w:rsidP="00CD0A3D">
      <w:pPr>
        <w:ind w:firstLine="0"/>
        <w:jc w:val="center"/>
        <w:rPr>
          <w:sz w:val="28"/>
          <w:szCs w:val="28"/>
        </w:rPr>
      </w:pPr>
    </w:p>
    <w:tbl>
      <w:tblPr>
        <w:tblW w:w="9697" w:type="dxa"/>
        <w:jc w:val="center"/>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2214"/>
        <w:gridCol w:w="6974"/>
      </w:tblGrid>
      <w:tr w:rsidR="00D46953" w:rsidRPr="00C36483" w:rsidTr="00344087">
        <w:trPr>
          <w:jc w:val="center"/>
        </w:trPr>
        <w:tc>
          <w:tcPr>
            <w:tcW w:w="9697" w:type="dxa"/>
            <w:gridSpan w:val="3"/>
          </w:tcPr>
          <w:p w:rsidR="00D46953" w:rsidRPr="00C36483" w:rsidRDefault="00D46953" w:rsidP="00A01DEA">
            <w:pPr>
              <w:pStyle w:val="naisnod"/>
              <w:spacing w:before="0" w:after="0"/>
              <w:rPr>
                <w:sz w:val="28"/>
              </w:rPr>
            </w:pPr>
            <w:r w:rsidRPr="00C36483">
              <w:rPr>
                <w:sz w:val="28"/>
              </w:rPr>
              <w:t>IV. Tiesību akta projekta ietekme uz spēkā esošo tiesību normu sistēmu</w:t>
            </w:r>
          </w:p>
        </w:tc>
      </w:tr>
      <w:tr w:rsidR="00B06D5D" w:rsidRPr="00C36483" w:rsidTr="00344087">
        <w:trPr>
          <w:jc w:val="center"/>
        </w:trPr>
        <w:tc>
          <w:tcPr>
            <w:tcW w:w="509" w:type="dxa"/>
          </w:tcPr>
          <w:p w:rsidR="00D46953" w:rsidRPr="00C36483" w:rsidRDefault="00D46953" w:rsidP="00A01DEA">
            <w:pPr>
              <w:pStyle w:val="naiskr"/>
              <w:tabs>
                <w:tab w:val="left" w:pos="2628"/>
              </w:tabs>
              <w:spacing w:before="0" w:after="0"/>
              <w:jc w:val="both"/>
              <w:rPr>
                <w:iCs/>
                <w:sz w:val="28"/>
              </w:rPr>
            </w:pPr>
            <w:r w:rsidRPr="00C36483">
              <w:rPr>
                <w:iCs/>
                <w:sz w:val="28"/>
              </w:rPr>
              <w:t>1.</w:t>
            </w:r>
          </w:p>
        </w:tc>
        <w:tc>
          <w:tcPr>
            <w:tcW w:w="2214" w:type="dxa"/>
          </w:tcPr>
          <w:p w:rsidR="00D46953" w:rsidRPr="00C36483" w:rsidRDefault="00D46953" w:rsidP="00A01DEA">
            <w:pPr>
              <w:pStyle w:val="naiskr"/>
              <w:tabs>
                <w:tab w:val="left" w:pos="2628"/>
              </w:tabs>
              <w:spacing w:before="0" w:after="0"/>
              <w:jc w:val="both"/>
              <w:rPr>
                <w:iCs/>
                <w:sz w:val="28"/>
              </w:rPr>
            </w:pPr>
            <w:r w:rsidRPr="00C36483">
              <w:rPr>
                <w:sz w:val="28"/>
                <w:szCs w:val="22"/>
              </w:rPr>
              <w:t>Nepieciešamie saistītie tiesību aktu projekti</w:t>
            </w:r>
          </w:p>
        </w:tc>
        <w:tc>
          <w:tcPr>
            <w:tcW w:w="6974" w:type="dxa"/>
          </w:tcPr>
          <w:p w:rsidR="00BB72F1" w:rsidRPr="00C36483" w:rsidRDefault="005C60AF" w:rsidP="00344087">
            <w:pPr>
              <w:pStyle w:val="naiskr"/>
              <w:spacing w:before="0" w:after="0"/>
              <w:ind w:firstLine="385"/>
              <w:jc w:val="both"/>
              <w:rPr>
                <w:iCs/>
                <w:sz w:val="28"/>
                <w:szCs w:val="22"/>
              </w:rPr>
            </w:pPr>
            <w:r w:rsidRPr="00C36483">
              <w:rPr>
                <w:iCs/>
                <w:sz w:val="28"/>
                <w:szCs w:val="22"/>
              </w:rPr>
              <w:t xml:space="preserve">1) </w:t>
            </w:r>
            <w:r w:rsidR="00FC4AF7" w:rsidRPr="00C36483">
              <w:rPr>
                <w:iCs/>
                <w:sz w:val="28"/>
                <w:szCs w:val="22"/>
              </w:rPr>
              <w:t xml:space="preserve">Ņemot </w:t>
            </w:r>
            <w:r w:rsidR="00FC4AF7" w:rsidRPr="00C36483">
              <w:rPr>
                <w:sz w:val="28"/>
                <w:szCs w:val="28"/>
              </w:rPr>
              <w:t>vērā</w:t>
            </w:r>
            <w:r w:rsidR="00FC4AF7" w:rsidRPr="00C36483">
              <w:rPr>
                <w:iCs/>
                <w:sz w:val="28"/>
                <w:szCs w:val="22"/>
              </w:rPr>
              <w:t>, ka tiek paplašinātas Nodrošinājuma valsts aģentūras funkcijas, nepieciešams grozīt Ministru kabineta 2009.gada 30.jūnija noteikumus Nr.693 „Nodrošinājuma valsts aģentūras nolikums”</w:t>
            </w:r>
            <w:r w:rsidR="00BB72F1" w:rsidRPr="00C36483">
              <w:rPr>
                <w:iCs/>
                <w:sz w:val="28"/>
                <w:szCs w:val="22"/>
              </w:rPr>
              <w:t xml:space="preserve"> (turpmāk – </w:t>
            </w:r>
            <w:r w:rsidR="00BB72F1" w:rsidRPr="00C36483">
              <w:rPr>
                <w:iCs/>
                <w:sz w:val="28"/>
                <w:szCs w:val="22"/>
              </w:rPr>
              <w:lastRenderedPageBreak/>
              <w:t>noteikumi Nr.693)</w:t>
            </w:r>
            <w:r w:rsidR="00FC4AF7" w:rsidRPr="00C36483">
              <w:rPr>
                <w:iCs/>
                <w:sz w:val="28"/>
                <w:szCs w:val="22"/>
              </w:rPr>
              <w:t xml:space="preserve">, tos papildinot </w:t>
            </w:r>
            <w:r w:rsidR="00BB72F1" w:rsidRPr="00C36483">
              <w:rPr>
                <w:iCs/>
                <w:sz w:val="28"/>
                <w:szCs w:val="22"/>
              </w:rPr>
              <w:t xml:space="preserve">atbilstoši jaunajai Nodrošinājuma valsts aģentūras funkcijai – </w:t>
            </w:r>
            <w:r w:rsidRPr="00C36483">
              <w:rPr>
                <w:sz w:val="28"/>
              </w:rPr>
              <w:t>ieroču, munīcijas, to sastāvdaļu un speciālo līdzekļu</w:t>
            </w:r>
            <w:r w:rsidRPr="00C36483">
              <w:rPr>
                <w:iCs/>
                <w:sz w:val="28"/>
                <w:szCs w:val="22"/>
              </w:rPr>
              <w:t xml:space="preserve"> </w:t>
            </w:r>
            <w:r w:rsidR="00BB72F1" w:rsidRPr="00C36483">
              <w:rPr>
                <w:iCs/>
                <w:sz w:val="28"/>
                <w:szCs w:val="22"/>
              </w:rPr>
              <w:t>iznīcināšana.</w:t>
            </w:r>
          </w:p>
          <w:p w:rsidR="00BB72F1" w:rsidRPr="00C36483" w:rsidRDefault="00553AF3" w:rsidP="00344087">
            <w:pPr>
              <w:pStyle w:val="naiskr"/>
              <w:spacing w:before="0" w:after="0"/>
              <w:ind w:firstLine="385"/>
              <w:jc w:val="both"/>
              <w:rPr>
                <w:iCs/>
                <w:sz w:val="28"/>
                <w:szCs w:val="22"/>
              </w:rPr>
            </w:pPr>
            <w:r w:rsidRPr="00C36483">
              <w:rPr>
                <w:iCs/>
                <w:sz w:val="28"/>
                <w:szCs w:val="22"/>
              </w:rPr>
              <w:t>Iekšlietu ministrijā</w:t>
            </w:r>
            <w:r w:rsidR="007B5289" w:rsidRPr="00C36483">
              <w:rPr>
                <w:iCs/>
                <w:sz w:val="28"/>
                <w:szCs w:val="22"/>
              </w:rPr>
              <w:t xml:space="preserve"> izstrādes stadijā atrodas</w:t>
            </w:r>
            <w:r w:rsidR="00B21A75" w:rsidRPr="00C36483">
              <w:rPr>
                <w:iCs/>
                <w:sz w:val="28"/>
                <w:szCs w:val="22"/>
              </w:rPr>
              <w:t xml:space="preserve"> Ministr</w:t>
            </w:r>
            <w:r w:rsidR="007B5289" w:rsidRPr="00C36483">
              <w:rPr>
                <w:iCs/>
                <w:sz w:val="28"/>
                <w:szCs w:val="22"/>
              </w:rPr>
              <w:t>u kabineta noteikumu projekts</w:t>
            </w:r>
            <w:r w:rsidR="00B21A75" w:rsidRPr="00C36483">
              <w:rPr>
                <w:iCs/>
                <w:sz w:val="28"/>
                <w:szCs w:val="22"/>
              </w:rPr>
              <w:t xml:space="preserve">, </w:t>
            </w:r>
            <w:r w:rsidR="007B5289" w:rsidRPr="00C36483">
              <w:rPr>
                <w:iCs/>
                <w:sz w:val="28"/>
                <w:szCs w:val="22"/>
              </w:rPr>
              <w:t xml:space="preserve">kas, ņemot vērā Publisko aģentūru likuma </w:t>
            </w:r>
            <w:r w:rsidR="00FD1AA0" w:rsidRPr="00C36483">
              <w:rPr>
                <w:iCs/>
                <w:sz w:val="28"/>
                <w:szCs w:val="22"/>
              </w:rPr>
              <w:t xml:space="preserve">pārejas noteikumu </w:t>
            </w:r>
            <w:r w:rsidR="007B5289" w:rsidRPr="00C36483">
              <w:rPr>
                <w:iCs/>
                <w:sz w:val="28"/>
                <w:szCs w:val="22"/>
              </w:rPr>
              <w:t xml:space="preserve">2. – </w:t>
            </w:r>
            <w:r w:rsidR="005C60AF" w:rsidRPr="00C36483">
              <w:rPr>
                <w:iCs/>
                <w:sz w:val="28"/>
                <w:szCs w:val="22"/>
              </w:rPr>
              <w:t>5</w:t>
            </w:r>
            <w:r w:rsidR="007B5289" w:rsidRPr="00C36483">
              <w:rPr>
                <w:iCs/>
                <w:sz w:val="28"/>
                <w:szCs w:val="22"/>
              </w:rPr>
              <w:t>.</w:t>
            </w:r>
            <w:r w:rsidRPr="00C36483">
              <w:rPr>
                <w:iCs/>
                <w:sz w:val="28"/>
                <w:szCs w:val="22"/>
              </w:rPr>
              <w:t>punktu</w:t>
            </w:r>
            <w:r w:rsidR="007B5289" w:rsidRPr="00C36483">
              <w:rPr>
                <w:iCs/>
                <w:sz w:val="28"/>
                <w:szCs w:val="22"/>
              </w:rPr>
              <w:t xml:space="preserve">, </w:t>
            </w:r>
            <w:r w:rsidR="00B21A75" w:rsidRPr="00C36483">
              <w:rPr>
                <w:iCs/>
                <w:sz w:val="28"/>
                <w:szCs w:val="22"/>
              </w:rPr>
              <w:t>aizst</w:t>
            </w:r>
            <w:r w:rsidR="007B5289" w:rsidRPr="00C36483">
              <w:rPr>
                <w:iCs/>
                <w:sz w:val="28"/>
                <w:szCs w:val="22"/>
              </w:rPr>
              <w:t>ās noteikumus Nr.693</w:t>
            </w:r>
            <w:r w:rsidR="00BB7E06" w:rsidRPr="00C36483">
              <w:rPr>
                <w:iCs/>
                <w:sz w:val="28"/>
                <w:szCs w:val="22"/>
              </w:rPr>
              <w:t xml:space="preserve">. Līdz ar to ieroču un speciālo līdzekļu iznīcināšanas funkcija tiks paredzēta </w:t>
            </w:r>
            <w:r w:rsidR="007B5289" w:rsidRPr="00C36483">
              <w:rPr>
                <w:iCs/>
                <w:sz w:val="28"/>
                <w:szCs w:val="22"/>
              </w:rPr>
              <w:t>sagatavošanā esošajos</w:t>
            </w:r>
            <w:r w:rsidR="00BB7E06" w:rsidRPr="00C36483">
              <w:rPr>
                <w:iCs/>
                <w:sz w:val="28"/>
                <w:szCs w:val="22"/>
              </w:rPr>
              <w:t xml:space="preserve"> Ministru kabineta noteikumos un atsevišķ</w:t>
            </w:r>
            <w:r w:rsidR="007B5289" w:rsidRPr="00C36483">
              <w:rPr>
                <w:iCs/>
                <w:sz w:val="28"/>
                <w:szCs w:val="22"/>
              </w:rPr>
              <w:t>a</w:t>
            </w:r>
            <w:r w:rsidR="00BB7E06" w:rsidRPr="00C36483">
              <w:rPr>
                <w:iCs/>
                <w:sz w:val="28"/>
                <w:szCs w:val="22"/>
              </w:rPr>
              <w:t xml:space="preserve"> grozījumu </w:t>
            </w:r>
            <w:r w:rsidR="007B5289" w:rsidRPr="00C36483">
              <w:rPr>
                <w:iCs/>
                <w:sz w:val="28"/>
                <w:szCs w:val="22"/>
              </w:rPr>
              <w:t>veikšana</w:t>
            </w:r>
            <w:r w:rsidR="00BB7E06" w:rsidRPr="00C36483">
              <w:rPr>
                <w:iCs/>
                <w:sz w:val="28"/>
                <w:szCs w:val="22"/>
              </w:rPr>
              <w:t xml:space="preserve"> noteikumos Nr.693 šobrīd nav lietderīga.</w:t>
            </w:r>
          </w:p>
          <w:p w:rsidR="00FD1AA0" w:rsidRPr="00C36483" w:rsidRDefault="00FD1AA0" w:rsidP="00344087">
            <w:pPr>
              <w:pStyle w:val="naiskr"/>
              <w:spacing w:before="0" w:after="0"/>
              <w:ind w:firstLine="385"/>
              <w:jc w:val="both"/>
              <w:rPr>
                <w:iCs/>
                <w:sz w:val="28"/>
                <w:szCs w:val="22"/>
              </w:rPr>
            </w:pPr>
            <w:r w:rsidRPr="00C36483">
              <w:rPr>
                <w:iCs/>
                <w:sz w:val="28"/>
                <w:szCs w:val="22"/>
              </w:rPr>
              <w:t>Ministru kabineta noteikumus, kas aizstās noteikumus Nr.693</w:t>
            </w:r>
            <w:r w:rsidR="00553AF3" w:rsidRPr="00C36483">
              <w:rPr>
                <w:iCs/>
                <w:sz w:val="28"/>
                <w:szCs w:val="22"/>
              </w:rPr>
              <w:t>,</w:t>
            </w:r>
            <w:r w:rsidRPr="00C36483">
              <w:rPr>
                <w:iCs/>
                <w:sz w:val="28"/>
                <w:szCs w:val="22"/>
              </w:rPr>
              <w:t xml:space="preserve"> plānots izstrādāt 2012.gada laikā.</w:t>
            </w:r>
          </w:p>
          <w:p w:rsidR="005C60AF" w:rsidRPr="00C36483" w:rsidRDefault="005C60AF" w:rsidP="00CE0E36">
            <w:pPr>
              <w:pStyle w:val="naiskr"/>
              <w:spacing w:before="0" w:after="0"/>
              <w:ind w:firstLine="385"/>
              <w:jc w:val="both"/>
              <w:rPr>
                <w:iCs/>
                <w:sz w:val="28"/>
                <w:szCs w:val="22"/>
              </w:rPr>
            </w:pPr>
            <w:r w:rsidRPr="00C36483">
              <w:rPr>
                <w:iCs/>
                <w:sz w:val="28"/>
                <w:szCs w:val="22"/>
              </w:rPr>
              <w:t>2) Ministru kabineta 2011.gada 6.decembra noteikumu Nr.928 „Noteikumi par ieroču, munīcijas un speciālo līdzekļu komerciālo apriti un ieroču un munīcijas marķēšanas kārtību”</w:t>
            </w:r>
            <w:r w:rsidR="00B96127" w:rsidRPr="00C36483">
              <w:rPr>
                <w:iCs/>
                <w:sz w:val="28"/>
                <w:szCs w:val="22"/>
              </w:rPr>
              <w:t xml:space="preserve"> (turpmāk – noteikumi Nr.928)</w:t>
            </w:r>
            <w:r w:rsidRPr="00C36483">
              <w:rPr>
                <w:iCs/>
                <w:sz w:val="28"/>
                <w:szCs w:val="22"/>
              </w:rPr>
              <w:t xml:space="preserve"> 124.punkts pašreiz noteic, ka nomainītās un lietošanai nederīgās šaujamieroča būtiskās sastāvdaļas komersants nodod Valsts policijai iznīcināšanai</w:t>
            </w:r>
            <w:r w:rsidR="00B96127" w:rsidRPr="00C36483">
              <w:rPr>
                <w:iCs/>
                <w:sz w:val="28"/>
                <w:szCs w:val="22"/>
              </w:rPr>
              <w:t xml:space="preserve">. Ņemot vērā paredzētos grozījumus </w:t>
            </w:r>
            <w:r w:rsidR="00B96127" w:rsidRPr="00C36483">
              <w:rPr>
                <w:iCs/>
                <w:sz w:val="28"/>
                <w:szCs w:val="28"/>
              </w:rPr>
              <w:t>Ministru kabineta 2011.gada 27.decembra noteikumos Nr.1011 „Ieroču atļauju noteikumi, kā arī ieroču izņemšanas un iznīcināšanas kārtība”</w:t>
            </w:r>
            <w:r w:rsidR="00B96127" w:rsidRPr="00C36483">
              <w:rPr>
                <w:iCs/>
                <w:sz w:val="28"/>
                <w:szCs w:val="22"/>
              </w:rPr>
              <w:t xml:space="preserve">, kas noteiks, ka arī šaujamieroča būtisko sastāvdaļu iznīcināšanu </w:t>
            </w:r>
            <w:r w:rsidR="005272D9" w:rsidRPr="00C36483">
              <w:rPr>
                <w:iCs/>
                <w:sz w:val="28"/>
                <w:szCs w:val="22"/>
              </w:rPr>
              <w:t>organizēs</w:t>
            </w:r>
            <w:r w:rsidR="00B96127" w:rsidRPr="00C36483">
              <w:rPr>
                <w:iCs/>
                <w:sz w:val="28"/>
                <w:szCs w:val="22"/>
              </w:rPr>
              <w:t xml:space="preserve"> Nodrošinājuma valsts aģentūra, ir nepieciešams veikt grozījumu noteikumu Nr.928 124.punktā. Līdz minēt</w:t>
            </w:r>
            <w:r w:rsidR="005272D9" w:rsidRPr="00C36483">
              <w:rPr>
                <w:iCs/>
                <w:sz w:val="28"/>
                <w:szCs w:val="22"/>
              </w:rPr>
              <w:t>ā</w:t>
            </w:r>
            <w:r w:rsidR="00B96127" w:rsidRPr="00C36483">
              <w:rPr>
                <w:iCs/>
                <w:sz w:val="28"/>
                <w:szCs w:val="22"/>
              </w:rPr>
              <w:t xml:space="preserve"> grozījum</w:t>
            </w:r>
            <w:r w:rsidR="005272D9" w:rsidRPr="00C36483">
              <w:rPr>
                <w:iCs/>
                <w:sz w:val="28"/>
                <w:szCs w:val="22"/>
              </w:rPr>
              <w:t>a</w:t>
            </w:r>
            <w:r w:rsidR="00B96127" w:rsidRPr="00C36483">
              <w:rPr>
                <w:iCs/>
                <w:sz w:val="28"/>
                <w:szCs w:val="22"/>
              </w:rPr>
              <w:t xml:space="preserve"> </w:t>
            </w:r>
            <w:r w:rsidR="005272D9" w:rsidRPr="00C36483">
              <w:rPr>
                <w:iCs/>
                <w:sz w:val="28"/>
                <w:szCs w:val="22"/>
              </w:rPr>
              <w:t>izdarīšanai</w:t>
            </w:r>
            <w:r w:rsidR="00B96127" w:rsidRPr="00C36483">
              <w:rPr>
                <w:iCs/>
                <w:sz w:val="28"/>
                <w:szCs w:val="22"/>
              </w:rPr>
              <w:t xml:space="preserve"> </w:t>
            </w:r>
            <w:r w:rsidR="00CE0E36" w:rsidRPr="00C36483">
              <w:rPr>
                <w:iCs/>
                <w:sz w:val="28"/>
                <w:szCs w:val="22"/>
              </w:rPr>
              <w:t xml:space="preserve">šaujamieroča būtisko sastāvdaļu iznīcināšana </w:t>
            </w:r>
            <w:r w:rsidR="005272D9" w:rsidRPr="00C36483">
              <w:rPr>
                <w:iCs/>
                <w:sz w:val="28"/>
                <w:szCs w:val="22"/>
              </w:rPr>
              <w:t>tiks veikta</w:t>
            </w:r>
            <w:r w:rsidR="00CE0E36" w:rsidRPr="00C36483">
              <w:rPr>
                <w:iCs/>
                <w:sz w:val="28"/>
                <w:szCs w:val="22"/>
              </w:rPr>
              <w:t xml:space="preserve"> atbilstoši jaunākām tiesību normām, proti, atbilstoši noteikumu Nr.1011 grozījumos paredzētajai kārtībai, t.i., pēc šaujamieroč</w:t>
            </w:r>
            <w:r w:rsidR="005272D9" w:rsidRPr="00C36483">
              <w:rPr>
                <w:iCs/>
                <w:sz w:val="28"/>
                <w:szCs w:val="22"/>
              </w:rPr>
              <w:t>a</w:t>
            </w:r>
            <w:r w:rsidR="00CE0E36" w:rsidRPr="00C36483">
              <w:rPr>
                <w:iCs/>
                <w:sz w:val="28"/>
                <w:szCs w:val="22"/>
              </w:rPr>
              <w:t xml:space="preserve"> būtisko sastāvdaļu saņemšanas Valsts policija tās nodos Nodrošinājuma valsts aģentūrai iznīcināšanai saskaņā ar noteikumos Nr.1011 noteikto.</w:t>
            </w:r>
          </w:p>
          <w:p w:rsidR="00CE0E36" w:rsidRPr="00C36483" w:rsidRDefault="00AB4CE1" w:rsidP="00AB4CE1">
            <w:pPr>
              <w:pStyle w:val="naiskr"/>
              <w:spacing w:before="0" w:after="0"/>
              <w:ind w:firstLine="385"/>
              <w:jc w:val="both"/>
              <w:rPr>
                <w:iCs/>
                <w:sz w:val="28"/>
                <w:szCs w:val="22"/>
              </w:rPr>
            </w:pPr>
            <w:r w:rsidRPr="00C36483">
              <w:rPr>
                <w:iCs/>
                <w:sz w:val="28"/>
                <w:szCs w:val="22"/>
              </w:rPr>
              <w:t>Noteikumu Nr.928 grozījumu projektu paredzēts izstrādāt 2012.gada pirmās puses laikā.</w:t>
            </w:r>
          </w:p>
          <w:p w:rsidR="00AB4CE1" w:rsidRPr="00C36483" w:rsidRDefault="00AB4CE1" w:rsidP="00553AF3">
            <w:pPr>
              <w:pStyle w:val="naiskr"/>
              <w:spacing w:before="0" w:after="0"/>
              <w:ind w:firstLine="385"/>
              <w:jc w:val="both"/>
              <w:rPr>
                <w:iCs/>
                <w:sz w:val="28"/>
                <w:szCs w:val="22"/>
              </w:rPr>
            </w:pPr>
            <w:r w:rsidRPr="00C36483">
              <w:rPr>
                <w:iCs/>
                <w:sz w:val="28"/>
                <w:szCs w:val="22"/>
              </w:rPr>
              <w:t>Atbildīgā institūcija par min</w:t>
            </w:r>
            <w:r w:rsidR="005272D9" w:rsidRPr="00C36483">
              <w:rPr>
                <w:iCs/>
                <w:sz w:val="28"/>
                <w:szCs w:val="22"/>
              </w:rPr>
              <w:t xml:space="preserve">ētā </w:t>
            </w:r>
            <w:r w:rsidRPr="00C36483">
              <w:rPr>
                <w:iCs/>
                <w:sz w:val="28"/>
                <w:szCs w:val="22"/>
              </w:rPr>
              <w:t xml:space="preserve">grozījumu </w:t>
            </w:r>
            <w:r w:rsidR="005272D9" w:rsidRPr="00C36483">
              <w:rPr>
                <w:iCs/>
                <w:sz w:val="28"/>
                <w:szCs w:val="22"/>
              </w:rPr>
              <w:t xml:space="preserve">projekta </w:t>
            </w:r>
            <w:r w:rsidRPr="00C36483">
              <w:rPr>
                <w:iCs/>
                <w:sz w:val="28"/>
                <w:szCs w:val="22"/>
              </w:rPr>
              <w:t xml:space="preserve">izstrādi – </w:t>
            </w:r>
            <w:r w:rsidR="00553AF3" w:rsidRPr="00C36483">
              <w:rPr>
                <w:iCs/>
                <w:sz w:val="28"/>
                <w:szCs w:val="22"/>
              </w:rPr>
              <w:t>Iekšlietu ministrija</w:t>
            </w:r>
            <w:r w:rsidRPr="00C36483">
              <w:rPr>
                <w:iCs/>
                <w:sz w:val="28"/>
                <w:szCs w:val="22"/>
              </w:rPr>
              <w:t>.</w:t>
            </w:r>
          </w:p>
        </w:tc>
      </w:tr>
      <w:tr w:rsidR="00B06D5D" w:rsidRPr="00C36483" w:rsidTr="00344087">
        <w:trPr>
          <w:jc w:val="center"/>
        </w:trPr>
        <w:tc>
          <w:tcPr>
            <w:tcW w:w="509" w:type="dxa"/>
          </w:tcPr>
          <w:p w:rsidR="00D46953" w:rsidRPr="00C36483" w:rsidRDefault="00D46953" w:rsidP="00A01DEA">
            <w:pPr>
              <w:pStyle w:val="naiskr"/>
              <w:tabs>
                <w:tab w:val="left" w:pos="2628"/>
              </w:tabs>
              <w:spacing w:before="0" w:after="0"/>
              <w:jc w:val="both"/>
              <w:rPr>
                <w:iCs/>
                <w:sz w:val="28"/>
              </w:rPr>
            </w:pPr>
            <w:r w:rsidRPr="00C36483">
              <w:rPr>
                <w:iCs/>
                <w:sz w:val="28"/>
              </w:rPr>
              <w:lastRenderedPageBreak/>
              <w:t>2.</w:t>
            </w:r>
          </w:p>
        </w:tc>
        <w:tc>
          <w:tcPr>
            <w:tcW w:w="2214" w:type="dxa"/>
          </w:tcPr>
          <w:p w:rsidR="00D46953" w:rsidRPr="00C36483" w:rsidRDefault="00D46953" w:rsidP="00A01DEA">
            <w:pPr>
              <w:pStyle w:val="naiskr"/>
              <w:tabs>
                <w:tab w:val="left" w:pos="2628"/>
              </w:tabs>
              <w:spacing w:before="0" w:after="0"/>
              <w:jc w:val="both"/>
              <w:rPr>
                <w:iCs/>
                <w:sz w:val="28"/>
              </w:rPr>
            </w:pPr>
            <w:r w:rsidRPr="00C36483">
              <w:rPr>
                <w:sz w:val="28"/>
                <w:szCs w:val="22"/>
              </w:rPr>
              <w:t>Cita informācija</w:t>
            </w:r>
          </w:p>
        </w:tc>
        <w:tc>
          <w:tcPr>
            <w:tcW w:w="6974" w:type="dxa"/>
          </w:tcPr>
          <w:p w:rsidR="00D46953" w:rsidRPr="00C36483" w:rsidRDefault="00BB72F1" w:rsidP="00A01DEA">
            <w:pPr>
              <w:pStyle w:val="naiskr"/>
              <w:tabs>
                <w:tab w:val="left" w:pos="2628"/>
              </w:tabs>
              <w:spacing w:before="0" w:after="0"/>
              <w:jc w:val="both"/>
              <w:rPr>
                <w:iCs/>
                <w:sz w:val="28"/>
              </w:rPr>
            </w:pPr>
            <w:r w:rsidRPr="00C36483">
              <w:rPr>
                <w:sz w:val="28"/>
                <w:szCs w:val="22"/>
              </w:rPr>
              <w:t>Nav.</w:t>
            </w:r>
          </w:p>
        </w:tc>
      </w:tr>
    </w:tbl>
    <w:p w:rsidR="000228B0" w:rsidRPr="00C36483" w:rsidRDefault="000228B0" w:rsidP="00CD0A3D">
      <w:pPr>
        <w:ind w:firstLine="0"/>
        <w:jc w:val="center"/>
        <w:rPr>
          <w:sz w:val="28"/>
          <w:szCs w:val="28"/>
        </w:rPr>
      </w:pP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8"/>
        <w:gridCol w:w="4248"/>
        <w:gridCol w:w="4824"/>
      </w:tblGrid>
      <w:tr w:rsidR="00C31B7C" w:rsidRPr="00C36483" w:rsidTr="00344087">
        <w:tc>
          <w:tcPr>
            <w:tcW w:w="9640" w:type="dxa"/>
            <w:gridSpan w:val="3"/>
            <w:tcBorders>
              <w:top w:val="single" w:sz="4" w:space="0" w:color="auto"/>
            </w:tcBorders>
          </w:tcPr>
          <w:p w:rsidR="00C31B7C" w:rsidRPr="00C36483" w:rsidRDefault="00C31B7C" w:rsidP="00FE7BA2">
            <w:pPr>
              <w:pStyle w:val="naisnod"/>
              <w:spacing w:before="0" w:after="0"/>
              <w:ind w:left="57" w:right="57"/>
              <w:rPr>
                <w:sz w:val="28"/>
                <w:szCs w:val="28"/>
              </w:rPr>
            </w:pPr>
            <w:r w:rsidRPr="00C36483">
              <w:rPr>
                <w:sz w:val="28"/>
                <w:szCs w:val="28"/>
              </w:rPr>
              <w:t>VII. Tiesību akta projekta izpildes nodrošināšana un tās ietekme uz institūcijām</w:t>
            </w:r>
          </w:p>
        </w:tc>
      </w:tr>
      <w:tr w:rsidR="00C31B7C" w:rsidRPr="00C36483" w:rsidTr="00344087">
        <w:trPr>
          <w:trHeight w:val="427"/>
        </w:trPr>
        <w:tc>
          <w:tcPr>
            <w:tcW w:w="568" w:type="dxa"/>
          </w:tcPr>
          <w:p w:rsidR="00C31B7C" w:rsidRPr="00C36483" w:rsidRDefault="00C31B7C" w:rsidP="00FE7BA2">
            <w:pPr>
              <w:pStyle w:val="naisnod"/>
              <w:spacing w:before="0" w:after="0"/>
              <w:ind w:left="57" w:right="57"/>
              <w:jc w:val="left"/>
              <w:rPr>
                <w:b w:val="0"/>
                <w:sz w:val="28"/>
                <w:szCs w:val="28"/>
              </w:rPr>
            </w:pPr>
            <w:r w:rsidRPr="00C36483">
              <w:rPr>
                <w:b w:val="0"/>
                <w:sz w:val="28"/>
                <w:szCs w:val="28"/>
              </w:rPr>
              <w:t>1.</w:t>
            </w:r>
          </w:p>
        </w:tc>
        <w:tc>
          <w:tcPr>
            <w:tcW w:w="4248" w:type="dxa"/>
          </w:tcPr>
          <w:p w:rsidR="00C31B7C" w:rsidRPr="00C36483" w:rsidRDefault="00C31B7C" w:rsidP="00FE7BA2">
            <w:pPr>
              <w:pStyle w:val="naisf"/>
              <w:spacing w:before="0" w:after="0"/>
              <w:ind w:left="57" w:right="57" w:firstLine="0"/>
              <w:jc w:val="left"/>
              <w:rPr>
                <w:sz w:val="28"/>
                <w:szCs w:val="28"/>
              </w:rPr>
            </w:pPr>
            <w:r w:rsidRPr="00C36483">
              <w:rPr>
                <w:sz w:val="28"/>
                <w:szCs w:val="28"/>
              </w:rPr>
              <w:t xml:space="preserve">Projekta izpildē iesaistītās institūcijas </w:t>
            </w:r>
          </w:p>
        </w:tc>
        <w:tc>
          <w:tcPr>
            <w:tcW w:w="4824" w:type="dxa"/>
          </w:tcPr>
          <w:p w:rsidR="00C31B7C" w:rsidRPr="00C36483" w:rsidRDefault="00C31B7C" w:rsidP="001F0D24">
            <w:pPr>
              <w:pStyle w:val="naiskr"/>
              <w:spacing w:before="0" w:after="0"/>
              <w:ind w:firstLine="385"/>
              <w:jc w:val="both"/>
              <w:rPr>
                <w:sz w:val="28"/>
                <w:szCs w:val="28"/>
              </w:rPr>
            </w:pPr>
            <w:r w:rsidRPr="00C36483">
              <w:rPr>
                <w:sz w:val="28"/>
                <w:szCs w:val="28"/>
              </w:rPr>
              <w:t>Nodrošinājuma valsts aģentūra.</w:t>
            </w:r>
          </w:p>
        </w:tc>
      </w:tr>
      <w:tr w:rsidR="00C31B7C" w:rsidRPr="00C36483" w:rsidTr="00344087">
        <w:trPr>
          <w:trHeight w:val="463"/>
        </w:trPr>
        <w:tc>
          <w:tcPr>
            <w:tcW w:w="568" w:type="dxa"/>
          </w:tcPr>
          <w:p w:rsidR="00C31B7C" w:rsidRPr="00C36483" w:rsidRDefault="00C31B7C" w:rsidP="00FE7BA2">
            <w:pPr>
              <w:pStyle w:val="naisnod"/>
              <w:spacing w:before="0" w:after="0"/>
              <w:ind w:left="57" w:right="57"/>
              <w:jc w:val="left"/>
              <w:rPr>
                <w:b w:val="0"/>
                <w:sz w:val="28"/>
                <w:szCs w:val="28"/>
              </w:rPr>
            </w:pPr>
            <w:r w:rsidRPr="00C36483">
              <w:rPr>
                <w:b w:val="0"/>
                <w:sz w:val="28"/>
                <w:szCs w:val="28"/>
              </w:rPr>
              <w:lastRenderedPageBreak/>
              <w:t>2.</w:t>
            </w:r>
          </w:p>
        </w:tc>
        <w:tc>
          <w:tcPr>
            <w:tcW w:w="4248" w:type="dxa"/>
          </w:tcPr>
          <w:p w:rsidR="00C31B7C" w:rsidRPr="00C36483" w:rsidRDefault="00C31B7C" w:rsidP="00FE7BA2">
            <w:pPr>
              <w:pStyle w:val="naisf"/>
              <w:spacing w:before="0" w:after="0"/>
              <w:ind w:left="57" w:right="57" w:firstLine="0"/>
              <w:jc w:val="left"/>
              <w:rPr>
                <w:sz w:val="28"/>
                <w:szCs w:val="28"/>
              </w:rPr>
            </w:pPr>
            <w:r w:rsidRPr="00C36483">
              <w:rPr>
                <w:sz w:val="28"/>
                <w:szCs w:val="28"/>
              </w:rPr>
              <w:t xml:space="preserve">Projekta izpildes ietekme uz pārvaldes funkcijām </w:t>
            </w:r>
          </w:p>
        </w:tc>
        <w:tc>
          <w:tcPr>
            <w:tcW w:w="4824" w:type="dxa"/>
          </w:tcPr>
          <w:p w:rsidR="00C31B7C" w:rsidRPr="00C36483" w:rsidRDefault="004677C4" w:rsidP="000228B0">
            <w:pPr>
              <w:pStyle w:val="naiskr"/>
              <w:spacing w:before="0" w:after="0"/>
              <w:ind w:firstLine="385"/>
              <w:jc w:val="both"/>
              <w:rPr>
                <w:sz w:val="28"/>
                <w:szCs w:val="28"/>
              </w:rPr>
            </w:pPr>
            <w:r w:rsidRPr="00C36483">
              <w:rPr>
                <w:sz w:val="28"/>
                <w:szCs w:val="28"/>
              </w:rPr>
              <w:t>Nodrošinājuma valsts aģentūras funkcijas</w:t>
            </w:r>
            <w:r w:rsidR="000228B0" w:rsidRPr="00C36483">
              <w:rPr>
                <w:sz w:val="28"/>
                <w:szCs w:val="28"/>
              </w:rPr>
              <w:t xml:space="preserve"> tiek paplašinātas, nosakot aģentūras kompetenci </w:t>
            </w:r>
            <w:r w:rsidR="000228B0" w:rsidRPr="00C36483">
              <w:rPr>
                <w:iCs/>
                <w:sz w:val="28"/>
                <w:szCs w:val="28"/>
              </w:rPr>
              <w:t xml:space="preserve">ieroču un speciālo līdzekļu </w:t>
            </w:r>
            <w:r w:rsidR="00D53E63" w:rsidRPr="00C36483">
              <w:rPr>
                <w:iCs/>
                <w:sz w:val="28"/>
                <w:szCs w:val="28"/>
              </w:rPr>
              <w:t>iznīcināšanā</w:t>
            </w:r>
            <w:r w:rsidRPr="00C36483">
              <w:rPr>
                <w:sz w:val="28"/>
                <w:szCs w:val="28"/>
              </w:rPr>
              <w:t>.</w:t>
            </w:r>
          </w:p>
        </w:tc>
      </w:tr>
      <w:tr w:rsidR="00C31B7C" w:rsidRPr="00C36483" w:rsidTr="00344087">
        <w:trPr>
          <w:trHeight w:val="725"/>
        </w:trPr>
        <w:tc>
          <w:tcPr>
            <w:tcW w:w="568" w:type="dxa"/>
          </w:tcPr>
          <w:p w:rsidR="00C31B7C" w:rsidRPr="00C36483" w:rsidRDefault="00C31B7C" w:rsidP="00FE7BA2">
            <w:pPr>
              <w:pStyle w:val="naisnod"/>
              <w:spacing w:before="0" w:after="0"/>
              <w:ind w:left="57" w:right="57"/>
              <w:jc w:val="left"/>
              <w:rPr>
                <w:b w:val="0"/>
                <w:sz w:val="28"/>
                <w:szCs w:val="28"/>
              </w:rPr>
            </w:pPr>
            <w:r w:rsidRPr="00C36483">
              <w:rPr>
                <w:b w:val="0"/>
                <w:sz w:val="28"/>
                <w:szCs w:val="28"/>
              </w:rPr>
              <w:t>3.</w:t>
            </w:r>
          </w:p>
        </w:tc>
        <w:tc>
          <w:tcPr>
            <w:tcW w:w="4248" w:type="dxa"/>
          </w:tcPr>
          <w:p w:rsidR="00C31B7C" w:rsidRPr="00C36483" w:rsidRDefault="00C31B7C" w:rsidP="00FE7BA2">
            <w:pPr>
              <w:pStyle w:val="naisf"/>
              <w:spacing w:before="0" w:after="0"/>
              <w:ind w:left="57" w:right="57" w:firstLine="0"/>
              <w:jc w:val="left"/>
              <w:rPr>
                <w:sz w:val="28"/>
                <w:szCs w:val="28"/>
              </w:rPr>
            </w:pPr>
            <w:r w:rsidRPr="00C36483">
              <w:rPr>
                <w:sz w:val="28"/>
                <w:szCs w:val="28"/>
              </w:rPr>
              <w:t>Projekta izpildes ietekme uz pārvaldes institucionālo struktūru.</w:t>
            </w:r>
          </w:p>
          <w:p w:rsidR="00C31B7C" w:rsidRPr="00C36483" w:rsidRDefault="00C31B7C" w:rsidP="00FE7BA2">
            <w:pPr>
              <w:pStyle w:val="naisf"/>
              <w:spacing w:before="0" w:after="0"/>
              <w:ind w:left="57" w:right="57" w:firstLine="0"/>
              <w:jc w:val="left"/>
              <w:rPr>
                <w:sz w:val="28"/>
                <w:szCs w:val="28"/>
              </w:rPr>
            </w:pPr>
            <w:r w:rsidRPr="00C36483">
              <w:rPr>
                <w:sz w:val="28"/>
                <w:szCs w:val="28"/>
              </w:rPr>
              <w:t>Jaunu institūciju izveide</w:t>
            </w:r>
          </w:p>
        </w:tc>
        <w:tc>
          <w:tcPr>
            <w:tcW w:w="4824" w:type="dxa"/>
          </w:tcPr>
          <w:p w:rsidR="00C31B7C" w:rsidRPr="00C36483" w:rsidRDefault="00DD6091" w:rsidP="001F0D24">
            <w:pPr>
              <w:pStyle w:val="naiskr"/>
              <w:spacing w:before="0" w:after="0"/>
              <w:ind w:firstLine="385"/>
              <w:jc w:val="both"/>
              <w:rPr>
                <w:sz w:val="28"/>
                <w:szCs w:val="28"/>
              </w:rPr>
            </w:pPr>
            <w:r w:rsidRPr="00C36483">
              <w:rPr>
                <w:sz w:val="28"/>
                <w:szCs w:val="28"/>
              </w:rPr>
              <w:t>Projekts šo jomu neskar</w:t>
            </w:r>
            <w:r w:rsidR="00C31B7C" w:rsidRPr="00C36483">
              <w:rPr>
                <w:sz w:val="28"/>
                <w:szCs w:val="28"/>
              </w:rPr>
              <w:t>.</w:t>
            </w:r>
          </w:p>
        </w:tc>
      </w:tr>
      <w:tr w:rsidR="00C31B7C" w:rsidRPr="00C36483" w:rsidTr="00344087">
        <w:trPr>
          <w:trHeight w:val="780"/>
        </w:trPr>
        <w:tc>
          <w:tcPr>
            <w:tcW w:w="568" w:type="dxa"/>
          </w:tcPr>
          <w:p w:rsidR="00C31B7C" w:rsidRPr="00C36483" w:rsidRDefault="00C31B7C" w:rsidP="00FE7BA2">
            <w:pPr>
              <w:pStyle w:val="naisnod"/>
              <w:spacing w:before="0" w:after="0"/>
              <w:ind w:left="57" w:right="57"/>
              <w:jc w:val="left"/>
              <w:rPr>
                <w:b w:val="0"/>
                <w:sz w:val="28"/>
                <w:szCs w:val="28"/>
              </w:rPr>
            </w:pPr>
            <w:r w:rsidRPr="00C36483">
              <w:rPr>
                <w:b w:val="0"/>
                <w:sz w:val="28"/>
                <w:szCs w:val="28"/>
              </w:rPr>
              <w:t>4.</w:t>
            </w:r>
          </w:p>
        </w:tc>
        <w:tc>
          <w:tcPr>
            <w:tcW w:w="4248" w:type="dxa"/>
          </w:tcPr>
          <w:p w:rsidR="00C31B7C" w:rsidRPr="00C36483" w:rsidRDefault="00C31B7C" w:rsidP="00FE7BA2">
            <w:pPr>
              <w:pStyle w:val="naisf"/>
              <w:spacing w:before="0" w:after="0"/>
              <w:ind w:left="57" w:right="57" w:firstLine="0"/>
              <w:jc w:val="left"/>
              <w:rPr>
                <w:sz w:val="28"/>
                <w:szCs w:val="28"/>
              </w:rPr>
            </w:pPr>
            <w:r w:rsidRPr="00C36483">
              <w:rPr>
                <w:sz w:val="28"/>
                <w:szCs w:val="28"/>
              </w:rPr>
              <w:t>Projekta izpildes ietekme uz pārvaldes institucionālo struktūru.</w:t>
            </w:r>
          </w:p>
          <w:p w:rsidR="00C31B7C" w:rsidRPr="00C36483" w:rsidRDefault="00C31B7C" w:rsidP="00FE7BA2">
            <w:pPr>
              <w:pStyle w:val="naisf"/>
              <w:spacing w:before="0" w:after="0"/>
              <w:ind w:left="57" w:right="57" w:firstLine="0"/>
              <w:jc w:val="left"/>
              <w:rPr>
                <w:sz w:val="28"/>
                <w:szCs w:val="28"/>
              </w:rPr>
            </w:pPr>
            <w:r w:rsidRPr="00C36483">
              <w:rPr>
                <w:sz w:val="28"/>
                <w:szCs w:val="28"/>
              </w:rPr>
              <w:t>Esošu institūciju likvidācija</w:t>
            </w:r>
          </w:p>
        </w:tc>
        <w:tc>
          <w:tcPr>
            <w:tcW w:w="4824" w:type="dxa"/>
          </w:tcPr>
          <w:p w:rsidR="00C31B7C" w:rsidRPr="00C36483" w:rsidRDefault="00DD6091" w:rsidP="001F0D24">
            <w:pPr>
              <w:pStyle w:val="naiskr"/>
              <w:spacing w:before="0" w:after="0"/>
              <w:ind w:firstLine="385"/>
              <w:jc w:val="both"/>
              <w:rPr>
                <w:sz w:val="28"/>
                <w:szCs w:val="28"/>
              </w:rPr>
            </w:pPr>
            <w:r w:rsidRPr="00C36483">
              <w:rPr>
                <w:sz w:val="28"/>
                <w:szCs w:val="28"/>
              </w:rPr>
              <w:t>Projekts šo jomu neskar</w:t>
            </w:r>
            <w:r w:rsidR="00C31B7C" w:rsidRPr="00C36483">
              <w:rPr>
                <w:sz w:val="28"/>
                <w:szCs w:val="28"/>
              </w:rPr>
              <w:t>.</w:t>
            </w:r>
          </w:p>
        </w:tc>
      </w:tr>
      <w:tr w:rsidR="00C31B7C" w:rsidRPr="00C36483" w:rsidTr="00344087">
        <w:trPr>
          <w:trHeight w:val="703"/>
        </w:trPr>
        <w:tc>
          <w:tcPr>
            <w:tcW w:w="568" w:type="dxa"/>
          </w:tcPr>
          <w:p w:rsidR="00C31B7C" w:rsidRPr="00C36483" w:rsidRDefault="00C31B7C" w:rsidP="00FE7BA2">
            <w:pPr>
              <w:pStyle w:val="naisnod"/>
              <w:spacing w:before="0" w:after="0"/>
              <w:ind w:left="57" w:right="57"/>
              <w:jc w:val="left"/>
              <w:rPr>
                <w:b w:val="0"/>
                <w:sz w:val="28"/>
                <w:szCs w:val="28"/>
              </w:rPr>
            </w:pPr>
            <w:r w:rsidRPr="00C36483">
              <w:rPr>
                <w:b w:val="0"/>
                <w:sz w:val="28"/>
                <w:szCs w:val="28"/>
              </w:rPr>
              <w:t>5.</w:t>
            </w:r>
          </w:p>
        </w:tc>
        <w:tc>
          <w:tcPr>
            <w:tcW w:w="4248" w:type="dxa"/>
          </w:tcPr>
          <w:p w:rsidR="00C31B7C" w:rsidRPr="00C36483" w:rsidRDefault="00C31B7C" w:rsidP="00FE7BA2">
            <w:pPr>
              <w:pStyle w:val="naisf"/>
              <w:spacing w:before="0" w:after="0"/>
              <w:ind w:left="57" w:right="57" w:firstLine="0"/>
              <w:jc w:val="left"/>
              <w:rPr>
                <w:sz w:val="28"/>
                <w:szCs w:val="28"/>
              </w:rPr>
            </w:pPr>
            <w:r w:rsidRPr="00C36483">
              <w:rPr>
                <w:sz w:val="28"/>
                <w:szCs w:val="28"/>
              </w:rPr>
              <w:t>Projekta izpildes ietekme uz pārvaldes institucionālo struktūru.</w:t>
            </w:r>
          </w:p>
          <w:p w:rsidR="00C31B7C" w:rsidRPr="00C36483" w:rsidRDefault="00C31B7C" w:rsidP="00FE7BA2">
            <w:pPr>
              <w:pStyle w:val="naisf"/>
              <w:spacing w:before="0" w:after="0"/>
              <w:ind w:left="57" w:right="57" w:firstLine="0"/>
              <w:jc w:val="left"/>
              <w:rPr>
                <w:sz w:val="28"/>
                <w:szCs w:val="28"/>
              </w:rPr>
            </w:pPr>
            <w:r w:rsidRPr="00C36483">
              <w:rPr>
                <w:sz w:val="28"/>
                <w:szCs w:val="28"/>
              </w:rPr>
              <w:t>Esošu institūciju reorganizācija</w:t>
            </w:r>
          </w:p>
        </w:tc>
        <w:tc>
          <w:tcPr>
            <w:tcW w:w="4824" w:type="dxa"/>
          </w:tcPr>
          <w:p w:rsidR="00C31B7C" w:rsidRPr="00C36483" w:rsidRDefault="00DD6091" w:rsidP="001F0D24">
            <w:pPr>
              <w:pStyle w:val="naiskr"/>
              <w:spacing w:before="0" w:after="0"/>
              <w:ind w:firstLine="385"/>
              <w:jc w:val="both"/>
              <w:rPr>
                <w:sz w:val="28"/>
                <w:szCs w:val="28"/>
              </w:rPr>
            </w:pPr>
            <w:r w:rsidRPr="00C36483">
              <w:rPr>
                <w:sz w:val="28"/>
                <w:szCs w:val="28"/>
              </w:rPr>
              <w:t>Projekts šo jomu neskar</w:t>
            </w:r>
            <w:r w:rsidR="00C31B7C" w:rsidRPr="00C36483">
              <w:rPr>
                <w:sz w:val="28"/>
                <w:szCs w:val="28"/>
              </w:rPr>
              <w:t>.</w:t>
            </w:r>
          </w:p>
        </w:tc>
      </w:tr>
      <w:tr w:rsidR="00C31B7C" w:rsidRPr="00C36483" w:rsidTr="00344087">
        <w:trPr>
          <w:trHeight w:val="476"/>
        </w:trPr>
        <w:tc>
          <w:tcPr>
            <w:tcW w:w="568" w:type="dxa"/>
          </w:tcPr>
          <w:p w:rsidR="00C31B7C" w:rsidRPr="00C36483" w:rsidRDefault="00C31B7C" w:rsidP="00FE7BA2">
            <w:pPr>
              <w:pStyle w:val="naiskr"/>
              <w:spacing w:before="0" w:after="0"/>
              <w:ind w:left="57" w:right="57"/>
              <w:rPr>
                <w:sz w:val="28"/>
                <w:szCs w:val="28"/>
              </w:rPr>
            </w:pPr>
            <w:r w:rsidRPr="00C36483">
              <w:rPr>
                <w:sz w:val="28"/>
                <w:szCs w:val="28"/>
              </w:rPr>
              <w:t>6.</w:t>
            </w:r>
          </w:p>
        </w:tc>
        <w:tc>
          <w:tcPr>
            <w:tcW w:w="4248" w:type="dxa"/>
          </w:tcPr>
          <w:p w:rsidR="00C31B7C" w:rsidRPr="00C36483" w:rsidRDefault="00C31B7C" w:rsidP="00FE7BA2">
            <w:pPr>
              <w:pStyle w:val="naiskr"/>
              <w:spacing w:before="0" w:after="0"/>
              <w:ind w:left="57" w:right="57"/>
              <w:rPr>
                <w:sz w:val="28"/>
                <w:szCs w:val="28"/>
              </w:rPr>
            </w:pPr>
            <w:r w:rsidRPr="00C36483">
              <w:rPr>
                <w:sz w:val="28"/>
                <w:szCs w:val="28"/>
              </w:rPr>
              <w:t>Cita informācija</w:t>
            </w:r>
          </w:p>
        </w:tc>
        <w:tc>
          <w:tcPr>
            <w:tcW w:w="4824" w:type="dxa"/>
          </w:tcPr>
          <w:p w:rsidR="00C31B7C" w:rsidRPr="00C36483" w:rsidRDefault="00DD6091" w:rsidP="001F0D24">
            <w:pPr>
              <w:pStyle w:val="naiskr"/>
              <w:spacing w:before="0" w:after="0"/>
              <w:ind w:firstLine="385"/>
              <w:jc w:val="both"/>
              <w:rPr>
                <w:sz w:val="28"/>
                <w:szCs w:val="28"/>
              </w:rPr>
            </w:pPr>
            <w:r w:rsidRPr="00C36483">
              <w:rPr>
                <w:sz w:val="28"/>
                <w:szCs w:val="28"/>
              </w:rPr>
              <w:t>Projekts šo jomu neskar</w:t>
            </w:r>
            <w:r w:rsidR="00C31B7C" w:rsidRPr="00C36483">
              <w:rPr>
                <w:sz w:val="28"/>
                <w:szCs w:val="28"/>
              </w:rPr>
              <w:t>.</w:t>
            </w:r>
          </w:p>
        </w:tc>
      </w:tr>
    </w:tbl>
    <w:p w:rsidR="002E54A6" w:rsidRPr="00C36483" w:rsidRDefault="002E54A6" w:rsidP="002E54A6">
      <w:pPr>
        <w:ind w:firstLine="0"/>
        <w:jc w:val="left"/>
        <w:rPr>
          <w:sz w:val="28"/>
          <w:szCs w:val="28"/>
        </w:rPr>
      </w:pPr>
      <w:r w:rsidRPr="00C36483">
        <w:rPr>
          <w:sz w:val="28"/>
          <w:szCs w:val="28"/>
        </w:rPr>
        <w:t>Anotācijas II, V un VI sadaļa – projekts šīs jomas neskar.</w:t>
      </w:r>
    </w:p>
    <w:p w:rsidR="002E54A6" w:rsidRPr="00C36483" w:rsidRDefault="002E54A6" w:rsidP="002E54A6">
      <w:pPr>
        <w:ind w:firstLine="0"/>
        <w:jc w:val="left"/>
        <w:rPr>
          <w:sz w:val="28"/>
          <w:szCs w:val="28"/>
        </w:rPr>
      </w:pPr>
    </w:p>
    <w:p w:rsidR="00994F80" w:rsidRDefault="00994F80" w:rsidP="00763770">
      <w:pPr>
        <w:pStyle w:val="naisf"/>
        <w:tabs>
          <w:tab w:val="left" w:pos="6663"/>
        </w:tabs>
        <w:spacing w:before="0" w:after="0"/>
        <w:ind w:firstLine="0"/>
        <w:rPr>
          <w:sz w:val="28"/>
          <w:szCs w:val="28"/>
        </w:rPr>
      </w:pPr>
    </w:p>
    <w:p w:rsidR="002E54A6" w:rsidRPr="00C36483" w:rsidRDefault="002E54A6" w:rsidP="00763770">
      <w:pPr>
        <w:pStyle w:val="naisf"/>
        <w:tabs>
          <w:tab w:val="left" w:pos="6663"/>
        </w:tabs>
        <w:spacing w:before="0" w:after="0"/>
        <w:ind w:firstLine="0"/>
        <w:rPr>
          <w:sz w:val="28"/>
          <w:szCs w:val="28"/>
        </w:rPr>
      </w:pPr>
      <w:r w:rsidRPr="00C36483">
        <w:rPr>
          <w:sz w:val="28"/>
          <w:szCs w:val="28"/>
        </w:rPr>
        <w:t>Iekšlietu ministrs</w:t>
      </w:r>
      <w:r w:rsidRPr="00C36483">
        <w:rPr>
          <w:sz w:val="28"/>
          <w:szCs w:val="28"/>
        </w:rPr>
        <w:tab/>
        <w:t>R.Kozlovskis</w:t>
      </w:r>
    </w:p>
    <w:p w:rsidR="002E54A6" w:rsidRDefault="002E54A6" w:rsidP="002E54A6">
      <w:pPr>
        <w:pStyle w:val="naisf"/>
        <w:tabs>
          <w:tab w:val="left" w:pos="6804"/>
        </w:tabs>
        <w:spacing w:before="0" w:after="0"/>
        <w:ind w:firstLine="720"/>
        <w:rPr>
          <w:sz w:val="28"/>
          <w:szCs w:val="28"/>
        </w:rPr>
      </w:pPr>
    </w:p>
    <w:p w:rsidR="00C36483" w:rsidRDefault="00C36483" w:rsidP="002E54A6">
      <w:pPr>
        <w:pStyle w:val="naisf"/>
        <w:tabs>
          <w:tab w:val="left" w:pos="6804"/>
        </w:tabs>
        <w:spacing w:before="0" w:after="0"/>
        <w:ind w:firstLine="720"/>
        <w:rPr>
          <w:sz w:val="28"/>
          <w:szCs w:val="28"/>
        </w:rPr>
      </w:pPr>
    </w:p>
    <w:p w:rsidR="00C36483" w:rsidRPr="00C36483" w:rsidRDefault="00C36483" w:rsidP="002E54A6">
      <w:pPr>
        <w:pStyle w:val="naisf"/>
        <w:tabs>
          <w:tab w:val="left" w:pos="6804"/>
        </w:tabs>
        <w:spacing w:before="0" w:after="0"/>
        <w:ind w:firstLine="720"/>
        <w:rPr>
          <w:sz w:val="28"/>
          <w:szCs w:val="28"/>
        </w:rPr>
      </w:pPr>
    </w:p>
    <w:p w:rsidR="002700D3" w:rsidRPr="00C36483" w:rsidRDefault="002E54A6" w:rsidP="00763770">
      <w:pPr>
        <w:pStyle w:val="naisf"/>
        <w:tabs>
          <w:tab w:val="right" w:pos="9071"/>
        </w:tabs>
        <w:spacing w:before="0" w:after="0"/>
        <w:ind w:firstLine="0"/>
        <w:rPr>
          <w:sz w:val="28"/>
          <w:szCs w:val="28"/>
        </w:rPr>
      </w:pPr>
      <w:r w:rsidRPr="00C36483">
        <w:rPr>
          <w:sz w:val="28"/>
          <w:szCs w:val="28"/>
        </w:rPr>
        <w:t>Vīz</w:t>
      </w:r>
      <w:r w:rsidR="00763770" w:rsidRPr="00C36483">
        <w:rPr>
          <w:sz w:val="28"/>
          <w:szCs w:val="28"/>
        </w:rPr>
        <w:t>a: valsts sekretāre</w:t>
      </w:r>
      <w:r w:rsidR="00763770" w:rsidRPr="00C36483">
        <w:rPr>
          <w:sz w:val="28"/>
          <w:szCs w:val="28"/>
        </w:rPr>
        <w:tab/>
      </w:r>
      <w:r w:rsidR="00FD4E37" w:rsidRPr="00C36483">
        <w:rPr>
          <w:sz w:val="28"/>
          <w:szCs w:val="28"/>
        </w:rPr>
        <w:t>I.Pētersone</w:t>
      </w:r>
      <w:r w:rsidR="00763770" w:rsidRPr="00C36483">
        <w:rPr>
          <w:sz w:val="28"/>
          <w:szCs w:val="28"/>
        </w:rPr>
        <w:t>-</w:t>
      </w:r>
      <w:r w:rsidRPr="00C36483">
        <w:rPr>
          <w:sz w:val="28"/>
          <w:szCs w:val="28"/>
        </w:rPr>
        <w:t>Godmane</w:t>
      </w:r>
    </w:p>
    <w:p w:rsidR="00FD4E37" w:rsidRPr="00C36483" w:rsidRDefault="00FD4E37" w:rsidP="00FD4E37">
      <w:pPr>
        <w:pStyle w:val="naisf"/>
        <w:tabs>
          <w:tab w:val="left" w:pos="6804"/>
        </w:tabs>
        <w:spacing w:before="0" w:after="0"/>
        <w:ind w:firstLine="0"/>
        <w:rPr>
          <w:sz w:val="28"/>
          <w:szCs w:val="28"/>
        </w:rPr>
      </w:pPr>
    </w:p>
    <w:p w:rsidR="00D53E63" w:rsidRPr="00C36483" w:rsidRDefault="00D53E63" w:rsidP="00FD4E37">
      <w:pPr>
        <w:pStyle w:val="naisf"/>
        <w:tabs>
          <w:tab w:val="left" w:pos="6804"/>
        </w:tabs>
        <w:spacing w:before="0" w:after="0"/>
        <w:ind w:firstLine="0"/>
        <w:rPr>
          <w:sz w:val="28"/>
          <w:szCs w:val="28"/>
        </w:rPr>
      </w:pPr>
    </w:p>
    <w:p w:rsidR="00D53E63" w:rsidRPr="00C36483" w:rsidRDefault="00D53E63" w:rsidP="00FD4E37">
      <w:pPr>
        <w:pStyle w:val="naisf"/>
        <w:tabs>
          <w:tab w:val="left" w:pos="6804"/>
        </w:tabs>
        <w:spacing w:before="0" w:after="0"/>
        <w:ind w:firstLine="0"/>
        <w:rPr>
          <w:sz w:val="28"/>
          <w:szCs w:val="28"/>
        </w:rPr>
      </w:pPr>
    </w:p>
    <w:p w:rsidR="00D53E63" w:rsidRPr="00C36483" w:rsidRDefault="00D53E63" w:rsidP="00FD4E37">
      <w:pPr>
        <w:pStyle w:val="naisf"/>
        <w:tabs>
          <w:tab w:val="left" w:pos="6804"/>
        </w:tabs>
        <w:spacing w:before="0" w:after="0"/>
        <w:ind w:firstLine="0"/>
        <w:rPr>
          <w:sz w:val="28"/>
          <w:szCs w:val="28"/>
        </w:rPr>
      </w:pPr>
    </w:p>
    <w:p w:rsidR="00D53E63" w:rsidRPr="00C36483" w:rsidRDefault="00D53E63" w:rsidP="00FD4E37">
      <w:pPr>
        <w:pStyle w:val="naisf"/>
        <w:tabs>
          <w:tab w:val="left" w:pos="6804"/>
        </w:tabs>
        <w:spacing w:before="0" w:after="0"/>
        <w:ind w:firstLine="0"/>
        <w:rPr>
          <w:sz w:val="28"/>
          <w:szCs w:val="28"/>
        </w:rPr>
      </w:pPr>
    </w:p>
    <w:p w:rsidR="00D53E63" w:rsidRPr="00C36483" w:rsidRDefault="00D53E63" w:rsidP="00FD4E37">
      <w:pPr>
        <w:pStyle w:val="naisf"/>
        <w:tabs>
          <w:tab w:val="left" w:pos="6804"/>
        </w:tabs>
        <w:spacing w:before="0" w:after="0"/>
        <w:ind w:firstLine="0"/>
        <w:rPr>
          <w:sz w:val="28"/>
          <w:szCs w:val="28"/>
        </w:rPr>
      </w:pPr>
    </w:p>
    <w:p w:rsidR="00D53E63" w:rsidRPr="00C36483" w:rsidRDefault="00D53E63" w:rsidP="00FD4E37">
      <w:pPr>
        <w:pStyle w:val="naisf"/>
        <w:tabs>
          <w:tab w:val="left" w:pos="6804"/>
        </w:tabs>
        <w:spacing w:before="0" w:after="0"/>
        <w:ind w:firstLine="0"/>
        <w:rPr>
          <w:sz w:val="28"/>
          <w:szCs w:val="28"/>
        </w:rPr>
      </w:pPr>
    </w:p>
    <w:p w:rsidR="00D53E63" w:rsidRPr="00C36483" w:rsidRDefault="00D53E63" w:rsidP="00FD4E37">
      <w:pPr>
        <w:pStyle w:val="naisf"/>
        <w:tabs>
          <w:tab w:val="left" w:pos="6804"/>
        </w:tabs>
        <w:spacing w:before="0" w:after="0"/>
        <w:ind w:firstLine="0"/>
        <w:rPr>
          <w:sz w:val="28"/>
          <w:szCs w:val="28"/>
        </w:rPr>
      </w:pPr>
    </w:p>
    <w:p w:rsidR="00D53E63" w:rsidRPr="00C36483" w:rsidRDefault="00D53E63" w:rsidP="00FD4E37">
      <w:pPr>
        <w:pStyle w:val="naisf"/>
        <w:tabs>
          <w:tab w:val="left" w:pos="6804"/>
        </w:tabs>
        <w:spacing w:before="0" w:after="0"/>
        <w:ind w:firstLine="0"/>
        <w:rPr>
          <w:sz w:val="28"/>
          <w:szCs w:val="28"/>
        </w:rPr>
      </w:pPr>
    </w:p>
    <w:p w:rsidR="00DD03FC" w:rsidRPr="00C36483" w:rsidRDefault="00DD03FC" w:rsidP="00FD4E37">
      <w:pPr>
        <w:pStyle w:val="naisf"/>
        <w:tabs>
          <w:tab w:val="left" w:pos="6804"/>
        </w:tabs>
        <w:spacing w:before="0" w:after="0"/>
        <w:ind w:firstLine="0"/>
        <w:rPr>
          <w:sz w:val="28"/>
          <w:szCs w:val="28"/>
        </w:rPr>
      </w:pPr>
    </w:p>
    <w:p w:rsidR="00553AF3" w:rsidRPr="00C36483" w:rsidRDefault="00553AF3" w:rsidP="00FD4E37">
      <w:pPr>
        <w:pStyle w:val="naisf"/>
        <w:tabs>
          <w:tab w:val="left" w:pos="6804"/>
        </w:tabs>
        <w:spacing w:before="0" w:after="0"/>
        <w:ind w:firstLine="0"/>
        <w:rPr>
          <w:sz w:val="28"/>
          <w:szCs w:val="28"/>
        </w:rPr>
      </w:pPr>
    </w:p>
    <w:p w:rsidR="00553AF3" w:rsidRPr="00C36483" w:rsidRDefault="00553AF3" w:rsidP="00FD4E37">
      <w:pPr>
        <w:pStyle w:val="naisf"/>
        <w:tabs>
          <w:tab w:val="left" w:pos="6804"/>
        </w:tabs>
        <w:spacing w:before="0" w:after="0"/>
        <w:ind w:firstLine="0"/>
        <w:rPr>
          <w:sz w:val="28"/>
          <w:szCs w:val="28"/>
        </w:rPr>
      </w:pPr>
    </w:p>
    <w:p w:rsidR="00553AF3" w:rsidRPr="00C36483" w:rsidRDefault="00553AF3" w:rsidP="00FD4E37">
      <w:pPr>
        <w:pStyle w:val="naisf"/>
        <w:tabs>
          <w:tab w:val="left" w:pos="6804"/>
        </w:tabs>
        <w:spacing w:before="0" w:after="0"/>
        <w:ind w:firstLine="0"/>
        <w:rPr>
          <w:sz w:val="28"/>
          <w:szCs w:val="28"/>
        </w:rPr>
      </w:pPr>
    </w:p>
    <w:p w:rsidR="00553AF3" w:rsidRPr="00C36483" w:rsidRDefault="00553AF3" w:rsidP="00FD4E37">
      <w:pPr>
        <w:pStyle w:val="naisf"/>
        <w:tabs>
          <w:tab w:val="left" w:pos="6804"/>
        </w:tabs>
        <w:spacing w:before="0" w:after="0"/>
        <w:ind w:firstLine="0"/>
        <w:rPr>
          <w:sz w:val="28"/>
          <w:szCs w:val="28"/>
        </w:rPr>
      </w:pPr>
    </w:p>
    <w:p w:rsidR="00132860" w:rsidRPr="00C36483" w:rsidRDefault="00132860" w:rsidP="00FD4E37">
      <w:pPr>
        <w:pStyle w:val="naisf"/>
        <w:tabs>
          <w:tab w:val="left" w:pos="6804"/>
        </w:tabs>
        <w:spacing w:before="0" w:after="0"/>
        <w:ind w:firstLine="0"/>
        <w:rPr>
          <w:sz w:val="20"/>
          <w:szCs w:val="20"/>
        </w:rPr>
      </w:pPr>
    </w:p>
    <w:p w:rsidR="00FD4E37" w:rsidRPr="00C36483" w:rsidRDefault="004D287F" w:rsidP="00FD4E37">
      <w:pPr>
        <w:pStyle w:val="naisf"/>
        <w:tabs>
          <w:tab w:val="left" w:pos="6804"/>
        </w:tabs>
        <w:spacing w:before="0" w:after="0"/>
        <w:ind w:firstLine="0"/>
        <w:rPr>
          <w:sz w:val="20"/>
          <w:szCs w:val="20"/>
        </w:rPr>
      </w:pPr>
      <w:r>
        <w:rPr>
          <w:sz w:val="20"/>
          <w:szCs w:val="20"/>
        </w:rPr>
        <w:t>2012.</w:t>
      </w:r>
      <w:r w:rsidR="00772AE7">
        <w:rPr>
          <w:sz w:val="20"/>
          <w:szCs w:val="20"/>
        </w:rPr>
        <w:t>05</w:t>
      </w:r>
      <w:r>
        <w:rPr>
          <w:sz w:val="20"/>
          <w:szCs w:val="20"/>
        </w:rPr>
        <w:t>.</w:t>
      </w:r>
      <w:r w:rsidR="00772AE7">
        <w:rPr>
          <w:sz w:val="20"/>
          <w:szCs w:val="20"/>
        </w:rPr>
        <w:t>15.</w:t>
      </w:r>
    </w:p>
    <w:p w:rsidR="00FD4E37" w:rsidRPr="00C36483" w:rsidRDefault="006864AE" w:rsidP="00FD4E37">
      <w:pPr>
        <w:pStyle w:val="naisf"/>
        <w:tabs>
          <w:tab w:val="left" w:pos="1991"/>
        </w:tabs>
        <w:spacing w:before="0" w:after="0"/>
        <w:ind w:firstLine="0"/>
        <w:rPr>
          <w:sz w:val="20"/>
          <w:szCs w:val="20"/>
        </w:rPr>
      </w:pPr>
      <w:r w:rsidRPr="00C36483">
        <w:rPr>
          <w:sz w:val="20"/>
          <w:szCs w:val="20"/>
        </w:rPr>
        <w:fldChar w:fldCharType="begin"/>
      </w:r>
      <w:r w:rsidRPr="00C36483">
        <w:rPr>
          <w:sz w:val="20"/>
          <w:szCs w:val="20"/>
        </w:rPr>
        <w:instrText xml:space="preserve"> NUMWORDS   \* MERGEFORMAT </w:instrText>
      </w:r>
      <w:r w:rsidRPr="00C36483">
        <w:rPr>
          <w:sz w:val="20"/>
          <w:szCs w:val="20"/>
        </w:rPr>
        <w:fldChar w:fldCharType="separate"/>
      </w:r>
      <w:r w:rsidR="00C87497">
        <w:rPr>
          <w:noProof/>
          <w:sz w:val="20"/>
          <w:szCs w:val="20"/>
        </w:rPr>
        <w:t>1585</w:t>
      </w:r>
      <w:r w:rsidRPr="00C36483">
        <w:rPr>
          <w:sz w:val="20"/>
          <w:szCs w:val="20"/>
        </w:rPr>
        <w:fldChar w:fldCharType="end"/>
      </w:r>
      <w:bookmarkStart w:id="0" w:name="_GoBack"/>
      <w:bookmarkEnd w:id="0"/>
      <w:r w:rsidR="00FD4E37" w:rsidRPr="00C36483">
        <w:rPr>
          <w:sz w:val="20"/>
          <w:szCs w:val="20"/>
        </w:rPr>
        <w:tab/>
      </w:r>
    </w:p>
    <w:p w:rsidR="00132860" w:rsidRPr="00C36483" w:rsidRDefault="00132860" w:rsidP="00132860">
      <w:pPr>
        <w:ind w:firstLine="0"/>
        <w:rPr>
          <w:color w:val="000000"/>
          <w:szCs w:val="24"/>
        </w:rPr>
      </w:pPr>
      <w:r w:rsidRPr="00C36483">
        <w:rPr>
          <w:color w:val="000000"/>
          <w:szCs w:val="24"/>
        </w:rPr>
        <w:t>Juris Krasovskis</w:t>
      </w:r>
    </w:p>
    <w:p w:rsidR="00132860" w:rsidRPr="00C36483" w:rsidRDefault="00132860" w:rsidP="00132860">
      <w:pPr>
        <w:ind w:firstLine="0"/>
        <w:rPr>
          <w:color w:val="000000"/>
          <w:szCs w:val="24"/>
        </w:rPr>
      </w:pPr>
      <w:r w:rsidRPr="00C36483">
        <w:rPr>
          <w:color w:val="000000"/>
          <w:szCs w:val="24"/>
        </w:rPr>
        <w:t>Nodrošinājuma valsts aģentūras</w:t>
      </w:r>
    </w:p>
    <w:p w:rsidR="00132860" w:rsidRPr="00C36483" w:rsidRDefault="00132860" w:rsidP="00132860">
      <w:pPr>
        <w:ind w:firstLine="0"/>
        <w:rPr>
          <w:color w:val="000000"/>
          <w:szCs w:val="24"/>
        </w:rPr>
      </w:pPr>
      <w:r w:rsidRPr="00C36483">
        <w:rPr>
          <w:color w:val="000000"/>
          <w:szCs w:val="24"/>
        </w:rPr>
        <w:t>Administratīvās nodaļas juriskonsults</w:t>
      </w:r>
    </w:p>
    <w:p w:rsidR="00132860" w:rsidRPr="00C36483" w:rsidRDefault="00132860" w:rsidP="00132860">
      <w:pPr>
        <w:ind w:firstLine="0"/>
        <w:rPr>
          <w:color w:val="000000"/>
          <w:szCs w:val="24"/>
        </w:rPr>
      </w:pPr>
      <w:r w:rsidRPr="00C36483">
        <w:rPr>
          <w:color w:val="000000"/>
          <w:szCs w:val="24"/>
        </w:rPr>
        <w:t>tālrunis: 67829059, fakss 67829082</w:t>
      </w:r>
    </w:p>
    <w:p w:rsidR="00FD4E37" w:rsidRPr="00C36483" w:rsidRDefault="00132860" w:rsidP="00132860">
      <w:pPr>
        <w:ind w:firstLine="0"/>
      </w:pPr>
      <w:r w:rsidRPr="00C36483">
        <w:rPr>
          <w:color w:val="000000"/>
          <w:szCs w:val="24"/>
        </w:rPr>
        <w:t xml:space="preserve">e-pasts: </w:t>
      </w:r>
      <w:hyperlink r:id="rId9" w:history="1">
        <w:r w:rsidRPr="00C36483">
          <w:rPr>
            <w:rStyle w:val="Hyperlink"/>
            <w:szCs w:val="24"/>
            <w:u w:val="none"/>
          </w:rPr>
          <w:t>Juris.Krasovskis@agentura.iem.gov.lv</w:t>
        </w:r>
      </w:hyperlink>
    </w:p>
    <w:sectPr w:rsidR="00FD4E37" w:rsidRPr="00C36483" w:rsidSect="00780EAE">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D39" w:rsidRDefault="00326D39" w:rsidP="00780EAE">
      <w:r>
        <w:separator/>
      </w:r>
    </w:p>
  </w:endnote>
  <w:endnote w:type="continuationSeparator" w:id="0">
    <w:p w:rsidR="00326D39" w:rsidRDefault="00326D39" w:rsidP="0078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37" w:rsidRPr="00994F80" w:rsidRDefault="00FD4E37" w:rsidP="00FD4E37">
    <w:pPr>
      <w:pStyle w:val="Footer"/>
      <w:ind w:firstLine="0"/>
      <w:rPr>
        <w:b/>
      </w:rPr>
    </w:pPr>
    <w:r w:rsidRPr="00994F80">
      <w:rPr>
        <w:lang w:val="en-US"/>
      </w:rPr>
      <w:fldChar w:fldCharType="begin"/>
    </w:r>
    <w:r w:rsidRPr="00994F80">
      <w:rPr>
        <w:lang w:val="en-US"/>
      </w:rPr>
      <w:instrText xml:space="preserve"> FILENAME   \* MERGEFORMAT </w:instrText>
    </w:r>
    <w:r w:rsidRPr="00994F80">
      <w:rPr>
        <w:lang w:val="en-US"/>
      </w:rPr>
      <w:fldChar w:fldCharType="separate"/>
    </w:r>
    <w:r w:rsidR="00C87497">
      <w:rPr>
        <w:noProof/>
        <w:lang w:val="en-US"/>
      </w:rPr>
      <w:t>IeMAnot_270312.docx</w:t>
    </w:r>
    <w:r w:rsidRPr="00994F80">
      <w:fldChar w:fldCharType="end"/>
    </w:r>
    <w:r w:rsidRPr="00994F80">
      <w:rPr>
        <w:lang w:val="en-US"/>
      </w:rPr>
      <w:t>; Ministru kabineta noteikumu projekta „</w:t>
    </w:r>
    <w:r w:rsidRPr="00994F80">
      <w:t>Grozījumi Ministru kabineta 2011.gada 27.decembra noteikumos Nr.1011 „Ieroču atļauju noteikumi, kā arī ieroču izņemšanas un iznīcināšanas kārtība””</w:t>
    </w:r>
    <w:r w:rsidRPr="00994F80">
      <w:rPr>
        <w:b/>
      </w:rPr>
      <w:t xml:space="preserve"> </w:t>
    </w:r>
    <w:r w:rsidRPr="00994F80">
      <w:t>sākotnējās ietekmes novērtējuma ziņojums (anotācija)</w:t>
    </w:r>
  </w:p>
  <w:p w:rsidR="002700D3" w:rsidRPr="00994F80" w:rsidRDefault="002700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37" w:rsidRPr="00994F80" w:rsidRDefault="00FD4E37" w:rsidP="00FD4E37">
    <w:pPr>
      <w:pStyle w:val="Footer"/>
      <w:ind w:firstLine="0"/>
      <w:rPr>
        <w:b/>
      </w:rPr>
    </w:pPr>
    <w:r w:rsidRPr="00994F80">
      <w:rPr>
        <w:lang w:val="en-US"/>
      </w:rPr>
      <w:fldChar w:fldCharType="begin"/>
    </w:r>
    <w:r w:rsidRPr="00994F80">
      <w:rPr>
        <w:lang w:val="en-US"/>
      </w:rPr>
      <w:instrText xml:space="preserve"> FILENAME   \* MERGEFORMAT </w:instrText>
    </w:r>
    <w:r w:rsidRPr="00994F80">
      <w:rPr>
        <w:lang w:val="en-US"/>
      </w:rPr>
      <w:fldChar w:fldCharType="separate"/>
    </w:r>
    <w:r w:rsidR="00C87497">
      <w:rPr>
        <w:noProof/>
        <w:lang w:val="en-US"/>
      </w:rPr>
      <w:t>IeMAnot_270312.docx</w:t>
    </w:r>
    <w:r w:rsidRPr="00994F80">
      <w:fldChar w:fldCharType="end"/>
    </w:r>
    <w:r w:rsidRPr="00994F80">
      <w:rPr>
        <w:lang w:val="en-US"/>
      </w:rPr>
      <w:t>; Ministru kabineta noteikumu projekta „</w:t>
    </w:r>
    <w:r w:rsidRPr="00994F80">
      <w:t>Grozījumi Ministru kabineta 2011.gada 27.decembra noteikumos Nr.1011 „Ieroču atļauju noteikumi, kā arī ieroču izņemšanas un iznīcināšanas kārtība””</w:t>
    </w:r>
    <w:r w:rsidRPr="00994F80">
      <w:rPr>
        <w:b/>
        <w:sz w:val="24"/>
      </w:rPr>
      <w:t xml:space="preserve"> </w:t>
    </w:r>
    <w:r w:rsidRPr="00994F80">
      <w:t>sākotnējās ietekmes novērtējuma ziņojums (anotācija)</w:t>
    </w:r>
  </w:p>
  <w:p w:rsidR="00FD4E37" w:rsidRPr="00994F80" w:rsidRDefault="00FD4E37" w:rsidP="00FD4E37">
    <w:pPr>
      <w:pStyle w:val="Footer"/>
      <w:ind w:firstLine="0"/>
      <w:rPr>
        <w:lang w:val="en-US"/>
      </w:rPr>
    </w:pPr>
  </w:p>
  <w:p w:rsidR="00FD4E37" w:rsidRPr="00994F80" w:rsidRDefault="00FD4E37">
    <w:pPr>
      <w:pStyle w:val="Footer"/>
    </w:pPr>
  </w:p>
  <w:p w:rsidR="00FD4E37" w:rsidRPr="00994F80" w:rsidRDefault="00FD4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D39" w:rsidRDefault="00326D39" w:rsidP="00780EAE">
      <w:r>
        <w:separator/>
      </w:r>
    </w:p>
  </w:footnote>
  <w:footnote w:type="continuationSeparator" w:id="0">
    <w:p w:rsidR="00326D39" w:rsidRDefault="00326D39" w:rsidP="00780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102569"/>
      <w:docPartObj>
        <w:docPartGallery w:val="Page Numbers (Top of Page)"/>
        <w:docPartUnique/>
      </w:docPartObj>
    </w:sdtPr>
    <w:sdtEndPr>
      <w:rPr>
        <w:noProof/>
      </w:rPr>
    </w:sdtEndPr>
    <w:sdtContent>
      <w:p w:rsidR="00780EAE" w:rsidRDefault="00780EAE" w:rsidP="00780EAE">
        <w:pPr>
          <w:pStyle w:val="Header"/>
          <w:ind w:firstLine="0"/>
          <w:jc w:val="center"/>
        </w:pPr>
        <w:r>
          <w:fldChar w:fldCharType="begin"/>
        </w:r>
        <w:r>
          <w:instrText xml:space="preserve"> PAGE   \* MERGEFORMAT </w:instrText>
        </w:r>
        <w:r>
          <w:fldChar w:fldCharType="separate"/>
        </w:r>
        <w:r w:rsidR="00C87497">
          <w:rPr>
            <w:noProof/>
          </w:rPr>
          <w:t>7</w:t>
        </w:r>
        <w:r>
          <w:rPr>
            <w:noProof/>
          </w:rPr>
          <w:fldChar w:fldCharType="end"/>
        </w:r>
      </w:p>
    </w:sdtContent>
  </w:sdt>
  <w:p w:rsidR="00780EAE" w:rsidRDefault="00780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810D7"/>
    <w:multiLevelType w:val="hybridMultilevel"/>
    <w:tmpl w:val="C07C08A0"/>
    <w:lvl w:ilvl="0" w:tplc="F0F69BB8">
      <w:start w:val="1"/>
      <w:numFmt w:val="bullet"/>
      <w:lvlText w:val=""/>
      <w:lvlJc w:val="left"/>
      <w:pPr>
        <w:ind w:left="1105" w:hanging="360"/>
      </w:pPr>
      <w:rPr>
        <w:rFonts w:ascii="Symbol" w:hAnsi="Symbol" w:hint="default"/>
      </w:rPr>
    </w:lvl>
    <w:lvl w:ilvl="1" w:tplc="04260003" w:tentative="1">
      <w:start w:val="1"/>
      <w:numFmt w:val="bullet"/>
      <w:lvlText w:val="o"/>
      <w:lvlJc w:val="left"/>
      <w:pPr>
        <w:ind w:left="1825" w:hanging="360"/>
      </w:pPr>
      <w:rPr>
        <w:rFonts w:ascii="Courier New" w:hAnsi="Courier New" w:cs="Courier New" w:hint="default"/>
      </w:rPr>
    </w:lvl>
    <w:lvl w:ilvl="2" w:tplc="04260005" w:tentative="1">
      <w:start w:val="1"/>
      <w:numFmt w:val="bullet"/>
      <w:lvlText w:val=""/>
      <w:lvlJc w:val="left"/>
      <w:pPr>
        <w:ind w:left="2545" w:hanging="360"/>
      </w:pPr>
      <w:rPr>
        <w:rFonts w:ascii="Wingdings" w:hAnsi="Wingdings" w:hint="default"/>
      </w:rPr>
    </w:lvl>
    <w:lvl w:ilvl="3" w:tplc="04260001" w:tentative="1">
      <w:start w:val="1"/>
      <w:numFmt w:val="bullet"/>
      <w:lvlText w:val=""/>
      <w:lvlJc w:val="left"/>
      <w:pPr>
        <w:ind w:left="3265" w:hanging="360"/>
      </w:pPr>
      <w:rPr>
        <w:rFonts w:ascii="Symbol" w:hAnsi="Symbol" w:hint="default"/>
      </w:rPr>
    </w:lvl>
    <w:lvl w:ilvl="4" w:tplc="04260003" w:tentative="1">
      <w:start w:val="1"/>
      <w:numFmt w:val="bullet"/>
      <w:lvlText w:val="o"/>
      <w:lvlJc w:val="left"/>
      <w:pPr>
        <w:ind w:left="3985" w:hanging="360"/>
      </w:pPr>
      <w:rPr>
        <w:rFonts w:ascii="Courier New" w:hAnsi="Courier New" w:cs="Courier New" w:hint="default"/>
      </w:rPr>
    </w:lvl>
    <w:lvl w:ilvl="5" w:tplc="04260005" w:tentative="1">
      <w:start w:val="1"/>
      <w:numFmt w:val="bullet"/>
      <w:lvlText w:val=""/>
      <w:lvlJc w:val="left"/>
      <w:pPr>
        <w:ind w:left="4705" w:hanging="360"/>
      </w:pPr>
      <w:rPr>
        <w:rFonts w:ascii="Wingdings" w:hAnsi="Wingdings" w:hint="default"/>
      </w:rPr>
    </w:lvl>
    <w:lvl w:ilvl="6" w:tplc="04260001" w:tentative="1">
      <w:start w:val="1"/>
      <w:numFmt w:val="bullet"/>
      <w:lvlText w:val=""/>
      <w:lvlJc w:val="left"/>
      <w:pPr>
        <w:ind w:left="5425" w:hanging="360"/>
      </w:pPr>
      <w:rPr>
        <w:rFonts w:ascii="Symbol" w:hAnsi="Symbol" w:hint="default"/>
      </w:rPr>
    </w:lvl>
    <w:lvl w:ilvl="7" w:tplc="04260003" w:tentative="1">
      <w:start w:val="1"/>
      <w:numFmt w:val="bullet"/>
      <w:lvlText w:val="o"/>
      <w:lvlJc w:val="left"/>
      <w:pPr>
        <w:ind w:left="6145" w:hanging="360"/>
      </w:pPr>
      <w:rPr>
        <w:rFonts w:ascii="Courier New" w:hAnsi="Courier New" w:cs="Courier New" w:hint="default"/>
      </w:rPr>
    </w:lvl>
    <w:lvl w:ilvl="8" w:tplc="04260005" w:tentative="1">
      <w:start w:val="1"/>
      <w:numFmt w:val="bullet"/>
      <w:lvlText w:val=""/>
      <w:lvlJc w:val="left"/>
      <w:pPr>
        <w:ind w:left="68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A3D"/>
    <w:rsid w:val="0000336E"/>
    <w:rsid w:val="00021E8A"/>
    <w:rsid w:val="000228B0"/>
    <w:rsid w:val="0003419A"/>
    <w:rsid w:val="00070BFC"/>
    <w:rsid w:val="0007646E"/>
    <w:rsid w:val="00095405"/>
    <w:rsid w:val="000A2239"/>
    <w:rsid w:val="000C1284"/>
    <w:rsid w:val="000C6D44"/>
    <w:rsid w:val="00125497"/>
    <w:rsid w:val="00132860"/>
    <w:rsid w:val="00137E46"/>
    <w:rsid w:val="0016100C"/>
    <w:rsid w:val="00181032"/>
    <w:rsid w:val="001A6068"/>
    <w:rsid w:val="001C6303"/>
    <w:rsid w:val="001D2D5C"/>
    <w:rsid w:val="001E25AC"/>
    <w:rsid w:val="001E438D"/>
    <w:rsid w:val="001F0D24"/>
    <w:rsid w:val="00213A1D"/>
    <w:rsid w:val="00217996"/>
    <w:rsid w:val="002249B6"/>
    <w:rsid w:val="002700D3"/>
    <w:rsid w:val="002C14D4"/>
    <w:rsid w:val="002C5551"/>
    <w:rsid w:val="002E54A6"/>
    <w:rsid w:val="00326D39"/>
    <w:rsid w:val="00344087"/>
    <w:rsid w:val="00347FDC"/>
    <w:rsid w:val="00352BCE"/>
    <w:rsid w:val="0038142B"/>
    <w:rsid w:val="003A07E0"/>
    <w:rsid w:val="003A17E8"/>
    <w:rsid w:val="00412143"/>
    <w:rsid w:val="0041445F"/>
    <w:rsid w:val="00414510"/>
    <w:rsid w:val="004677C4"/>
    <w:rsid w:val="004B0DB3"/>
    <w:rsid w:val="004B6110"/>
    <w:rsid w:val="004D287F"/>
    <w:rsid w:val="004D4851"/>
    <w:rsid w:val="00503A3D"/>
    <w:rsid w:val="00523A46"/>
    <w:rsid w:val="005272D9"/>
    <w:rsid w:val="00553AF3"/>
    <w:rsid w:val="005C60AF"/>
    <w:rsid w:val="005C6B67"/>
    <w:rsid w:val="005C7F33"/>
    <w:rsid w:val="006048CE"/>
    <w:rsid w:val="00605AAD"/>
    <w:rsid w:val="00673223"/>
    <w:rsid w:val="006864AE"/>
    <w:rsid w:val="006A596F"/>
    <w:rsid w:val="006B723D"/>
    <w:rsid w:val="006E4786"/>
    <w:rsid w:val="00726C46"/>
    <w:rsid w:val="007317D1"/>
    <w:rsid w:val="00736563"/>
    <w:rsid w:val="00746B32"/>
    <w:rsid w:val="00763770"/>
    <w:rsid w:val="00763982"/>
    <w:rsid w:val="00772AE7"/>
    <w:rsid w:val="00780EAE"/>
    <w:rsid w:val="007B3B23"/>
    <w:rsid w:val="007B5289"/>
    <w:rsid w:val="007D2119"/>
    <w:rsid w:val="007D37EE"/>
    <w:rsid w:val="007D5E46"/>
    <w:rsid w:val="007E58A0"/>
    <w:rsid w:val="00824893"/>
    <w:rsid w:val="00856951"/>
    <w:rsid w:val="00876EF6"/>
    <w:rsid w:val="00890188"/>
    <w:rsid w:val="008A740C"/>
    <w:rsid w:val="008C686E"/>
    <w:rsid w:val="00906F25"/>
    <w:rsid w:val="00912544"/>
    <w:rsid w:val="00945DC1"/>
    <w:rsid w:val="0096570A"/>
    <w:rsid w:val="00977C6C"/>
    <w:rsid w:val="00994F80"/>
    <w:rsid w:val="009C7883"/>
    <w:rsid w:val="009D13AB"/>
    <w:rsid w:val="009D6A06"/>
    <w:rsid w:val="009E4240"/>
    <w:rsid w:val="009E5DC1"/>
    <w:rsid w:val="00A00D3D"/>
    <w:rsid w:val="00A02A40"/>
    <w:rsid w:val="00A23AFE"/>
    <w:rsid w:val="00A35ACB"/>
    <w:rsid w:val="00A83BC1"/>
    <w:rsid w:val="00A94D6B"/>
    <w:rsid w:val="00AB4CE1"/>
    <w:rsid w:val="00AC2EDF"/>
    <w:rsid w:val="00B06D5D"/>
    <w:rsid w:val="00B21A75"/>
    <w:rsid w:val="00B5391D"/>
    <w:rsid w:val="00B648C6"/>
    <w:rsid w:val="00B83CAE"/>
    <w:rsid w:val="00B871AE"/>
    <w:rsid w:val="00B8760D"/>
    <w:rsid w:val="00B96127"/>
    <w:rsid w:val="00BA2B2D"/>
    <w:rsid w:val="00BB17CD"/>
    <w:rsid w:val="00BB72F1"/>
    <w:rsid w:val="00BB7E06"/>
    <w:rsid w:val="00BC2C9E"/>
    <w:rsid w:val="00BE6583"/>
    <w:rsid w:val="00BF01C4"/>
    <w:rsid w:val="00BF4C99"/>
    <w:rsid w:val="00C06506"/>
    <w:rsid w:val="00C31B7C"/>
    <w:rsid w:val="00C36483"/>
    <w:rsid w:val="00C655DE"/>
    <w:rsid w:val="00C80A3B"/>
    <w:rsid w:val="00C87497"/>
    <w:rsid w:val="00CB1734"/>
    <w:rsid w:val="00CB79C6"/>
    <w:rsid w:val="00CD0A3D"/>
    <w:rsid w:val="00CE0E36"/>
    <w:rsid w:val="00D04B86"/>
    <w:rsid w:val="00D10049"/>
    <w:rsid w:val="00D17609"/>
    <w:rsid w:val="00D3615D"/>
    <w:rsid w:val="00D46953"/>
    <w:rsid w:val="00D53E63"/>
    <w:rsid w:val="00D55A4B"/>
    <w:rsid w:val="00D568CE"/>
    <w:rsid w:val="00D910A1"/>
    <w:rsid w:val="00D971A2"/>
    <w:rsid w:val="00DD03FC"/>
    <w:rsid w:val="00DD0B36"/>
    <w:rsid w:val="00DD5336"/>
    <w:rsid w:val="00DD6091"/>
    <w:rsid w:val="00DE3CDF"/>
    <w:rsid w:val="00E06702"/>
    <w:rsid w:val="00E13DAA"/>
    <w:rsid w:val="00E25645"/>
    <w:rsid w:val="00E90377"/>
    <w:rsid w:val="00E96610"/>
    <w:rsid w:val="00E971DA"/>
    <w:rsid w:val="00EA4494"/>
    <w:rsid w:val="00EB17FA"/>
    <w:rsid w:val="00EC4966"/>
    <w:rsid w:val="00F003CC"/>
    <w:rsid w:val="00F03714"/>
    <w:rsid w:val="00F506C3"/>
    <w:rsid w:val="00F64175"/>
    <w:rsid w:val="00FC1AAA"/>
    <w:rsid w:val="00FC4AF7"/>
    <w:rsid w:val="00FD1AA0"/>
    <w:rsid w:val="00FD442D"/>
    <w:rsid w:val="00FD4E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D0A3D"/>
    <w:pPr>
      <w:spacing w:before="150" w:after="150"/>
      <w:ind w:firstLine="0"/>
      <w:jc w:val="center"/>
    </w:pPr>
    <w:rPr>
      <w:rFonts w:eastAsia="Times New Roman"/>
      <w:b/>
      <w:bCs/>
      <w:sz w:val="24"/>
      <w:szCs w:val="24"/>
    </w:rPr>
  </w:style>
  <w:style w:type="paragraph" w:customStyle="1" w:styleId="naiskr">
    <w:name w:val="naiskr"/>
    <w:basedOn w:val="Normal"/>
    <w:rsid w:val="00CD0A3D"/>
    <w:pPr>
      <w:spacing w:before="75" w:after="75"/>
      <w:ind w:firstLine="0"/>
      <w:jc w:val="left"/>
    </w:pPr>
    <w:rPr>
      <w:rFonts w:eastAsia="Times New Roman"/>
      <w:sz w:val="24"/>
      <w:szCs w:val="24"/>
    </w:rPr>
  </w:style>
  <w:style w:type="paragraph" w:styleId="FootnoteText">
    <w:name w:val="footnote text"/>
    <w:basedOn w:val="Normal"/>
    <w:link w:val="FootnoteTextChar"/>
    <w:semiHidden/>
    <w:rsid w:val="00CD0A3D"/>
    <w:pPr>
      <w:ind w:firstLine="0"/>
      <w:jc w:val="left"/>
    </w:pPr>
    <w:rPr>
      <w:rFonts w:eastAsia="Times New Roman"/>
    </w:rPr>
  </w:style>
  <w:style w:type="character" w:customStyle="1" w:styleId="FootnoteTextChar">
    <w:name w:val="Footnote Text Char"/>
    <w:basedOn w:val="DefaultParagraphFont"/>
    <w:link w:val="FootnoteText"/>
    <w:semiHidden/>
    <w:rsid w:val="00CD0A3D"/>
    <w:rPr>
      <w:rFonts w:eastAsia="Times New Roman"/>
      <w:sz w:val="20"/>
      <w:lang w:eastAsia="lv-LV"/>
    </w:rPr>
  </w:style>
  <w:style w:type="paragraph" w:customStyle="1" w:styleId="naisf">
    <w:name w:val="naisf"/>
    <w:basedOn w:val="Normal"/>
    <w:rsid w:val="00C31B7C"/>
    <w:pPr>
      <w:spacing w:before="75" w:after="75"/>
      <w:ind w:firstLine="375"/>
    </w:pPr>
    <w:rPr>
      <w:rFonts w:eastAsia="Times New Roman"/>
      <w:sz w:val="24"/>
      <w:szCs w:val="24"/>
    </w:rPr>
  </w:style>
  <w:style w:type="paragraph" w:styleId="Header">
    <w:name w:val="header"/>
    <w:basedOn w:val="Normal"/>
    <w:link w:val="HeaderChar"/>
    <w:uiPriority w:val="99"/>
    <w:unhideWhenUsed/>
    <w:rsid w:val="00780EAE"/>
    <w:pPr>
      <w:tabs>
        <w:tab w:val="center" w:pos="4153"/>
        <w:tab w:val="right" w:pos="8306"/>
      </w:tabs>
    </w:pPr>
  </w:style>
  <w:style w:type="character" w:customStyle="1" w:styleId="HeaderChar">
    <w:name w:val="Header Char"/>
    <w:basedOn w:val="DefaultParagraphFont"/>
    <w:link w:val="Header"/>
    <w:uiPriority w:val="99"/>
    <w:rsid w:val="00780EAE"/>
    <w:rPr>
      <w:sz w:val="20"/>
      <w:lang w:eastAsia="lv-LV"/>
    </w:rPr>
  </w:style>
  <w:style w:type="paragraph" w:styleId="Footer">
    <w:name w:val="footer"/>
    <w:basedOn w:val="Normal"/>
    <w:link w:val="FooterChar"/>
    <w:uiPriority w:val="99"/>
    <w:unhideWhenUsed/>
    <w:rsid w:val="00780EAE"/>
    <w:pPr>
      <w:tabs>
        <w:tab w:val="center" w:pos="4153"/>
        <w:tab w:val="right" w:pos="8306"/>
      </w:tabs>
    </w:pPr>
  </w:style>
  <w:style w:type="character" w:customStyle="1" w:styleId="FooterChar">
    <w:name w:val="Footer Char"/>
    <w:basedOn w:val="DefaultParagraphFont"/>
    <w:link w:val="Footer"/>
    <w:uiPriority w:val="99"/>
    <w:rsid w:val="00780EAE"/>
    <w:rPr>
      <w:sz w:val="20"/>
      <w:lang w:eastAsia="lv-LV"/>
    </w:rPr>
  </w:style>
  <w:style w:type="character" w:styleId="Hyperlink">
    <w:name w:val="Hyperlink"/>
    <w:basedOn w:val="DefaultParagraphFont"/>
    <w:uiPriority w:val="99"/>
    <w:unhideWhenUsed/>
    <w:rsid w:val="002700D3"/>
    <w:rPr>
      <w:color w:val="0000FF" w:themeColor="hyperlink"/>
      <w:u w:val="single"/>
    </w:rPr>
  </w:style>
  <w:style w:type="paragraph" w:styleId="BalloonText">
    <w:name w:val="Balloon Text"/>
    <w:basedOn w:val="Normal"/>
    <w:link w:val="BalloonTextChar"/>
    <w:uiPriority w:val="99"/>
    <w:semiHidden/>
    <w:unhideWhenUsed/>
    <w:rsid w:val="00FD4E37"/>
    <w:rPr>
      <w:rFonts w:ascii="Tahoma" w:hAnsi="Tahoma" w:cs="Tahoma"/>
      <w:sz w:val="16"/>
      <w:szCs w:val="16"/>
    </w:rPr>
  </w:style>
  <w:style w:type="character" w:customStyle="1" w:styleId="BalloonTextChar">
    <w:name w:val="Balloon Text Char"/>
    <w:basedOn w:val="DefaultParagraphFont"/>
    <w:link w:val="BalloonText"/>
    <w:uiPriority w:val="99"/>
    <w:semiHidden/>
    <w:rsid w:val="00FD4E37"/>
    <w:rPr>
      <w:rFonts w:ascii="Tahoma" w:hAnsi="Tahoma" w:cs="Tahoma"/>
      <w:sz w:val="16"/>
      <w:szCs w:val="16"/>
      <w:lang w:eastAsia="lv-LV"/>
    </w:rPr>
  </w:style>
  <w:style w:type="paragraph" w:styleId="BodyTextIndent">
    <w:name w:val="Body Text Indent"/>
    <w:basedOn w:val="Normal"/>
    <w:link w:val="BodyTextIndentChar"/>
    <w:rsid w:val="00D17609"/>
    <w:pPr>
      <w:spacing w:after="120"/>
      <w:ind w:left="283"/>
    </w:pPr>
    <w:rPr>
      <w:rFonts w:eastAsia="Times New Roman"/>
      <w:sz w:val="28"/>
      <w:szCs w:val="24"/>
      <w:lang w:eastAsia="en-US"/>
    </w:rPr>
  </w:style>
  <w:style w:type="character" w:customStyle="1" w:styleId="BodyTextIndentChar">
    <w:name w:val="Body Text Indent Char"/>
    <w:basedOn w:val="DefaultParagraphFont"/>
    <w:link w:val="BodyTextIndent"/>
    <w:rsid w:val="00D17609"/>
    <w:rPr>
      <w:rFonts w:eastAsia="Times New Roman"/>
      <w:sz w:val="28"/>
      <w:szCs w:val="24"/>
    </w:rPr>
  </w:style>
  <w:style w:type="paragraph" w:customStyle="1" w:styleId="naisc">
    <w:name w:val="naisc"/>
    <w:basedOn w:val="Normal"/>
    <w:rsid w:val="00D17609"/>
    <w:pPr>
      <w:spacing w:before="100" w:beforeAutospacing="1" w:after="100" w:afterAutospacing="1"/>
      <w:ind w:firstLine="0"/>
      <w:jc w:val="left"/>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D0A3D"/>
    <w:pPr>
      <w:spacing w:before="150" w:after="150"/>
      <w:ind w:firstLine="0"/>
      <w:jc w:val="center"/>
    </w:pPr>
    <w:rPr>
      <w:rFonts w:eastAsia="Times New Roman"/>
      <w:b/>
      <w:bCs/>
      <w:sz w:val="24"/>
      <w:szCs w:val="24"/>
    </w:rPr>
  </w:style>
  <w:style w:type="paragraph" w:customStyle="1" w:styleId="naiskr">
    <w:name w:val="naiskr"/>
    <w:basedOn w:val="Normal"/>
    <w:rsid w:val="00CD0A3D"/>
    <w:pPr>
      <w:spacing w:before="75" w:after="75"/>
      <w:ind w:firstLine="0"/>
      <w:jc w:val="left"/>
    </w:pPr>
    <w:rPr>
      <w:rFonts w:eastAsia="Times New Roman"/>
      <w:sz w:val="24"/>
      <w:szCs w:val="24"/>
    </w:rPr>
  </w:style>
  <w:style w:type="paragraph" w:styleId="FootnoteText">
    <w:name w:val="footnote text"/>
    <w:basedOn w:val="Normal"/>
    <w:link w:val="FootnoteTextChar"/>
    <w:semiHidden/>
    <w:rsid w:val="00CD0A3D"/>
    <w:pPr>
      <w:ind w:firstLine="0"/>
      <w:jc w:val="left"/>
    </w:pPr>
    <w:rPr>
      <w:rFonts w:eastAsia="Times New Roman"/>
    </w:rPr>
  </w:style>
  <w:style w:type="character" w:customStyle="1" w:styleId="FootnoteTextChar">
    <w:name w:val="Footnote Text Char"/>
    <w:basedOn w:val="DefaultParagraphFont"/>
    <w:link w:val="FootnoteText"/>
    <w:semiHidden/>
    <w:rsid w:val="00CD0A3D"/>
    <w:rPr>
      <w:rFonts w:eastAsia="Times New Roman"/>
      <w:sz w:val="20"/>
      <w:lang w:eastAsia="lv-LV"/>
    </w:rPr>
  </w:style>
  <w:style w:type="paragraph" w:customStyle="1" w:styleId="naisf">
    <w:name w:val="naisf"/>
    <w:basedOn w:val="Normal"/>
    <w:rsid w:val="00C31B7C"/>
    <w:pPr>
      <w:spacing w:before="75" w:after="75"/>
      <w:ind w:firstLine="375"/>
    </w:pPr>
    <w:rPr>
      <w:rFonts w:eastAsia="Times New Roman"/>
      <w:sz w:val="24"/>
      <w:szCs w:val="24"/>
    </w:rPr>
  </w:style>
  <w:style w:type="paragraph" w:styleId="Header">
    <w:name w:val="header"/>
    <w:basedOn w:val="Normal"/>
    <w:link w:val="HeaderChar"/>
    <w:uiPriority w:val="99"/>
    <w:unhideWhenUsed/>
    <w:rsid w:val="00780EAE"/>
    <w:pPr>
      <w:tabs>
        <w:tab w:val="center" w:pos="4153"/>
        <w:tab w:val="right" w:pos="8306"/>
      </w:tabs>
    </w:pPr>
  </w:style>
  <w:style w:type="character" w:customStyle="1" w:styleId="HeaderChar">
    <w:name w:val="Header Char"/>
    <w:basedOn w:val="DefaultParagraphFont"/>
    <w:link w:val="Header"/>
    <w:uiPriority w:val="99"/>
    <w:rsid w:val="00780EAE"/>
    <w:rPr>
      <w:sz w:val="20"/>
      <w:lang w:eastAsia="lv-LV"/>
    </w:rPr>
  </w:style>
  <w:style w:type="paragraph" w:styleId="Footer">
    <w:name w:val="footer"/>
    <w:basedOn w:val="Normal"/>
    <w:link w:val="FooterChar"/>
    <w:uiPriority w:val="99"/>
    <w:unhideWhenUsed/>
    <w:rsid w:val="00780EAE"/>
    <w:pPr>
      <w:tabs>
        <w:tab w:val="center" w:pos="4153"/>
        <w:tab w:val="right" w:pos="8306"/>
      </w:tabs>
    </w:pPr>
  </w:style>
  <w:style w:type="character" w:customStyle="1" w:styleId="FooterChar">
    <w:name w:val="Footer Char"/>
    <w:basedOn w:val="DefaultParagraphFont"/>
    <w:link w:val="Footer"/>
    <w:uiPriority w:val="99"/>
    <w:rsid w:val="00780EAE"/>
    <w:rPr>
      <w:sz w:val="20"/>
      <w:lang w:eastAsia="lv-LV"/>
    </w:rPr>
  </w:style>
  <w:style w:type="character" w:styleId="Hyperlink">
    <w:name w:val="Hyperlink"/>
    <w:basedOn w:val="DefaultParagraphFont"/>
    <w:uiPriority w:val="99"/>
    <w:unhideWhenUsed/>
    <w:rsid w:val="002700D3"/>
    <w:rPr>
      <w:color w:val="0000FF" w:themeColor="hyperlink"/>
      <w:u w:val="single"/>
    </w:rPr>
  </w:style>
  <w:style w:type="paragraph" w:styleId="BalloonText">
    <w:name w:val="Balloon Text"/>
    <w:basedOn w:val="Normal"/>
    <w:link w:val="BalloonTextChar"/>
    <w:uiPriority w:val="99"/>
    <w:semiHidden/>
    <w:unhideWhenUsed/>
    <w:rsid w:val="00FD4E37"/>
    <w:rPr>
      <w:rFonts w:ascii="Tahoma" w:hAnsi="Tahoma" w:cs="Tahoma"/>
      <w:sz w:val="16"/>
      <w:szCs w:val="16"/>
    </w:rPr>
  </w:style>
  <w:style w:type="character" w:customStyle="1" w:styleId="BalloonTextChar">
    <w:name w:val="Balloon Text Char"/>
    <w:basedOn w:val="DefaultParagraphFont"/>
    <w:link w:val="BalloonText"/>
    <w:uiPriority w:val="99"/>
    <w:semiHidden/>
    <w:rsid w:val="00FD4E37"/>
    <w:rPr>
      <w:rFonts w:ascii="Tahoma" w:hAnsi="Tahoma" w:cs="Tahoma"/>
      <w:sz w:val="16"/>
      <w:szCs w:val="16"/>
      <w:lang w:eastAsia="lv-LV"/>
    </w:rPr>
  </w:style>
  <w:style w:type="paragraph" w:styleId="BodyTextIndent">
    <w:name w:val="Body Text Indent"/>
    <w:basedOn w:val="Normal"/>
    <w:link w:val="BodyTextIndentChar"/>
    <w:rsid w:val="00D17609"/>
    <w:pPr>
      <w:spacing w:after="120"/>
      <w:ind w:left="283"/>
    </w:pPr>
    <w:rPr>
      <w:rFonts w:eastAsia="Times New Roman"/>
      <w:sz w:val="28"/>
      <w:szCs w:val="24"/>
      <w:lang w:eastAsia="en-US"/>
    </w:rPr>
  </w:style>
  <w:style w:type="character" w:customStyle="1" w:styleId="BodyTextIndentChar">
    <w:name w:val="Body Text Indent Char"/>
    <w:basedOn w:val="DefaultParagraphFont"/>
    <w:link w:val="BodyTextIndent"/>
    <w:rsid w:val="00D17609"/>
    <w:rPr>
      <w:rFonts w:eastAsia="Times New Roman"/>
      <w:sz w:val="28"/>
      <w:szCs w:val="24"/>
    </w:rPr>
  </w:style>
  <w:style w:type="paragraph" w:customStyle="1" w:styleId="naisc">
    <w:name w:val="naisc"/>
    <w:basedOn w:val="Normal"/>
    <w:rsid w:val="00D17609"/>
    <w:pPr>
      <w:spacing w:before="100" w:beforeAutospacing="1" w:after="100" w:afterAutospacing="1"/>
      <w:ind w:firstLine="0"/>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890067">
      <w:bodyDiv w:val="1"/>
      <w:marLeft w:val="0"/>
      <w:marRight w:val="0"/>
      <w:marTop w:val="0"/>
      <w:marBottom w:val="0"/>
      <w:divBdr>
        <w:top w:val="none" w:sz="0" w:space="0" w:color="auto"/>
        <w:left w:val="none" w:sz="0" w:space="0" w:color="auto"/>
        <w:bottom w:val="none" w:sz="0" w:space="0" w:color="auto"/>
        <w:right w:val="none" w:sz="0" w:space="0" w:color="auto"/>
      </w:divBdr>
    </w:div>
    <w:div w:id="197717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uris.Krasovskis@agentura.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2AF02-7067-4780-B5B6-EDB02F8D7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1609</Words>
  <Characters>10736</Characters>
  <Application>Microsoft Office Word</Application>
  <DocSecurity>0</DocSecurity>
  <Lines>466</Lines>
  <Paragraphs>237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27.decembra noteikumos Nr.1011 „Ieroču atļauju noteikumi, kā arī ieroču izņemšanas un iznīcināšanas kārtība” sākotnējās ietekmes novērtējuma ziņojums (anotācija)</vt:lpstr>
    </vt:vector>
  </TitlesOfParts>
  <Company>Nodrošinājuma valsts aģentūra</Company>
  <LinksUpToDate>false</LinksUpToDate>
  <CharactersWithSpaces>12108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27.decembra noteikumos Nr.1011 „Ieroču atļauju noteikumi, kā arī ieroču izņemšanas un iznīcināšanas kārtība” sākotnējās ietekmes novērtējuma ziņojums (anotācija)</dc:title>
  <dc:creator>Nodrošinājuma valsts aģentūras Administratīvās nodaļas juriskonsults Juris Krasovskis, tālr.: 67829059, fakss: 67829082</dc:creator>
  <cp:lastModifiedBy>Juris Krasovskis</cp:lastModifiedBy>
  <cp:revision>12</cp:revision>
  <cp:lastPrinted>2012-05-14T09:56:00Z</cp:lastPrinted>
  <dcterms:created xsi:type="dcterms:W3CDTF">2012-03-20T09:01:00Z</dcterms:created>
  <dcterms:modified xsi:type="dcterms:W3CDTF">2012-05-14T09:56:00Z</dcterms:modified>
</cp:coreProperties>
</file>