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AA6" w:rsidRPr="00D65D1A" w:rsidRDefault="00616AA6" w:rsidP="00116D23">
      <w:pPr>
        <w:jc w:val="center"/>
        <w:rPr>
          <w:b/>
          <w:color w:val="000000"/>
          <w:sz w:val="28"/>
          <w:szCs w:val="28"/>
        </w:rPr>
      </w:pPr>
      <w:r w:rsidRPr="00D65D1A">
        <w:rPr>
          <w:b/>
          <w:sz w:val="28"/>
          <w:szCs w:val="28"/>
        </w:rPr>
        <w:t xml:space="preserve">Ministru kabineta noteikumu projekta </w:t>
      </w:r>
      <w:r w:rsidR="00687963" w:rsidRPr="00BA5E65">
        <w:rPr>
          <w:b/>
          <w:sz w:val="28"/>
          <w:szCs w:val="28"/>
        </w:rPr>
        <w:t>„</w:t>
      </w:r>
      <w:r w:rsidR="006522FE" w:rsidRPr="00BA5E65">
        <w:rPr>
          <w:b/>
          <w:sz w:val="28"/>
          <w:szCs w:val="28"/>
        </w:rPr>
        <w:t>Grozījum</w:t>
      </w:r>
      <w:r w:rsidR="006522FE">
        <w:rPr>
          <w:b/>
          <w:sz w:val="28"/>
          <w:szCs w:val="28"/>
        </w:rPr>
        <w:t>i</w:t>
      </w:r>
      <w:r w:rsidR="006522FE" w:rsidRPr="00BA5E65">
        <w:rPr>
          <w:b/>
          <w:color w:val="000000"/>
          <w:sz w:val="28"/>
          <w:szCs w:val="28"/>
        </w:rPr>
        <w:t xml:space="preserve"> </w:t>
      </w:r>
      <w:r w:rsidR="006522FE" w:rsidRPr="00633977">
        <w:rPr>
          <w:b/>
          <w:color w:val="000000"/>
          <w:sz w:val="28"/>
          <w:szCs w:val="28"/>
        </w:rPr>
        <w:t xml:space="preserve">Ministru kabineta </w:t>
      </w:r>
      <w:r w:rsidR="006522FE" w:rsidRPr="00633977">
        <w:rPr>
          <w:b/>
          <w:sz w:val="28"/>
          <w:szCs w:val="28"/>
        </w:rPr>
        <w:t xml:space="preserve">2010.gada 21.jūnija </w:t>
      </w:r>
      <w:r w:rsidR="006522FE" w:rsidRPr="00633977">
        <w:rPr>
          <w:b/>
          <w:color w:val="000000"/>
          <w:sz w:val="28"/>
          <w:szCs w:val="28"/>
        </w:rPr>
        <w:t>noteikumos Nr.569</w:t>
      </w:r>
      <w:r w:rsidR="006522FE" w:rsidRPr="00633977">
        <w:rPr>
          <w:b/>
          <w:bCs/>
          <w:sz w:val="28"/>
          <w:szCs w:val="28"/>
        </w:rPr>
        <w:t xml:space="preserve"> „</w:t>
      </w:r>
      <w:r w:rsidR="006522FE" w:rsidRPr="00633977">
        <w:rPr>
          <w:b/>
          <w:sz w:val="28"/>
          <w:szCs w:val="28"/>
        </w:rPr>
        <w:t>Kārtība, kādā Iekšlietu ministrijas sistēmas iestāžu un Ieslodzījuma vietu pārvaldes amatpersona ar speciālo dienesta pakāpi saņem apmaksātus veselības aprūpes pakalpojumus””</w:t>
      </w:r>
      <w:r w:rsidR="006522FE">
        <w:rPr>
          <w:b/>
          <w:sz w:val="28"/>
          <w:szCs w:val="28"/>
        </w:rPr>
        <w:t xml:space="preserve"> </w:t>
      </w:r>
      <w:r w:rsidRPr="00D65D1A">
        <w:rPr>
          <w:b/>
          <w:sz w:val="28"/>
          <w:szCs w:val="28"/>
        </w:rPr>
        <w:t>sākotnējās ietekmes novērtējuma ziņojums</w:t>
      </w:r>
      <w:r w:rsidR="00CC496E" w:rsidRPr="00D65D1A">
        <w:rPr>
          <w:b/>
          <w:sz w:val="28"/>
          <w:szCs w:val="28"/>
        </w:rPr>
        <w:t xml:space="preserve"> </w:t>
      </w:r>
      <w:r w:rsidRPr="00D65D1A">
        <w:rPr>
          <w:b/>
          <w:sz w:val="28"/>
          <w:szCs w:val="28"/>
        </w:rPr>
        <w:t>(anotācija)</w:t>
      </w:r>
    </w:p>
    <w:p w:rsidR="00616AA6" w:rsidRPr="00D65D1A" w:rsidRDefault="00616AA6" w:rsidP="00616AA6">
      <w:pPr>
        <w:pStyle w:val="BodyText"/>
        <w:rPr>
          <w:szCs w:val="28"/>
        </w:rPr>
      </w:pPr>
    </w:p>
    <w:tbl>
      <w:tblPr>
        <w:tblStyle w:val="TableGrid"/>
        <w:tblW w:w="9133" w:type="dxa"/>
        <w:tblLook w:val="04A0" w:firstRow="1" w:lastRow="0" w:firstColumn="1" w:lastColumn="0" w:noHBand="0" w:noVBand="1"/>
      </w:tblPr>
      <w:tblGrid>
        <w:gridCol w:w="562"/>
        <w:gridCol w:w="1272"/>
        <w:gridCol w:w="108"/>
        <w:gridCol w:w="1148"/>
        <w:gridCol w:w="166"/>
        <w:gridCol w:w="1160"/>
        <w:gridCol w:w="1392"/>
        <w:gridCol w:w="425"/>
        <w:gridCol w:w="967"/>
        <w:gridCol w:w="1933"/>
      </w:tblGrid>
      <w:tr w:rsidR="00616AA6" w:rsidRPr="00D65D1A" w:rsidTr="006522FE">
        <w:tc>
          <w:tcPr>
            <w:tcW w:w="9133" w:type="dxa"/>
            <w:gridSpan w:val="10"/>
          </w:tcPr>
          <w:p w:rsidR="00616AA6" w:rsidRPr="00D65D1A" w:rsidRDefault="00616AA6" w:rsidP="00710EAA">
            <w:pPr>
              <w:pStyle w:val="BodyText"/>
              <w:spacing w:before="60" w:after="60"/>
              <w:rPr>
                <w:szCs w:val="28"/>
              </w:rPr>
            </w:pPr>
            <w:r w:rsidRPr="00D65D1A">
              <w:rPr>
                <w:szCs w:val="28"/>
              </w:rPr>
              <w:t>I. Tiesību akta projekta izstrādes nepieciešamība</w:t>
            </w:r>
          </w:p>
        </w:tc>
      </w:tr>
      <w:tr w:rsidR="00616AA6" w:rsidRPr="00D65D1A" w:rsidTr="00985272">
        <w:tc>
          <w:tcPr>
            <w:tcW w:w="562" w:type="dxa"/>
          </w:tcPr>
          <w:p w:rsidR="00616AA6" w:rsidRPr="00D65D1A" w:rsidRDefault="00616AA6" w:rsidP="00710EAA">
            <w:pPr>
              <w:spacing w:before="60"/>
              <w:rPr>
                <w:sz w:val="28"/>
                <w:szCs w:val="28"/>
              </w:rPr>
            </w:pPr>
            <w:r w:rsidRPr="00D65D1A">
              <w:rPr>
                <w:sz w:val="28"/>
                <w:szCs w:val="28"/>
              </w:rPr>
              <w:t>1.</w:t>
            </w:r>
          </w:p>
        </w:tc>
        <w:tc>
          <w:tcPr>
            <w:tcW w:w="2694" w:type="dxa"/>
            <w:gridSpan w:val="4"/>
          </w:tcPr>
          <w:p w:rsidR="00616AA6" w:rsidRPr="00985272" w:rsidRDefault="00616AA6" w:rsidP="00710EAA">
            <w:pPr>
              <w:spacing w:before="60"/>
              <w:rPr>
                <w:sz w:val="26"/>
                <w:szCs w:val="26"/>
              </w:rPr>
            </w:pPr>
            <w:r w:rsidRPr="00985272">
              <w:rPr>
                <w:sz w:val="26"/>
                <w:szCs w:val="26"/>
              </w:rPr>
              <w:t>Pamatojums</w:t>
            </w:r>
          </w:p>
        </w:tc>
        <w:tc>
          <w:tcPr>
            <w:tcW w:w="5877" w:type="dxa"/>
            <w:gridSpan w:val="5"/>
          </w:tcPr>
          <w:p w:rsidR="002B5B67" w:rsidRPr="00985272" w:rsidRDefault="00687963" w:rsidP="007702EA">
            <w:pPr>
              <w:spacing w:before="60"/>
              <w:jc w:val="both"/>
              <w:rPr>
                <w:sz w:val="26"/>
                <w:szCs w:val="26"/>
              </w:rPr>
            </w:pPr>
            <w:r w:rsidRPr="00985272">
              <w:rPr>
                <w:sz w:val="26"/>
                <w:szCs w:val="26"/>
              </w:rPr>
              <w:t xml:space="preserve">Ministru kabineta noteikumu projekts </w:t>
            </w:r>
            <w:r w:rsidR="00763BF7" w:rsidRPr="00763BF7">
              <w:rPr>
                <w:sz w:val="26"/>
                <w:szCs w:val="26"/>
              </w:rPr>
              <w:t>„Grozījumi Ministru kabineta 2010.gada 21.jūnija noteikumos Nr.569 „Kārtība, kādā Iekšlietu ministrijas sistēmas iestāžu un Ieslodzījuma vietu pārvaldes amatpersona ar speciālo dienesta pakāpi saņem apmaksātus veselības aprūpes pakalpojumus””</w:t>
            </w:r>
            <w:r w:rsidRPr="00763BF7">
              <w:rPr>
                <w:sz w:val="26"/>
                <w:szCs w:val="26"/>
              </w:rPr>
              <w:t>”</w:t>
            </w:r>
            <w:r w:rsidRPr="00985272">
              <w:rPr>
                <w:sz w:val="26"/>
                <w:szCs w:val="26"/>
              </w:rPr>
              <w:t xml:space="preserve"> (turpmāk – projekts) izstrādāts saskaņā ar Latvijas Republikas Saeimas 2013.gada 19.decembrī pieņemto likumu „</w:t>
            </w:r>
            <w:r w:rsidRPr="00763BF7">
              <w:rPr>
                <w:sz w:val="26"/>
                <w:szCs w:val="26"/>
              </w:rPr>
              <w:t>Grozījumi Valsts un pašvaldību institūciju amatpersonu</w:t>
            </w:r>
            <w:r w:rsidRPr="00985272">
              <w:rPr>
                <w:bCs/>
                <w:sz w:val="26"/>
                <w:szCs w:val="26"/>
              </w:rPr>
              <w:t xml:space="preserve"> un darbinieku atlīdzības likumā</w:t>
            </w:r>
            <w:r w:rsidRPr="00985272">
              <w:rPr>
                <w:sz w:val="26"/>
                <w:szCs w:val="26"/>
              </w:rPr>
              <w:t>”.</w:t>
            </w:r>
          </w:p>
        </w:tc>
      </w:tr>
      <w:tr w:rsidR="00616AA6" w:rsidRPr="00BA5E65" w:rsidTr="00985272">
        <w:tc>
          <w:tcPr>
            <w:tcW w:w="562" w:type="dxa"/>
          </w:tcPr>
          <w:p w:rsidR="00616AA6" w:rsidRPr="00D65D1A" w:rsidRDefault="00616AA6" w:rsidP="00710EAA">
            <w:pPr>
              <w:spacing w:before="60" w:line="720" w:lineRule="auto"/>
              <w:rPr>
                <w:sz w:val="28"/>
                <w:szCs w:val="28"/>
              </w:rPr>
            </w:pPr>
            <w:r w:rsidRPr="00D65D1A">
              <w:rPr>
                <w:sz w:val="28"/>
                <w:szCs w:val="28"/>
              </w:rPr>
              <w:t>2.</w:t>
            </w:r>
          </w:p>
        </w:tc>
        <w:tc>
          <w:tcPr>
            <w:tcW w:w="2694" w:type="dxa"/>
            <w:gridSpan w:val="4"/>
          </w:tcPr>
          <w:p w:rsidR="00616AA6" w:rsidRPr="00985272" w:rsidRDefault="00616AA6" w:rsidP="00710EAA">
            <w:pPr>
              <w:spacing w:before="60"/>
              <w:rPr>
                <w:sz w:val="26"/>
                <w:szCs w:val="26"/>
              </w:rPr>
            </w:pPr>
            <w:r w:rsidRPr="00985272">
              <w:rPr>
                <w:sz w:val="26"/>
                <w:szCs w:val="26"/>
              </w:rPr>
              <w:t>Pašreizējā situācija un problēmas</w:t>
            </w:r>
            <w:r w:rsidR="000F2F91" w:rsidRPr="00985272">
              <w:rPr>
                <w:sz w:val="26"/>
                <w:szCs w:val="26"/>
              </w:rPr>
              <w:t>, kuru risināšanai tiesību akta projekts izstrādāts, tiesiskā regulējuma mērķis un būtība</w:t>
            </w:r>
          </w:p>
        </w:tc>
        <w:tc>
          <w:tcPr>
            <w:tcW w:w="5877" w:type="dxa"/>
            <w:gridSpan w:val="5"/>
          </w:tcPr>
          <w:p w:rsidR="00CC769D" w:rsidRPr="00985272" w:rsidRDefault="00755684" w:rsidP="00687963">
            <w:pPr>
              <w:ind w:firstLine="720"/>
              <w:jc w:val="both"/>
              <w:rPr>
                <w:sz w:val="26"/>
                <w:szCs w:val="26"/>
              </w:rPr>
            </w:pPr>
            <w:r w:rsidRPr="00985272">
              <w:rPr>
                <w:sz w:val="26"/>
                <w:szCs w:val="26"/>
              </w:rPr>
              <w:t xml:space="preserve">Saskaņā ar </w:t>
            </w:r>
            <w:r w:rsidR="007702EA" w:rsidRPr="00985272">
              <w:rPr>
                <w:sz w:val="26"/>
                <w:szCs w:val="26"/>
              </w:rPr>
              <w:t>2013.gada 19.decembrī pieņemto likumu „</w:t>
            </w:r>
            <w:r w:rsidR="007702EA" w:rsidRPr="00985272">
              <w:rPr>
                <w:bCs/>
                <w:sz w:val="26"/>
                <w:szCs w:val="26"/>
              </w:rPr>
              <w:t>Grozījumi Valsts un pašvaldību institūciju amatpersonu un darbinieku atlīdzības likumā</w:t>
            </w:r>
            <w:r w:rsidR="007702EA" w:rsidRPr="00985272">
              <w:rPr>
                <w:sz w:val="26"/>
                <w:szCs w:val="26"/>
              </w:rPr>
              <w:t xml:space="preserve">” </w:t>
            </w:r>
            <w:r w:rsidR="00361CA0" w:rsidRPr="00985272">
              <w:rPr>
                <w:sz w:val="26"/>
                <w:szCs w:val="26"/>
              </w:rPr>
              <w:t>ar</w:t>
            </w:r>
            <w:r w:rsidRPr="00985272">
              <w:rPr>
                <w:sz w:val="26"/>
                <w:szCs w:val="26"/>
              </w:rPr>
              <w:t xml:space="preserve"> 2014.gada 1.janvār</w:t>
            </w:r>
            <w:r w:rsidR="00361CA0" w:rsidRPr="00985272">
              <w:rPr>
                <w:sz w:val="26"/>
                <w:szCs w:val="26"/>
              </w:rPr>
              <w:t xml:space="preserve">i </w:t>
            </w:r>
            <w:r w:rsidR="00361CA0" w:rsidRPr="00985272">
              <w:rPr>
                <w:bCs/>
                <w:sz w:val="26"/>
                <w:szCs w:val="26"/>
              </w:rPr>
              <w:t xml:space="preserve">Valsts un pašvaldību institūciju amatpersonu un darbinieku atlīdzības </w:t>
            </w:r>
            <w:r w:rsidR="00361CA0" w:rsidRPr="00985272">
              <w:rPr>
                <w:sz w:val="26"/>
                <w:szCs w:val="26"/>
              </w:rPr>
              <w:t>likum</w:t>
            </w:r>
            <w:r w:rsidR="007702EA" w:rsidRPr="00985272">
              <w:rPr>
                <w:sz w:val="26"/>
                <w:szCs w:val="26"/>
              </w:rPr>
              <w:t xml:space="preserve">a </w:t>
            </w:r>
            <w:r w:rsidR="00CC769D" w:rsidRPr="00985272">
              <w:rPr>
                <w:sz w:val="26"/>
                <w:szCs w:val="26"/>
              </w:rPr>
              <w:t xml:space="preserve">Pārejas noteikumi papildināti ar 26.punktu, kas paredz, ka  </w:t>
            </w:r>
          </w:p>
          <w:p w:rsidR="00CC769D" w:rsidRPr="00985272" w:rsidRDefault="00CC769D" w:rsidP="00CC769D">
            <w:pPr>
              <w:jc w:val="both"/>
              <w:rPr>
                <w:sz w:val="26"/>
                <w:szCs w:val="26"/>
              </w:rPr>
            </w:pPr>
            <w:r w:rsidRPr="00985272">
              <w:rPr>
                <w:sz w:val="26"/>
                <w:szCs w:val="26"/>
              </w:rPr>
              <w:t xml:space="preserve">Ministru kabinets attiecībā uz Iekšlietu ministrijas sistēmas iestāžu un Ieslodzījuma vietu pārvaldes amatpersonām ar speciālajām dienesta pakāpēm ar 2014.gada 1.janvāri atbilstoši valsts budžetā pieejamiem līdzekļiem iekļauj ārstniecības personas nozīmētus medikamentus un zobārstniecības un zobu higiēnas pakalpojumus apmaksājamo veselības aprūpes pakalpojumu apjomā un paaugstina apmaksājamo veselības pakalpojumu limitus, tādējādi nodrošinot, ka apmaksātās veselības aprūpes pakalpojumu apjoms nav mazāks par šā likuma </w:t>
            </w:r>
            <w:hyperlink r:id="rId9" w:anchor="p37" w:history="1">
              <w:r w:rsidRPr="00985272">
                <w:rPr>
                  <w:sz w:val="26"/>
                  <w:szCs w:val="26"/>
                </w:rPr>
                <w:t>37.panta</w:t>
              </w:r>
            </w:hyperlink>
            <w:r w:rsidRPr="00985272">
              <w:rPr>
                <w:sz w:val="26"/>
                <w:szCs w:val="26"/>
              </w:rPr>
              <w:t xml:space="preserve"> otrās daļas pirmajā teikumā minētās veselības apdrošināšanas polises parasti garantēto pakalpojumu klāstu un apmaksājamo apmēru līdzīgos apdrošināšanas gadījumos.</w:t>
            </w:r>
          </w:p>
          <w:p w:rsidR="007E0F97" w:rsidRPr="00985272" w:rsidRDefault="000C75A6" w:rsidP="00D42003">
            <w:pPr>
              <w:ind w:firstLine="720"/>
              <w:jc w:val="both"/>
              <w:rPr>
                <w:sz w:val="26"/>
                <w:szCs w:val="26"/>
              </w:rPr>
            </w:pPr>
            <w:r w:rsidRPr="00985272">
              <w:rPr>
                <w:sz w:val="26"/>
                <w:szCs w:val="26"/>
              </w:rPr>
              <w:t>Atbilstoši likumā noteiktajam</w:t>
            </w:r>
            <w:r w:rsidR="007702EA" w:rsidRPr="00985272">
              <w:rPr>
                <w:sz w:val="26"/>
                <w:szCs w:val="26"/>
              </w:rPr>
              <w:t xml:space="preserve"> </w:t>
            </w:r>
            <w:r w:rsidR="00CC769D" w:rsidRPr="00985272">
              <w:rPr>
                <w:sz w:val="26"/>
                <w:szCs w:val="26"/>
              </w:rPr>
              <w:t xml:space="preserve">projekts paredz </w:t>
            </w:r>
            <w:r w:rsidR="002C28A3" w:rsidRPr="00985272">
              <w:rPr>
                <w:sz w:val="26"/>
                <w:szCs w:val="26"/>
              </w:rPr>
              <w:t xml:space="preserve">ar 2014.gada 1.janvāri </w:t>
            </w:r>
            <w:r w:rsidR="00CC769D" w:rsidRPr="00985272">
              <w:rPr>
                <w:sz w:val="26"/>
                <w:szCs w:val="26"/>
              </w:rPr>
              <w:t xml:space="preserve">palielināt amatpersonai kompensējamo izdevumu par veselības aprūpes pakalpojumiem, kuri netiek segti no veselības aprūpei </w:t>
            </w:r>
            <w:r w:rsidR="00CC769D" w:rsidRPr="00985272">
              <w:rPr>
                <w:sz w:val="26"/>
                <w:szCs w:val="26"/>
              </w:rPr>
              <w:lastRenderedPageBreak/>
              <w:t>paredzētajiem valsts budžeta līdzekļiem vai saņemti ārpus rindas apmēru no pašreiz noteiktā 143 euro limita katrai amatpersonai gadā uz 215 euro apmēru kalendārā gadā katrai amatpersonai.</w:t>
            </w:r>
            <w:r w:rsidR="007E0F97" w:rsidRPr="00985272">
              <w:rPr>
                <w:sz w:val="26"/>
                <w:szCs w:val="26"/>
              </w:rPr>
              <w:t xml:space="preserve"> </w:t>
            </w:r>
          </w:p>
          <w:p w:rsidR="002C28A3" w:rsidRPr="00985272" w:rsidRDefault="007E0F97" w:rsidP="007E0F97">
            <w:pPr>
              <w:ind w:firstLine="720"/>
              <w:jc w:val="both"/>
              <w:rPr>
                <w:sz w:val="26"/>
                <w:szCs w:val="26"/>
              </w:rPr>
            </w:pPr>
            <w:r w:rsidRPr="00985272">
              <w:rPr>
                <w:sz w:val="26"/>
                <w:szCs w:val="26"/>
              </w:rPr>
              <w:t>Noteikumu projekts paredz</w:t>
            </w:r>
            <w:r w:rsidR="002C28A3" w:rsidRPr="00985272">
              <w:rPr>
                <w:sz w:val="26"/>
                <w:szCs w:val="26"/>
              </w:rPr>
              <w:t xml:space="preserve"> bez pārejas perioda un sākot ar 2014.gada 1.janvāri </w:t>
            </w:r>
            <w:r w:rsidRPr="00985272">
              <w:rPr>
                <w:sz w:val="26"/>
                <w:szCs w:val="26"/>
              </w:rPr>
              <w:t xml:space="preserve">palielināt amatpersonai kompensējamo izdevumu par zobārstniecības pakalpojumiem un medikamentiem apmēru - par zobārstniecības pakalpojumiem no 72 euro un kompensācijas 50% apmērā uz 145 euro kompensāciju pilnā apmērā, bet medikamentiem no 43 euro apmēra un kompensācijas 50% apmērā uz 75 euro un kompensāciju 75% apmērā katrai amatpersonai kalendārā gada laikā. Attiecībā uz medikamentu apmaksu noteikumu projekts paredz svītrot ierobežojumu, ka kompensācija nevar tikt saņemta par normatīvajos aktos par ambulatorajai ārstēšanai paredzēto zāļu iegādes izdevumu kompensāciju noteiktajā kārtībā izrakstītajām zālēm, jo šīs zāles ne vienmēr tiek kompensētas pilnā apmērā, tādēļ amatpersona no Iekšlietu ministrijas veselības un sporta centra varētu saņemt kompensāciju par tiem izdevumiem, kas tai nav kompensēti. Ņemot vērā iesniedzamos dokumentus kompensācijas saņemšanai, situācija, kad vieni izdevumi tiktu kompensēti divreiz, nav iespējama.  </w:t>
            </w:r>
          </w:p>
          <w:p w:rsidR="002C28A3" w:rsidRPr="00985272" w:rsidRDefault="002C28A3" w:rsidP="007E0F97">
            <w:pPr>
              <w:ind w:firstLine="720"/>
              <w:jc w:val="both"/>
              <w:rPr>
                <w:sz w:val="26"/>
                <w:szCs w:val="26"/>
              </w:rPr>
            </w:pPr>
            <w:r w:rsidRPr="00985272">
              <w:rPr>
                <w:sz w:val="26"/>
                <w:szCs w:val="26"/>
              </w:rPr>
              <w:t xml:space="preserve">Atbilstoši minētajam sagatavotais noteikumu projekts paredz svītrot šobrīd spēkā esošo pārejas periodu kompensējamo izdevumu apmēram. </w:t>
            </w:r>
          </w:p>
          <w:p w:rsidR="002C28A3" w:rsidRPr="00985272" w:rsidRDefault="007E0F97" w:rsidP="002C28A3">
            <w:pPr>
              <w:ind w:firstLine="720"/>
              <w:jc w:val="both"/>
              <w:rPr>
                <w:bCs/>
                <w:sz w:val="26"/>
                <w:szCs w:val="26"/>
              </w:rPr>
            </w:pPr>
            <w:r w:rsidRPr="00985272">
              <w:rPr>
                <w:sz w:val="26"/>
                <w:szCs w:val="26"/>
              </w:rPr>
              <w:t xml:space="preserve"> </w:t>
            </w:r>
            <w:r w:rsidR="00CC769D" w:rsidRPr="00985272">
              <w:rPr>
                <w:sz w:val="26"/>
                <w:szCs w:val="26"/>
              </w:rPr>
              <w:t xml:space="preserve">Ņemot vērā, ka ar </w:t>
            </w:r>
            <w:r w:rsidR="00CC769D" w:rsidRPr="00985272">
              <w:rPr>
                <w:sz w:val="26"/>
                <w:szCs w:val="26"/>
                <w:lang w:eastAsia="lv-LV"/>
              </w:rPr>
              <w:t xml:space="preserve">Latvijas Republikas </w:t>
            </w:r>
            <w:r w:rsidR="00CC769D" w:rsidRPr="00985272">
              <w:rPr>
                <w:sz w:val="26"/>
                <w:szCs w:val="26"/>
              </w:rPr>
              <w:t>Saeimas 2013.gada 19.decembrī pieņemto likumu „</w:t>
            </w:r>
            <w:r w:rsidR="00CC769D" w:rsidRPr="00985272">
              <w:rPr>
                <w:bCs/>
                <w:sz w:val="26"/>
                <w:szCs w:val="26"/>
              </w:rPr>
              <w:t>Grozījumi Valsts un pašvaldību institūciju amatpersonu un darbinieku atlīdzības likumā</w:t>
            </w:r>
            <w:r w:rsidR="00CC769D" w:rsidRPr="00985272">
              <w:rPr>
                <w:sz w:val="26"/>
                <w:szCs w:val="26"/>
              </w:rPr>
              <w:t xml:space="preserve">” likuma 39.pants, </w:t>
            </w:r>
            <w:r w:rsidR="00CC769D" w:rsidRPr="00985272">
              <w:rPr>
                <w:bCs/>
                <w:sz w:val="26"/>
                <w:szCs w:val="26"/>
              </w:rPr>
              <w:t xml:space="preserve">saskaņā ar kuru izdoti Ministru kabineta 2010.gada 21.jūnija noteikumi Nr.569 „Kārtība, kādā Iekšlietu ministrijas sistēmas iestāžu un Ieslodzījuma vietu pārvaldes amatpersona ar speciālo dienesta pakāpi saņem apmaksātus veselības aprūpes pakalpojumus”, papildināts ar jaunu otro un trešo daļu, nepieciešams veikt grozījumu norādē, uz kāda likuma pamata noteikumi ir izdoti, </w:t>
            </w:r>
            <w:bookmarkStart w:id="0" w:name="p3"/>
            <w:bookmarkStart w:id="1" w:name="p-429253"/>
            <w:bookmarkEnd w:id="0"/>
            <w:bookmarkEnd w:id="1"/>
            <w:r w:rsidR="00CC769D" w:rsidRPr="00985272">
              <w:rPr>
                <w:bCs/>
                <w:sz w:val="26"/>
                <w:szCs w:val="26"/>
              </w:rPr>
              <w:t>nosakot, ka noteikumi izdoti saskaņā ar Valsts un pašvaldību institūciju amatpersonu un darbinieku atlīdzības likuma 39.panta pirmo daļu.</w:t>
            </w:r>
          </w:p>
          <w:p w:rsidR="00DB0ED4" w:rsidRPr="00985272" w:rsidRDefault="00C152B1" w:rsidP="002C28A3">
            <w:pPr>
              <w:ind w:firstLine="709"/>
              <w:jc w:val="both"/>
              <w:rPr>
                <w:sz w:val="26"/>
                <w:szCs w:val="26"/>
              </w:rPr>
            </w:pPr>
            <w:r w:rsidRPr="00985272">
              <w:rPr>
                <w:sz w:val="26"/>
                <w:szCs w:val="26"/>
              </w:rPr>
              <w:t xml:space="preserve">Tā kā </w:t>
            </w:r>
            <w:r w:rsidR="00DB0ED4" w:rsidRPr="00985272">
              <w:rPr>
                <w:sz w:val="26"/>
                <w:szCs w:val="26"/>
              </w:rPr>
              <w:t xml:space="preserve">2013.gada 19.decembrī pieņemtais </w:t>
            </w:r>
            <w:r w:rsidR="00DB0ED4" w:rsidRPr="00985272">
              <w:rPr>
                <w:sz w:val="26"/>
                <w:szCs w:val="26"/>
              </w:rPr>
              <w:lastRenderedPageBreak/>
              <w:t>likums „</w:t>
            </w:r>
            <w:r w:rsidR="00DB0ED4" w:rsidRPr="00985272">
              <w:rPr>
                <w:bCs/>
                <w:sz w:val="26"/>
                <w:szCs w:val="26"/>
              </w:rPr>
              <w:t>Grozījumi Valsts un pašvaldību institūciju amatpersonu un darbinieku atlīdzības likumā</w:t>
            </w:r>
            <w:r w:rsidR="00DB0ED4" w:rsidRPr="00985272">
              <w:rPr>
                <w:sz w:val="26"/>
                <w:szCs w:val="26"/>
              </w:rPr>
              <w:t>”” stājas spēkā ar 2014.gada 1.janvāri, projektā  paredzēts, ka  noteikumi tiek piemēroti attiecībā uz veselības aprūpes pakalpojumiem, kas amatpersonai sniegti pēc 2014.gada 1.janvāra.</w:t>
            </w:r>
          </w:p>
          <w:p w:rsidR="00C152B1" w:rsidRPr="00985272" w:rsidRDefault="002C28A3" w:rsidP="002C28A3">
            <w:pPr>
              <w:ind w:firstLine="709"/>
              <w:jc w:val="both"/>
              <w:rPr>
                <w:sz w:val="26"/>
                <w:szCs w:val="26"/>
              </w:rPr>
            </w:pPr>
            <w:r w:rsidRPr="00985272">
              <w:rPr>
                <w:sz w:val="26"/>
                <w:szCs w:val="26"/>
              </w:rPr>
              <w:t xml:space="preserve">Tā kā </w:t>
            </w:r>
            <w:r w:rsidRPr="00985272">
              <w:rPr>
                <w:bCs/>
                <w:sz w:val="26"/>
                <w:szCs w:val="26"/>
              </w:rPr>
              <w:t>Ministru kabineta 2010.gada 21.jūnija noteikumu Nr.569 „Kārtība, kādā Iekšlietu ministrijas sistēmas iestāžu un Ieslodzījuma vietu pārvaldes amatpersona ar speciālo dienesta pakāpi saņem apmaksātus veselības aprūpes pakalpojumus”</w:t>
            </w:r>
            <w:r w:rsidRPr="00985272">
              <w:rPr>
                <w:sz w:val="26"/>
                <w:szCs w:val="26"/>
              </w:rPr>
              <w:t xml:space="preserve"> 6.punkts paredz, ka amatpersona dokumentus noteikumos paredzēto kompensāciju saņemšanai var iesniegt par kārtējo gadu un iepriekšējo gadu, projekts paredz papildināt noteikumus ar jaunu punktu, kas nosaka kompensējamo izdevumu apmēru par 2013.gadā saņemtajiem veselības aprūpes pakalpojumiem. Noteiktais kompensācijas apmērs atbilst Ministru kabineta </w:t>
            </w:r>
            <w:r w:rsidRPr="00985272">
              <w:rPr>
                <w:bCs/>
                <w:sz w:val="26"/>
                <w:szCs w:val="26"/>
              </w:rPr>
              <w:t xml:space="preserve">2010.gada 21.jūnija noteikumos Nr.569 „Kārtība, kādā Iekšlietu ministrijas sistēmas iestāžu un Ieslodzījuma vietu pārvaldes amatpersona ar speciālo dienesta pakāpi saņem apmaksātus veselības aprūpes pakalpojumus” noteiktajam </w:t>
            </w:r>
            <w:r w:rsidRPr="00985272">
              <w:rPr>
                <w:sz w:val="26"/>
                <w:szCs w:val="26"/>
              </w:rPr>
              <w:t xml:space="preserve">kompensējamo izdevumu apmēram redakcijā, kāda bija spēkā līdz 2013.gada 31.decembrim.  </w:t>
            </w:r>
          </w:p>
        </w:tc>
      </w:tr>
      <w:tr w:rsidR="00616AA6" w:rsidRPr="00BA5E65" w:rsidTr="00985272">
        <w:tc>
          <w:tcPr>
            <w:tcW w:w="562" w:type="dxa"/>
          </w:tcPr>
          <w:p w:rsidR="00616AA6" w:rsidRPr="00BA5E65" w:rsidRDefault="00616AA6" w:rsidP="00710EAA">
            <w:pPr>
              <w:spacing w:before="60"/>
              <w:rPr>
                <w:sz w:val="28"/>
                <w:szCs w:val="28"/>
              </w:rPr>
            </w:pPr>
            <w:r w:rsidRPr="00BA5E65">
              <w:rPr>
                <w:sz w:val="28"/>
                <w:szCs w:val="28"/>
              </w:rPr>
              <w:lastRenderedPageBreak/>
              <w:t>3.</w:t>
            </w:r>
          </w:p>
        </w:tc>
        <w:tc>
          <w:tcPr>
            <w:tcW w:w="2694" w:type="dxa"/>
            <w:gridSpan w:val="4"/>
          </w:tcPr>
          <w:p w:rsidR="00616AA6" w:rsidRPr="00985272" w:rsidRDefault="008C47BE" w:rsidP="00710EAA">
            <w:pPr>
              <w:spacing w:before="60" w:after="60"/>
              <w:rPr>
                <w:sz w:val="26"/>
                <w:szCs w:val="26"/>
              </w:rPr>
            </w:pPr>
            <w:r w:rsidRPr="00985272">
              <w:rPr>
                <w:sz w:val="26"/>
                <w:szCs w:val="26"/>
              </w:rPr>
              <w:t>Projekta izstrādē iesaistītās institūcijas</w:t>
            </w:r>
          </w:p>
        </w:tc>
        <w:tc>
          <w:tcPr>
            <w:tcW w:w="5877" w:type="dxa"/>
            <w:gridSpan w:val="5"/>
          </w:tcPr>
          <w:p w:rsidR="00616AA6" w:rsidRPr="00985272" w:rsidRDefault="00985272" w:rsidP="00710EAA">
            <w:pPr>
              <w:autoSpaceDE w:val="0"/>
              <w:autoSpaceDN w:val="0"/>
              <w:adjustRightInd w:val="0"/>
              <w:spacing w:before="60" w:after="60"/>
              <w:jc w:val="both"/>
              <w:rPr>
                <w:sz w:val="26"/>
                <w:szCs w:val="26"/>
              </w:rPr>
            </w:pPr>
            <w:r>
              <w:rPr>
                <w:sz w:val="26"/>
                <w:szCs w:val="26"/>
              </w:rPr>
              <w:t>Iekšlietu ministrija, Iekšlietu ministrijas veselības un sporta centrs</w:t>
            </w:r>
          </w:p>
        </w:tc>
      </w:tr>
      <w:tr w:rsidR="00616AA6" w:rsidRPr="00BA5E65" w:rsidTr="00985272">
        <w:tc>
          <w:tcPr>
            <w:tcW w:w="562" w:type="dxa"/>
          </w:tcPr>
          <w:p w:rsidR="00616AA6" w:rsidRPr="00BA5E65" w:rsidRDefault="00616AA6" w:rsidP="00710EAA">
            <w:pPr>
              <w:spacing w:before="60"/>
              <w:rPr>
                <w:sz w:val="28"/>
                <w:szCs w:val="28"/>
              </w:rPr>
            </w:pPr>
            <w:r w:rsidRPr="00BA5E65">
              <w:rPr>
                <w:sz w:val="28"/>
                <w:szCs w:val="28"/>
              </w:rPr>
              <w:t>4.</w:t>
            </w:r>
          </w:p>
        </w:tc>
        <w:tc>
          <w:tcPr>
            <w:tcW w:w="2694" w:type="dxa"/>
            <w:gridSpan w:val="4"/>
          </w:tcPr>
          <w:p w:rsidR="00616AA6" w:rsidRPr="00985272" w:rsidRDefault="008C47BE" w:rsidP="00710EAA">
            <w:pPr>
              <w:spacing w:before="60" w:after="60"/>
              <w:rPr>
                <w:sz w:val="26"/>
                <w:szCs w:val="26"/>
              </w:rPr>
            </w:pPr>
            <w:r w:rsidRPr="00985272">
              <w:rPr>
                <w:sz w:val="26"/>
                <w:szCs w:val="26"/>
              </w:rPr>
              <w:t xml:space="preserve">Cita informācija </w:t>
            </w:r>
          </w:p>
        </w:tc>
        <w:tc>
          <w:tcPr>
            <w:tcW w:w="5877" w:type="dxa"/>
            <w:gridSpan w:val="5"/>
          </w:tcPr>
          <w:p w:rsidR="00E06CCE" w:rsidRPr="00985272" w:rsidRDefault="00C21897" w:rsidP="00710EAA">
            <w:pPr>
              <w:spacing w:before="60" w:after="60"/>
              <w:jc w:val="both"/>
              <w:rPr>
                <w:sz w:val="26"/>
                <w:szCs w:val="26"/>
              </w:rPr>
            </w:pPr>
            <w:r w:rsidRPr="00985272">
              <w:rPr>
                <w:sz w:val="26"/>
                <w:szCs w:val="26"/>
              </w:rPr>
              <w:t>Nav.</w:t>
            </w:r>
          </w:p>
        </w:tc>
      </w:tr>
      <w:tr w:rsidR="00E86D2D" w:rsidRPr="00BA5E65" w:rsidTr="006522FE">
        <w:tc>
          <w:tcPr>
            <w:tcW w:w="9133" w:type="dxa"/>
            <w:gridSpan w:val="10"/>
          </w:tcPr>
          <w:p w:rsidR="00E86D2D" w:rsidRPr="00985272" w:rsidRDefault="00E86D2D" w:rsidP="00710EAA">
            <w:pPr>
              <w:spacing w:before="60" w:after="60"/>
              <w:jc w:val="center"/>
              <w:rPr>
                <w:sz w:val="26"/>
                <w:szCs w:val="26"/>
              </w:rPr>
            </w:pPr>
            <w:r w:rsidRPr="00985272">
              <w:rPr>
                <w:b/>
                <w:sz w:val="26"/>
                <w:szCs w:val="26"/>
              </w:rPr>
              <w:t>II. Tiesību akta projekta ietekme uz sabiedrību, tautsaimniecības attīstību un administratīvo slogu</w:t>
            </w:r>
          </w:p>
        </w:tc>
      </w:tr>
      <w:tr w:rsidR="00E86D2D" w:rsidRPr="00BA5E65" w:rsidTr="00985272">
        <w:tc>
          <w:tcPr>
            <w:tcW w:w="562" w:type="dxa"/>
          </w:tcPr>
          <w:p w:rsidR="00E86D2D" w:rsidRPr="00BA5E65" w:rsidRDefault="00E86D2D" w:rsidP="00953A72">
            <w:pPr>
              <w:rPr>
                <w:sz w:val="28"/>
                <w:szCs w:val="28"/>
              </w:rPr>
            </w:pPr>
            <w:r>
              <w:rPr>
                <w:sz w:val="28"/>
                <w:szCs w:val="28"/>
              </w:rPr>
              <w:t xml:space="preserve">1. </w:t>
            </w:r>
          </w:p>
        </w:tc>
        <w:tc>
          <w:tcPr>
            <w:tcW w:w="2694" w:type="dxa"/>
            <w:gridSpan w:val="4"/>
          </w:tcPr>
          <w:p w:rsidR="00E86D2D" w:rsidRPr="00985272" w:rsidRDefault="00E86D2D" w:rsidP="00710EAA">
            <w:pPr>
              <w:spacing w:before="60" w:after="60"/>
              <w:rPr>
                <w:sz w:val="26"/>
                <w:szCs w:val="26"/>
              </w:rPr>
            </w:pPr>
            <w:r w:rsidRPr="00985272">
              <w:rPr>
                <w:sz w:val="26"/>
                <w:szCs w:val="26"/>
              </w:rPr>
              <w:t>Sabiedrības mērķgrupas, kuras tiesiskais regulējums ietekmē vai varētu ietekmēt</w:t>
            </w:r>
          </w:p>
        </w:tc>
        <w:tc>
          <w:tcPr>
            <w:tcW w:w="5877" w:type="dxa"/>
            <w:gridSpan w:val="5"/>
          </w:tcPr>
          <w:p w:rsidR="00E86D2D" w:rsidRPr="00985272" w:rsidRDefault="00E86D2D" w:rsidP="004676D7">
            <w:pPr>
              <w:spacing w:before="60" w:after="60"/>
              <w:jc w:val="both"/>
              <w:rPr>
                <w:sz w:val="26"/>
                <w:szCs w:val="26"/>
              </w:rPr>
            </w:pPr>
            <w:r w:rsidRPr="00985272">
              <w:rPr>
                <w:sz w:val="26"/>
                <w:szCs w:val="26"/>
              </w:rPr>
              <w:t>Iekšlietu ministrijas sistēmas iestāžu un Ieslodzījuma vietu pārvaldes amatpersonas ar speciālajām dienesta pakāpēm.</w:t>
            </w:r>
          </w:p>
        </w:tc>
      </w:tr>
      <w:tr w:rsidR="00E86D2D" w:rsidRPr="00BA5E65" w:rsidTr="00985272">
        <w:tc>
          <w:tcPr>
            <w:tcW w:w="562" w:type="dxa"/>
          </w:tcPr>
          <w:p w:rsidR="00E86D2D" w:rsidRDefault="00E86D2D" w:rsidP="00953A72">
            <w:pPr>
              <w:rPr>
                <w:sz w:val="28"/>
                <w:szCs w:val="28"/>
              </w:rPr>
            </w:pPr>
            <w:r>
              <w:rPr>
                <w:sz w:val="28"/>
                <w:szCs w:val="28"/>
              </w:rPr>
              <w:t>2.</w:t>
            </w:r>
          </w:p>
        </w:tc>
        <w:tc>
          <w:tcPr>
            <w:tcW w:w="2694" w:type="dxa"/>
            <w:gridSpan w:val="4"/>
          </w:tcPr>
          <w:p w:rsidR="00E86D2D" w:rsidRPr="00985272" w:rsidRDefault="00E86D2D" w:rsidP="00710EAA">
            <w:pPr>
              <w:spacing w:before="60" w:after="60"/>
              <w:rPr>
                <w:sz w:val="26"/>
                <w:szCs w:val="26"/>
              </w:rPr>
            </w:pPr>
            <w:r w:rsidRPr="00985272">
              <w:rPr>
                <w:sz w:val="26"/>
                <w:szCs w:val="26"/>
              </w:rPr>
              <w:t>Tiesiskā regulējuma ietekme uz tautsaimniecību un administratīvo slogu</w:t>
            </w:r>
          </w:p>
        </w:tc>
        <w:tc>
          <w:tcPr>
            <w:tcW w:w="5877" w:type="dxa"/>
            <w:gridSpan w:val="5"/>
          </w:tcPr>
          <w:p w:rsidR="00E86D2D" w:rsidRPr="00985272" w:rsidRDefault="00E86D2D" w:rsidP="00710EAA">
            <w:pPr>
              <w:spacing w:before="60" w:after="60"/>
              <w:jc w:val="both"/>
              <w:rPr>
                <w:sz w:val="26"/>
                <w:szCs w:val="26"/>
              </w:rPr>
            </w:pPr>
            <w:r w:rsidRPr="00985272">
              <w:rPr>
                <w:sz w:val="26"/>
                <w:szCs w:val="26"/>
              </w:rPr>
              <w:t>Sabiedrības grupām un institūcijām projekta tiesiskais regulējums nemaina tiesības un pienākumus, kā arī veicamās darbības.</w:t>
            </w:r>
          </w:p>
        </w:tc>
      </w:tr>
      <w:tr w:rsidR="00E86D2D" w:rsidRPr="00BA5E65" w:rsidTr="00985272">
        <w:tc>
          <w:tcPr>
            <w:tcW w:w="562" w:type="dxa"/>
          </w:tcPr>
          <w:p w:rsidR="00E86D2D" w:rsidRPr="00BA5E65" w:rsidRDefault="00E86D2D" w:rsidP="00953A72">
            <w:pPr>
              <w:rPr>
                <w:sz w:val="28"/>
                <w:szCs w:val="28"/>
              </w:rPr>
            </w:pPr>
            <w:r>
              <w:rPr>
                <w:sz w:val="28"/>
                <w:szCs w:val="28"/>
              </w:rPr>
              <w:t>3.</w:t>
            </w:r>
          </w:p>
        </w:tc>
        <w:tc>
          <w:tcPr>
            <w:tcW w:w="2694" w:type="dxa"/>
            <w:gridSpan w:val="4"/>
          </w:tcPr>
          <w:p w:rsidR="00E86D2D" w:rsidRPr="00985272" w:rsidRDefault="00E86D2D" w:rsidP="00710EAA">
            <w:pPr>
              <w:spacing w:before="60" w:after="60"/>
              <w:rPr>
                <w:sz w:val="26"/>
                <w:szCs w:val="26"/>
              </w:rPr>
            </w:pPr>
            <w:r w:rsidRPr="00985272">
              <w:rPr>
                <w:sz w:val="26"/>
                <w:szCs w:val="26"/>
              </w:rPr>
              <w:t>Administratīvo izmaksu monetārs novērtējums</w:t>
            </w:r>
          </w:p>
        </w:tc>
        <w:tc>
          <w:tcPr>
            <w:tcW w:w="5877" w:type="dxa"/>
            <w:gridSpan w:val="5"/>
          </w:tcPr>
          <w:p w:rsidR="00E86D2D" w:rsidRPr="00985272" w:rsidRDefault="00E86D2D" w:rsidP="00710EAA">
            <w:pPr>
              <w:spacing w:before="60" w:after="60"/>
              <w:jc w:val="both"/>
              <w:rPr>
                <w:sz w:val="26"/>
                <w:szCs w:val="26"/>
              </w:rPr>
            </w:pPr>
            <w:r w:rsidRPr="00985272">
              <w:rPr>
                <w:sz w:val="26"/>
                <w:szCs w:val="26"/>
              </w:rPr>
              <w:t>Projekts šo jomu neskar.</w:t>
            </w:r>
          </w:p>
        </w:tc>
      </w:tr>
      <w:tr w:rsidR="00E86D2D" w:rsidRPr="00BA5E65" w:rsidTr="00985272">
        <w:tc>
          <w:tcPr>
            <w:tcW w:w="562" w:type="dxa"/>
          </w:tcPr>
          <w:p w:rsidR="00E86D2D" w:rsidRPr="00BA5E65" w:rsidRDefault="00E86D2D" w:rsidP="00953A72">
            <w:pPr>
              <w:rPr>
                <w:sz w:val="28"/>
                <w:szCs w:val="28"/>
              </w:rPr>
            </w:pPr>
            <w:r>
              <w:rPr>
                <w:sz w:val="28"/>
                <w:szCs w:val="28"/>
              </w:rPr>
              <w:lastRenderedPageBreak/>
              <w:t>4.</w:t>
            </w:r>
          </w:p>
        </w:tc>
        <w:tc>
          <w:tcPr>
            <w:tcW w:w="2694" w:type="dxa"/>
            <w:gridSpan w:val="4"/>
          </w:tcPr>
          <w:p w:rsidR="00E86D2D" w:rsidRPr="00985272" w:rsidRDefault="00E86D2D" w:rsidP="00710EAA">
            <w:pPr>
              <w:spacing w:before="60" w:after="60"/>
              <w:rPr>
                <w:sz w:val="26"/>
                <w:szCs w:val="26"/>
              </w:rPr>
            </w:pPr>
            <w:r w:rsidRPr="00985272">
              <w:rPr>
                <w:sz w:val="26"/>
                <w:szCs w:val="26"/>
              </w:rPr>
              <w:t>Cita informācija</w:t>
            </w:r>
          </w:p>
        </w:tc>
        <w:tc>
          <w:tcPr>
            <w:tcW w:w="5877" w:type="dxa"/>
            <w:gridSpan w:val="5"/>
          </w:tcPr>
          <w:p w:rsidR="00E86D2D" w:rsidRPr="00985272" w:rsidRDefault="00E86D2D" w:rsidP="00710EAA">
            <w:pPr>
              <w:spacing w:before="60" w:after="60"/>
              <w:jc w:val="both"/>
              <w:rPr>
                <w:sz w:val="26"/>
                <w:szCs w:val="26"/>
              </w:rPr>
            </w:pPr>
            <w:r w:rsidRPr="00985272">
              <w:rPr>
                <w:sz w:val="26"/>
                <w:szCs w:val="26"/>
              </w:rPr>
              <w:t>Nav.</w:t>
            </w:r>
          </w:p>
        </w:tc>
      </w:tr>
      <w:tr w:rsidR="00687963" w:rsidRPr="00E21062" w:rsidTr="006522FE">
        <w:tc>
          <w:tcPr>
            <w:tcW w:w="9133" w:type="dxa"/>
            <w:gridSpan w:val="10"/>
          </w:tcPr>
          <w:p w:rsidR="006522FE" w:rsidRDefault="006522FE" w:rsidP="00923EF6">
            <w:pPr>
              <w:pStyle w:val="naisf"/>
              <w:spacing w:before="0" w:after="0"/>
              <w:ind w:firstLine="0"/>
              <w:jc w:val="center"/>
              <w:rPr>
                <w:b/>
                <w:color w:val="000000" w:themeColor="text1"/>
                <w:sz w:val="26"/>
                <w:szCs w:val="26"/>
              </w:rPr>
            </w:pPr>
          </w:p>
          <w:p w:rsidR="006522FE" w:rsidRPr="006522FE" w:rsidRDefault="006522FE" w:rsidP="00985272">
            <w:pPr>
              <w:pStyle w:val="naisf"/>
              <w:spacing w:before="0" w:after="0"/>
              <w:ind w:firstLine="0"/>
              <w:jc w:val="center"/>
              <w:rPr>
                <w:b/>
                <w:color w:val="000000" w:themeColor="text1"/>
                <w:sz w:val="28"/>
                <w:szCs w:val="28"/>
              </w:rPr>
            </w:pPr>
            <w:r w:rsidRPr="006522FE">
              <w:rPr>
                <w:b/>
                <w:color w:val="000000" w:themeColor="text1"/>
                <w:sz w:val="28"/>
                <w:szCs w:val="28"/>
              </w:rPr>
              <w:t>III. Tiesību akta projekta ietekme uz valsts budžetu un pašvaldību budžetiem</w:t>
            </w:r>
          </w:p>
        </w:tc>
      </w:tr>
      <w:tr w:rsidR="006522FE" w:rsidRPr="00E21062" w:rsidTr="006522FE">
        <w:tc>
          <w:tcPr>
            <w:tcW w:w="1834" w:type="dxa"/>
            <w:gridSpan w:val="2"/>
            <w:vMerge w:val="restart"/>
          </w:tcPr>
          <w:p w:rsidR="006522FE" w:rsidRDefault="006522FE" w:rsidP="00923EF6">
            <w:pPr>
              <w:pStyle w:val="naisf"/>
              <w:spacing w:before="0" w:after="0"/>
              <w:ind w:firstLine="0"/>
              <w:jc w:val="center"/>
              <w:rPr>
                <w:color w:val="000000" w:themeColor="text1"/>
                <w:sz w:val="26"/>
                <w:szCs w:val="26"/>
              </w:rPr>
            </w:pPr>
          </w:p>
          <w:p w:rsidR="006522FE" w:rsidRDefault="006522FE" w:rsidP="00923EF6">
            <w:pPr>
              <w:pStyle w:val="naisf"/>
              <w:spacing w:before="0" w:after="0"/>
              <w:ind w:firstLine="0"/>
              <w:jc w:val="center"/>
              <w:rPr>
                <w:color w:val="000000" w:themeColor="text1"/>
                <w:sz w:val="26"/>
                <w:szCs w:val="26"/>
              </w:rPr>
            </w:pPr>
          </w:p>
          <w:p w:rsidR="006522FE" w:rsidRDefault="006522FE" w:rsidP="00923EF6">
            <w:pPr>
              <w:pStyle w:val="naisf"/>
              <w:spacing w:before="0" w:after="0"/>
              <w:ind w:firstLine="0"/>
              <w:jc w:val="center"/>
              <w:rPr>
                <w:color w:val="000000" w:themeColor="text1"/>
                <w:sz w:val="26"/>
                <w:szCs w:val="26"/>
              </w:rPr>
            </w:pPr>
          </w:p>
          <w:p w:rsidR="006522FE" w:rsidRPr="00E21062" w:rsidRDefault="006522FE" w:rsidP="00923EF6">
            <w:pPr>
              <w:pStyle w:val="naisf"/>
              <w:spacing w:before="0" w:after="0"/>
              <w:ind w:firstLine="0"/>
              <w:jc w:val="center"/>
              <w:rPr>
                <w:color w:val="000000" w:themeColor="text1"/>
                <w:sz w:val="26"/>
                <w:szCs w:val="26"/>
              </w:rPr>
            </w:pPr>
            <w:r w:rsidRPr="00E21062">
              <w:rPr>
                <w:color w:val="000000" w:themeColor="text1"/>
                <w:sz w:val="26"/>
                <w:szCs w:val="26"/>
              </w:rPr>
              <w:t>Rādītāji</w:t>
            </w:r>
          </w:p>
        </w:tc>
        <w:tc>
          <w:tcPr>
            <w:tcW w:w="2582" w:type="dxa"/>
            <w:gridSpan w:val="4"/>
            <w:vMerge w:val="restart"/>
          </w:tcPr>
          <w:p w:rsidR="006522FE" w:rsidRPr="00E21062" w:rsidRDefault="006522FE" w:rsidP="00923EF6">
            <w:pPr>
              <w:pStyle w:val="naisf"/>
              <w:spacing w:before="0" w:after="0"/>
              <w:ind w:firstLine="0"/>
              <w:jc w:val="center"/>
              <w:rPr>
                <w:color w:val="000000" w:themeColor="text1"/>
                <w:sz w:val="26"/>
                <w:szCs w:val="26"/>
              </w:rPr>
            </w:pPr>
            <w:r w:rsidRPr="00E21062">
              <w:rPr>
                <w:color w:val="000000" w:themeColor="text1"/>
                <w:sz w:val="26"/>
                <w:szCs w:val="26"/>
              </w:rPr>
              <w:t>201</w:t>
            </w:r>
            <w:r>
              <w:rPr>
                <w:color w:val="000000" w:themeColor="text1"/>
                <w:sz w:val="26"/>
                <w:szCs w:val="26"/>
              </w:rPr>
              <w:t>4</w:t>
            </w:r>
            <w:r w:rsidRPr="00E21062">
              <w:rPr>
                <w:color w:val="000000" w:themeColor="text1"/>
                <w:sz w:val="26"/>
                <w:szCs w:val="26"/>
              </w:rPr>
              <w:t>.gads</w:t>
            </w:r>
          </w:p>
        </w:tc>
        <w:tc>
          <w:tcPr>
            <w:tcW w:w="4717" w:type="dxa"/>
            <w:gridSpan w:val="4"/>
          </w:tcPr>
          <w:p w:rsidR="006522FE" w:rsidRPr="00E21062" w:rsidRDefault="006522FE" w:rsidP="00092306">
            <w:pPr>
              <w:pStyle w:val="naisf"/>
              <w:spacing w:before="0" w:after="0"/>
              <w:ind w:firstLine="0"/>
              <w:jc w:val="center"/>
              <w:rPr>
                <w:b/>
                <w:i/>
                <w:color w:val="000000" w:themeColor="text1"/>
                <w:sz w:val="26"/>
                <w:szCs w:val="26"/>
              </w:rPr>
            </w:pPr>
            <w:r w:rsidRPr="00E21062">
              <w:rPr>
                <w:color w:val="000000" w:themeColor="text1"/>
                <w:sz w:val="26"/>
                <w:szCs w:val="26"/>
              </w:rPr>
              <w:t>Turpmākie trīs gadi (</w:t>
            </w:r>
            <w:r w:rsidRPr="00E21062">
              <w:rPr>
                <w:i/>
                <w:color w:val="000000" w:themeColor="text1"/>
                <w:sz w:val="26"/>
                <w:szCs w:val="26"/>
              </w:rPr>
              <w:t>euro</w:t>
            </w:r>
            <w:r w:rsidRPr="00E21062">
              <w:rPr>
                <w:color w:val="000000" w:themeColor="text1"/>
                <w:sz w:val="26"/>
                <w:szCs w:val="26"/>
              </w:rPr>
              <w:t>)</w:t>
            </w:r>
          </w:p>
        </w:tc>
      </w:tr>
      <w:tr w:rsidR="006522FE" w:rsidRPr="00E21062" w:rsidTr="006522FE">
        <w:tc>
          <w:tcPr>
            <w:tcW w:w="1834" w:type="dxa"/>
            <w:gridSpan w:val="2"/>
            <w:vMerge/>
          </w:tcPr>
          <w:p w:rsidR="006522FE" w:rsidRPr="00E21062" w:rsidRDefault="006522FE" w:rsidP="00923EF6">
            <w:pPr>
              <w:pStyle w:val="naisf"/>
              <w:spacing w:before="0" w:after="0"/>
              <w:ind w:firstLine="0"/>
              <w:jc w:val="center"/>
              <w:rPr>
                <w:b/>
                <w:i/>
                <w:color w:val="000000" w:themeColor="text1"/>
                <w:sz w:val="26"/>
                <w:szCs w:val="26"/>
              </w:rPr>
            </w:pPr>
          </w:p>
        </w:tc>
        <w:tc>
          <w:tcPr>
            <w:tcW w:w="2582" w:type="dxa"/>
            <w:gridSpan w:val="4"/>
            <w:vMerge/>
          </w:tcPr>
          <w:p w:rsidR="006522FE" w:rsidRPr="00E21062" w:rsidRDefault="006522FE" w:rsidP="00923EF6">
            <w:pPr>
              <w:pStyle w:val="naisf"/>
              <w:spacing w:before="0" w:after="0"/>
              <w:ind w:firstLine="0"/>
              <w:jc w:val="center"/>
              <w:rPr>
                <w:b/>
                <w:i/>
                <w:color w:val="000000" w:themeColor="text1"/>
                <w:sz w:val="26"/>
                <w:szCs w:val="26"/>
              </w:rPr>
            </w:pPr>
          </w:p>
        </w:tc>
        <w:tc>
          <w:tcPr>
            <w:tcW w:w="1392" w:type="dxa"/>
          </w:tcPr>
          <w:p w:rsidR="006522FE" w:rsidRPr="00E21062" w:rsidRDefault="006522FE" w:rsidP="00923EF6">
            <w:pPr>
              <w:pStyle w:val="naisf"/>
              <w:spacing w:before="0" w:after="0"/>
              <w:ind w:firstLine="0"/>
              <w:jc w:val="center"/>
              <w:rPr>
                <w:i/>
                <w:color w:val="000000" w:themeColor="text1"/>
                <w:sz w:val="26"/>
                <w:szCs w:val="26"/>
              </w:rPr>
            </w:pPr>
            <w:r w:rsidRPr="00E21062">
              <w:rPr>
                <w:color w:val="000000" w:themeColor="text1"/>
                <w:sz w:val="26"/>
                <w:szCs w:val="26"/>
              </w:rPr>
              <w:t>201</w:t>
            </w:r>
            <w:r>
              <w:rPr>
                <w:color w:val="000000" w:themeColor="text1"/>
                <w:sz w:val="26"/>
                <w:szCs w:val="26"/>
              </w:rPr>
              <w:t>5</w:t>
            </w:r>
            <w:r w:rsidRPr="00E21062">
              <w:rPr>
                <w:color w:val="000000" w:themeColor="text1"/>
                <w:sz w:val="26"/>
                <w:szCs w:val="26"/>
              </w:rPr>
              <w:t>.gads</w:t>
            </w:r>
          </w:p>
        </w:tc>
        <w:tc>
          <w:tcPr>
            <w:tcW w:w="1392" w:type="dxa"/>
            <w:gridSpan w:val="2"/>
          </w:tcPr>
          <w:p w:rsidR="006522FE" w:rsidRPr="00E21062" w:rsidRDefault="006522FE" w:rsidP="00923EF6">
            <w:pPr>
              <w:pStyle w:val="naisf"/>
              <w:spacing w:before="0" w:after="0"/>
              <w:ind w:firstLine="0"/>
              <w:jc w:val="center"/>
              <w:rPr>
                <w:i/>
                <w:color w:val="000000" w:themeColor="text1"/>
                <w:sz w:val="26"/>
                <w:szCs w:val="26"/>
              </w:rPr>
            </w:pPr>
            <w:r w:rsidRPr="00E21062">
              <w:rPr>
                <w:color w:val="000000" w:themeColor="text1"/>
                <w:sz w:val="26"/>
                <w:szCs w:val="26"/>
              </w:rPr>
              <w:t>201</w:t>
            </w:r>
            <w:r>
              <w:rPr>
                <w:color w:val="000000" w:themeColor="text1"/>
                <w:sz w:val="26"/>
                <w:szCs w:val="26"/>
              </w:rPr>
              <w:t>6</w:t>
            </w:r>
            <w:r w:rsidRPr="00E21062">
              <w:rPr>
                <w:color w:val="000000" w:themeColor="text1"/>
                <w:sz w:val="26"/>
                <w:szCs w:val="26"/>
              </w:rPr>
              <w:t>.gads</w:t>
            </w:r>
          </w:p>
        </w:tc>
        <w:tc>
          <w:tcPr>
            <w:tcW w:w="1933" w:type="dxa"/>
          </w:tcPr>
          <w:p w:rsidR="006522FE" w:rsidRPr="00E21062" w:rsidRDefault="006522FE" w:rsidP="00923EF6">
            <w:pPr>
              <w:pStyle w:val="naisf"/>
              <w:spacing w:before="0" w:after="0"/>
              <w:ind w:firstLine="0"/>
              <w:jc w:val="center"/>
              <w:rPr>
                <w:i/>
                <w:color w:val="000000" w:themeColor="text1"/>
                <w:sz w:val="26"/>
                <w:szCs w:val="26"/>
              </w:rPr>
            </w:pPr>
            <w:r w:rsidRPr="00E21062">
              <w:rPr>
                <w:color w:val="000000" w:themeColor="text1"/>
                <w:sz w:val="26"/>
                <w:szCs w:val="26"/>
              </w:rPr>
              <w:t>201</w:t>
            </w:r>
            <w:r>
              <w:rPr>
                <w:color w:val="000000" w:themeColor="text1"/>
                <w:sz w:val="26"/>
                <w:szCs w:val="26"/>
              </w:rPr>
              <w:t>7</w:t>
            </w:r>
            <w:r w:rsidRPr="00E21062">
              <w:rPr>
                <w:color w:val="000000" w:themeColor="text1"/>
                <w:sz w:val="26"/>
                <w:szCs w:val="26"/>
              </w:rPr>
              <w:t>.gads</w:t>
            </w:r>
          </w:p>
        </w:tc>
      </w:tr>
      <w:tr w:rsidR="006522FE" w:rsidRPr="00E21062" w:rsidTr="006522FE">
        <w:tc>
          <w:tcPr>
            <w:tcW w:w="1834" w:type="dxa"/>
            <w:gridSpan w:val="2"/>
            <w:vMerge/>
          </w:tcPr>
          <w:p w:rsidR="006522FE" w:rsidRPr="00E21062" w:rsidRDefault="006522FE" w:rsidP="00923EF6">
            <w:pPr>
              <w:pStyle w:val="naisf"/>
              <w:spacing w:before="0" w:after="0"/>
              <w:ind w:firstLine="0"/>
              <w:jc w:val="center"/>
              <w:rPr>
                <w:b/>
                <w:i/>
                <w:color w:val="000000" w:themeColor="text1"/>
                <w:sz w:val="26"/>
                <w:szCs w:val="26"/>
              </w:rPr>
            </w:pPr>
          </w:p>
        </w:tc>
        <w:tc>
          <w:tcPr>
            <w:tcW w:w="1256" w:type="dxa"/>
            <w:gridSpan w:val="2"/>
          </w:tcPr>
          <w:p w:rsidR="006522FE" w:rsidRPr="00E21062" w:rsidRDefault="006522FE" w:rsidP="00923EF6">
            <w:pPr>
              <w:pStyle w:val="naisf"/>
              <w:spacing w:before="0" w:after="0"/>
              <w:ind w:firstLine="0"/>
              <w:jc w:val="center"/>
              <w:rPr>
                <w:b/>
                <w:i/>
                <w:color w:val="000000" w:themeColor="text1"/>
                <w:sz w:val="26"/>
                <w:szCs w:val="26"/>
              </w:rPr>
            </w:pPr>
            <w:r w:rsidRPr="00E21062">
              <w:rPr>
                <w:color w:val="000000" w:themeColor="text1"/>
                <w:sz w:val="26"/>
                <w:szCs w:val="26"/>
              </w:rPr>
              <w:t>Saskaņā ar valsts budžetu kārtējam gadam</w:t>
            </w:r>
          </w:p>
        </w:tc>
        <w:tc>
          <w:tcPr>
            <w:tcW w:w="1326" w:type="dxa"/>
            <w:gridSpan w:val="2"/>
          </w:tcPr>
          <w:p w:rsidR="006522FE" w:rsidRPr="00E21062" w:rsidRDefault="006522FE" w:rsidP="00923EF6">
            <w:pPr>
              <w:pStyle w:val="naisf"/>
              <w:spacing w:before="0" w:after="0"/>
              <w:ind w:firstLine="0"/>
              <w:jc w:val="center"/>
              <w:rPr>
                <w:b/>
                <w:i/>
                <w:color w:val="000000" w:themeColor="text1"/>
                <w:sz w:val="26"/>
                <w:szCs w:val="26"/>
              </w:rPr>
            </w:pPr>
            <w:r w:rsidRPr="00E21062">
              <w:rPr>
                <w:color w:val="000000" w:themeColor="text1"/>
                <w:sz w:val="26"/>
                <w:szCs w:val="26"/>
              </w:rPr>
              <w:t>Izmaiņas kārtējā gadā, salīdzinot ar budžetu kārtējam gadam</w:t>
            </w:r>
          </w:p>
        </w:tc>
        <w:tc>
          <w:tcPr>
            <w:tcW w:w="1392" w:type="dxa"/>
          </w:tcPr>
          <w:p w:rsidR="006522FE" w:rsidRPr="00E21062" w:rsidRDefault="006522FE" w:rsidP="00923EF6">
            <w:pPr>
              <w:pStyle w:val="naisf"/>
              <w:spacing w:before="0" w:after="0"/>
              <w:ind w:firstLine="0"/>
              <w:jc w:val="center"/>
              <w:rPr>
                <w:b/>
                <w:i/>
                <w:color w:val="000000" w:themeColor="text1"/>
                <w:sz w:val="26"/>
                <w:szCs w:val="26"/>
              </w:rPr>
            </w:pPr>
            <w:r w:rsidRPr="00E21062">
              <w:rPr>
                <w:color w:val="000000" w:themeColor="text1"/>
                <w:sz w:val="26"/>
                <w:szCs w:val="26"/>
              </w:rPr>
              <w:t>Izmaiņas, salīdzinot ar kārtējo 201</w:t>
            </w:r>
            <w:r>
              <w:rPr>
                <w:color w:val="000000" w:themeColor="text1"/>
                <w:sz w:val="26"/>
                <w:szCs w:val="26"/>
              </w:rPr>
              <w:t>4</w:t>
            </w:r>
            <w:r w:rsidRPr="00E21062">
              <w:rPr>
                <w:color w:val="000000" w:themeColor="text1"/>
                <w:sz w:val="26"/>
                <w:szCs w:val="26"/>
              </w:rPr>
              <w:t>.gadu</w:t>
            </w:r>
          </w:p>
        </w:tc>
        <w:tc>
          <w:tcPr>
            <w:tcW w:w="1392" w:type="dxa"/>
            <w:gridSpan w:val="2"/>
          </w:tcPr>
          <w:p w:rsidR="006522FE" w:rsidRPr="00E21062" w:rsidRDefault="006522FE" w:rsidP="00923EF6">
            <w:pPr>
              <w:pStyle w:val="naisf"/>
              <w:spacing w:before="0" w:after="0"/>
              <w:ind w:firstLine="0"/>
              <w:jc w:val="center"/>
              <w:rPr>
                <w:b/>
                <w:i/>
                <w:color w:val="000000" w:themeColor="text1"/>
                <w:sz w:val="26"/>
                <w:szCs w:val="26"/>
              </w:rPr>
            </w:pPr>
            <w:r w:rsidRPr="00E21062">
              <w:rPr>
                <w:color w:val="000000" w:themeColor="text1"/>
                <w:sz w:val="26"/>
                <w:szCs w:val="26"/>
              </w:rPr>
              <w:t>Izmaiņas, salīdzinot ar kārtējo 201</w:t>
            </w:r>
            <w:r>
              <w:rPr>
                <w:color w:val="000000" w:themeColor="text1"/>
                <w:sz w:val="26"/>
                <w:szCs w:val="26"/>
              </w:rPr>
              <w:t>4</w:t>
            </w:r>
            <w:r w:rsidRPr="00E21062">
              <w:rPr>
                <w:color w:val="000000" w:themeColor="text1"/>
                <w:sz w:val="26"/>
                <w:szCs w:val="26"/>
              </w:rPr>
              <w:t>.gadu</w:t>
            </w:r>
          </w:p>
        </w:tc>
        <w:tc>
          <w:tcPr>
            <w:tcW w:w="1933" w:type="dxa"/>
          </w:tcPr>
          <w:p w:rsidR="006522FE" w:rsidRPr="00E21062" w:rsidRDefault="006522FE" w:rsidP="00923EF6">
            <w:pPr>
              <w:pStyle w:val="naisf"/>
              <w:spacing w:before="0" w:after="0"/>
              <w:ind w:firstLine="0"/>
              <w:jc w:val="center"/>
              <w:rPr>
                <w:b/>
                <w:i/>
                <w:color w:val="000000" w:themeColor="text1"/>
                <w:sz w:val="26"/>
                <w:szCs w:val="26"/>
              </w:rPr>
            </w:pPr>
            <w:r w:rsidRPr="00E21062">
              <w:rPr>
                <w:color w:val="000000" w:themeColor="text1"/>
                <w:sz w:val="26"/>
                <w:szCs w:val="26"/>
              </w:rPr>
              <w:t>Izmaiņas, salīdzinot ar kārtējo 201</w:t>
            </w:r>
            <w:r>
              <w:rPr>
                <w:color w:val="000000" w:themeColor="text1"/>
                <w:sz w:val="26"/>
                <w:szCs w:val="26"/>
              </w:rPr>
              <w:t>4</w:t>
            </w:r>
            <w:r w:rsidRPr="00E21062">
              <w:rPr>
                <w:color w:val="000000" w:themeColor="text1"/>
                <w:sz w:val="26"/>
                <w:szCs w:val="26"/>
              </w:rPr>
              <w:t>.gadu</w:t>
            </w:r>
          </w:p>
        </w:tc>
      </w:tr>
      <w:tr w:rsidR="006522FE" w:rsidRPr="00E21062" w:rsidTr="006522FE">
        <w:tc>
          <w:tcPr>
            <w:tcW w:w="1834" w:type="dxa"/>
            <w:gridSpan w:val="2"/>
          </w:tcPr>
          <w:p w:rsidR="006522FE" w:rsidRPr="00E21062" w:rsidRDefault="006522FE" w:rsidP="00923EF6">
            <w:pPr>
              <w:pStyle w:val="naisf"/>
              <w:spacing w:before="0" w:after="0"/>
              <w:ind w:firstLine="0"/>
              <w:jc w:val="center"/>
              <w:rPr>
                <w:bCs/>
                <w:color w:val="000000" w:themeColor="text1"/>
                <w:sz w:val="26"/>
                <w:szCs w:val="26"/>
              </w:rPr>
            </w:pPr>
            <w:r w:rsidRPr="00E21062">
              <w:rPr>
                <w:bCs/>
                <w:color w:val="000000" w:themeColor="text1"/>
                <w:sz w:val="26"/>
                <w:szCs w:val="26"/>
              </w:rPr>
              <w:t>1</w:t>
            </w:r>
          </w:p>
        </w:tc>
        <w:tc>
          <w:tcPr>
            <w:tcW w:w="1256" w:type="dxa"/>
            <w:gridSpan w:val="2"/>
          </w:tcPr>
          <w:p w:rsidR="006522FE" w:rsidRPr="00E21062" w:rsidRDefault="006522FE" w:rsidP="00923EF6">
            <w:pPr>
              <w:pStyle w:val="naisf"/>
              <w:spacing w:before="0" w:after="0"/>
              <w:ind w:firstLine="0"/>
              <w:jc w:val="center"/>
              <w:rPr>
                <w:bCs/>
                <w:color w:val="000000" w:themeColor="text1"/>
                <w:sz w:val="26"/>
                <w:szCs w:val="26"/>
              </w:rPr>
            </w:pPr>
            <w:r w:rsidRPr="00E21062">
              <w:rPr>
                <w:bCs/>
                <w:color w:val="000000" w:themeColor="text1"/>
                <w:sz w:val="26"/>
                <w:szCs w:val="26"/>
              </w:rPr>
              <w:t>2</w:t>
            </w:r>
          </w:p>
        </w:tc>
        <w:tc>
          <w:tcPr>
            <w:tcW w:w="1326" w:type="dxa"/>
            <w:gridSpan w:val="2"/>
          </w:tcPr>
          <w:p w:rsidR="006522FE" w:rsidRPr="00E21062" w:rsidRDefault="006522FE" w:rsidP="00923EF6">
            <w:pPr>
              <w:pStyle w:val="naisf"/>
              <w:spacing w:before="0" w:after="0"/>
              <w:ind w:firstLine="0"/>
              <w:jc w:val="center"/>
              <w:rPr>
                <w:bCs/>
                <w:color w:val="000000" w:themeColor="text1"/>
                <w:sz w:val="26"/>
                <w:szCs w:val="26"/>
              </w:rPr>
            </w:pPr>
            <w:r w:rsidRPr="00E21062">
              <w:rPr>
                <w:bCs/>
                <w:color w:val="000000" w:themeColor="text1"/>
                <w:sz w:val="26"/>
                <w:szCs w:val="26"/>
              </w:rPr>
              <w:t>3</w:t>
            </w:r>
          </w:p>
        </w:tc>
        <w:tc>
          <w:tcPr>
            <w:tcW w:w="1392" w:type="dxa"/>
          </w:tcPr>
          <w:p w:rsidR="006522FE" w:rsidRPr="00E21062" w:rsidRDefault="006522FE" w:rsidP="00923EF6">
            <w:pPr>
              <w:pStyle w:val="naisf"/>
              <w:spacing w:before="0" w:after="0"/>
              <w:ind w:firstLine="0"/>
              <w:jc w:val="center"/>
              <w:rPr>
                <w:bCs/>
                <w:color w:val="000000" w:themeColor="text1"/>
                <w:sz w:val="26"/>
                <w:szCs w:val="26"/>
              </w:rPr>
            </w:pPr>
            <w:r w:rsidRPr="00E21062">
              <w:rPr>
                <w:bCs/>
                <w:color w:val="000000" w:themeColor="text1"/>
                <w:sz w:val="26"/>
                <w:szCs w:val="26"/>
              </w:rPr>
              <w:t>4</w:t>
            </w:r>
          </w:p>
        </w:tc>
        <w:tc>
          <w:tcPr>
            <w:tcW w:w="1392" w:type="dxa"/>
            <w:gridSpan w:val="2"/>
          </w:tcPr>
          <w:p w:rsidR="006522FE" w:rsidRPr="00E21062" w:rsidRDefault="006522FE" w:rsidP="00923EF6">
            <w:pPr>
              <w:pStyle w:val="naisf"/>
              <w:spacing w:before="0" w:after="0"/>
              <w:ind w:firstLine="0"/>
              <w:jc w:val="center"/>
              <w:rPr>
                <w:bCs/>
                <w:color w:val="000000" w:themeColor="text1"/>
                <w:sz w:val="26"/>
                <w:szCs w:val="26"/>
              </w:rPr>
            </w:pPr>
            <w:r w:rsidRPr="00E21062">
              <w:rPr>
                <w:bCs/>
                <w:color w:val="000000" w:themeColor="text1"/>
                <w:sz w:val="26"/>
                <w:szCs w:val="26"/>
              </w:rPr>
              <w:t>5</w:t>
            </w:r>
          </w:p>
        </w:tc>
        <w:tc>
          <w:tcPr>
            <w:tcW w:w="1933" w:type="dxa"/>
          </w:tcPr>
          <w:p w:rsidR="006522FE" w:rsidRPr="00E21062" w:rsidRDefault="006522FE" w:rsidP="00923EF6">
            <w:pPr>
              <w:pStyle w:val="naisf"/>
              <w:spacing w:before="0" w:after="0"/>
              <w:ind w:firstLine="0"/>
              <w:jc w:val="center"/>
              <w:rPr>
                <w:bCs/>
                <w:color w:val="000000" w:themeColor="text1"/>
                <w:sz w:val="26"/>
                <w:szCs w:val="26"/>
              </w:rPr>
            </w:pPr>
            <w:r w:rsidRPr="00E21062">
              <w:rPr>
                <w:bCs/>
                <w:color w:val="000000" w:themeColor="text1"/>
                <w:sz w:val="26"/>
                <w:szCs w:val="26"/>
              </w:rPr>
              <w:t>6</w:t>
            </w:r>
          </w:p>
        </w:tc>
      </w:tr>
      <w:tr w:rsidR="006522FE" w:rsidRPr="00E21062" w:rsidTr="006522FE">
        <w:tc>
          <w:tcPr>
            <w:tcW w:w="1834" w:type="dxa"/>
            <w:gridSpan w:val="2"/>
          </w:tcPr>
          <w:p w:rsidR="006522FE" w:rsidRPr="00E21062" w:rsidRDefault="006522FE" w:rsidP="00923EF6">
            <w:pPr>
              <w:pStyle w:val="naisf"/>
              <w:spacing w:before="0" w:after="0"/>
              <w:ind w:firstLine="0"/>
              <w:rPr>
                <w:i/>
                <w:color w:val="000000" w:themeColor="text1"/>
                <w:sz w:val="26"/>
                <w:szCs w:val="26"/>
              </w:rPr>
            </w:pPr>
            <w:r w:rsidRPr="00E21062">
              <w:rPr>
                <w:color w:val="000000" w:themeColor="text1"/>
                <w:sz w:val="26"/>
                <w:szCs w:val="26"/>
              </w:rPr>
              <w:t>1. Budžeta ieņēmumi:</w:t>
            </w:r>
          </w:p>
        </w:tc>
        <w:tc>
          <w:tcPr>
            <w:tcW w:w="1256" w:type="dxa"/>
            <w:gridSpan w:val="2"/>
          </w:tcPr>
          <w:p w:rsidR="006522FE" w:rsidRPr="000F0406" w:rsidRDefault="005A0FDF" w:rsidP="00923EF6">
            <w:pPr>
              <w:jc w:val="center"/>
              <w:rPr>
                <w:color w:val="000000"/>
                <w:lang w:eastAsia="lv-LV"/>
              </w:rPr>
            </w:pPr>
            <w:r>
              <w:rPr>
                <w:color w:val="000000"/>
                <w:lang w:eastAsia="lv-LV"/>
              </w:rPr>
              <w:t>1 478 433</w:t>
            </w:r>
          </w:p>
        </w:tc>
        <w:tc>
          <w:tcPr>
            <w:tcW w:w="1326" w:type="dxa"/>
            <w:gridSpan w:val="2"/>
          </w:tcPr>
          <w:p w:rsidR="006522FE" w:rsidRPr="000F0406" w:rsidRDefault="006522FE" w:rsidP="00923EF6">
            <w:pPr>
              <w:jc w:val="center"/>
              <w:rPr>
                <w:color w:val="000000"/>
                <w:lang w:eastAsia="lv-LV"/>
              </w:rPr>
            </w:pPr>
            <w:r w:rsidRPr="000F0406">
              <w:rPr>
                <w:color w:val="000000"/>
                <w:lang w:eastAsia="lv-LV"/>
              </w:rPr>
              <w:t>0</w:t>
            </w:r>
          </w:p>
        </w:tc>
        <w:tc>
          <w:tcPr>
            <w:tcW w:w="1392" w:type="dxa"/>
          </w:tcPr>
          <w:p w:rsidR="006522FE" w:rsidRPr="000F0406" w:rsidRDefault="006522FE" w:rsidP="00923EF6">
            <w:pPr>
              <w:jc w:val="center"/>
              <w:rPr>
                <w:color w:val="000000"/>
                <w:lang w:eastAsia="lv-LV"/>
              </w:rPr>
            </w:pPr>
            <w:r w:rsidRPr="000F0406">
              <w:rPr>
                <w:color w:val="000000"/>
                <w:lang w:eastAsia="lv-LV"/>
              </w:rPr>
              <w:t>0</w:t>
            </w:r>
          </w:p>
        </w:tc>
        <w:tc>
          <w:tcPr>
            <w:tcW w:w="1392" w:type="dxa"/>
            <w:gridSpan w:val="2"/>
          </w:tcPr>
          <w:p w:rsidR="006522FE" w:rsidRPr="000F0406" w:rsidRDefault="006522FE" w:rsidP="00923EF6">
            <w:pPr>
              <w:jc w:val="center"/>
              <w:rPr>
                <w:color w:val="000000"/>
                <w:lang w:eastAsia="lv-LV"/>
              </w:rPr>
            </w:pPr>
            <w:r w:rsidRPr="000F0406">
              <w:rPr>
                <w:color w:val="000000"/>
                <w:lang w:eastAsia="lv-LV"/>
              </w:rPr>
              <w:t>0</w:t>
            </w:r>
          </w:p>
        </w:tc>
        <w:tc>
          <w:tcPr>
            <w:tcW w:w="1933" w:type="dxa"/>
          </w:tcPr>
          <w:p w:rsidR="006522FE" w:rsidRPr="000F0406" w:rsidRDefault="006522FE" w:rsidP="00923EF6">
            <w:pPr>
              <w:jc w:val="center"/>
              <w:rPr>
                <w:color w:val="000000"/>
                <w:lang w:eastAsia="lv-LV"/>
              </w:rPr>
            </w:pPr>
            <w:r w:rsidRPr="000F0406">
              <w:rPr>
                <w:color w:val="000000"/>
                <w:lang w:eastAsia="lv-LV"/>
              </w:rPr>
              <w:t>0</w:t>
            </w:r>
          </w:p>
        </w:tc>
      </w:tr>
      <w:tr w:rsidR="006522FE" w:rsidRPr="00E21062" w:rsidTr="006522FE">
        <w:tc>
          <w:tcPr>
            <w:tcW w:w="1834" w:type="dxa"/>
            <w:gridSpan w:val="2"/>
          </w:tcPr>
          <w:p w:rsidR="006522FE" w:rsidRPr="00E21062" w:rsidRDefault="006522FE" w:rsidP="00923EF6">
            <w:pPr>
              <w:pStyle w:val="naisf"/>
              <w:spacing w:before="0" w:after="0"/>
              <w:ind w:firstLine="0"/>
              <w:rPr>
                <w:i/>
                <w:color w:val="000000" w:themeColor="text1"/>
                <w:sz w:val="26"/>
                <w:szCs w:val="26"/>
              </w:rPr>
            </w:pPr>
            <w:r w:rsidRPr="00E21062">
              <w:rPr>
                <w:color w:val="000000" w:themeColor="text1"/>
                <w:sz w:val="26"/>
                <w:szCs w:val="26"/>
              </w:rPr>
              <w:t>1.1. valsts pamatbudžets, tai skaitā ieņēmumi no maksas pakalpojumiem un citi pašu ieņēmumi</w:t>
            </w:r>
          </w:p>
        </w:tc>
        <w:tc>
          <w:tcPr>
            <w:tcW w:w="1256" w:type="dxa"/>
            <w:gridSpan w:val="2"/>
          </w:tcPr>
          <w:p w:rsidR="006522FE" w:rsidRPr="000F0406" w:rsidRDefault="005A0FDF" w:rsidP="00923EF6">
            <w:pPr>
              <w:jc w:val="center"/>
              <w:rPr>
                <w:color w:val="000000"/>
                <w:lang w:eastAsia="lv-LV"/>
              </w:rPr>
            </w:pPr>
            <w:r>
              <w:rPr>
                <w:color w:val="000000"/>
                <w:lang w:eastAsia="lv-LV"/>
              </w:rPr>
              <w:t>1 478 433</w:t>
            </w:r>
          </w:p>
        </w:tc>
        <w:tc>
          <w:tcPr>
            <w:tcW w:w="1326" w:type="dxa"/>
            <w:gridSpan w:val="2"/>
          </w:tcPr>
          <w:p w:rsidR="006522FE" w:rsidRPr="000F0406" w:rsidRDefault="006522FE" w:rsidP="00923EF6">
            <w:pPr>
              <w:jc w:val="center"/>
              <w:rPr>
                <w:color w:val="000000"/>
                <w:lang w:eastAsia="lv-LV"/>
              </w:rPr>
            </w:pPr>
            <w:r w:rsidRPr="000F0406">
              <w:rPr>
                <w:color w:val="000000"/>
                <w:lang w:eastAsia="lv-LV"/>
              </w:rPr>
              <w:t>0</w:t>
            </w:r>
          </w:p>
        </w:tc>
        <w:tc>
          <w:tcPr>
            <w:tcW w:w="1392" w:type="dxa"/>
          </w:tcPr>
          <w:p w:rsidR="006522FE" w:rsidRPr="000F0406" w:rsidRDefault="006522FE" w:rsidP="00923EF6">
            <w:pPr>
              <w:jc w:val="center"/>
              <w:rPr>
                <w:color w:val="000000"/>
                <w:lang w:eastAsia="lv-LV"/>
              </w:rPr>
            </w:pPr>
            <w:r w:rsidRPr="000F0406">
              <w:rPr>
                <w:color w:val="000000"/>
                <w:lang w:eastAsia="lv-LV"/>
              </w:rPr>
              <w:t>0</w:t>
            </w:r>
          </w:p>
        </w:tc>
        <w:tc>
          <w:tcPr>
            <w:tcW w:w="1392" w:type="dxa"/>
            <w:gridSpan w:val="2"/>
          </w:tcPr>
          <w:p w:rsidR="006522FE" w:rsidRPr="000F0406" w:rsidRDefault="006522FE" w:rsidP="00923EF6">
            <w:pPr>
              <w:jc w:val="center"/>
              <w:rPr>
                <w:color w:val="000000"/>
                <w:lang w:eastAsia="lv-LV"/>
              </w:rPr>
            </w:pPr>
            <w:r w:rsidRPr="000F0406">
              <w:rPr>
                <w:color w:val="000000"/>
                <w:lang w:eastAsia="lv-LV"/>
              </w:rPr>
              <w:t>0</w:t>
            </w:r>
          </w:p>
        </w:tc>
        <w:tc>
          <w:tcPr>
            <w:tcW w:w="1933" w:type="dxa"/>
          </w:tcPr>
          <w:p w:rsidR="006522FE" w:rsidRPr="000F0406" w:rsidRDefault="006522FE" w:rsidP="00923EF6">
            <w:pPr>
              <w:jc w:val="center"/>
              <w:rPr>
                <w:color w:val="000000"/>
                <w:lang w:eastAsia="lv-LV"/>
              </w:rPr>
            </w:pPr>
            <w:r w:rsidRPr="000F0406">
              <w:rPr>
                <w:color w:val="000000"/>
                <w:lang w:eastAsia="lv-LV"/>
              </w:rPr>
              <w:t>0</w:t>
            </w:r>
          </w:p>
        </w:tc>
      </w:tr>
      <w:tr w:rsidR="006522FE" w:rsidRPr="00E21062" w:rsidTr="006522FE">
        <w:tc>
          <w:tcPr>
            <w:tcW w:w="1834" w:type="dxa"/>
            <w:gridSpan w:val="2"/>
          </w:tcPr>
          <w:p w:rsidR="006522FE" w:rsidRPr="00E21062" w:rsidRDefault="006522FE" w:rsidP="00923EF6">
            <w:pPr>
              <w:pStyle w:val="naisf"/>
              <w:spacing w:before="0" w:after="0"/>
              <w:ind w:firstLine="0"/>
              <w:rPr>
                <w:i/>
                <w:color w:val="000000" w:themeColor="text1"/>
                <w:sz w:val="26"/>
                <w:szCs w:val="26"/>
              </w:rPr>
            </w:pPr>
            <w:r w:rsidRPr="00E21062">
              <w:rPr>
                <w:color w:val="000000" w:themeColor="text1"/>
                <w:sz w:val="26"/>
                <w:szCs w:val="26"/>
              </w:rPr>
              <w:t>1.2. valsts speciālais budžets</w:t>
            </w:r>
          </w:p>
        </w:tc>
        <w:tc>
          <w:tcPr>
            <w:tcW w:w="1256" w:type="dxa"/>
            <w:gridSpan w:val="2"/>
          </w:tcPr>
          <w:p w:rsidR="006522FE" w:rsidRPr="001F365E" w:rsidRDefault="006522FE" w:rsidP="00923EF6">
            <w:r w:rsidRPr="001F365E">
              <w:rPr>
                <w:color w:val="000000"/>
              </w:rPr>
              <w:t>0</w:t>
            </w:r>
          </w:p>
        </w:tc>
        <w:tc>
          <w:tcPr>
            <w:tcW w:w="1326" w:type="dxa"/>
            <w:gridSpan w:val="2"/>
          </w:tcPr>
          <w:p w:rsidR="006522FE" w:rsidRPr="001F365E" w:rsidRDefault="006522FE" w:rsidP="00923EF6">
            <w:r w:rsidRPr="001F365E">
              <w:rPr>
                <w:color w:val="000000"/>
              </w:rPr>
              <w:t>0</w:t>
            </w:r>
          </w:p>
        </w:tc>
        <w:tc>
          <w:tcPr>
            <w:tcW w:w="1392" w:type="dxa"/>
          </w:tcPr>
          <w:p w:rsidR="006522FE" w:rsidRPr="001F365E" w:rsidRDefault="006522FE" w:rsidP="00923EF6">
            <w:r w:rsidRPr="001F365E">
              <w:rPr>
                <w:color w:val="000000"/>
              </w:rPr>
              <w:t>0</w:t>
            </w:r>
          </w:p>
        </w:tc>
        <w:tc>
          <w:tcPr>
            <w:tcW w:w="1392" w:type="dxa"/>
            <w:gridSpan w:val="2"/>
          </w:tcPr>
          <w:p w:rsidR="006522FE" w:rsidRPr="001F365E" w:rsidRDefault="006522FE" w:rsidP="00923EF6">
            <w:r w:rsidRPr="001F365E">
              <w:rPr>
                <w:color w:val="000000"/>
              </w:rPr>
              <w:t>0</w:t>
            </w:r>
          </w:p>
        </w:tc>
        <w:tc>
          <w:tcPr>
            <w:tcW w:w="1933" w:type="dxa"/>
          </w:tcPr>
          <w:p w:rsidR="006522FE" w:rsidRPr="001F365E" w:rsidRDefault="006522FE" w:rsidP="00923EF6">
            <w:r w:rsidRPr="001F365E">
              <w:rPr>
                <w:color w:val="000000"/>
              </w:rPr>
              <w:t>0</w:t>
            </w:r>
          </w:p>
        </w:tc>
      </w:tr>
      <w:tr w:rsidR="006522FE" w:rsidRPr="00E21062" w:rsidTr="006522FE">
        <w:tc>
          <w:tcPr>
            <w:tcW w:w="1834" w:type="dxa"/>
            <w:gridSpan w:val="2"/>
          </w:tcPr>
          <w:p w:rsidR="006522FE" w:rsidRPr="00E21062" w:rsidRDefault="006522FE" w:rsidP="00923EF6">
            <w:pPr>
              <w:pStyle w:val="naisf"/>
              <w:spacing w:before="0" w:after="0"/>
              <w:ind w:firstLine="0"/>
              <w:jc w:val="left"/>
              <w:rPr>
                <w:i/>
                <w:color w:val="000000" w:themeColor="text1"/>
                <w:sz w:val="26"/>
                <w:szCs w:val="26"/>
              </w:rPr>
            </w:pPr>
            <w:r w:rsidRPr="00E21062">
              <w:rPr>
                <w:color w:val="000000" w:themeColor="text1"/>
                <w:sz w:val="26"/>
                <w:szCs w:val="26"/>
              </w:rPr>
              <w:t>1.3. pašvaldību budžets</w:t>
            </w:r>
          </w:p>
        </w:tc>
        <w:tc>
          <w:tcPr>
            <w:tcW w:w="1256" w:type="dxa"/>
            <w:gridSpan w:val="2"/>
          </w:tcPr>
          <w:p w:rsidR="006522FE" w:rsidRPr="001F365E" w:rsidRDefault="006522FE" w:rsidP="00923EF6">
            <w:r w:rsidRPr="001F365E">
              <w:rPr>
                <w:color w:val="000000"/>
              </w:rPr>
              <w:t>0</w:t>
            </w:r>
          </w:p>
        </w:tc>
        <w:tc>
          <w:tcPr>
            <w:tcW w:w="1326" w:type="dxa"/>
            <w:gridSpan w:val="2"/>
          </w:tcPr>
          <w:p w:rsidR="006522FE" w:rsidRPr="001F365E" w:rsidRDefault="006522FE" w:rsidP="00923EF6">
            <w:r w:rsidRPr="001F365E">
              <w:rPr>
                <w:color w:val="000000"/>
              </w:rPr>
              <w:t>0</w:t>
            </w:r>
          </w:p>
        </w:tc>
        <w:tc>
          <w:tcPr>
            <w:tcW w:w="1392" w:type="dxa"/>
          </w:tcPr>
          <w:p w:rsidR="006522FE" w:rsidRPr="001F365E" w:rsidRDefault="006522FE" w:rsidP="00923EF6">
            <w:r w:rsidRPr="001F365E">
              <w:rPr>
                <w:color w:val="000000"/>
              </w:rPr>
              <w:t>0</w:t>
            </w:r>
          </w:p>
        </w:tc>
        <w:tc>
          <w:tcPr>
            <w:tcW w:w="1392" w:type="dxa"/>
            <w:gridSpan w:val="2"/>
          </w:tcPr>
          <w:p w:rsidR="006522FE" w:rsidRPr="001F365E" w:rsidRDefault="006522FE" w:rsidP="00923EF6">
            <w:r w:rsidRPr="001F365E">
              <w:rPr>
                <w:color w:val="000000"/>
              </w:rPr>
              <w:t>0</w:t>
            </w:r>
          </w:p>
        </w:tc>
        <w:tc>
          <w:tcPr>
            <w:tcW w:w="1933" w:type="dxa"/>
          </w:tcPr>
          <w:p w:rsidR="006522FE" w:rsidRPr="001F365E" w:rsidRDefault="006522FE" w:rsidP="00923EF6">
            <w:r w:rsidRPr="001F365E">
              <w:rPr>
                <w:color w:val="000000"/>
              </w:rPr>
              <w:t>0</w:t>
            </w:r>
          </w:p>
        </w:tc>
      </w:tr>
      <w:tr w:rsidR="005A0FDF" w:rsidRPr="00E21062" w:rsidTr="006522FE">
        <w:tc>
          <w:tcPr>
            <w:tcW w:w="1834" w:type="dxa"/>
            <w:gridSpan w:val="2"/>
          </w:tcPr>
          <w:p w:rsidR="005A0FDF" w:rsidRPr="00E21062" w:rsidRDefault="005A0FDF" w:rsidP="005A0FDF">
            <w:pPr>
              <w:jc w:val="both"/>
              <w:rPr>
                <w:color w:val="000000" w:themeColor="text1"/>
                <w:sz w:val="26"/>
                <w:szCs w:val="26"/>
              </w:rPr>
            </w:pPr>
            <w:r w:rsidRPr="00E21062">
              <w:rPr>
                <w:color w:val="000000" w:themeColor="text1"/>
                <w:sz w:val="26"/>
                <w:szCs w:val="26"/>
              </w:rPr>
              <w:t>2. Budžeta izdevumi:</w:t>
            </w:r>
          </w:p>
        </w:tc>
        <w:tc>
          <w:tcPr>
            <w:tcW w:w="1256" w:type="dxa"/>
            <w:gridSpan w:val="2"/>
          </w:tcPr>
          <w:p w:rsidR="005A0FDF" w:rsidRDefault="005A0FDF" w:rsidP="005A0FDF">
            <w:r w:rsidRPr="000B4524">
              <w:rPr>
                <w:color w:val="000000"/>
                <w:lang w:eastAsia="lv-LV"/>
              </w:rPr>
              <w:t>1 478 433</w:t>
            </w:r>
          </w:p>
        </w:tc>
        <w:tc>
          <w:tcPr>
            <w:tcW w:w="1326" w:type="dxa"/>
            <w:gridSpan w:val="2"/>
          </w:tcPr>
          <w:p w:rsidR="005A0FDF" w:rsidRPr="000F0406" w:rsidRDefault="005A0FDF" w:rsidP="005A0FDF">
            <w:pPr>
              <w:jc w:val="center"/>
              <w:rPr>
                <w:color w:val="000000"/>
                <w:lang w:eastAsia="lv-LV"/>
              </w:rPr>
            </w:pPr>
            <w:r>
              <w:rPr>
                <w:color w:val="000000" w:themeColor="text1"/>
              </w:rPr>
              <w:t>2 276 933</w:t>
            </w:r>
          </w:p>
        </w:tc>
        <w:tc>
          <w:tcPr>
            <w:tcW w:w="1392" w:type="dxa"/>
          </w:tcPr>
          <w:p w:rsidR="005A0FDF" w:rsidRPr="00E21062" w:rsidRDefault="005A0FDF" w:rsidP="005A0FDF">
            <w:pPr>
              <w:pStyle w:val="naisf"/>
              <w:spacing w:before="0" w:after="0"/>
              <w:ind w:firstLine="0"/>
              <w:jc w:val="center"/>
              <w:rPr>
                <w:color w:val="000000" w:themeColor="text1"/>
              </w:rPr>
            </w:pPr>
            <w:r>
              <w:rPr>
                <w:color w:val="000000"/>
              </w:rPr>
              <w:t>2 248 476</w:t>
            </w:r>
          </w:p>
        </w:tc>
        <w:tc>
          <w:tcPr>
            <w:tcW w:w="1392" w:type="dxa"/>
            <w:gridSpan w:val="2"/>
          </w:tcPr>
          <w:p w:rsidR="005A0FDF" w:rsidRPr="00E21062" w:rsidRDefault="005A0FDF" w:rsidP="005A0FDF">
            <w:pPr>
              <w:pStyle w:val="naisf"/>
              <w:spacing w:before="0" w:after="0"/>
              <w:ind w:firstLine="0"/>
              <w:jc w:val="center"/>
              <w:rPr>
                <w:color w:val="000000" w:themeColor="text1"/>
              </w:rPr>
            </w:pPr>
            <w:r>
              <w:rPr>
                <w:color w:val="000000"/>
              </w:rPr>
              <w:t>1 768 257</w:t>
            </w:r>
          </w:p>
        </w:tc>
        <w:tc>
          <w:tcPr>
            <w:tcW w:w="1933" w:type="dxa"/>
          </w:tcPr>
          <w:p w:rsidR="005A0FDF" w:rsidRPr="00E21062" w:rsidRDefault="005A0FDF" w:rsidP="005A0FDF">
            <w:pPr>
              <w:pStyle w:val="naisf"/>
              <w:spacing w:before="0" w:after="0"/>
              <w:ind w:firstLine="0"/>
              <w:jc w:val="center"/>
              <w:rPr>
                <w:color w:val="000000" w:themeColor="text1"/>
              </w:rPr>
            </w:pPr>
            <w:r>
              <w:rPr>
                <w:color w:val="000000"/>
              </w:rPr>
              <w:t>1 768 257</w:t>
            </w:r>
          </w:p>
        </w:tc>
      </w:tr>
      <w:tr w:rsidR="005A0FDF" w:rsidRPr="00E21062" w:rsidTr="006522FE">
        <w:tc>
          <w:tcPr>
            <w:tcW w:w="1834" w:type="dxa"/>
            <w:gridSpan w:val="2"/>
          </w:tcPr>
          <w:p w:rsidR="005A0FDF" w:rsidRPr="00E21062" w:rsidRDefault="005A0FDF" w:rsidP="005A0FDF">
            <w:pPr>
              <w:rPr>
                <w:color w:val="000000" w:themeColor="text1"/>
                <w:sz w:val="26"/>
                <w:szCs w:val="26"/>
              </w:rPr>
            </w:pPr>
            <w:r w:rsidRPr="00E21062">
              <w:rPr>
                <w:color w:val="000000" w:themeColor="text1"/>
                <w:sz w:val="26"/>
                <w:szCs w:val="26"/>
              </w:rPr>
              <w:t>2.1. valsts pamatbudžets</w:t>
            </w:r>
          </w:p>
        </w:tc>
        <w:tc>
          <w:tcPr>
            <w:tcW w:w="1256" w:type="dxa"/>
            <w:gridSpan w:val="2"/>
          </w:tcPr>
          <w:p w:rsidR="005A0FDF" w:rsidRDefault="005A0FDF" w:rsidP="005A0FDF">
            <w:r w:rsidRPr="000B4524">
              <w:rPr>
                <w:color w:val="000000"/>
                <w:lang w:eastAsia="lv-LV"/>
              </w:rPr>
              <w:t>1 478 433</w:t>
            </w:r>
          </w:p>
        </w:tc>
        <w:tc>
          <w:tcPr>
            <w:tcW w:w="1326" w:type="dxa"/>
            <w:gridSpan w:val="2"/>
          </w:tcPr>
          <w:p w:rsidR="005A0FDF" w:rsidRPr="000F0406" w:rsidRDefault="005A0FDF" w:rsidP="005A0FDF">
            <w:pPr>
              <w:jc w:val="center"/>
              <w:rPr>
                <w:color w:val="000000"/>
                <w:lang w:eastAsia="lv-LV"/>
              </w:rPr>
            </w:pPr>
            <w:r>
              <w:rPr>
                <w:color w:val="000000" w:themeColor="text1"/>
              </w:rPr>
              <w:t>2 276 933</w:t>
            </w:r>
          </w:p>
        </w:tc>
        <w:tc>
          <w:tcPr>
            <w:tcW w:w="1392" w:type="dxa"/>
          </w:tcPr>
          <w:p w:rsidR="005A0FDF" w:rsidRPr="00E21062" w:rsidRDefault="005A0FDF" w:rsidP="005A0FDF">
            <w:pPr>
              <w:pStyle w:val="naisf"/>
              <w:spacing w:before="0" w:after="0"/>
              <w:ind w:firstLine="0"/>
              <w:jc w:val="center"/>
              <w:rPr>
                <w:color w:val="000000" w:themeColor="text1"/>
              </w:rPr>
            </w:pPr>
            <w:r>
              <w:rPr>
                <w:color w:val="000000"/>
              </w:rPr>
              <w:t>2 248 476</w:t>
            </w:r>
          </w:p>
        </w:tc>
        <w:tc>
          <w:tcPr>
            <w:tcW w:w="1392" w:type="dxa"/>
            <w:gridSpan w:val="2"/>
          </w:tcPr>
          <w:p w:rsidR="005A0FDF" w:rsidRPr="00E21062" w:rsidRDefault="005A0FDF" w:rsidP="005A0FDF">
            <w:pPr>
              <w:pStyle w:val="naisf"/>
              <w:spacing w:before="0" w:after="0"/>
              <w:ind w:firstLine="0"/>
              <w:jc w:val="center"/>
              <w:rPr>
                <w:color w:val="000000" w:themeColor="text1"/>
              </w:rPr>
            </w:pPr>
            <w:r>
              <w:rPr>
                <w:color w:val="000000"/>
              </w:rPr>
              <w:t>1 768 257</w:t>
            </w:r>
          </w:p>
        </w:tc>
        <w:tc>
          <w:tcPr>
            <w:tcW w:w="1933" w:type="dxa"/>
          </w:tcPr>
          <w:p w:rsidR="005A0FDF" w:rsidRPr="00E21062" w:rsidRDefault="005A0FDF" w:rsidP="005A0FDF">
            <w:pPr>
              <w:pStyle w:val="naisf"/>
              <w:spacing w:before="0" w:after="0"/>
              <w:ind w:firstLine="0"/>
              <w:jc w:val="center"/>
              <w:rPr>
                <w:color w:val="000000" w:themeColor="text1"/>
              </w:rPr>
            </w:pPr>
            <w:r>
              <w:rPr>
                <w:color w:val="000000"/>
              </w:rPr>
              <w:t>1 768 257</w:t>
            </w:r>
          </w:p>
        </w:tc>
      </w:tr>
      <w:tr w:rsidR="006522FE" w:rsidRPr="00E21062" w:rsidTr="006522FE">
        <w:tc>
          <w:tcPr>
            <w:tcW w:w="1834" w:type="dxa"/>
            <w:gridSpan w:val="2"/>
          </w:tcPr>
          <w:p w:rsidR="006522FE" w:rsidRPr="00E21062" w:rsidRDefault="006522FE" w:rsidP="00923EF6">
            <w:pPr>
              <w:jc w:val="both"/>
              <w:rPr>
                <w:color w:val="000000" w:themeColor="text1"/>
                <w:sz w:val="26"/>
                <w:szCs w:val="26"/>
              </w:rPr>
            </w:pPr>
            <w:r w:rsidRPr="00E21062">
              <w:rPr>
                <w:color w:val="000000" w:themeColor="text1"/>
                <w:sz w:val="26"/>
                <w:szCs w:val="26"/>
              </w:rPr>
              <w:t>2.2. valsts speciālais budžets</w:t>
            </w:r>
          </w:p>
        </w:tc>
        <w:tc>
          <w:tcPr>
            <w:tcW w:w="1256" w:type="dxa"/>
            <w:gridSpan w:val="2"/>
          </w:tcPr>
          <w:p w:rsidR="006522FE" w:rsidRPr="001F365E" w:rsidRDefault="006522FE" w:rsidP="00923EF6">
            <w:r w:rsidRPr="001F365E">
              <w:rPr>
                <w:color w:val="000000"/>
              </w:rPr>
              <w:t>0</w:t>
            </w:r>
          </w:p>
        </w:tc>
        <w:tc>
          <w:tcPr>
            <w:tcW w:w="1326" w:type="dxa"/>
            <w:gridSpan w:val="2"/>
          </w:tcPr>
          <w:p w:rsidR="006522FE" w:rsidRPr="001F365E" w:rsidRDefault="006522FE" w:rsidP="00923EF6">
            <w:r w:rsidRPr="001F365E">
              <w:rPr>
                <w:color w:val="000000"/>
              </w:rPr>
              <w:t>0</w:t>
            </w:r>
          </w:p>
        </w:tc>
        <w:tc>
          <w:tcPr>
            <w:tcW w:w="1392" w:type="dxa"/>
          </w:tcPr>
          <w:p w:rsidR="006522FE" w:rsidRPr="001F365E" w:rsidRDefault="006522FE" w:rsidP="00923EF6">
            <w:r w:rsidRPr="001F365E">
              <w:rPr>
                <w:color w:val="000000"/>
              </w:rPr>
              <w:t>0</w:t>
            </w:r>
          </w:p>
        </w:tc>
        <w:tc>
          <w:tcPr>
            <w:tcW w:w="1392" w:type="dxa"/>
            <w:gridSpan w:val="2"/>
          </w:tcPr>
          <w:p w:rsidR="006522FE" w:rsidRPr="001F365E" w:rsidRDefault="006522FE" w:rsidP="00923EF6">
            <w:r w:rsidRPr="001F365E">
              <w:rPr>
                <w:color w:val="000000"/>
              </w:rPr>
              <w:t>0</w:t>
            </w:r>
          </w:p>
        </w:tc>
        <w:tc>
          <w:tcPr>
            <w:tcW w:w="1933" w:type="dxa"/>
          </w:tcPr>
          <w:p w:rsidR="006522FE" w:rsidRPr="001F365E" w:rsidRDefault="006522FE" w:rsidP="00923EF6">
            <w:r w:rsidRPr="001F365E">
              <w:rPr>
                <w:color w:val="000000"/>
              </w:rPr>
              <w:t>0</w:t>
            </w:r>
          </w:p>
        </w:tc>
      </w:tr>
      <w:tr w:rsidR="006522FE" w:rsidRPr="00E21062" w:rsidTr="006522FE">
        <w:tc>
          <w:tcPr>
            <w:tcW w:w="1834" w:type="dxa"/>
            <w:gridSpan w:val="2"/>
          </w:tcPr>
          <w:p w:rsidR="006522FE" w:rsidRPr="00E21062" w:rsidRDefault="006522FE" w:rsidP="00923EF6">
            <w:pPr>
              <w:rPr>
                <w:color w:val="000000" w:themeColor="text1"/>
                <w:sz w:val="26"/>
                <w:szCs w:val="26"/>
              </w:rPr>
            </w:pPr>
            <w:r w:rsidRPr="00E21062">
              <w:rPr>
                <w:color w:val="000000" w:themeColor="text1"/>
                <w:sz w:val="26"/>
                <w:szCs w:val="26"/>
              </w:rPr>
              <w:t xml:space="preserve">2.3. pašvaldību budžets </w:t>
            </w:r>
          </w:p>
        </w:tc>
        <w:tc>
          <w:tcPr>
            <w:tcW w:w="1256" w:type="dxa"/>
            <w:gridSpan w:val="2"/>
          </w:tcPr>
          <w:p w:rsidR="006522FE" w:rsidRPr="001F365E" w:rsidRDefault="006522FE" w:rsidP="00923EF6">
            <w:r w:rsidRPr="001F365E">
              <w:rPr>
                <w:color w:val="000000"/>
              </w:rPr>
              <w:t>0</w:t>
            </w:r>
          </w:p>
        </w:tc>
        <w:tc>
          <w:tcPr>
            <w:tcW w:w="1326" w:type="dxa"/>
            <w:gridSpan w:val="2"/>
          </w:tcPr>
          <w:p w:rsidR="006522FE" w:rsidRPr="001F365E" w:rsidRDefault="006522FE" w:rsidP="00923EF6">
            <w:r w:rsidRPr="001F365E">
              <w:rPr>
                <w:color w:val="000000"/>
              </w:rPr>
              <w:t>0</w:t>
            </w:r>
          </w:p>
        </w:tc>
        <w:tc>
          <w:tcPr>
            <w:tcW w:w="1392" w:type="dxa"/>
          </w:tcPr>
          <w:p w:rsidR="006522FE" w:rsidRPr="001F365E" w:rsidRDefault="006522FE" w:rsidP="00923EF6">
            <w:r w:rsidRPr="001F365E">
              <w:rPr>
                <w:color w:val="000000"/>
              </w:rPr>
              <w:t>0</w:t>
            </w:r>
          </w:p>
        </w:tc>
        <w:tc>
          <w:tcPr>
            <w:tcW w:w="1392" w:type="dxa"/>
            <w:gridSpan w:val="2"/>
          </w:tcPr>
          <w:p w:rsidR="006522FE" w:rsidRPr="001F365E" w:rsidRDefault="006522FE" w:rsidP="00923EF6">
            <w:r w:rsidRPr="001F365E">
              <w:rPr>
                <w:color w:val="000000"/>
              </w:rPr>
              <w:t>0</w:t>
            </w:r>
          </w:p>
        </w:tc>
        <w:tc>
          <w:tcPr>
            <w:tcW w:w="1933" w:type="dxa"/>
          </w:tcPr>
          <w:p w:rsidR="006522FE" w:rsidRPr="001F365E" w:rsidRDefault="006522FE" w:rsidP="00923EF6">
            <w:r w:rsidRPr="001F365E">
              <w:rPr>
                <w:color w:val="000000"/>
              </w:rPr>
              <w:t>0</w:t>
            </w:r>
          </w:p>
        </w:tc>
      </w:tr>
      <w:tr w:rsidR="003F78D5" w:rsidRPr="00E21062" w:rsidTr="006522FE">
        <w:tc>
          <w:tcPr>
            <w:tcW w:w="1834" w:type="dxa"/>
            <w:gridSpan w:val="2"/>
          </w:tcPr>
          <w:p w:rsidR="003F78D5" w:rsidRPr="00E21062" w:rsidRDefault="003F78D5" w:rsidP="003F78D5">
            <w:pPr>
              <w:jc w:val="both"/>
              <w:rPr>
                <w:color w:val="000000" w:themeColor="text1"/>
                <w:sz w:val="26"/>
                <w:szCs w:val="26"/>
              </w:rPr>
            </w:pPr>
            <w:r w:rsidRPr="00E21062">
              <w:rPr>
                <w:color w:val="000000" w:themeColor="text1"/>
                <w:sz w:val="26"/>
                <w:szCs w:val="26"/>
              </w:rPr>
              <w:t>3.Finansiālā ietekme:</w:t>
            </w:r>
          </w:p>
        </w:tc>
        <w:tc>
          <w:tcPr>
            <w:tcW w:w="1256" w:type="dxa"/>
            <w:gridSpan w:val="2"/>
          </w:tcPr>
          <w:p w:rsidR="003F78D5" w:rsidRPr="001F365E" w:rsidRDefault="003F78D5" w:rsidP="003F78D5">
            <w:r w:rsidRPr="001F365E">
              <w:rPr>
                <w:color w:val="000000"/>
              </w:rPr>
              <w:t>0</w:t>
            </w:r>
          </w:p>
        </w:tc>
        <w:tc>
          <w:tcPr>
            <w:tcW w:w="1326" w:type="dxa"/>
            <w:gridSpan w:val="2"/>
          </w:tcPr>
          <w:p w:rsidR="003F78D5" w:rsidRPr="000F0406" w:rsidRDefault="003F78D5" w:rsidP="003F78D5">
            <w:pPr>
              <w:jc w:val="center"/>
              <w:rPr>
                <w:color w:val="000000"/>
                <w:lang w:eastAsia="lv-LV"/>
              </w:rPr>
            </w:pPr>
            <w:r>
              <w:rPr>
                <w:color w:val="000000" w:themeColor="text1"/>
              </w:rPr>
              <w:t>-2 276 933</w:t>
            </w:r>
          </w:p>
        </w:tc>
        <w:tc>
          <w:tcPr>
            <w:tcW w:w="1392" w:type="dxa"/>
          </w:tcPr>
          <w:p w:rsidR="003F78D5" w:rsidRPr="00E21062" w:rsidRDefault="003F78D5" w:rsidP="003F78D5">
            <w:pPr>
              <w:pStyle w:val="naisf"/>
              <w:spacing w:before="0" w:after="0"/>
              <w:ind w:firstLine="0"/>
              <w:jc w:val="center"/>
              <w:rPr>
                <w:color w:val="000000" w:themeColor="text1"/>
              </w:rPr>
            </w:pPr>
            <w:r>
              <w:rPr>
                <w:color w:val="000000"/>
              </w:rPr>
              <w:t>-2 248 476</w:t>
            </w:r>
          </w:p>
        </w:tc>
        <w:tc>
          <w:tcPr>
            <w:tcW w:w="1392" w:type="dxa"/>
            <w:gridSpan w:val="2"/>
          </w:tcPr>
          <w:p w:rsidR="003F78D5" w:rsidRPr="00E21062" w:rsidRDefault="003F78D5" w:rsidP="003F78D5">
            <w:pPr>
              <w:pStyle w:val="naisf"/>
              <w:spacing w:before="0" w:after="0"/>
              <w:ind w:firstLine="0"/>
              <w:jc w:val="center"/>
              <w:rPr>
                <w:color w:val="000000" w:themeColor="text1"/>
              </w:rPr>
            </w:pPr>
            <w:r>
              <w:rPr>
                <w:color w:val="000000"/>
              </w:rPr>
              <w:t>-1 768 257</w:t>
            </w:r>
          </w:p>
        </w:tc>
        <w:tc>
          <w:tcPr>
            <w:tcW w:w="1933" w:type="dxa"/>
          </w:tcPr>
          <w:p w:rsidR="003F78D5" w:rsidRPr="00E21062" w:rsidRDefault="003F78D5" w:rsidP="003F78D5">
            <w:pPr>
              <w:pStyle w:val="naisf"/>
              <w:spacing w:before="0" w:after="0"/>
              <w:ind w:firstLine="0"/>
              <w:jc w:val="center"/>
              <w:rPr>
                <w:color w:val="000000" w:themeColor="text1"/>
              </w:rPr>
            </w:pPr>
            <w:r>
              <w:rPr>
                <w:color w:val="000000"/>
              </w:rPr>
              <w:t>-1 768 257</w:t>
            </w:r>
          </w:p>
        </w:tc>
      </w:tr>
      <w:tr w:rsidR="003F78D5" w:rsidRPr="00E21062" w:rsidTr="006522FE">
        <w:tc>
          <w:tcPr>
            <w:tcW w:w="1834" w:type="dxa"/>
            <w:gridSpan w:val="2"/>
          </w:tcPr>
          <w:p w:rsidR="003F78D5" w:rsidRPr="00E21062" w:rsidRDefault="003F78D5" w:rsidP="003F78D5">
            <w:pPr>
              <w:jc w:val="both"/>
              <w:rPr>
                <w:color w:val="000000" w:themeColor="text1"/>
                <w:sz w:val="26"/>
                <w:szCs w:val="26"/>
              </w:rPr>
            </w:pPr>
            <w:r w:rsidRPr="00E21062">
              <w:rPr>
                <w:color w:val="000000" w:themeColor="text1"/>
                <w:sz w:val="26"/>
                <w:szCs w:val="26"/>
              </w:rPr>
              <w:t>3.1.valsts pamatbudžets</w:t>
            </w:r>
          </w:p>
        </w:tc>
        <w:tc>
          <w:tcPr>
            <w:tcW w:w="1256" w:type="dxa"/>
            <w:gridSpan w:val="2"/>
          </w:tcPr>
          <w:p w:rsidR="003F78D5" w:rsidRPr="001F365E" w:rsidRDefault="003F78D5" w:rsidP="003F78D5">
            <w:r w:rsidRPr="001F365E">
              <w:rPr>
                <w:color w:val="000000"/>
              </w:rPr>
              <w:t>0</w:t>
            </w:r>
          </w:p>
        </w:tc>
        <w:tc>
          <w:tcPr>
            <w:tcW w:w="1326" w:type="dxa"/>
            <w:gridSpan w:val="2"/>
          </w:tcPr>
          <w:p w:rsidR="003F78D5" w:rsidRPr="000F0406" w:rsidRDefault="003F78D5" w:rsidP="003F78D5">
            <w:pPr>
              <w:jc w:val="center"/>
              <w:rPr>
                <w:color w:val="000000"/>
                <w:lang w:eastAsia="lv-LV"/>
              </w:rPr>
            </w:pPr>
            <w:r>
              <w:rPr>
                <w:color w:val="000000" w:themeColor="text1"/>
              </w:rPr>
              <w:t>-2 276 933</w:t>
            </w:r>
          </w:p>
        </w:tc>
        <w:tc>
          <w:tcPr>
            <w:tcW w:w="1392" w:type="dxa"/>
          </w:tcPr>
          <w:p w:rsidR="003F78D5" w:rsidRPr="00E21062" w:rsidRDefault="003F78D5" w:rsidP="003F78D5">
            <w:pPr>
              <w:pStyle w:val="naisf"/>
              <w:spacing w:before="0" w:after="0"/>
              <w:ind w:firstLine="0"/>
              <w:jc w:val="center"/>
              <w:rPr>
                <w:color w:val="000000" w:themeColor="text1"/>
              </w:rPr>
            </w:pPr>
            <w:r>
              <w:rPr>
                <w:color w:val="000000"/>
              </w:rPr>
              <w:t>-2 248 476</w:t>
            </w:r>
          </w:p>
        </w:tc>
        <w:tc>
          <w:tcPr>
            <w:tcW w:w="1392" w:type="dxa"/>
            <w:gridSpan w:val="2"/>
          </w:tcPr>
          <w:p w:rsidR="003F78D5" w:rsidRPr="00E21062" w:rsidRDefault="003F78D5" w:rsidP="003F78D5">
            <w:pPr>
              <w:pStyle w:val="naisf"/>
              <w:spacing w:before="0" w:after="0"/>
              <w:ind w:firstLine="0"/>
              <w:jc w:val="center"/>
              <w:rPr>
                <w:color w:val="000000" w:themeColor="text1"/>
              </w:rPr>
            </w:pPr>
            <w:r>
              <w:rPr>
                <w:color w:val="000000"/>
              </w:rPr>
              <w:t>-1 768 257</w:t>
            </w:r>
          </w:p>
        </w:tc>
        <w:tc>
          <w:tcPr>
            <w:tcW w:w="1933" w:type="dxa"/>
          </w:tcPr>
          <w:p w:rsidR="003F78D5" w:rsidRPr="00E21062" w:rsidRDefault="003F78D5" w:rsidP="003F78D5">
            <w:pPr>
              <w:pStyle w:val="naisf"/>
              <w:spacing w:before="0" w:after="0"/>
              <w:ind w:firstLine="0"/>
              <w:jc w:val="center"/>
              <w:rPr>
                <w:color w:val="000000" w:themeColor="text1"/>
              </w:rPr>
            </w:pPr>
            <w:r>
              <w:rPr>
                <w:color w:val="000000"/>
              </w:rPr>
              <w:t>-1 768 257</w:t>
            </w:r>
          </w:p>
        </w:tc>
      </w:tr>
      <w:tr w:rsidR="006522FE" w:rsidRPr="00E21062" w:rsidTr="006522FE">
        <w:tc>
          <w:tcPr>
            <w:tcW w:w="1834" w:type="dxa"/>
            <w:gridSpan w:val="2"/>
          </w:tcPr>
          <w:p w:rsidR="006522FE" w:rsidRPr="00E21062" w:rsidRDefault="006522FE" w:rsidP="00923EF6">
            <w:pPr>
              <w:jc w:val="both"/>
              <w:rPr>
                <w:color w:val="000000" w:themeColor="text1"/>
                <w:sz w:val="26"/>
                <w:szCs w:val="26"/>
              </w:rPr>
            </w:pPr>
            <w:r w:rsidRPr="00E21062">
              <w:rPr>
                <w:color w:val="000000" w:themeColor="text1"/>
                <w:sz w:val="26"/>
                <w:szCs w:val="26"/>
              </w:rPr>
              <w:t>3.2.speciālais budžets</w:t>
            </w:r>
          </w:p>
        </w:tc>
        <w:tc>
          <w:tcPr>
            <w:tcW w:w="1256" w:type="dxa"/>
            <w:gridSpan w:val="2"/>
          </w:tcPr>
          <w:p w:rsidR="006522FE" w:rsidRPr="001F365E" w:rsidRDefault="006522FE" w:rsidP="00923EF6">
            <w:r w:rsidRPr="001F365E">
              <w:rPr>
                <w:color w:val="000000"/>
              </w:rPr>
              <w:t>0</w:t>
            </w:r>
          </w:p>
        </w:tc>
        <w:tc>
          <w:tcPr>
            <w:tcW w:w="1326" w:type="dxa"/>
            <w:gridSpan w:val="2"/>
          </w:tcPr>
          <w:p w:rsidR="006522FE" w:rsidRPr="001F365E" w:rsidRDefault="006522FE" w:rsidP="00923EF6">
            <w:r w:rsidRPr="001F365E">
              <w:rPr>
                <w:color w:val="000000"/>
              </w:rPr>
              <w:t>0</w:t>
            </w:r>
          </w:p>
        </w:tc>
        <w:tc>
          <w:tcPr>
            <w:tcW w:w="1392" w:type="dxa"/>
          </w:tcPr>
          <w:p w:rsidR="006522FE" w:rsidRPr="001F365E" w:rsidRDefault="006522FE" w:rsidP="00923EF6">
            <w:r w:rsidRPr="001F365E">
              <w:rPr>
                <w:color w:val="000000"/>
              </w:rPr>
              <w:t>0</w:t>
            </w:r>
          </w:p>
        </w:tc>
        <w:tc>
          <w:tcPr>
            <w:tcW w:w="1392" w:type="dxa"/>
            <w:gridSpan w:val="2"/>
          </w:tcPr>
          <w:p w:rsidR="006522FE" w:rsidRPr="001F365E" w:rsidRDefault="006522FE" w:rsidP="00923EF6">
            <w:r w:rsidRPr="001F365E">
              <w:rPr>
                <w:color w:val="000000"/>
              </w:rPr>
              <w:t>0</w:t>
            </w:r>
          </w:p>
        </w:tc>
        <w:tc>
          <w:tcPr>
            <w:tcW w:w="1933" w:type="dxa"/>
          </w:tcPr>
          <w:p w:rsidR="006522FE" w:rsidRPr="001F365E" w:rsidRDefault="006522FE" w:rsidP="00923EF6">
            <w:r w:rsidRPr="001F365E">
              <w:rPr>
                <w:color w:val="000000"/>
              </w:rPr>
              <w:t>0</w:t>
            </w:r>
          </w:p>
        </w:tc>
      </w:tr>
      <w:tr w:rsidR="006522FE" w:rsidRPr="00E21062" w:rsidTr="006522FE">
        <w:tc>
          <w:tcPr>
            <w:tcW w:w="1834" w:type="dxa"/>
            <w:gridSpan w:val="2"/>
          </w:tcPr>
          <w:p w:rsidR="006522FE" w:rsidRPr="00E21062" w:rsidRDefault="006522FE" w:rsidP="00923EF6">
            <w:pPr>
              <w:jc w:val="both"/>
              <w:rPr>
                <w:color w:val="000000" w:themeColor="text1"/>
                <w:sz w:val="26"/>
                <w:szCs w:val="26"/>
              </w:rPr>
            </w:pPr>
            <w:r w:rsidRPr="00E21062">
              <w:rPr>
                <w:color w:val="000000" w:themeColor="text1"/>
                <w:sz w:val="26"/>
                <w:szCs w:val="26"/>
              </w:rPr>
              <w:lastRenderedPageBreak/>
              <w:t xml:space="preserve">3.3.pašvaldību budžets </w:t>
            </w:r>
          </w:p>
        </w:tc>
        <w:tc>
          <w:tcPr>
            <w:tcW w:w="1256" w:type="dxa"/>
            <w:gridSpan w:val="2"/>
          </w:tcPr>
          <w:p w:rsidR="006522FE" w:rsidRPr="001F365E" w:rsidRDefault="006522FE" w:rsidP="00923EF6">
            <w:r w:rsidRPr="001F365E">
              <w:rPr>
                <w:color w:val="000000"/>
              </w:rPr>
              <w:t>0</w:t>
            </w:r>
          </w:p>
        </w:tc>
        <w:tc>
          <w:tcPr>
            <w:tcW w:w="1326" w:type="dxa"/>
            <w:gridSpan w:val="2"/>
          </w:tcPr>
          <w:p w:rsidR="006522FE" w:rsidRPr="001F365E" w:rsidRDefault="006522FE" w:rsidP="00923EF6">
            <w:r w:rsidRPr="001F365E">
              <w:rPr>
                <w:color w:val="000000"/>
              </w:rPr>
              <w:t>0</w:t>
            </w:r>
          </w:p>
        </w:tc>
        <w:tc>
          <w:tcPr>
            <w:tcW w:w="1392" w:type="dxa"/>
          </w:tcPr>
          <w:p w:rsidR="006522FE" w:rsidRPr="001F365E" w:rsidRDefault="006522FE" w:rsidP="00923EF6">
            <w:r w:rsidRPr="001F365E">
              <w:rPr>
                <w:color w:val="000000"/>
              </w:rPr>
              <w:t>0</w:t>
            </w:r>
          </w:p>
        </w:tc>
        <w:tc>
          <w:tcPr>
            <w:tcW w:w="1392" w:type="dxa"/>
            <w:gridSpan w:val="2"/>
          </w:tcPr>
          <w:p w:rsidR="006522FE" w:rsidRPr="001F365E" w:rsidRDefault="006522FE" w:rsidP="00923EF6">
            <w:r w:rsidRPr="001F365E">
              <w:rPr>
                <w:color w:val="000000"/>
              </w:rPr>
              <w:t>0</w:t>
            </w:r>
          </w:p>
        </w:tc>
        <w:tc>
          <w:tcPr>
            <w:tcW w:w="1933" w:type="dxa"/>
          </w:tcPr>
          <w:p w:rsidR="006522FE" w:rsidRPr="001F365E" w:rsidRDefault="006522FE" w:rsidP="00923EF6">
            <w:r w:rsidRPr="001F365E">
              <w:rPr>
                <w:color w:val="000000"/>
              </w:rPr>
              <w:t>0</w:t>
            </w:r>
          </w:p>
        </w:tc>
      </w:tr>
      <w:tr w:rsidR="006522FE" w:rsidRPr="00E21062" w:rsidTr="006522FE">
        <w:trPr>
          <w:trHeight w:val="2093"/>
        </w:trPr>
        <w:tc>
          <w:tcPr>
            <w:tcW w:w="1834" w:type="dxa"/>
            <w:gridSpan w:val="2"/>
          </w:tcPr>
          <w:p w:rsidR="006522FE" w:rsidRPr="00E21062" w:rsidRDefault="006522FE" w:rsidP="00923EF6">
            <w:pPr>
              <w:jc w:val="both"/>
              <w:rPr>
                <w:color w:val="000000" w:themeColor="text1"/>
                <w:sz w:val="26"/>
                <w:szCs w:val="26"/>
              </w:rPr>
            </w:pPr>
            <w:r w:rsidRPr="00E21062">
              <w:rPr>
                <w:color w:val="000000" w:themeColor="text1"/>
                <w:sz w:val="26"/>
                <w:szCs w:val="26"/>
              </w:rPr>
              <w:t>4. Finanšu līdzekļi papildu izde</w:t>
            </w:r>
            <w:r w:rsidRPr="00E21062">
              <w:rPr>
                <w:color w:val="000000" w:themeColor="text1"/>
                <w:sz w:val="26"/>
                <w:szCs w:val="26"/>
              </w:rPr>
              <w:softHyphen/>
              <w:t>vumu finansēšanai (kompensējošu izdevumu samazinājumu norāda ar "+" zīmi)</w:t>
            </w:r>
          </w:p>
        </w:tc>
        <w:tc>
          <w:tcPr>
            <w:tcW w:w="1256" w:type="dxa"/>
            <w:gridSpan w:val="2"/>
          </w:tcPr>
          <w:p w:rsidR="006522FE" w:rsidRPr="00E21062" w:rsidRDefault="006522FE" w:rsidP="00923EF6">
            <w:pPr>
              <w:pStyle w:val="naisf"/>
              <w:spacing w:before="0" w:after="0"/>
              <w:ind w:firstLine="0"/>
              <w:jc w:val="center"/>
              <w:rPr>
                <w:color w:val="000000" w:themeColor="text1"/>
              </w:rPr>
            </w:pPr>
            <w:r w:rsidRPr="00E21062">
              <w:rPr>
                <w:color w:val="000000" w:themeColor="text1"/>
              </w:rPr>
              <w:t>X</w:t>
            </w:r>
          </w:p>
        </w:tc>
        <w:tc>
          <w:tcPr>
            <w:tcW w:w="1326" w:type="dxa"/>
            <w:gridSpan w:val="2"/>
          </w:tcPr>
          <w:p w:rsidR="006522FE" w:rsidRPr="00E21062" w:rsidRDefault="00092306" w:rsidP="00923EF6">
            <w:pPr>
              <w:pStyle w:val="naisf"/>
              <w:spacing w:before="0" w:after="0"/>
              <w:ind w:firstLine="0"/>
              <w:jc w:val="center"/>
              <w:rPr>
                <w:color w:val="000000" w:themeColor="text1"/>
              </w:rPr>
            </w:pPr>
            <w:r>
              <w:rPr>
                <w:color w:val="000000" w:themeColor="text1"/>
              </w:rPr>
              <w:t>2 276 933</w:t>
            </w:r>
          </w:p>
        </w:tc>
        <w:tc>
          <w:tcPr>
            <w:tcW w:w="1392" w:type="dxa"/>
          </w:tcPr>
          <w:p w:rsidR="006522FE" w:rsidRPr="00E21062" w:rsidRDefault="006522FE" w:rsidP="00923EF6">
            <w:pPr>
              <w:pStyle w:val="naisf"/>
              <w:spacing w:before="0" w:after="0"/>
              <w:ind w:firstLine="0"/>
              <w:jc w:val="center"/>
              <w:rPr>
                <w:color w:val="000000" w:themeColor="text1"/>
              </w:rPr>
            </w:pPr>
            <w:r w:rsidRPr="00E21062">
              <w:rPr>
                <w:color w:val="000000" w:themeColor="text1"/>
              </w:rPr>
              <w:t>0</w:t>
            </w:r>
          </w:p>
        </w:tc>
        <w:tc>
          <w:tcPr>
            <w:tcW w:w="1392" w:type="dxa"/>
            <w:gridSpan w:val="2"/>
          </w:tcPr>
          <w:p w:rsidR="006522FE" w:rsidRPr="00E21062" w:rsidRDefault="006522FE" w:rsidP="00923EF6">
            <w:pPr>
              <w:pStyle w:val="naisf"/>
              <w:spacing w:before="0" w:after="0"/>
              <w:ind w:firstLine="0"/>
              <w:jc w:val="center"/>
              <w:rPr>
                <w:color w:val="000000" w:themeColor="text1"/>
              </w:rPr>
            </w:pPr>
            <w:r w:rsidRPr="00E21062">
              <w:rPr>
                <w:color w:val="000000" w:themeColor="text1"/>
              </w:rPr>
              <w:t>0</w:t>
            </w:r>
          </w:p>
        </w:tc>
        <w:tc>
          <w:tcPr>
            <w:tcW w:w="1933" w:type="dxa"/>
          </w:tcPr>
          <w:p w:rsidR="006522FE" w:rsidRPr="00E21062" w:rsidRDefault="006522FE" w:rsidP="00923EF6">
            <w:pPr>
              <w:pStyle w:val="naisf"/>
              <w:spacing w:before="0" w:after="0"/>
              <w:ind w:firstLine="0"/>
              <w:jc w:val="center"/>
              <w:rPr>
                <w:color w:val="000000" w:themeColor="text1"/>
              </w:rPr>
            </w:pPr>
            <w:r w:rsidRPr="00E21062">
              <w:rPr>
                <w:color w:val="000000" w:themeColor="text1"/>
              </w:rPr>
              <w:t>0</w:t>
            </w:r>
          </w:p>
        </w:tc>
      </w:tr>
      <w:tr w:rsidR="003F78D5" w:rsidRPr="00E21062" w:rsidTr="006522FE">
        <w:tc>
          <w:tcPr>
            <w:tcW w:w="1834" w:type="dxa"/>
            <w:gridSpan w:val="2"/>
          </w:tcPr>
          <w:p w:rsidR="003F78D5" w:rsidRPr="00E21062" w:rsidRDefault="003F78D5" w:rsidP="003F78D5">
            <w:pPr>
              <w:jc w:val="both"/>
              <w:rPr>
                <w:color w:val="000000" w:themeColor="text1"/>
                <w:sz w:val="26"/>
                <w:szCs w:val="26"/>
              </w:rPr>
            </w:pPr>
            <w:r w:rsidRPr="00E21062">
              <w:rPr>
                <w:color w:val="000000" w:themeColor="text1"/>
                <w:sz w:val="26"/>
                <w:szCs w:val="26"/>
              </w:rPr>
              <w:t>5.Precizēta finansiālā ietekme:</w:t>
            </w:r>
          </w:p>
        </w:tc>
        <w:tc>
          <w:tcPr>
            <w:tcW w:w="1256" w:type="dxa"/>
            <w:gridSpan w:val="2"/>
            <w:vMerge w:val="restart"/>
          </w:tcPr>
          <w:p w:rsidR="003F78D5" w:rsidRPr="001F365E" w:rsidRDefault="003F78D5" w:rsidP="003F78D5">
            <w:pPr>
              <w:jc w:val="center"/>
            </w:pPr>
            <w:r w:rsidRPr="00E21062">
              <w:rPr>
                <w:color w:val="000000" w:themeColor="text1"/>
              </w:rPr>
              <w:t>X</w:t>
            </w:r>
          </w:p>
        </w:tc>
        <w:tc>
          <w:tcPr>
            <w:tcW w:w="1326" w:type="dxa"/>
            <w:gridSpan w:val="2"/>
          </w:tcPr>
          <w:p w:rsidR="003F78D5" w:rsidRPr="00E21062" w:rsidRDefault="003F78D5" w:rsidP="003F78D5">
            <w:pPr>
              <w:pStyle w:val="CommentText"/>
              <w:spacing w:after="0"/>
              <w:jc w:val="center"/>
              <w:rPr>
                <w:color w:val="000000" w:themeColor="text1"/>
              </w:rPr>
            </w:pPr>
            <w:r>
              <w:rPr>
                <w:rFonts w:ascii="Times New Roman" w:eastAsia="Times New Roman" w:hAnsi="Times New Roman"/>
                <w:color w:val="000000"/>
                <w:sz w:val="24"/>
                <w:szCs w:val="24"/>
                <w:lang w:eastAsia="lv-LV"/>
              </w:rPr>
              <w:t>0</w:t>
            </w:r>
          </w:p>
        </w:tc>
        <w:tc>
          <w:tcPr>
            <w:tcW w:w="1392" w:type="dxa"/>
          </w:tcPr>
          <w:p w:rsidR="003F78D5" w:rsidRPr="00E21062" w:rsidRDefault="003F78D5" w:rsidP="003F78D5">
            <w:pPr>
              <w:pStyle w:val="naisf"/>
              <w:spacing w:before="0" w:after="0"/>
              <w:ind w:firstLine="0"/>
              <w:jc w:val="center"/>
              <w:rPr>
                <w:color w:val="000000" w:themeColor="text1"/>
              </w:rPr>
            </w:pPr>
            <w:r>
              <w:rPr>
                <w:color w:val="000000"/>
              </w:rPr>
              <w:t>-2 248 476</w:t>
            </w:r>
          </w:p>
        </w:tc>
        <w:tc>
          <w:tcPr>
            <w:tcW w:w="1392" w:type="dxa"/>
            <w:gridSpan w:val="2"/>
          </w:tcPr>
          <w:p w:rsidR="003F78D5" w:rsidRPr="00E21062" w:rsidRDefault="003F78D5" w:rsidP="003F78D5">
            <w:pPr>
              <w:pStyle w:val="naisf"/>
              <w:spacing w:before="0" w:after="0"/>
              <w:ind w:firstLine="0"/>
              <w:jc w:val="center"/>
              <w:rPr>
                <w:color w:val="000000" w:themeColor="text1"/>
              </w:rPr>
            </w:pPr>
            <w:r>
              <w:rPr>
                <w:color w:val="000000"/>
              </w:rPr>
              <w:t>-1 768 257</w:t>
            </w:r>
          </w:p>
        </w:tc>
        <w:tc>
          <w:tcPr>
            <w:tcW w:w="1933" w:type="dxa"/>
          </w:tcPr>
          <w:p w:rsidR="003F78D5" w:rsidRPr="00E21062" w:rsidRDefault="003F78D5" w:rsidP="003F78D5">
            <w:pPr>
              <w:pStyle w:val="naisf"/>
              <w:spacing w:before="0" w:after="0"/>
              <w:ind w:firstLine="0"/>
              <w:jc w:val="center"/>
              <w:rPr>
                <w:color w:val="000000" w:themeColor="text1"/>
              </w:rPr>
            </w:pPr>
            <w:r>
              <w:rPr>
                <w:color w:val="000000"/>
              </w:rPr>
              <w:t>-1 768 257</w:t>
            </w:r>
          </w:p>
        </w:tc>
      </w:tr>
      <w:tr w:rsidR="006522FE" w:rsidRPr="00E21062" w:rsidTr="006522FE">
        <w:tc>
          <w:tcPr>
            <w:tcW w:w="1834" w:type="dxa"/>
            <w:gridSpan w:val="2"/>
          </w:tcPr>
          <w:p w:rsidR="006522FE" w:rsidRPr="00E21062" w:rsidRDefault="006522FE" w:rsidP="00923EF6">
            <w:pPr>
              <w:jc w:val="both"/>
              <w:rPr>
                <w:color w:val="000000" w:themeColor="text1"/>
                <w:sz w:val="26"/>
                <w:szCs w:val="26"/>
              </w:rPr>
            </w:pPr>
            <w:r w:rsidRPr="00E21062">
              <w:rPr>
                <w:color w:val="000000" w:themeColor="text1"/>
                <w:sz w:val="26"/>
                <w:szCs w:val="26"/>
              </w:rPr>
              <w:t>5.1.valsts pamatbudžets</w:t>
            </w:r>
          </w:p>
        </w:tc>
        <w:tc>
          <w:tcPr>
            <w:tcW w:w="1256" w:type="dxa"/>
            <w:gridSpan w:val="2"/>
            <w:vMerge/>
          </w:tcPr>
          <w:p w:rsidR="006522FE" w:rsidRPr="00E21062" w:rsidRDefault="006522FE" w:rsidP="00923EF6">
            <w:pPr>
              <w:pStyle w:val="naisf"/>
              <w:spacing w:before="0" w:after="0"/>
              <w:ind w:firstLine="0"/>
              <w:jc w:val="center"/>
              <w:rPr>
                <w:color w:val="000000" w:themeColor="text1"/>
              </w:rPr>
            </w:pPr>
          </w:p>
        </w:tc>
        <w:tc>
          <w:tcPr>
            <w:tcW w:w="1326" w:type="dxa"/>
            <w:gridSpan w:val="2"/>
          </w:tcPr>
          <w:p w:rsidR="006522FE" w:rsidRPr="00E21062" w:rsidRDefault="003F78D5" w:rsidP="00923EF6">
            <w:pPr>
              <w:pStyle w:val="naisf"/>
              <w:spacing w:before="0" w:after="0"/>
              <w:ind w:firstLine="0"/>
              <w:jc w:val="center"/>
              <w:rPr>
                <w:color w:val="000000" w:themeColor="text1"/>
              </w:rPr>
            </w:pPr>
            <w:r>
              <w:rPr>
                <w:color w:val="000000"/>
              </w:rPr>
              <w:t>0</w:t>
            </w:r>
          </w:p>
        </w:tc>
        <w:tc>
          <w:tcPr>
            <w:tcW w:w="1392" w:type="dxa"/>
          </w:tcPr>
          <w:p w:rsidR="006522FE" w:rsidRPr="00E21062" w:rsidRDefault="006522FE" w:rsidP="003F78D5">
            <w:pPr>
              <w:pStyle w:val="naisf"/>
              <w:spacing w:before="0" w:after="0"/>
              <w:ind w:firstLine="0"/>
              <w:jc w:val="center"/>
              <w:rPr>
                <w:color w:val="000000" w:themeColor="text1"/>
              </w:rPr>
            </w:pPr>
            <w:r>
              <w:rPr>
                <w:color w:val="000000"/>
              </w:rPr>
              <w:t>-2</w:t>
            </w:r>
            <w:r w:rsidR="003F78D5">
              <w:rPr>
                <w:color w:val="000000"/>
              </w:rPr>
              <w:t> </w:t>
            </w:r>
            <w:r>
              <w:rPr>
                <w:color w:val="000000"/>
              </w:rPr>
              <w:t>248</w:t>
            </w:r>
            <w:r w:rsidR="003F78D5">
              <w:rPr>
                <w:color w:val="000000"/>
              </w:rPr>
              <w:t xml:space="preserve"> 476</w:t>
            </w:r>
          </w:p>
        </w:tc>
        <w:tc>
          <w:tcPr>
            <w:tcW w:w="1392" w:type="dxa"/>
            <w:gridSpan w:val="2"/>
          </w:tcPr>
          <w:p w:rsidR="006522FE" w:rsidRPr="00E21062" w:rsidRDefault="006522FE" w:rsidP="003F78D5">
            <w:pPr>
              <w:pStyle w:val="naisf"/>
              <w:spacing w:before="0" w:after="0"/>
              <w:ind w:firstLine="0"/>
              <w:jc w:val="center"/>
              <w:rPr>
                <w:color w:val="000000" w:themeColor="text1"/>
              </w:rPr>
            </w:pPr>
            <w:r>
              <w:rPr>
                <w:color w:val="000000"/>
              </w:rPr>
              <w:t>-1</w:t>
            </w:r>
            <w:r w:rsidR="003F78D5">
              <w:rPr>
                <w:color w:val="000000"/>
              </w:rPr>
              <w:t> 768 257</w:t>
            </w:r>
          </w:p>
        </w:tc>
        <w:tc>
          <w:tcPr>
            <w:tcW w:w="1933" w:type="dxa"/>
          </w:tcPr>
          <w:p w:rsidR="006522FE" w:rsidRPr="00E21062" w:rsidRDefault="003F78D5" w:rsidP="00923EF6">
            <w:pPr>
              <w:pStyle w:val="naisf"/>
              <w:spacing w:before="0" w:after="0"/>
              <w:ind w:firstLine="0"/>
              <w:jc w:val="center"/>
              <w:rPr>
                <w:color w:val="000000" w:themeColor="text1"/>
              </w:rPr>
            </w:pPr>
            <w:r>
              <w:rPr>
                <w:color w:val="000000"/>
              </w:rPr>
              <w:t>-1 768 257</w:t>
            </w:r>
          </w:p>
        </w:tc>
      </w:tr>
      <w:tr w:rsidR="006522FE" w:rsidRPr="00E21062" w:rsidTr="006522FE">
        <w:tc>
          <w:tcPr>
            <w:tcW w:w="1834" w:type="dxa"/>
            <w:gridSpan w:val="2"/>
          </w:tcPr>
          <w:p w:rsidR="006522FE" w:rsidRPr="00E21062" w:rsidRDefault="006522FE" w:rsidP="00923EF6">
            <w:pPr>
              <w:jc w:val="both"/>
              <w:rPr>
                <w:color w:val="000000" w:themeColor="text1"/>
                <w:sz w:val="26"/>
                <w:szCs w:val="26"/>
              </w:rPr>
            </w:pPr>
            <w:r w:rsidRPr="00E21062">
              <w:rPr>
                <w:color w:val="000000" w:themeColor="text1"/>
                <w:sz w:val="26"/>
                <w:szCs w:val="26"/>
              </w:rPr>
              <w:t>5.2.speciālais budžets</w:t>
            </w:r>
          </w:p>
        </w:tc>
        <w:tc>
          <w:tcPr>
            <w:tcW w:w="1256" w:type="dxa"/>
            <w:gridSpan w:val="2"/>
            <w:vMerge/>
          </w:tcPr>
          <w:p w:rsidR="006522FE" w:rsidRPr="00E21062" w:rsidRDefault="006522FE" w:rsidP="00923EF6">
            <w:pPr>
              <w:pStyle w:val="naisf"/>
              <w:spacing w:before="0" w:after="0"/>
              <w:ind w:firstLine="0"/>
              <w:jc w:val="center"/>
              <w:rPr>
                <w:color w:val="000000" w:themeColor="text1"/>
              </w:rPr>
            </w:pPr>
          </w:p>
        </w:tc>
        <w:tc>
          <w:tcPr>
            <w:tcW w:w="1326" w:type="dxa"/>
            <w:gridSpan w:val="2"/>
          </w:tcPr>
          <w:p w:rsidR="006522FE" w:rsidRPr="00E21062" w:rsidRDefault="006522FE" w:rsidP="00923EF6">
            <w:pPr>
              <w:pStyle w:val="naisf"/>
              <w:spacing w:before="0" w:after="0"/>
              <w:ind w:firstLine="0"/>
              <w:jc w:val="center"/>
              <w:rPr>
                <w:color w:val="000000" w:themeColor="text1"/>
              </w:rPr>
            </w:pPr>
            <w:r w:rsidRPr="000F0406">
              <w:rPr>
                <w:color w:val="000000"/>
              </w:rPr>
              <w:t>0</w:t>
            </w:r>
          </w:p>
        </w:tc>
        <w:tc>
          <w:tcPr>
            <w:tcW w:w="1392" w:type="dxa"/>
          </w:tcPr>
          <w:p w:rsidR="006522FE" w:rsidRPr="00E21062" w:rsidRDefault="006522FE" w:rsidP="00923EF6">
            <w:pPr>
              <w:pStyle w:val="naisf"/>
              <w:spacing w:before="0" w:after="0"/>
              <w:ind w:firstLine="0"/>
              <w:jc w:val="center"/>
              <w:rPr>
                <w:color w:val="000000" w:themeColor="text1"/>
              </w:rPr>
            </w:pPr>
            <w:r w:rsidRPr="000F0406">
              <w:rPr>
                <w:color w:val="000000"/>
              </w:rPr>
              <w:t>0</w:t>
            </w:r>
          </w:p>
        </w:tc>
        <w:tc>
          <w:tcPr>
            <w:tcW w:w="1392" w:type="dxa"/>
            <w:gridSpan w:val="2"/>
          </w:tcPr>
          <w:p w:rsidR="006522FE" w:rsidRPr="00E21062" w:rsidRDefault="006522FE" w:rsidP="00923EF6">
            <w:pPr>
              <w:pStyle w:val="naisf"/>
              <w:spacing w:before="0" w:after="0"/>
              <w:ind w:firstLine="0"/>
              <w:jc w:val="center"/>
              <w:rPr>
                <w:color w:val="000000" w:themeColor="text1"/>
              </w:rPr>
            </w:pPr>
            <w:r w:rsidRPr="000F0406">
              <w:rPr>
                <w:color w:val="000000"/>
              </w:rPr>
              <w:t>0</w:t>
            </w:r>
          </w:p>
        </w:tc>
        <w:tc>
          <w:tcPr>
            <w:tcW w:w="1933" w:type="dxa"/>
          </w:tcPr>
          <w:p w:rsidR="006522FE" w:rsidRPr="00E21062" w:rsidRDefault="006522FE" w:rsidP="00923EF6">
            <w:pPr>
              <w:pStyle w:val="naisf"/>
              <w:spacing w:before="0" w:after="0"/>
              <w:ind w:firstLine="0"/>
              <w:jc w:val="center"/>
              <w:rPr>
                <w:color w:val="000000" w:themeColor="text1"/>
              </w:rPr>
            </w:pPr>
            <w:r w:rsidRPr="000F0406">
              <w:rPr>
                <w:color w:val="000000"/>
              </w:rPr>
              <w:t>0</w:t>
            </w:r>
          </w:p>
        </w:tc>
      </w:tr>
      <w:tr w:rsidR="006522FE" w:rsidRPr="00E21062" w:rsidTr="006522FE">
        <w:tc>
          <w:tcPr>
            <w:tcW w:w="1834" w:type="dxa"/>
            <w:gridSpan w:val="2"/>
          </w:tcPr>
          <w:p w:rsidR="006522FE" w:rsidRPr="00E21062" w:rsidRDefault="006522FE" w:rsidP="00923EF6">
            <w:pPr>
              <w:jc w:val="both"/>
              <w:rPr>
                <w:color w:val="000000" w:themeColor="text1"/>
                <w:sz w:val="26"/>
                <w:szCs w:val="26"/>
              </w:rPr>
            </w:pPr>
            <w:r w:rsidRPr="00E21062">
              <w:rPr>
                <w:color w:val="000000" w:themeColor="text1"/>
                <w:sz w:val="26"/>
                <w:szCs w:val="26"/>
              </w:rPr>
              <w:t xml:space="preserve">5.3.pašvaldību budžets </w:t>
            </w:r>
          </w:p>
        </w:tc>
        <w:tc>
          <w:tcPr>
            <w:tcW w:w="1256" w:type="dxa"/>
            <w:gridSpan w:val="2"/>
            <w:vMerge/>
          </w:tcPr>
          <w:p w:rsidR="006522FE" w:rsidRPr="00E21062" w:rsidRDefault="006522FE" w:rsidP="00923EF6">
            <w:pPr>
              <w:pStyle w:val="naisf"/>
              <w:spacing w:before="0" w:after="0"/>
              <w:ind w:firstLine="0"/>
              <w:jc w:val="center"/>
              <w:rPr>
                <w:color w:val="000000" w:themeColor="text1"/>
              </w:rPr>
            </w:pPr>
          </w:p>
        </w:tc>
        <w:tc>
          <w:tcPr>
            <w:tcW w:w="1326" w:type="dxa"/>
            <w:gridSpan w:val="2"/>
          </w:tcPr>
          <w:p w:rsidR="006522FE" w:rsidRPr="00E21062" w:rsidRDefault="006522FE" w:rsidP="00923EF6">
            <w:pPr>
              <w:pStyle w:val="naisf"/>
              <w:spacing w:before="0" w:after="0"/>
              <w:ind w:firstLine="0"/>
              <w:jc w:val="center"/>
              <w:rPr>
                <w:color w:val="000000" w:themeColor="text1"/>
              </w:rPr>
            </w:pPr>
            <w:r w:rsidRPr="000F0406">
              <w:rPr>
                <w:color w:val="000000"/>
              </w:rPr>
              <w:t>0</w:t>
            </w:r>
          </w:p>
        </w:tc>
        <w:tc>
          <w:tcPr>
            <w:tcW w:w="1392" w:type="dxa"/>
          </w:tcPr>
          <w:p w:rsidR="006522FE" w:rsidRPr="00E21062" w:rsidRDefault="006522FE" w:rsidP="00923EF6">
            <w:pPr>
              <w:pStyle w:val="naisf"/>
              <w:spacing w:before="0" w:after="0"/>
              <w:ind w:firstLine="0"/>
              <w:jc w:val="center"/>
              <w:rPr>
                <w:color w:val="000000" w:themeColor="text1"/>
              </w:rPr>
            </w:pPr>
            <w:r w:rsidRPr="000F0406">
              <w:rPr>
                <w:color w:val="000000"/>
              </w:rPr>
              <w:t>0</w:t>
            </w:r>
          </w:p>
        </w:tc>
        <w:tc>
          <w:tcPr>
            <w:tcW w:w="1392" w:type="dxa"/>
            <w:gridSpan w:val="2"/>
          </w:tcPr>
          <w:p w:rsidR="006522FE" w:rsidRPr="00E21062" w:rsidRDefault="006522FE" w:rsidP="00923EF6">
            <w:pPr>
              <w:pStyle w:val="naisf"/>
              <w:spacing w:before="0" w:after="0"/>
              <w:ind w:firstLine="0"/>
              <w:jc w:val="center"/>
              <w:rPr>
                <w:color w:val="000000" w:themeColor="text1"/>
              </w:rPr>
            </w:pPr>
            <w:r w:rsidRPr="000F0406">
              <w:rPr>
                <w:color w:val="000000"/>
              </w:rPr>
              <w:t>0</w:t>
            </w:r>
          </w:p>
        </w:tc>
        <w:tc>
          <w:tcPr>
            <w:tcW w:w="1933" w:type="dxa"/>
          </w:tcPr>
          <w:p w:rsidR="006522FE" w:rsidRPr="00E21062" w:rsidRDefault="006522FE" w:rsidP="00923EF6">
            <w:pPr>
              <w:pStyle w:val="naisf"/>
              <w:spacing w:before="0" w:after="0"/>
              <w:ind w:firstLine="0"/>
              <w:jc w:val="center"/>
              <w:rPr>
                <w:color w:val="000000" w:themeColor="text1"/>
              </w:rPr>
            </w:pPr>
            <w:r w:rsidRPr="000F0406">
              <w:rPr>
                <w:color w:val="000000"/>
              </w:rPr>
              <w:t>0</w:t>
            </w:r>
          </w:p>
        </w:tc>
      </w:tr>
      <w:tr w:rsidR="006522FE" w:rsidRPr="00E21062" w:rsidTr="006522FE">
        <w:tc>
          <w:tcPr>
            <w:tcW w:w="1834" w:type="dxa"/>
            <w:gridSpan w:val="2"/>
          </w:tcPr>
          <w:p w:rsidR="006522FE" w:rsidRPr="00E21062" w:rsidRDefault="006522FE" w:rsidP="00923EF6">
            <w:pPr>
              <w:jc w:val="both"/>
              <w:rPr>
                <w:color w:val="000000" w:themeColor="text1"/>
                <w:sz w:val="26"/>
                <w:szCs w:val="26"/>
              </w:rPr>
            </w:pPr>
            <w:r w:rsidRPr="00E21062">
              <w:rPr>
                <w:color w:val="000000" w:themeColor="text1"/>
                <w:sz w:val="26"/>
                <w:szCs w:val="26"/>
              </w:rPr>
              <w:t>6.Detalizēts ieņēmumu un izdevu</w:t>
            </w:r>
            <w:r w:rsidRPr="00E21062">
              <w:rPr>
                <w:color w:val="000000" w:themeColor="text1"/>
                <w:sz w:val="26"/>
                <w:szCs w:val="26"/>
              </w:rPr>
              <w:softHyphen/>
              <w:t>mu aprēķins (ja nepieciešams, detalizētu ieņēmumu un izdevumu aprēķinu var pievienot anotācijas pielikumā):</w:t>
            </w:r>
          </w:p>
        </w:tc>
        <w:tc>
          <w:tcPr>
            <w:tcW w:w="7299" w:type="dxa"/>
            <w:gridSpan w:val="8"/>
            <w:vMerge w:val="restart"/>
          </w:tcPr>
          <w:p w:rsidR="006522FE" w:rsidRPr="00F26734" w:rsidRDefault="006522FE" w:rsidP="00923EF6">
            <w:pPr>
              <w:rPr>
                <w:sz w:val="26"/>
                <w:szCs w:val="26"/>
                <w:u w:val="single"/>
              </w:rPr>
            </w:pPr>
            <w:r w:rsidRPr="00F26734">
              <w:rPr>
                <w:sz w:val="26"/>
                <w:szCs w:val="26"/>
                <w:u w:val="single"/>
              </w:rPr>
              <w:t>Detalizēts izdevumu aprēķins</w:t>
            </w:r>
          </w:p>
          <w:p w:rsidR="006522FE" w:rsidRPr="00F26734" w:rsidRDefault="006522FE" w:rsidP="001E3C4C">
            <w:pPr>
              <w:rPr>
                <w:sz w:val="26"/>
                <w:szCs w:val="26"/>
                <w:u w:val="single"/>
              </w:rPr>
            </w:pPr>
            <w:r w:rsidRPr="00F26734">
              <w:rPr>
                <w:sz w:val="26"/>
                <w:szCs w:val="26"/>
                <w:u w:val="single"/>
              </w:rPr>
              <w:t>Iekšlietu ministrija (budžeta apakšprogramma 38.05.00 „Veselības aprūpe un fiziskā sagatavotība”)</w:t>
            </w:r>
          </w:p>
          <w:p w:rsidR="00BA3A84" w:rsidRDefault="001E3C4C" w:rsidP="00923EF6">
            <w:pPr>
              <w:ind w:firstLine="888"/>
              <w:jc w:val="both"/>
              <w:rPr>
                <w:sz w:val="26"/>
                <w:szCs w:val="26"/>
              </w:rPr>
            </w:pPr>
            <w:r w:rsidRPr="00D52F4F">
              <w:rPr>
                <w:color w:val="000000"/>
                <w:sz w:val="26"/>
                <w:szCs w:val="26"/>
              </w:rPr>
              <w:t xml:space="preserve">Likumā „Par vidēja termiņa budžeta ietvaru 2014., 2015. un 2016. gadam” </w:t>
            </w:r>
            <w:r w:rsidR="00D52F4F" w:rsidRPr="00D52F4F">
              <w:rPr>
                <w:color w:val="000000"/>
                <w:sz w:val="26"/>
                <w:szCs w:val="26"/>
              </w:rPr>
              <w:t xml:space="preserve">un likumā „Par valsts budžetu 2014.gadam” </w:t>
            </w:r>
            <w:r w:rsidR="00D52F4F" w:rsidRPr="00D52F4F">
              <w:rPr>
                <w:sz w:val="26"/>
                <w:szCs w:val="26"/>
              </w:rPr>
              <w:t xml:space="preserve">budžeta apakšprogrammā 38.05.00 „Veselības aprūpe un fiziskā sagatavotība” </w:t>
            </w:r>
            <w:r w:rsidRPr="00D52F4F">
              <w:rPr>
                <w:color w:val="000000"/>
                <w:sz w:val="26"/>
                <w:szCs w:val="26"/>
              </w:rPr>
              <w:t>apstiprināti izdevumi</w:t>
            </w:r>
            <w:r w:rsidRPr="00D52F4F">
              <w:rPr>
                <w:sz w:val="26"/>
                <w:szCs w:val="26"/>
              </w:rPr>
              <w:t xml:space="preserve"> amatpersonu veselības aprūpei –  </w:t>
            </w:r>
            <w:r w:rsidR="00D52F4F" w:rsidRPr="00D52F4F">
              <w:rPr>
                <w:sz w:val="26"/>
                <w:szCs w:val="26"/>
              </w:rPr>
              <w:t>1 478 433</w:t>
            </w:r>
            <w:r w:rsidRPr="00D52F4F">
              <w:rPr>
                <w:i/>
                <w:sz w:val="26"/>
                <w:szCs w:val="26"/>
              </w:rPr>
              <w:t xml:space="preserve"> euro</w:t>
            </w:r>
            <w:r w:rsidR="00D52F4F" w:rsidRPr="00D52F4F">
              <w:rPr>
                <w:i/>
                <w:sz w:val="26"/>
                <w:szCs w:val="26"/>
              </w:rPr>
              <w:t xml:space="preserve"> </w:t>
            </w:r>
            <w:r w:rsidR="00D52F4F" w:rsidRPr="00D52F4F">
              <w:rPr>
                <w:sz w:val="26"/>
                <w:szCs w:val="26"/>
              </w:rPr>
              <w:t>(2015.gadā 1 505 823</w:t>
            </w:r>
            <w:r w:rsidR="00D52F4F" w:rsidRPr="00D52F4F">
              <w:rPr>
                <w:i/>
                <w:sz w:val="26"/>
                <w:szCs w:val="26"/>
              </w:rPr>
              <w:t xml:space="preserve"> euro, </w:t>
            </w:r>
            <w:r w:rsidR="00D52F4F" w:rsidRPr="00D52F4F">
              <w:rPr>
                <w:sz w:val="26"/>
                <w:szCs w:val="26"/>
              </w:rPr>
              <w:t>bet 2016.gadā – 1 986 043</w:t>
            </w:r>
            <w:r w:rsidR="00D52F4F" w:rsidRPr="00D52F4F">
              <w:rPr>
                <w:i/>
                <w:sz w:val="26"/>
                <w:szCs w:val="26"/>
              </w:rPr>
              <w:t xml:space="preserve"> euro</w:t>
            </w:r>
            <w:r w:rsidR="00D52F4F" w:rsidRPr="00D52F4F">
              <w:rPr>
                <w:sz w:val="26"/>
                <w:szCs w:val="26"/>
              </w:rPr>
              <w:t>).</w:t>
            </w:r>
            <w:r w:rsidR="00D52F4F">
              <w:rPr>
                <w:sz w:val="26"/>
                <w:szCs w:val="26"/>
              </w:rPr>
              <w:t xml:space="preserve"> </w:t>
            </w:r>
          </w:p>
          <w:p w:rsidR="00BA3A84" w:rsidRDefault="00BA3A84" w:rsidP="00923EF6">
            <w:pPr>
              <w:ind w:firstLine="888"/>
              <w:jc w:val="both"/>
              <w:rPr>
                <w:color w:val="000000"/>
                <w:sz w:val="26"/>
                <w:szCs w:val="26"/>
              </w:rPr>
            </w:pPr>
            <w:r>
              <w:rPr>
                <w:sz w:val="26"/>
                <w:szCs w:val="26"/>
              </w:rPr>
              <w:t>Projektā paredzētajiem amatpersonu veselības aprūpes pilnveidošanas pasākumiem l</w:t>
            </w:r>
            <w:r w:rsidRPr="00F26734">
              <w:rPr>
                <w:color w:val="000000"/>
                <w:sz w:val="26"/>
                <w:szCs w:val="26"/>
              </w:rPr>
              <w:t xml:space="preserve">ikumā </w:t>
            </w:r>
            <w:r w:rsidRPr="005A0FDF">
              <w:rPr>
                <w:color w:val="000000"/>
                <w:sz w:val="26"/>
                <w:szCs w:val="26"/>
              </w:rPr>
              <w:t xml:space="preserve">„Par vidēja termiņa budžeta ietvaru 2014., 2015. un 2016. gadam” </w:t>
            </w:r>
            <w:r w:rsidRPr="00F26734">
              <w:rPr>
                <w:color w:val="000000"/>
                <w:sz w:val="26"/>
                <w:szCs w:val="26"/>
              </w:rPr>
              <w:t xml:space="preserve"> apstiprināti</w:t>
            </w:r>
            <w:r w:rsidR="00985272">
              <w:rPr>
                <w:color w:val="000000"/>
                <w:sz w:val="26"/>
                <w:szCs w:val="26"/>
              </w:rPr>
              <w:t>e</w:t>
            </w:r>
            <w:r w:rsidRPr="00F26734">
              <w:rPr>
                <w:color w:val="000000"/>
                <w:sz w:val="26"/>
                <w:szCs w:val="26"/>
              </w:rPr>
              <w:t xml:space="preserve"> izdevumi</w:t>
            </w:r>
            <w:r>
              <w:rPr>
                <w:color w:val="000000"/>
                <w:sz w:val="26"/>
                <w:szCs w:val="26"/>
              </w:rPr>
              <w:t xml:space="preserve"> </w:t>
            </w:r>
            <w:r w:rsidR="005D1584" w:rsidRPr="005D1584">
              <w:rPr>
                <w:color w:val="000000"/>
                <w:sz w:val="26"/>
                <w:szCs w:val="26"/>
              </w:rPr>
              <w:t>2014.gadā</w:t>
            </w:r>
            <w:r w:rsidR="005D1584">
              <w:rPr>
                <w:b/>
                <w:i/>
                <w:color w:val="000000"/>
                <w:sz w:val="26"/>
                <w:szCs w:val="26"/>
              </w:rPr>
              <w:t xml:space="preserve"> </w:t>
            </w:r>
            <w:r w:rsidRPr="00F26734">
              <w:rPr>
                <w:sz w:val="26"/>
                <w:szCs w:val="26"/>
              </w:rPr>
              <w:t xml:space="preserve">– </w:t>
            </w:r>
            <w:r w:rsidRPr="00F26734">
              <w:rPr>
                <w:b/>
                <w:sz w:val="26"/>
                <w:szCs w:val="26"/>
              </w:rPr>
              <w:t>28 457</w:t>
            </w:r>
            <w:r w:rsidRPr="00F26734">
              <w:rPr>
                <w:b/>
                <w:i/>
                <w:color w:val="000000"/>
                <w:sz w:val="26"/>
                <w:szCs w:val="26"/>
              </w:rPr>
              <w:t xml:space="preserve"> euro </w:t>
            </w:r>
            <w:r w:rsidRPr="00F26734">
              <w:rPr>
                <w:color w:val="000000"/>
                <w:sz w:val="26"/>
                <w:szCs w:val="26"/>
              </w:rPr>
              <w:t xml:space="preserve">(2015.gadā - 56 914 </w:t>
            </w:r>
            <w:r w:rsidRPr="00F26734">
              <w:rPr>
                <w:i/>
                <w:color w:val="000000"/>
                <w:sz w:val="26"/>
                <w:szCs w:val="26"/>
              </w:rPr>
              <w:t>euro</w:t>
            </w:r>
            <w:r w:rsidRPr="00F26734">
              <w:rPr>
                <w:color w:val="000000"/>
                <w:sz w:val="26"/>
                <w:szCs w:val="26"/>
              </w:rPr>
              <w:t xml:space="preserve">, bet 2016.gadā – 537 133 </w:t>
            </w:r>
            <w:r w:rsidRPr="00F26734">
              <w:rPr>
                <w:i/>
                <w:color w:val="000000"/>
                <w:sz w:val="26"/>
                <w:szCs w:val="26"/>
              </w:rPr>
              <w:t>euro</w:t>
            </w:r>
            <w:r w:rsidRPr="00F26734">
              <w:rPr>
                <w:color w:val="000000"/>
                <w:sz w:val="26"/>
                <w:szCs w:val="26"/>
              </w:rPr>
              <w:t>)</w:t>
            </w:r>
            <w:r>
              <w:rPr>
                <w:color w:val="000000"/>
                <w:sz w:val="26"/>
                <w:szCs w:val="26"/>
              </w:rPr>
              <w:t xml:space="preserve"> ietver</w:t>
            </w:r>
            <w:r w:rsidR="00923EF6">
              <w:rPr>
                <w:color w:val="000000"/>
                <w:sz w:val="26"/>
                <w:szCs w:val="26"/>
              </w:rPr>
              <w:t xml:space="preserve"> šādus pasākumus un attiecīgos apstiprinātos izdevumus</w:t>
            </w:r>
            <w:r>
              <w:rPr>
                <w:color w:val="000000"/>
                <w:sz w:val="26"/>
                <w:szCs w:val="26"/>
              </w:rPr>
              <w:t>:</w:t>
            </w:r>
          </w:p>
          <w:p w:rsidR="00923EF6" w:rsidRPr="00F26734" w:rsidRDefault="00923EF6" w:rsidP="00923EF6">
            <w:pPr>
              <w:numPr>
                <w:ilvl w:val="0"/>
                <w:numId w:val="13"/>
              </w:numPr>
              <w:jc w:val="both"/>
              <w:rPr>
                <w:color w:val="000000"/>
                <w:sz w:val="26"/>
                <w:szCs w:val="26"/>
              </w:rPr>
            </w:pPr>
            <w:r>
              <w:rPr>
                <w:sz w:val="26"/>
                <w:szCs w:val="26"/>
              </w:rPr>
              <w:t>z</w:t>
            </w:r>
            <w:r w:rsidRPr="00F26734">
              <w:rPr>
                <w:sz w:val="26"/>
                <w:szCs w:val="26"/>
              </w:rPr>
              <w:t>obārstniecības izdevumu kompensēšan</w:t>
            </w:r>
            <w:r>
              <w:rPr>
                <w:sz w:val="26"/>
                <w:szCs w:val="26"/>
              </w:rPr>
              <w:t>u</w:t>
            </w:r>
            <w:r w:rsidRPr="00F26734">
              <w:rPr>
                <w:sz w:val="26"/>
                <w:szCs w:val="26"/>
              </w:rPr>
              <w:t xml:space="preserve"> </w:t>
            </w:r>
            <w:r>
              <w:rPr>
                <w:sz w:val="26"/>
                <w:szCs w:val="26"/>
              </w:rPr>
              <w:t>5</w:t>
            </w:r>
            <w:r w:rsidRPr="00F26734">
              <w:rPr>
                <w:sz w:val="26"/>
                <w:szCs w:val="26"/>
              </w:rPr>
              <w:t xml:space="preserve">0 % apmērā ar limitu līdz </w:t>
            </w:r>
            <w:r>
              <w:rPr>
                <w:sz w:val="26"/>
                <w:szCs w:val="26"/>
              </w:rPr>
              <w:t>72</w:t>
            </w:r>
            <w:r w:rsidRPr="00F26734">
              <w:rPr>
                <w:sz w:val="26"/>
                <w:szCs w:val="26"/>
              </w:rPr>
              <w:t xml:space="preserve"> </w:t>
            </w:r>
            <w:r w:rsidRPr="00F26734">
              <w:rPr>
                <w:i/>
                <w:sz w:val="26"/>
                <w:szCs w:val="26"/>
              </w:rPr>
              <w:t>euro</w:t>
            </w:r>
            <w:r w:rsidRPr="00F26734">
              <w:rPr>
                <w:sz w:val="26"/>
                <w:szCs w:val="26"/>
              </w:rPr>
              <w:t xml:space="preserve"> gadā</w:t>
            </w:r>
            <w:r>
              <w:rPr>
                <w:sz w:val="26"/>
                <w:szCs w:val="26"/>
              </w:rPr>
              <w:t xml:space="preserve"> no 2016.gada (apstiprinātie izdevumi sākot no 2016.gada 320 146 </w:t>
            </w:r>
            <w:r w:rsidRPr="00923EF6">
              <w:rPr>
                <w:i/>
                <w:sz w:val="26"/>
                <w:szCs w:val="26"/>
              </w:rPr>
              <w:t>euro</w:t>
            </w:r>
            <w:r>
              <w:rPr>
                <w:sz w:val="26"/>
                <w:szCs w:val="26"/>
              </w:rPr>
              <w:t xml:space="preserve"> un turpmāk ik gadu);</w:t>
            </w:r>
          </w:p>
          <w:p w:rsidR="00923EF6" w:rsidRPr="00923EF6" w:rsidRDefault="00923EF6" w:rsidP="00BA3A84">
            <w:pPr>
              <w:pStyle w:val="ListParagraph"/>
              <w:numPr>
                <w:ilvl w:val="0"/>
                <w:numId w:val="13"/>
              </w:numPr>
              <w:jc w:val="both"/>
              <w:rPr>
                <w:color w:val="000000"/>
                <w:sz w:val="26"/>
                <w:szCs w:val="26"/>
              </w:rPr>
            </w:pPr>
            <w:r>
              <w:rPr>
                <w:sz w:val="26"/>
                <w:szCs w:val="26"/>
              </w:rPr>
              <w:t>m</w:t>
            </w:r>
            <w:r w:rsidRPr="00F26734">
              <w:rPr>
                <w:sz w:val="26"/>
                <w:szCs w:val="26"/>
              </w:rPr>
              <w:t>edikamentu iegādes izdevumu kompensēšan</w:t>
            </w:r>
            <w:r>
              <w:rPr>
                <w:sz w:val="26"/>
                <w:szCs w:val="26"/>
              </w:rPr>
              <w:t>u</w:t>
            </w:r>
            <w:r w:rsidRPr="00F26734">
              <w:rPr>
                <w:sz w:val="26"/>
                <w:szCs w:val="26"/>
              </w:rPr>
              <w:t xml:space="preserve"> </w:t>
            </w:r>
            <w:r>
              <w:rPr>
                <w:sz w:val="26"/>
                <w:szCs w:val="26"/>
              </w:rPr>
              <w:t>50</w:t>
            </w:r>
            <w:r w:rsidRPr="00F26734">
              <w:rPr>
                <w:sz w:val="26"/>
                <w:szCs w:val="26"/>
              </w:rPr>
              <w:t xml:space="preserve"> % apmērā ar limitu līdz </w:t>
            </w:r>
            <w:r>
              <w:rPr>
                <w:sz w:val="26"/>
                <w:szCs w:val="26"/>
              </w:rPr>
              <w:t>43</w:t>
            </w:r>
            <w:r w:rsidRPr="00F26734">
              <w:rPr>
                <w:sz w:val="26"/>
                <w:szCs w:val="26"/>
              </w:rPr>
              <w:t xml:space="preserve"> </w:t>
            </w:r>
            <w:r w:rsidRPr="00F26734">
              <w:rPr>
                <w:i/>
                <w:sz w:val="26"/>
                <w:szCs w:val="26"/>
              </w:rPr>
              <w:t>euro</w:t>
            </w:r>
            <w:r w:rsidRPr="00F26734">
              <w:rPr>
                <w:sz w:val="26"/>
                <w:szCs w:val="26"/>
              </w:rPr>
              <w:t xml:space="preserve"> gadā</w:t>
            </w:r>
            <w:r>
              <w:rPr>
                <w:sz w:val="26"/>
                <w:szCs w:val="26"/>
              </w:rPr>
              <w:t xml:space="preserve"> (apstiprinātie izdevumi sākot no 2016.gada 160 073 </w:t>
            </w:r>
            <w:r w:rsidRPr="00923EF6">
              <w:rPr>
                <w:i/>
                <w:sz w:val="26"/>
                <w:szCs w:val="26"/>
              </w:rPr>
              <w:t>euro</w:t>
            </w:r>
            <w:r>
              <w:rPr>
                <w:sz w:val="26"/>
                <w:szCs w:val="26"/>
              </w:rPr>
              <w:t xml:space="preserve"> un turpmāk ik gadu);</w:t>
            </w:r>
          </w:p>
          <w:p w:rsidR="00BA3A84" w:rsidRPr="00923EF6" w:rsidRDefault="00BA3A84" w:rsidP="00923EF6">
            <w:pPr>
              <w:pStyle w:val="ListParagraph"/>
              <w:numPr>
                <w:ilvl w:val="0"/>
                <w:numId w:val="13"/>
              </w:numPr>
              <w:jc w:val="both"/>
              <w:rPr>
                <w:color w:val="000000"/>
                <w:sz w:val="26"/>
                <w:szCs w:val="26"/>
              </w:rPr>
            </w:pPr>
            <w:r>
              <w:rPr>
                <w:sz w:val="26"/>
                <w:szCs w:val="26"/>
              </w:rPr>
              <w:t>a</w:t>
            </w:r>
            <w:r w:rsidRPr="00BA3A84">
              <w:rPr>
                <w:sz w:val="26"/>
                <w:szCs w:val="26"/>
              </w:rPr>
              <w:t>matpersonām kompensējamo maksas medicīnisko pakalpojumu limita palielināšan</w:t>
            </w:r>
            <w:r>
              <w:rPr>
                <w:sz w:val="26"/>
                <w:szCs w:val="26"/>
              </w:rPr>
              <w:t xml:space="preserve">u no 50 latiem 2013.gadā </w:t>
            </w:r>
            <w:r>
              <w:rPr>
                <w:sz w:val="26"/>
                <w:szCs w:val="26"/>
              </w:rPr>
              <w:lastRenderedPageBreak/>
              <w:t xml:space="preserve">līdz 107 </w:t>
            </w:r>
            <w:r w:rsidRPr="00BA3A84">
              <w:rPr>
                <w:i/>
                <w:sz w:val="26"/>
                <w:szCs w:val="26"/>
              </w:rPr>
              <w:t>euro</w:t>
            </w:r>
            <w:r w:rsidR="00985272">
              <w:rPr>
                <w:i/>
                <w:sz w:val="26"/>
                <w:szCs w:val="26"/>
              </w:rPr>
              <w:t xml:space="preserve"> </w:t>
            </w:r>
            <w:r w:rsidR="00985272">
              <w:rPr>
                <w:sz w:val="26"/>
                <w:szCs w:val="26"/>
              </w:rPr>
              <w:t>2014.gadā</w:t>
            </w:r>
            <w:r>
              <w:rPr>
                <w:sz w:val="26"/>
                <w:szCs w:val="26"/>
              </w:rPr>
              <w:t>, un līdz 143</w:t>
            </w:r>
            <w:r w:rsidRPr="00BA3A84">
              <w:rPr>
                <w:sz w:val="26"/>
                <w:szCs w:val="26"/>
              </w:rPr>
              <w:t xml:space="preserve"> </w:t>
            </w:r>
            <w:r w:rsidRPr="00BA3A84">
              <w:rPr>
                <w:i/>
                <w:sz w:val="26"/>
                <w:szCs w:val="26"/>
              </w:rPr>
              <w:t xml:space="preserve">euro </w:t>
            </w:r>
            <w:r w:rsidRPr="00BA3A84">
              <w:rPr>
                <w:sz w:val="26"/>
                <w:szCs w:val="26"/>
              </w:rPr>
              <w:t>gadā</w:t>
            </w:r>
            <w:r>
              <w:rPr>
                <w:sz w:val="26"/>
                <w:szCs w:val="26"/>
              </w:rPr>
              <w:t xml:space="preserve"> no 2015.gada (apstiprinātie izdevumi 28 457 </w:t>
            </w:r>
            <w:r w:rsidRPr="00BA3A84">
              <w:rPr>
                <w:i/>
                <w:sz w:val="26"/>
                <w:szCs w:val="26"/>
              </w:rPr>
              <w:t>euro</w:t>
            </w:r>
            <w:r>
              <w:rPr>
                <w:sz w:val="26"/>
                <w:szCs w:val="26"/>
              </w:rPr>
              <w:t xml:space="preserve"> 2014.gadā, 56 914 </w:t>
            </w:r>
            <w:r w:rsidRPr="00BA3A84">
              <w:rPr>
                <w:i/>
                <w:sz w:val="26"/>
                <w:szCs w:val="26"/>
              </w:rPr>
              <w:t>euro</w:t>
            </w:r>
            <w:r>
              <w:rPr>
                <w:sz w:val="26"/>
                <w:szCs w:val="26"/>
              </w:rPr>
              <w:t xml:space="preserve"> 2015.gadā</w:t>
            </w:r>
            <w:r w:rsidR="00923EF6">
              <w:rPr>
                <w:sz w:val="26"/>
                <w:szCs w:val="26"/>
              </w:rPr>
              <w:t xml:space="preserve"> un turpmāk ik gadu</w:t>
            </w:r>
            <w:r>
              <w:rPr>
                <w:sz w:val="26"/>
                <w:szCs w:val="26"/>
              </w:rPr>
              <w:t>)</w:t>
            </w:r>
            <w:r w:rsidR="00923EF6">
              <w:rPr>
                <w:sz w:val="26"/>
                <w:szCs w:val="26"/>
              </w:rPr>
              <w:t>.</w:t>
            </w:r>
          </w:p>
          <w:p w:rsidR="006522FE" w:rsidRPr="00F26734" w:rsidRDefault="006522FE" w:rsidP="00923EF6">
            <w:pPr>
              <w:pStyle w:val="naisf"/>
              <w:spacing w:before="0" w:after="0"/>
              <w:ind w:firstLine="452"/>
              <w:rPr>
                <w:color w:val="000000" w:themeColor="text1"/>
                <w:sz w:val="26"/>
                <w:szCs w:val="26"/>
              </w:rPr>
            </w:pPr>
            <w:r w:rsidRPr="00F26734">
              <w:rPr>
                <w:color w:val="000000" w:themeColor="text1"/>
                <w:sz w:val="26"/>
                <w:szCs w:val="26"/>
              </w:rPr>
              <w:t>Projekts paredz valsts pamatbudžeta izdevumu palielinājumu</w:t>
            </w:r>
            <w:r w:rsidR="00BA3A84">
              <w:rPr>
                <w:color w:val="000000" w:themeColor="text1"/>
                <w:sz w:val="26"/>
                <w:szCs w:val="26"/>
              </w:rPr>
              <w:t xml:space="preserve"> amatpersonu veselības aprūpes sistēmas pilnveidošanai</w:t>
            </w:r>
            <w:r w:rsidRPr="00F26734">
              <w:rPr>
                <w:color w:val="000000" w:themeColor="text1"/>
                <w:sz w:val="26"/>
                <w:szCs w:val="26"/>
              </w:rPr>
              <w:t>:</w:t>
            </w:r>
          </w:p>
          <w:p w:rsidR="006522FE" w:rsidRPr="00F26734" w:rsidRDefault="006522FE" w:rsidP="00923EF6">
            <w:pPr>
              <w:pStyle w:val="naisf"/>
              <w:numPr>
                <w:ilvl w:val="0"/>
                <w:numId w:val="14"/>
              </w:numPr>
              <w:spacing w:before="0" w:after="0"/>
              <w:ind w:left="747" w:hanging="284"/>
              <w:rPr>
                <w:color w:val="000000" w:themeColor="text1"/>
                <w:sz w:val="26"/>
                <w:szCs w:val="26"/>
              </w:rPr>
            </w:pPr>
            <w:r w:rsidRPr="00F26734">
              <w:rPr>
                <w:color w:val="000000" w:themeColor="text1"/>
                <w:sz w:val="26"/>
                <w:szCs w:val="26"/>
              </w:rPr>
              <w:t xml:space="preserve">2014.gadā – 2 276 933 </w:t>
            </w:r>
            <w:r w:rsidRPr="00F26734">
              <w:rPr>
                <w:i/>
                <w:color w:val="000000" w:themeColor="text1"/>
                <w:sz w:val="26"/>
                <w:szCs w:val="26"/>
              </w:rPr>
              <w:t>euro</w:t>
            </w:r>
            <w:r w:rsidRPr="00F26734">
              <w:rPr>
                <w:color w:val="000000" w:themeColor="text1"/>
                <w:sz w:val="26"/>
                <w:szCs w:val="26"/>
              </w:rPr>
              <w:t xml:space="preserve"> apmērā;</w:t>
            </w:r>
          </w:p>
          <w:p w:rsidR="006522FE" w:rsidRPr="00F26734" w:rsidRDefault="006522FE" w:rsidP="00923EF6">
            <w:pPr>
              <w:pStyle w:val="naisf"/>
              <w:numPr>
                <w:ilvl w:val="0"/>
                <w:numId w:val="14"/>
              </w:numPr>
              <w:spacing w:before="0" w:after="0"/>
              <w:ind w:left="747" w:hanging="284"/>
              <w:rPr>
                <w:color w:val="000000" w:themeColor="text1"/>
                <w:sz w:val="26"/>
                <w:szCs w:val="26"/>
              </w:rPr>
            </w:pPr>
            <w:r w:rsidRPr="00F26734">
              <w:rPr>
                <w:color w:val="000000" w:themeColor="text1"/>
                <w:sz w:val="26"/>
                <w:szCs w:val="26"/>
              </w:rPr>
              <w:t xml:space="preserve">2015.gadā –2 248 476 </w:t>
            </w:r>
            <w:r w:rsidRPr="00F26734">
              <w:rPr>
                <w:i/>
                <w:color w:val="000000" w:themeColor="text1"/>
                <w:sz w:val="26"/>
                <w:szCs w:val="26"/>
              </w:rPr>
              <w:t>euro</w:t>
            </w:r>
            <w:r w:rsidRPr="00F26734">
              <w:rPr>
                <w:color w:val="000000" w:themeColor="text1"/>
                <w:sz w:val="26"/>
                <w:szCs w:val="26"/>
              </w:rPr>
              <w:t xml:space="preserve"> apmērā;</w:t>
            </w:r>
          </w:p>
          <w:p w:rsidR="006522FE" w:rsidRPr="00F26734" w:rsidRDefault="006522FE" w:rsidP="00923EF6">
            <w:pPr>
              <w:pStyle w:val="naisf"/>
              <w:numPr>
                <w:ilvl w:val="0"/>
                <w:numId w:val="14"/>
              </w:numPr>
              <w:spacing w:before="0" w:after="0"/>
              <w:ind w:left="747" w:hanging="284"/>
              <w:rPr>
                <w:color w:val="000000" w:themeColor="text1"/>
                <w:sz w:val="26"/>
                <w:szCs w:val="26"/>
              </w:rPr>
            </w:pPr>
            <w:r w:rsidRPr="00F26734">
              <w:rPr>
                <w:color w:val="000000" w:themeColor="text1"/>
                <w:sz w:val="26"/>
                <w:szCs w:val="26"/>
              </w:rPr>
              <w:t xml:space="preserve">2016.gadā un turpmāk katru gadu – 1 768 257 </w:t>
            </w:r>
            <w:r w:rsidRPr="00F26734">
              <w:rPr>
                <w:i/>
                <w:color w:val="000000" w:themeColor="text1"/>
                <w:sz w:val="26"/>
                <w:szCs w:val="26"/>
              </w:rPr>
              <w:t>euro</w:t>
            </w:r>
            <w:r w:rsidRPr="00F26734">
              <w:rPr>
                <w:color w:val="000000" w:themeColor="text1"/>
                <w:sz w:val="26"/>
                <w:szCs w:val="26"/>
              </w:rPr>
              <w:t xml:space="preserve"> apmērā.</w:t>
            </w:r>
          </w:p>
          <w:p w:rsidR="006522FE" w:rsidRPr="00F26734" w:rsidRDefault="006522FE" w:rsidP="00923EF6">
            <w:pPr>
              <w:rPr>
                <w:sz w:val="26"/>
                <w:szCs w:val="26"/>
              </w:rPr>
            </w:pPr>
            <w:r w:rsidRPr="00F26734">
              <w:rPr>
                <w:sz w:val="26"/>
                <w:szCs w:val="26"/>
              </w:rPr>
              <w:t xml:space="preserve">Amatpersonu veselības aprūpes sistēmas pilnveidošana ietver </w:t>
            </w:r>
            <w:r w:rsidRPr="00F26734">
              <w:rPr>
                <w:color w:val="000000" w:themeColor="text1"/>
                <w:sz w:val="26"/>
                <w:szCs w:val="26"/>
              </w:rPr>
              <w:t>šādus veselības aprūpes pakalpojumu pieejamības uzlabošanas pasākumus</w:t>
            </w:r>
            <w:r w:rsidR="00985272">
              <w:rPr>
                <w:color w:val="000000" w:themeColor="text1"/>
                <w:sz w:val="26"/>
                <w:szCs w:val="26"/>
              </w:rPr>
              <w:t xml:space="preserve"> un to nodrošināšanai nepieciešamos i</w:t>
            </w:r>
            <w:r w:rsidRPr="00F26734">
              <w:rPr>
                <w:color w:val="000000"/>
                <w:sz w:val="26"/>
                <w:szCs w:val="26"/>
              </w:rPr>
              <w:t>zdevum</w:t>
            </w:r>
            <w:r w:rsidR="00985272">
              <w:rPr>
                <w:color w:val="000000"/>
                <w:sz w:val="26"/>
                <w:szCs w:val="26"/>
              </w:rPr>
              <w:t>us ik gadu</w:t>
            </w:r>
            <w:r w:rsidRPr="00F26734">
              <w:rPr>
                <w:color w:val="000000"/>
                <w:sz w:val="26"/>
                <w:szCs w:val="26"/>
              </w:rPr>
              <w:t xml:space="preserve"> – kopā </w:t>
            </w:r>
            <w:r w:rsidRPr="00F26734">
              <w:rPr>
                <w:b/>
                <w:color w:val="000000"/>
                <w:sz w:val="26"/>
                <w:szCs w:val="26"/>
              </w:rPr>
              <w:t>2 305 390</w:t>
            </w:r>
            <w:r w:rsidRPr="00F26734">
              <w:rPr>
                <w:b/>
                <w:i/>
                <w:color w:val="000000"/>
                <w:sz w:val="26"/>
                <w:szCs w:val="26"/>
              </w:rPr>
              <w:t xml:space="preserve"> euro</w:t>
            </w:r>
            <w:r w:rsidR="000C2413">
              <w:rPr>
                <w:b/>
                <w:i/>
                <w:color w:val="000000"/>
                <w:sz w:val="26"/>
                <w:szCs w:val="26"/>
              </w:rPr>
              <w:t xml:space="preserve"> </w:t>
            </w:r>
            <w:r w:rsidR="000C2413">
              <w:rPr>
                <w:color w:val="000000"/>
                <w:sz w:val="26"/>
                <w:szCs w:val="26"/>
              </w:rPr>
              <w:t>(izdevumu KK 1228)</w:t>
            </w:r>
            <w:r w:rsidRPr="00F26734">
              <w:rPr>
                <w:b/>
                <w:i/>
                <w:color w:val="000000"/>
                <w:sz w:val="26"/>
                <w:szCs w:val="26"/>
              </w:rPr>
              <w:t xml:space="preserve">, </w:t>
            </w:r>
            <w:r w:rsidRPr="00F26734">
              <w:rPr>
                <w:color w:val="000000"/>
                <w:sz w:val="26"/>
                <w:szCs w:val="26"/>
              </w:rPr>
              <w:t>tajā skaitā:</w:t>
            </w:r>
          </w:p>
          <w:p w:rsidR="006522FE" w:rsidRPr="00923EF6" w:rsidRDefault="006522FE" w:rsidP="00923EF6">
            <w:pPr>
              <w:pStyle w:val="ListParagraph"/>
              <w:numPr>
                <w:ilvl w:val="0"/>
                <w:numId w:val="15"/>
              </w:numPr>
              <w:ind w:left="747" w:hanging="284"/>
              <w:jc w:val="both"/>
              <w:rPr>
                <w:color w:val="000000"/>
                <w:sz w:val="26"/>
                <w:szCs w:val="26"/>
              </w:rPr>
            </w:pPr>
            <w:r w:rsidRPr="00923EF6">
              <w:rPr>
                <w:sz w:val="26"/>
                <w:szCs w:val="26"/>
              </w:rPr>
              <w:t xml:space="preserve">Zobārstniecības izdevumu kompensēšana 100 % apmērā ar limitu līdz 145 </w:t>
            </w:r>
            <w:r w:rsidRPr="00923EF6">
              <w:rPr>
                <w:i/>
                <w:sz w:val="26"/>
                <w:szCs w:val="26"/>
              </w:rPr>
              <w:t>euro</w:t>
            </w:r>
            <w:r w:rsidRPr="00923EF6">
              <w:rPr>
                <w:sz w:val="26"/>
                <w:szCs w:val="26"/>
              </w:rPr>
              <w:t xml:space="preserve"> gadā</w:t>
            </w:r>
          </w:p>
          <w:p w:rsidR="006522FE" w:rsidRPr="00F26734" w:rsidRDefault="006522FE" w:rsidP="00923EF6">
            <w:pPr>
              <w:ind w:left="747"/>
              <w:jc w:val="both"/>
              <w:rPr>
                <w:b/>
                <w:color w:val="000000"/>
                <w:sz w:val="26"/>
                <w:szCs w:val="26"/>
              </w:rPr>
            </w:pPr>
            <w:r w:rsidRPr="00F26734">
              <w:rPr>
                <w:sz w:val="26"/>
                <w:szCs w:val="26"/>
              </w:rPr>
              <w:t>8832</w:t>
            </w:r>
            <w:r w:rsidRPr="00F26734">
              <w:rPr>
                <w:sz w:val="26"/>
                <w:szCs w:val="26"/>
                <w:vertAlign w:val="superscript"/>
              </w:rPr>
              <w:footnoteReference w:id="1"/>
            </w:r>
            <w:r w:rsidRPr="00F26734">
              <w:rPr>
                <w:sz w:val="26"/>
                <w:szCs w:val="26"/>
              </w:rPr>
              <w:t xml:space="preserve"> x  145</w:t>
            </w:r>
            <w:r w:rsidRPr="00F26734">
              <w:rPr>
                <w:sz w:val="26"/>
                <w:szCs w:val="26"/>
                <w:vertAlign w:val="superscript"/>
              </w:rPr>
              <w:footnoteReference w:id="2"/>
            </w:r>
            <w:r w:rsidRPr="00F26734">
              <w:rPr>
                <w:sz w:val="26"/>
                <w:szCs w:val="26"/>
              </w:rPr>
              <w:t xml:space="preserve"> </w:t>
            </w:r>
            <w:r w:rsidRPr="00F26734">
              <w:rPr>
                <w:i/>
                <w:sz w:val="26"/>
                <w:szCs w:val="26"/>
              </w:rPr>
              <w:t>euro</w:t>
            </w:r>
            <w:r w:rsidRPr="00F26734">
              <w:rPr>
                <w:sz w:val="26"/>
                <w:szCs w:val="26"/>
              </w:rPr>
              <w:t xml:space="preserve">  =</w:t>
            </w:r>
            <w:r w:rsidRPr="00F26734">
              <w:rPr>
                <w:b/>
                <w:sz w:val="26"/>
                <w:szCs w:val="26"/>
              </w:rPr>
              <w:t xml:space="preserve">1 280 640 </w:t>
            </w:r>
            <w:r w:rsidRPr="00F26734">
              <w:rPr>
                <w:b/>
                <w:i/>
                <w:sz w:val="26"/>
                <w:szCs w:val="26"/>
              </w:rPr>
              <w:t>euro</w:t>
            </w:r>
          </w:p>
          <w:p w:rsidR="006522FE" w:rsidRPr="00F26734" w:rsidRDefault="006522FE" w:rsidP="00923EF6">
            <w:pPr>
              <w:numPr>
                <w:ilvl w:val="0"/>
                <w:numId w:val="15"/>
              </w:numPr>
              <w:ind w:left="747" w:hanging="284"/>
              <w:jc w:val="both"/>
              <w:rPr>
                <w:color w:val="000000"/>
                <w:sz w:val="26"/>
                <w:szCs w:val="26"/>
              </w:rPr>
            </w:pPr>
            <w:r w:rsidRPr="00F26734">
              <w:rPr>
                <w:sz w:val="26"/>
                <w:szCs w:val="26"/>
              </w:rPr>
              <w:t xml:space="preserve">Medikamentu iegādes izdevumu kompensēšana 75 % apmērā ar limitu līdz 75 </w:t>
            </w:r>
            <w:r w:rsidRPr="00F26734">
              <w:rPr>
                <w:i/>
                <w:sz w:val="26"/>
                <w:szCs w:val="26"/>
              </w:rPr>
              <w:t>euro</w:t>
            </w:r>
            <w:r w:rsidRPr="00F26734">
              <w:rPr>
                <w:sz w:val="26"/>
                <w:szCs w:val="26"/>
              </w:rPr>
              <w:t xml:space="preserve"> gadā</w:t>
            </w:r>
          </w:p>
          <w:p w:rsidR="006522FE" w:rsidRDefault="006522FE" w:rsidP="00923EF6">
            <w:pPr>
              <w:ind w:left="747"/>
              <w:jc w:val="both"/>
              <w:rPr>
                <w:b/>
                <w:i/>
                <w:sz w:val="26"/>
                <w:szCs w:val="26"/>
              </w:rPr>
            </w:pPr>
            <w:r w:rsidRPr="00F26734">
              <w:rPr>
                <w:sz w:val="26"/>
                <w:szCs w:val="26"/>
              </w:rPr>
              <w:t>7115</w:t>
            </w:r>
            <w:r w:rsidRPr="00F26734">
              <w:rPr>
                <w:sz w:val="26"/>
                <w:szCs w:val="26"/>
                <w:vertAlign w:val="superscript"/>
              </w:rPr>
              <w:footnoteReference w:id="3"/>
            </w:r>
            <w:r w:rsidRPr="00F26734">
              <w:rPr>
                <w:sz w:val="26"/>
                <w:szCs w:val="26"/>
              </w:rPr>
              <w:t xml:space="preserve"> x  </w:t>
            </w:r>
            <w:r w:rsidR="00092306" w:rsidRPr="00F26734">
              <w:rPr>
                <w:sz w:val="26"/>
                <w:szCs w:val="26"/>
              </w:rPr>
              <w:t>7</w:t>
            </w:r>
            <w:r w:rsidRPr="00F26734">
              <w:rPr>
                <w:sz w:val="26"/>
                <w:szCs w:val="26"/>
              </w:rPr>
              <w:t>5</w:t>
            </w:r>
            <w:r w:rsidRPr="00F26734">
              <w:rPr>
                <w:sz w:val="26"/>
                <w:szCs w:val="26"/>
                <w:vertAlign w:val="superscript"/>
              </w:rPr>
              <w:footnoteReference w:id="4"/>
            </w:r>
            <w:r w:rsidRPr="00F26734">
              <w:rPr>
                <w:sz w:val="26"/>
                <w:szCs w:val="26"/>
              </w:rPr>
              <w:t xml:space="preserve"> </w:t>
            </w:r>
            <w:r w:rsidRPr="00F26734">
              <w:rPr>
                <w:i/>
                <w:sz w:val="26"/>
                <w:szCs w:val="26"/>
              </w:rPr>
              <w:t>euro</w:t>
            </w:r>
            <w:r w:rsidRPr="00F26734">
              <w:rPr>
                <w:sz w:val="26"/>
                <w:szCs w:val="26"/>
              </w:rPr>
              <w:t xml:space="preserve">  =</w:t>
            </w:r>
            <w:r w:rsidRPr="00F26734">
              <w:rPr>
                <w:b/>
                <w:sz w:val="26"/>
                <w:szCs w:val="26"/>
              </w:rPr>
              <w:t xml:space="preserve">533 625 </w:t>
            </w:r>
            <w:r w:rsidRPr="00F26734">
              <w:rPr>
                <w:b/>
                <w:i/>
                <w:sz w:val="26"/>
                <w:szCs w:val="26"/>
              </w:rPr>
              <w:t>euro</w:t>
            </w:r>
          </w:p>
          <w:p w:rsidR="006522FE" w:rsidRPr="00F26734" w:rsidRDefault="006522FE" w:rsidP="00923EF6">
            <w:pPr>
              <w:numPr>
                <w:ilvl w:val="0"/>
                <w:numId w:val="15"/>
              </w:numPr>
              <w:ind w:left="747" w:hanging="284"/>
              <w:jc w:val="both"/>
              <w:rPr>
                <w:color w:val="000000"/>
                <w:sz w:val="26"/>
                <w:szCs w:val="26"/>
              </w:rPr>
            </w:pPr>
            <w:r w:rsidRPr="00F26734">
              <w:rPr>
                <w:sz w:val="26"/>
                <w:szCs w:val="26"/>
              </w:rPr>
              <w:t xml:space="preserve">Amatpersonām kompensējamo maksas medicīnisko pakalpojumu limita palielināšana līdz 215 </w:t>
            </w:r>
            <w:r w:rsidRPr="00F26734">
              <w:rPr>
                <w:i/>
                <w:sz w:val="26"/>
                <w:szCs w:val="26"/>
              </w:rPr>
              <w:t xml:space="preserve">euro </w:t>
            </w:r>
            <w:r w:rsidRPr="00F26734">
              <w:rPr>
                <w:sz w:val="26"/>
                <w:szCs w:val="26"/>
              </w:rPr>
              <w:t>gadā</w:t>
            </w:r>
          </w:p>
          <w:p w:rsidR="006522FE" w:rsidRPr="00F26734" w:rsidRDefault="006522FE" w:rsidP="00923EF6">
            <w:pPr>
              <w:pStyle w:val="naisf"/>
              <w:spacing w:before="0" w:after="0"/>
              <w:ind w:left="747" w:firstLine="0"/>
              <w:rPr>
                <w:color w:val="000000" w:themeColor="text1"/>
                <w:sz w:val="26"/>
                <w:szCs w:val="26"/>
              </w:rPr>
            </w:pPr>
            <w:r w:rsidRPr="00F26734">
              <w:rPr>
                <w:sz w:val="26"/>
                <w:szCs w:val="26"/>
              </w:rPr>
              <w:t>5000</w:t>
            </w:r>
            <w:r w:rsidRPr="00F26734">
              <w:rPr>
                <w:sz w:val="26"/>
                <w:szCs w:val="26"/>
                <w:vertAlign w:val="superscript"/>
              </w:rPr>
              <w:footnoteReference w:id="5"/>
            </w:r>
            <w:r w:rsidRPr="00F26734">
              <w:rPr>
                <w:sz w:val="26"/>
                <w:szCs w:val="26"/>
              </w:rPr>
              <w:t xml:space="preserve"> x 112,60</w:t>
            </w:r>
            <w:r w:rsidRPr="00F26734">
              <w:rPr>
                <w:sz w:val="26"/>
                <w:szCs w:val="26"/>
                <w:vertAlign w:val="superscript"/>
              </w:rPr>
              <w:footnoteReference w:id="6"/>
            </w:r>
            <w:r w:rsidRPr="00F26734">
              <w:rPr>
                <w:sz w:val="26"/>
                <w:szCs w:val="26"/>
              </w:rPr>
              <w:t xml:space="preserve"> </w:t>
            </w:r>
            <w:r w:rsidRPr="00F26734">
              <w:rPr>
                <w:i/>
                <w:sz w:val="26"/>
                <w:szCs w:val="26"/>
              </w:rPr>
              <w:t xml:space="preserve">euro </w:t>
            </w:r>
            <w:r w:rsidRPr="00F26734">
              <w:rPr>
                <w:sz w:val="26"/>
                <w:szCs w:val="26"/>
              </w:rPr>
              <w:t>– 71 875</w:t>
            </w:r>
            <w:r w:rsidRPr="00F26734">
              <w:rPr>
                <w:sz w:val="26"/>
                <w:szCs w:val="26"/>
                <w:vertAlign w:val="superscript"/>
              </w:rPr>
              <w:footnoteReference w:id="7"/>
            </w:r>
            <w:r w:rsidRPr="00F26734">
              <w:rPr>
                <w:sz w:val="26"/>
                <w:szCs w:val="26"/>
              </w:rPr>
              <w:t xml:space="preserve"> </w:t>
            </w:r>
            <w:r w:rsidRPr="00F26734">
              <w:rPr>
                <w:i/>
                <w:sz w:val="26"/>
                <w:szCs w:val="26"/>
              </w:rPr>
              <w:t>euro</w:t>
            </w:r>
            <w:r w:rsidRPr="00F26734">
              <w:rPr>
                <w:sz w:val="26"/>
                <w:szCs w:val="26"/>
              </w:rPr>
              <w:t xml:space="preserve"> = </w:t>
            </w:r>
            <w:r w:rsidRPr="00F26734">
              <w:rPr>
                <w:b/>
                <w:sz w:val="26"/>
                <w:szCs w:val="26"/>
              </w:rPr>
              <w:t xml:space="preserve">491 125 </w:t>
            </w:r>
            <w:r w:rsidRPr="00F26734">
              <w:rPr>
                <w:b/>
                <w:i/>
                <w:sz w:val="26"/>
                <w:szCs w:val="26"/>
              </w:rPr>
              <w:t>euro</w:t>
            </w:r>
            <w:r w:rsidRPr="00F26734">
              <w:rPr>
                <w:color w:val="000000" w:themeColor="text1"/>
                <w:sz w:val="26"/>
                <w:szCs w:val="26"/>
              </w:rPr>
              <w:t xml:space="preserve"> </w:t>
            </w:r>
          </w:p>
        </w:tc>
      </w:tr>
      <w:tr w:rsidR="006522FE" w:rsidRPr="00E21062" w:rsidTr="006522FE">
        <w:tc>
          <w:tcPr>
            <w:tcW w:w="1834" w:type="dxa"/>
            <w:gridSpan w:val="2"/>
          </w:tcPr>
          <w:p w:rsidR="006522FE" w:rsidRPr="00E21062" w:rsidRDefault="006522FE" w:rsidP="00923EF6">
            <w:pPr>
              <w:jc w:val="both"/>
              <w:rPr>
                <w:color w:val="000000" w:themeColor="text1"/>
                <w:sz w:val="26"/>
                <w:szCs w:val="26"/>
              </w:rPr>
            </w:pPr>
            <w:r w:rsidRPr="00E21062">
              <w:rPr>
                <w:color w:val="000000" w:themeColor="text1"/>
                <w:sz w:val="26"/>
                <w:szCs w:val="26"/>
              </w:rPr>
              <w:t>6.1. detalizēts ieņēmumu aprēķins</w:t>
            </w:r>
          </w:p>
        </w:tc>
        <w:tc>
          <w:tcPr>
            <w:tcW w:w="7299" w:type="dxa"/>
            <w:gridSpan w:val="8"/>
            <w:vMerge/>
          </w:tcPr>
          <w:p w:rsidR="006522FE" w:rsidRPr="00F26734" w:rsidRDefault="006522FE" w:rsidP="00923EF6">
            <w:pPr>
              <w:pStyle w:val="naisf"/>
              <w:spacing w:before="0" w:after="0"/>
              <w:ind w:firstLine="0"/>
              <w:rPr>
                <w:b/>
                <w:i/>
                <w:color w:val="000000" w:themeColor="text1"/>
                <w:sz w:val="26"/>
                <w:szCs w:val="26"/>
              </w:rPr>
            </w:pPr>
          </w:p>
        </w:tc>
      </w:tr>
      <w:tr w:rsidR="006522FE" w:rsidRPr="00E21062" w:rsidTr="006522FE">
        <w:tc>
          <w:tcPr>
            <w:tcW w:w="1834" w:type="dxa"/>
            <w:gridSpan w:val="2"/>
          </w:tcPr>
          <w:p w:rsidR="006522FE" w:rsidRPr="00E21062" w:rsidRDefault="006522FE" w:rsidP="00923EF6">
            <w:pPr>
              <w:jc w:val="both"/>
              <w:rPr>
                <w:color w:val="000000" w:themeColor="text1"/>
                <w:sz w:val="26"/>
                <w:szCs w:val="26"/>
              </w:rPr>
            </w:pPr>
            <w:r w:rsidRPr="00E21062">
              <w:rPr>
                <w:color w:val="000000" w:themeColor="text1"/>
                <w:sz w:val="26"/>
                <w:szCs w:val="26"/>
              </w:rPr>
              <w:t>6.2.detalizēts izdevumu aprēķins</w:t>
            </w:r>
          </w:p>
        </w:tc>
        <w:tc>
          <w:tcPr>
            <w:tcW w:w="7299" w:type="dxa"/>
            <w:gridSpan w:val="8"/>
            <w:vMerge/>
          </w:tcPr>
          <w:p w:rsidR="006522FE" w:rsidRPr="00F26734" w:rsidRDefault="006522FE" w:rsidP="00923EF6">
            <w:pPr>
              <w:pStyle w:val="naisf"/>
              <w:spacing w:before="0" w:after="0"/>
              <w:ind w:firstLine="0"/>
              <w:rPr>
                <w:b/>
                <w:i/>
                <w:color w:val="000000" w:themeColor="text1"/>
                <w:sz w:val="26"/>
                <w:szCs w:val="26"/>
              </w:rPr>
            </w:pPr>
          </w:p>
        </w:tc>
      </w:tr>
      <w:tr w:rsidR="006522FE" w:rsidRPr="005A3C61" w:rsidTr="006522FE">
        <w:tc>
          <w:tcPr>
            <w:tcW w:w="1834" w:type="dxa"/>
            <w:gridSpan w:val="2"/>
          </w:tcPr>
          <w:p w:rsidR="006522FE" w:rsidRPr="00E21062" w:rsidRDefault="006522FE" w:rsidP="00923EF6">
            <w:pPr>
              <w:jc w:val="both"/>
              <w:rPr>
                <w:color w:val="000000" w:themeColor="text1"/>
                <w:sz w:val="26"/>
                <w:szCs w:val="26"/>
              </w:rPr>
            </w:pPr>
            <w:r w:rsidRPr="00E21062">
              <w:rPr>
                <w:color w:val="000000" w:themeColor="text1"/>
                <w:sz w:val="26"/>
                <w:szCs w:val="26"/>
              </w:rPr>
              <w:lastRenderedPageBreak/>
              <w:t>7. Cita informācija</w:t>
            </w:r>
          </w:p>
        </w:tc>
        <w:tc>
          <w:tcPr>
            <w:tcW w:w="7299" w:type="dxa"/>
            <w:gridSpan w:val="8"/>
          </w:tcPr>
          <w:p w:rsidR="005A0FDF" w:rsidRDefault="006522FE" w:rsidP="00923EF6">
            <w:pPr>
              <w:pStyle w:val="naisf"/>
              <w:spacing w:before="0" w:after="0"/>
              <w:ind w:firstLine="356"/>
              <w:rPr>
                <w:color w:val="000000" w:themeColor="text1"/>
                <w:sz w:val="26"/>
                <w:szCs w:val="26"/>
              </w:rPr>
            </w:pPr>
            <w:r w:rsidRPr="00F26734">
              <w:rPr>
                <w:color w:val="000000" w:themeColor="text1"/>
                <w:sz w:val="26"/>
                <w:szCs w:val="26"/>
              </w:rPr>
              <w:t>Izdevumi plānoti Iekšlietu ministrijas budžeta apakšprogrammā 38.05.00 „Veselības aprūpe un fiziskā sagatavotība”.</w:t>
            </w:r>
          </w:p>
          <w:p w:rsidR="006522FE" w:rsidRDefault="005A0FDF" w:rsidP="00923EF6">
            <w:pPr>
              <w:pStyle w:val="naisf"/>
              <w:spacing w:before="0" w:after="0"/>
              <w:ind w:firstLine="356"/>
              <w:rPr>
                <w:color w:val="000000"/>
                <w:sz w:val="26"/>
                <w:szCs w:val="26"/>
              </w:rPr>
            </w:pPr>
            <w:r w:rsidRPr="00043DE0">
              <w:rPr>
                <w:color w:val="000000"/>
                <w:sz w:val="26"/>
                <w:szCs w:val="26"/>
              </w:rPr>
              <w:t>Likumā „Par vidēja termiņa budžeta ietvaru 2014., 2015. un 2016. gadam” un likumā</w:t>
            </w:r>
            <w:r>
              <w:rPr>
                <w:color w:val="000000"/>
                <w:sz w:val="26"/>
                <w:szCs w:val="26"/>
              </w:rPr>
              <w:t xml:space="preserve"> „Par valsts budžetu 2014.gadam”  </w:t>
            </w:r>
            <w:r w:rsidRPr="00F26734">
              <w:rPr>
                <w:color w:val="000000" w:themeColor="text1"/>
                <w:sz w:val="26"/>
                <w:szCs w:val="26"/>
              </w:rPr>
              <w:t>budžeta apakšprogrammā 38.05.00 „Veselības aprūpe un fiziskā sagatavotība”</w:t>
            </w:r>
            <w:r>
              <w:rPr>
                <w:color w:val="000000" w:themeColor="text1"/>
                <w:sz w:val="26"/>
                <w:szCs w:val="26"/>
              </w:rPr>
              <w:t xml:space="preserve"> </w:t>
            </w:r>
            <w:r>
              <w:rPr>
                <w:color w:val="000000"/>
                <w:sz w:val="26"/>
                <w:szCs w:val="26"/>
              </w:rPr>
              <w:t>apstiprināti šādi kopējie izdevumi :</w:t>
            </w:r>
          </w:p>
          <w:p w:rsidR="005A0FDF" w:rsidRPr="00F26734" w:rsidRDefault="005A0FDF" w:rsidP="005D1584">
            <w:pPr>
              <w:pStyle w:val="naisf"/>
              <w:numPr>
                <w:ilvl w:val="0"/>
                <w:numId w:val="9"/>
              </w:numPr>
              <w:spacing w:before="0" w:after="0"/>
              <w:ind w:left="463" w:hanging="283"/>
              <w:rPr>
                <w:color w:val="000000" w:themeColor="text1"/>
                <w:sz w:val="26"/>
                <w:szCs w:val="26"/>
              </w:rPr>
            </w:pPr>
            <w:r w:rsidRPr="00F26734">
              <w:rPr>
                <w:color w:val="000000" w:themeColor="text1"/>
                <w:sz w:val="26"/>
                <w:szCs w:val="26"/>
              </w:rPr>
              <w:t xml:space="preserve">2014.gadā – </w:t>
            </w:r>
            <w:r>
              <w:rPr>
                <w:color w:val="000000" w:themeColor="text1"/>
                <w:sz w:val="26"/>
                <w:szCs w:val="26"/>
              </w:rPr>
              <w:t>2 368 331</w:t>
            </w:r>
            <w:r w:rsidRPr="00F26734">
              <w:rPr>
                <w:color w:val="000000" w:themeColor="text1"/>
                <w:sz w:val="26"/>
                <w:szCs w:val="26"/>
              </w:rPr>
              <w:t xml:space="preserve"> </w:t>
            </w:r>
            <w:r w:rsidRPr="00F26734">
              <w:rPr>
                <w:i/>
                <w:color w:val="000000" w:themeColor="text1"/>
                <w:sz w:val="26"/>
                <w:szCs w:val="26"/>
              </w:rPr>
              <w:t>euro</w:t>
            </w:r>
            <w:r w:rsidRPr="00F26734">
              <w:rPr>
                <w:color w:val="000000" w:themeColor="text1"/>
                <w:sz w:val="26"/>
                <w:szCs w:val="26"/>
              </w:rPr>
              <w:t xml:space="preserve"> apmērā</w:t>
            </w:r>
            <w:r>
              <w:rPr>
                <w:color w:val="000000" w:themeColor="text1"/>
                <w:sz w:val="26"/>
                <w:szCs w:val="26"/>
              </w:rPr>
              <w:t xml:space="preserve"> (tajā skaitā amatpersonu veselības aprūpes pasākumiem – </w:t>
            </w:r>
            <w:r w:rsidR="00043DE0">
              <w:rPr>
                <w:color w:val="000000" w:themeColor="text1"/>
                <w:sz w:val="26"/>
                <w:szCs w:val="26"/>
              </w:rPr>
              <w:t>1 478 433</w:t>
            </w:r>
            <w:r>
              <w:rPr>
                <w:color w:val="000000" w:themeColor="text1"/>
                <w:sz w:val="26"/>
                <w:szCs w:val="26"/>
              </w:rPr>
              <w:t xml:space="preserve"> </w:t>
            </w:r>
            <w:r w:rsidRPr="005A0FDF">
              <w:rPr>
                <w:i/>
                <w:color w:val="000000" w:themeColor="text1"/>
                <w:sz w:val="26"/>
                <w:szCs w:val="26"/>
              </w:rPr>
              <w:t>euro</w:t>
            </w:r>
            <w:r>
              <w:rPr>
                <w:color w:val="000000" w:themeColor="text1"/>
                <w:sz w:val="26"/>
                <w:szCs w:val="26"/>
              </w:rPr>
              <w:t>)</w:t>
            </w:r>
            <w:r w:rsidRPr="00F26734">
              <w:rPr>
                <w:color w:val="000000" w:themeColor="text1"/>
                <w:sz w:val="26"/>
                <w:szCs w:val="26"/>
              </w:rPr>
              <w:t>;</w:t>
            </w:r>
          </w:p>
          <w:p w:rsidR="005A0FDF" w:rsidRPr="00F26734" w:rsidRDefault="005A0FDF" w:rsidP="005D1584">
            <w:pPr>
              <w:pStyle w:val="naisf"/>
              <w:numPr>
                <w:ilvl w:val="0"/>
                <w:numId w:val="9"/>
              </w:numPr>
              <w:spacing w:before="0" w:after="0"/>
              <w:ind w:left="463" w:hanging="283"/>
              <w:rPr>
                <w:color w:val="000000" w:themeColor="text1"/>
                <w:sz w:val="26"/>
                <w:szCs w:val="26"/>
              </w:rPr>
            </w:pPr>
            <w:r w:rsidRPr="00F26734">
              <w:rPr>
                <w:color w:val="000000" w:themeColor="text1"/>
                <w:sz w:val="26"/>
                <w:szCs w:val="26"/>
              </w:rPr>
              <w:t>2015.gadā –</w:t>
            </w:r>
            <w:r>
              <w:rPr>
                <w:color w:val="000000" w:themeColor="text1"/>
                <w:sz w:val="26"/>
                <w:szCs w:val="26"/>
              </w:rPr>
              <w:t>2 396 826</w:t>
            </w:r>
            <w:r w:rsidRPr="00F26734">
              <w:rPr>
                <w:color w:val="000000" w:themeColor="text1"/>
                <w:sz w:val="26"/>
                <w:szCs w:val="26"/>
              </w:rPr>
              <w:t xml:space="preserve"> </w:t>
            </w:r>
            <w:r w:rsidRPr="00F26734">
              <w:rPr>
                <w:i/>
                <w:color w:val="000000" w:themeColor="text1"/>
                <w:sz w:val="26"/>
                <w:szCs w:val="26"/>
              </w:rPr>
              <w:t>euro</w:t>
            </w:r>
            <w:r w:rsidRPr="00F26734">
              <w:rPr>
                <w:color w:val="000000" w:themeColor="text1"/>
                <w:sz w:val="26"/>
                <w:szCs w:val="26"/>
              </w:rPr>
              <w:t xml:space="preserve"> apmērā</w:t>
            </w:r>
            <w:r w:rsidR="00043DE0">
              <w:rPr>
                <w:color w:val="000000" w:themeColor="text1"/>
                <w:sz w:val="26"/>
                <w:szCs w:val="26"/>
              </w:rPr>
              <w:t xml:space="preserve"> (tajā skaitā amatpersonu veselības aprūpes pasākumiem – 1 505 823 </w:t>
            </w:r>
            <w:r w:rsidR="00043DE0" w:rsidRPr="005A0FDF">
              <w:rPr>
                <w:i/>
                <w:color w:val="000000" w:themeColor="text1"/>
                <w:sz w:val="26"/>
                <w:szCs w:val="26"/>
              </w:rPr>
              <w:t>euro</w:t>
            </w:r>
            <w:r w:rsidR="00043DE0">
              <w:rPr>
                <w:color w:val="000000" w:themeColor="text1"/>
                <w:sz w:val="26"/>
                <w:szCs w:val="26"/>
              </w:rPr>
              <w:t>)</w:t>
            </w:r>
            <w:r w:rsidR="00043DE0" w:rsidRPr="00F26734">
              <w:rPr>
                <w:color w:val="000000" w:themeColor="text1"/>
                <w:sz w:val="26"/>
                <w:szCs w:val="26"/>
              </w:rPr>
              <w:t>;</w:t>
            </w:r>
          </w:p>
          <w:p w:rsidR="005A0FDF" w:rsidRPr="00F26734" w:rsidRDefault="005A0FDF" w:rsidP="005D1584">
            <w:pPr>
              <w:pStyle w:val="naisf"/>
              <w:numPr>
                <w:ilvl w:val="0"/>
                <w:numId w:val="9"/>
              </w:numPr>
              <w:spacing w:before="0" w:after="0"/>
              <w:ind w:left="463" w:hanging="283"/>
              <w:rPr>
                <w:color w:val="000000" w:themeColor="text1"/>
                <w:sz w:val="26"/>
                <w:szCs w:val="26"/>
              </w:rPr>
            </w:pPr>
            <w:r w:rsidRPr="00F26734">
              <w:rPr>
                <w:color w:val="000000" w:themeColor="text1"/>
                <w:sz w:val="26"/>
                <w:szCs w:val="26"/>
              </w:rPr>
              <w:t xml:space="preserve">2016.gadā un turpmāk katru gadu – </w:t>
            </w:r>
            <w:r>
              <w:rPr>
                <w:color w:val="000000" w:themeColor="text1"/>
                <w:sz w:val="26"/>
                <w:szCs w:val="26"/>
              </w:rPr>
              <w:t>3 105 007</w:t>
            </w:r>
            <w:r w:rsidRPr="00F26734">
              <w:rPr>
                <w:color w:val="000000" w:themeColor="text1"/>
                <w:sz w:val="26"/>
                <w:szCs w:val="26"/>
              </w:rPr>
              <w:t xml:space="preserve"> </w:t>
            </w:r>
            <w:r w:rsidRPr="00F26734">
              <w:rPr>
                <w:i/>
                <w:color w:val="000000" w:themeColor="text1"/>
                <w:sz w:val="26"/>
                <w:szCs w:val="26"/>
              </w:rPr>
              <w:t>euro</w:t>
            </w:r>
            <w:r w:rsidRPr="00F26734">
              <w:rPr>
                <w:color w:val="000000" w:themeColor="text1"/>
                <w:sz w:val="26"/>
                <w:szCs w:val="26"/>
              </w:rPr>
              <w:t xml:space="preserve"> apmērā</w:t>
            </w:r>
            <w:r w:rsidR="00043DE0">
              <w:rPr>
                <w:color w:val="000000" w:themeColor="text1"/>
                <w:sz w:val="26"/>
                <w:szCs w:val="26"/>
              </w:rPr>
              <w:t xml:space="preserve">, (tajā skaitā amatpersonu veselības aprūpes pasākumiem – </w:t>
            </w:r>
            <w:r w:rsidR="00043DE0">
              <w:rPr>
                <w:color w:val="000000" w:themeColor="text1"/>
                <w:sz w:val="26"/>
                <w:szCs w:val="26"/>
              </w:rPr>
              <w:lastRenderedPageBreak/>
              <w:t xml:space="preserve">1 986 043 </w:t>
            </w:r>
            <w:r w:rsidR="00043DE0" w:rsidRPr="005A0FDF">
              <w:rPr>
                <w:i/>
                <w:color w:val="000000" w:themeColor="text1"/>
                <w:sz w:val="26"/>
                <w:szCs w:val="26"/>
              </w:rPr>
              <w:t>euro</w:t>
            </w:r>
            <w:r w:rsidR="00043DE0">
              <w:rPr>
                <w:color w:val="000000" w:themeColor="text1"/>
                <w:sz w:val="26"/>
                <w:szCs w:val="26"/>
              </w:rPr>
              <w:t>)</w:t>
            </w:r>
            <w:r w:rsidRPr="00F26734">
              <w:rPr>
                <w:color w:val="000000" w:themeColor="text1"/>
                <w:sz w:val="26"/>
                <w:szCs w:val="26"/>
              </w:rPr>
              <w:t>.</w:t>
            </w:r>
          </w:p>
          <w:p w:rsidR="006522FE" w:rsidRPr="00F26734" w:rsidRDefault="006522FE" w:rsidP="00092306">
            <w:pPr>
              <w:pStyle w:val="naisf"/>
              <w:spacing w:before="0" w:after="0"/>
              <w:ind w:firstLine="356"/>
              <w:rPr>
                <w:color w:val="000000" w:themeColor="text1"/>
                <w:sz w:val="26"/>
                <w:szCs w:val="26"/>
              </w:rPr>
            </w:pPr>
            <w:r w:rsidRPr="00F26734">
              <w:rPr>
                <w:color w:val="000000" w:themeColor="text1"/>
                <w:sz w:val="26"/>
                <w:szCs w:val="26"/>
              </w:rPr>
              <w:t>Izdevumi pa pasākumiem un izdevumu klasifikācijas kodiem var tikt precizēti atbilstoši faktiskajai situācijai.</w:t>
            </w:r>
            <w:r w:rsidR="00092306" w:rsidRPr="00F26734">
              <w:rPr>
                <w:color w:val="000000" w:themeColor="text1"/>
                <w:sz w:val="26"/>
                <w:szCs w:val="26"/>
              </w:rPr>
              <w:t xml:space="preserve"> </w:t>
            </w:r>
          </w:p>
          <w:p w:rsidR="00092306" w:rsidRPr="00F26734" w:rsidRDefault="00092306" w:rsidP="00092306">
            <w:pPr>
              <w:pStyle w:val="naisf"/>
              <w:spacing w:before="0" w:after="0"/>
              <w:ind w:firstLine="356"/>
              <w:rPr>
                <w:color w:val="000000" w:themeColor="text1"/>
                <w:sz w:val="26"/>
                <w:szCs w:val="26"/>
              </w:rPr>
            </w:pPr>
            <w:r w:rsidRPr="00F26734">
              <w:rPr>
                <w:sz w:val="26"/>
                <w:szCs w:val="26"/>
              </w:rPr>
              <w:t xml:space="preserve">Valsts un pašvaldību institūciju amatpersonu un darbinieku atlīdzības likuma Pārejas noteikumu 28.punkts nosaka, ka „lai no 2014.gada 1.janvāra nodrošinātu šā likuma </w:t>
            </w:r>
            <w:hyperlink r:id="rId10" w:anchor="p39" w:history="1">
              <w:r w:rsidRPr="00F26734">
                <w:rPr>
                  <w:sz w:val="26"/>
                  <w:szCs w:val="26"/>
                </w:rPr>
                <w:t>39.panta</w:t>
              </w:r>
            </w:hyperlink>
            <w:r w:rsidRPr="00F26734">
              <w:rPr>
                <w:sz w:val="26"/>
                <w:szCs w:val="26"/>
              </w:rPr>
              <w:t xml:space="preserve"> otrajā daļā un pārejas noteikumu </w:t>
            </w:r>
            <w:hyperlink r:id="rId11" w:anchor="pn26" w:history="1">
              <w:r w:rsidRPr="00F26734">
                <w:rPr>
                  <w:sz w:val="26"/>
                  <w:szCs w:val="26"/>
                </w:rPr>
                <w:t>26.punktā</w:t>
              </w:r>
            </w:hyperlink>
            <w:r w:rsidRPr="00F26734">
              <w:rPr>
                <w:sz w:val="26"/>
                <w:szCs w:val="26"/>
              </w:rPr>
              <w:t xml:space="preserve"> minēto noteikumu izpildi, nepieciešamie papildu izdevumi tiek segti no valsts budžeta 74.resora „Gadskārtējā valsts budžeta izpildes procesā pārdalāmais finansējums” programmas 02.00.00 „Līdzekļi neparedzētiem gadījumiem”.</w:t>
            </w:r>
            <w:r w:rsidRPr="00F26734">
              <w:rPr>
                <w:color w:val="000000"/>
                <w:sz w:val="26"/>
                <w:szCs w:val="26"/>
              </w:rPr>
              <w:t xml:space="preserve">  </w:t>
            </w:r>
            <w:r w:rsidRPr="00F26734">
              <w:rPr>
                <w:sz w:val="26"/>
                <w:szCs w:val="26"/>
              </w:rPr>
              <w:t>2015. gadam un turpmākajiem gadiem nepieciešamais papildu finansējums paredzams Iekšlietu ministrijas bāzes izdevumos. Projektam pievienotais Ministru kabineta protokollēmuma projekts paredz attiecīgu uzdevumu Iekšlietu ministrijai.</w:t>
            </w:r>
          </w:p>
        </w:tc>
      </w:tr>
      <w:tr w:rsidR="00F03184" w:rsidRPr="005A3C61" w:rsidTr="006522FE">
        <w:tc>
          <w:tcPr>
            <w:tcW w:w="9133" w:type="dxa"/>
            <w:gridSpan w:val="10"/>
          </w:tcPr>
          <w:p w:rsidR="00F03184" w:rsidRPr="00F26734" w:rsidRDefault="00F03184" w:rsidP="008A4EEF">
            <w:pPr>
              <w:pStyle w:val="naisf"/>
              <w:spacing w:before="60" w:after="60"/>
              <w:ind w:firstLine="357"/>
              <w:jc w:val="center"/>
              <w:rPr>
                <w:b/>
                <w:color w:val="000000" w:themeColor="text1"/>
                <w:sz w:val="26"/>
                <w:szCs w:val="26"/>
              </w:rPr>
            </w:pPr>
            <w:r w:rsidRPr="00F26734">
              <w:rPr>
                <w:b/>
                <w:sz w:val="26"/>
                <w:szCs w:val="26"/>
              </w:rPr>
              <w:lastRenderedPageBreak/>
              <w:t>VII</w:t>
            </w:r>
            <w:r w:rsidR="00237C20" w:rsidRPr="00F26734">
              <w:rPr>
                <w:b/>
                <w:sz w:val="26"/>
                <w:szCs w:val="26"/>
              </w:rPr>
              <w:t>.</w:t>
            </w:r>
            <w:r w:rsidRPr="00F26734">
              <w:rPr>
                <w:b/>
                <w:sz w:val="26"/>
                <w:szCs w:val="26"/>
              </w:rPr>
              <w:t xml:space="preserve"> Tiesību akta projekta izpildes nodrošināšana un tās ietekme uz institūcijām</w:t>
            </w:r>
          </w:p>
        </w:tc>
      </w:tr>
      <w:tr w:rsidR="00F03184" w:rsidTr="006522FE">
        <w:tc>
          <w:tcPr>
            <w:tcW w:w="1942" w:type="dxa"/>
            <w:gridSpan w:val="3"/>
          </w:tcPr>
          <w:p w:rsidR="00F03184" w:rsidRPr="00F26734" w:rsidRDefault="00F03184" w:rsidP="008A4EEF">
            <w:pPr>
              <w:rPr>
                <w:iCs/>
                <w:sz w:val="26"/>
                <w:szCs w:val="26"/>
                <w:lang w:eastAsia="lv-LV"/>
              </w:rPr>
            </w:pPr>
            <w:r w:rsidRPr="00F26734">
              <w:rPr>
                <w:iCs/>
                <w:sz w:val="26"/>
                <w:szCs w:val="26"/>
                <w:lang w:eastAsia="lv-LV"/>
              </w:rPr>
              <w:t>1.</w:t>
            </w:r>
          </w:p>
        </w:tc>
        <w:tc>
          <w:tcPr>
            <w:tcW w:w="4291" w:type="dxa"/>
            <w:gridSpan w:val="5"/>
          </w:tcPr>
          <w:p w:rsidR="00F03184" w:rsidRPr="00F26734" w:rsidRDefault="00F03184" w:rsidP="008A4EEF">
            <w:pPr>
              <w:spacing w:before="60" w:after="60"/>
              <w:rPr>
                <w:iCs/>
                <w:sz w:val="26"/>
                <w:szCs w:val="26"/>
                <w:lang w:eastAsia="lv-LV"/>
              </w:rPr>
            </w:pPr>
            <w:r w:rsidRPr="00F26734">
              <w:rPr>
                <w:sz w:val="26"/>
                <w:szCs w:val="26"/>
              </w:rPr>
              <w:t>Projekta izpildē iesaistītās institūcijas</w:t>
            </w:r>
          </w:p>
        </w:tc>
        <w:tc>
          <w:tcPr>
            <w:tcW w:w="2900" w:type="dxa"/>
            <w:gridSpan w:val="2"/>
            <w:vAlign w:val="center"/>
          </w:tcPr>
          <w:p w:rsidR="00F03184" w:rsidRPr="00F26734" w:rsidRDefault="00092306" w:rsidP="008A4EEF">
            <w:pPr>
              <w:spacing w:before="60" w:after="60"/>
              <w:rPr>
                <w:iCs/>
                <w:sz w:val="26"/>
                <w:szCs w:val="26"/>
                <w:lang w:eastAsia="lv-LV"/>
              </w:rPr>
            </w:pPr>
            <w:r w:rsidRPr="00F26734">
              <w:rPr>
                <w:sz w:val="26"/>
                <w:szCs w:val="26"/>
              </w:rPr>
              <w:t>Iekšlietu ministrijas veselības un sporta centrs</w:t>
            </w:r>
          </w:p>
        </w:tc>
      </w:tr>
      <w:tr w:rsidR="00F03184" w:rsidTr="006522FE">
        <w:tc>
          <w:tcPr>
            <w:tcW w:w="1942" w:type="dxa"/>
            <w:gridSpan w:val="3"/>
          </w:tcPr>
          <w:p w:rsidR="00F03184" w:rsidRPr="00F26734" w:rsidRDefault="00F03184" w:rsidP="008A4EEF">
            <w:pPr>
              <w:rPr>
                <w:iCs/>
                <w:sz w:val="26"/>
                <w:szCs w:val="26"/>
                <w:lang w:eastAsia="lv-LV"/>
              </w:rPr>
            </w:pPr>
            <w:r w:rsidRPr="00F26734">
              <w:rPr>
                <w:iCs/>
                <w:sz w:val="26"/>
                <w:szCs w:val="26"/>
                <w:lang w:eastAsia="lv-LV"/>
              </w:rPr>
              <w:t>2.</w:t>
            </w:r>
          </w:p>
        </w:tc>
        <w:tc>
          <w:tcPr>
            <w:tcW w:w="4291" w:type="dxa"/>
            <w:gridSpan w:val="5"/>
          </w:tcPr>
          <w:p w:rsidR="00F03184" w:rsidRPr="00F26734" w:rsidRDefault="00F03184" w:rsidP="008A4EEF">
            <w:pPr>
              <w:spacing w:before="60" w:after="60"/>
              <w:rPr>
                <w:iCs/>
                <w:sz w:val="26"/>
                <w:szCs w:val="26"/>
                <w:lang w:eastAsia="lv-LV"/>
              </w:rPr>
            </w:pPr>
            <w:r w:rsidRPr="00F26734">
              <w:rPr>
                <w:sz w:val="26"/>
                <w:szCs w:val="26"/>
              </w:rPr>
              <w:t>Projekta izpildes ietekme uz pārvaldes funkcijām un institucionālo struktūru. Jaunu institūciju izveide, esošu institūciju likvidācija vai reorganizācija, to ietekme uz institūcijas cilvēkresursiem</w:t>
            </w:r>
          </w:p>
        </w:tc>
        <w:tc>
          <w:tcPr>
            <w:tcW w:w="2900" w:type="dxa"/>
            <w:gridSpan w:val="2"/>
          </w:tcPr>
          <w:p w:rsidR="00F03184" w:rsidRPr="00F26734" w:rsidRDefault="00F03184" w:rsidP="008A4EEF">
            <w:pPr>
              <w:spacing w:before="60"/>
              <w:rPr>
                <w:iCs/>
                <w:sz w:val="26"/>
                <w:szCs w:val="26"/>
                <w:lang w:eastAsia="lv-LV"/>
              </w:rPr>
            </w:pPr>
            <w:r w:rsidRPr="00F26734">
              <w:rPr>
                <w:sz w:val="26"/>
                <w:szCs w:val="26"/>
              </w:rPr>
              <w:t>Saistībā ar projekta izpildi nav nepieciešams veidot jaunas institūcijas, likvidēt vai reorganizēt esošās.</w:t>
            </w:r>
          </w:p>
        </w:tc>
      </w:tr>
      <w:tr w:rsidR="00F03184" w:rsidTr="006522FE">
        <w:tc>
          <w:tcPr>
            <w:tcW w:w="1942" w:type="dxa"/>
            <w:gridSpan w:val="3"/>
          </w:tcPr>
          <w:p w:rsidR="00F03184" w:rsidRPr="00F26734" w:rsidRDefault="00F03184" w:rsidP="008A4EEF">
            <w:pPr>
              <w:rPr>
                <w:iCs/>
                <w:sz w:val="26"/>
                <w:szCs w:val="26"/>
                <w:lang w:eastAsia="lv-LV"/>
              </w:rPr>
            </w:pPr>
            <w:r w:rsidRPr="00F26734">
              <w:rPr>
                <w:iCs/>
                <w:sz w:val="26"/>
                <w:szCs w:val="26"/>
                <w:lang w:eastAsia="lv-LV"/>
              </w:rPr>
              <w:t>3.</w:t>
            </w:r>
          </w:p>
        </w:tc>
        <w:tc>
          <w:tcPr>
            <w:tcW w:w="4291" w:type="dxa"/>
            <w:gridSpan w:val="5"/>
          </w:tcPr>
          <w:p w:rsidR="00F03184" w:rsidRPr="00F26734" w:rsidRDefault="008A4EEF" w:rsidP="008A4EEF">
            <w:pPr>
              <w:spacing w:before="60" w:after="60"/>
              <w:rPr>
                <w:iCs/>
                <w:sz w:val="26"/>
                <w:szCs w:val="26"/>
                <w:lang w:eastAsia="lv-LV"/>
              </w:rPr>
            </w:pPr>
            <w:r w:rsidRPr="00F26734">
              <w:rPr>
                <w:iCs/>
                <w:sz w:val="26"/>
                <w:szCs w:val="26"/>
                <w:lang w:eastAsia="lv-LV"/>
              </w:rPr>
              <w:t>Cita informācija</w:t>
            </w:r>
          </w:p>
        </w:tc>
        <w:tc>
          <w:tcPr>
            <w:tcW w:w="2900" w:type="dxa"/>
            <w:gridSpan w:val="2"/>
            <w:vAlign w:val="center"/>
          </w:tcPr>
          <w:p w:rsidR="00F03184" w:rsidRPr="00F26734" w:rsidRDefault="00F03184" w:rsidP="008A4EEF">
            <w:pPr>
              <w:spacing w:before="60" w:after="60"/>
              <w:rPr>
                <w:iCs/>
                <w:sz w:val="26"/>
                <w:szCs w:val="26"/>
                <w:lang w:eastAsia="lv-LV"/>
              </w:rPr>
            </w:pPr>
            <w:r w:rsidRPr="00F26734">
              <w:rPr>
                <w:sz w:val="26"/>
                <w:szCs w:val="26"/>
              </w:rPr>
              <w:t>Nav.</w:t>
            </w:r>
          </w:p>
        </w:tc>
      </w:tr>
    </w:tbl>
    <w:p w:rsidR="00ED6A06" w:rsidRDefault="00ED6A06" w:rsidP="0007077C">
      <w:pPr>
        <w:rPr>
          <w:iCs/>
          <w:sz w:val="28"/>
          <w:szCs w:val="28"/>
          <w:lang w:eastAsia="lv-LV"/>
        </w:rPr>
      </w:pPr>
    </w:p>
    <w:p w:rsidR="0007077C" w:rsidRPr="00A63E6C" w:rsidRDefault="008D5F20" w:rsidP="0007077C">
      <w:pPr>
        <w:rPr>
          <w:sz w:val="28"/>
          <w:szCs w:val="28"/>
          <w:lang w:eastAsia="lv-LV"/>
        </w:rPr>
      </w:pPr>
      <w:r>
        <w:rPr>
          <w:iCs/>
          <w:sz w:val="28"/>
          <w:szCs w:val="28"/>
          <w:lang w:eastAsia="lv-LV"/>
        </w:rPr>
        <w:t xml:space="preserve">Anotācijas </w:t>
      </w:r>
      <w:r w:rsidR="0007077C" w:rsidRPr="00A63E6C">
        <w:rPr>
          <w:iCs/>
          <w:sz w:val="28"/>
          <w:szCs w:val="28"/>
          <w:lang w:eastAsia="lv-LV"/>
        </w:rPr>
        <w:t>IV, V</w:t>
      </w:r>
      <w:r w:rsidR="00AF1B96">
        <w:rPr>
          <w:iCs/>
          <w:sz w:val="28"/>
          <w:szCs w:val="28"/>
          <w:lang w:eastAsia="lv-LV"/>
        </w:rPr>
        <w:t xml:space="preserve"> un</w:t>
      </w:r>
      <w:r w:rsidR="0007077C" w:rsidRPr="00A63E6C">
        <w:rPr>
          <w:iCs/>
          <w:sz w:val="28"/>
          <w:szCs w:val="28"/>
          <w:lang w:eastAsia="lv-LV"/>
        </w:rPr>
        <w:t xml:space="preserve"> VI</w:t>
      </w:r>
      <w:r>
        <w:rPr>
          <w:iCs/>
          <w:sz w:val="28"/>
          <w:szCs w:val="28"/>
          <w:lang w:eastAsia="lv-LV"/>
        </w:rPr>
        <w:t xml:space="preserve"> </w:t>
      </w:r>
      <w:r w:rsidR="0007077C" w:rsidRPr="00A63E6C">
        <w:rPr>
          <w:iCs/>
          <w:sz w:val="28"/>
          <w:szCs w:val="28"/>
          <w:lang w:eastAsia="lv-LV"/>
        </w:rPr>
        <w:t>sadaļa</w:t>
      </w:r>
      <w:r w:rsidR="002A6197">
        <w:rPr>
          <w:iCs/>
          <w:sz w:val="28"/>
          <w:szCs w:val="28"/>
          <w:lang w:eastAsia="lv-LV"/>
        </w:rPr>
        <w:t xml:space="preserve"> –</w:t>
      </w:r>
      <w:r w:rsidR="0007077C" w:rsidRPr="00A63E6C">
        <w:rPr>
          <w:iCs/>
          <w:sz w:val="28"/>
          <w:szCs w:val="28"/>
          <w:lang w:eastAsia="lv-LV"/>
        </w:rPr>
        <w:t xml:space="preserve"> </w:t>
      </w:r>
      <w:r w:rsidR="0007077C" w:rsidRPr="00A63E6C">
        <w:rPr>
          <w:sz w:val="28"/>
          <w:szCs w:val="28"/>
          <w:lang w:eastAsia="lv-LV"/>
        </w:rPr>
        <w:t>projekts šo jomu neskar.</w:t>
      </w:r>
    </w:p>
    <w:p w:rsidR="00AF1B96" w:rsidRDefault="00AF1B96" w:rsidP="00C338A6">
      <w:pPr>
        <w:jc w:val="both"/>
        <w:rPr>
          <w:sz w:val="28"/>
          <w:szCs w:val="28"/>
          <w:lang w:val="de-DE"/>
        </w:rPr>
      </w:pPr>
    </w:p>
    <w:p w:rsidR="00616AA6" w:rsidRDefault="00616AA6" w:rsidP="00C338A6">
      <w:pPr>
        <w:jc w:val="both"/>
        <w:rPr>
          <w:sz w:val="28"/>
          <w:szCs w:val="28"/>
          <w:lang w:val="de-DE"/>
        </w:rPr>
      </w:pPr>
      <w:r w:rsidRPr="00D1252E">
        <w:rPr>
          <w:sz w:val="28"/>
          <w:szCs w:val="28"/>
          <w:lang w:val="de-DE"/>
        </w:rPr>
        <w:t>Iekšlietu ministrs</w:t>
      </w:r>
      <w:r w:rsidRPr="00D1252E">
        <w:rPr>
          <w:sz w:val="28"/>
          <w:szCs w:val="28"/>
          <w:lang w:val="de-DE"/>
        </w:rPr>
        <w:tab/>
      </w:r>
      <w:r w:rsidRPr="00D1252E">
        <w:rPr>
          <w:sz w:val="28"/>
          <w:szCs w:val="28"/>
          <w:lang w:val="de-DE"/>
        </w:rPr>
        <w:tab/>
      </w:r>
      <w:r w:rsidRPr="00D1252E">
        <w:rPr>
          <w:sz w:val="28"/>
          <w:szCs w:val="28"/>
          <w:lang w:val="de-DE"/>
        </w:rPr>
        <w:tab/>
      </w:r>
      <w:r w:rsidRPr="00D1252E">
        <w:rPr>
          <w:sz w:val="28"/>
          <w:szCs w:val="28"/>
          <w:lang w:val="de-DE"/>
        </w:rPr>
        <w:tab/>
      </w:r>
      <w:r w:rsidRPr="00D1252E">
        <w:rPr>
          <w:sz w:val="28"/>
          <w:szCs w:val="28"/>
          <w:lang w:val="de-DE"/>
        </w:rPr>
        <w:tab/>
      </w:r>
      <w:r w:rsidR="00A217E7" w:rsidRPr="00D1252E">
        <w:rPr>
          <w:sz w:val="28"/>
          <w:szCs w:val="28"/>
          <w:lang w:val="de-DE"/>
        </w:rPr>
        <w:t xml:space="preserve">             </w:t>
      </w:r>
      <w:r w:rsidRPr="00D1252E">
        <w:rPr>
          <w:sz w:val="28"/>
          <w:szCs w:val="28"/>
          <w:lang w:val="de-DE"/>
        </w:rPr>
        <w:t>R. Kozlovskis</w:t>
      </w:r>
    </w:p>
    <w:p w:rsidR="006522FE" w:rsidRDefault="006522FE" w:rsidP="00C338A6">
      <w:pPr>
        <w:pStyle w:val="naisf"/>
        <w:ind w:firstLine="0"/>
        <w:rPr>
          <w:sz w:val="28"/>
          <w:szCs w:val="28"/>
        </w:rPr>
      </w:pPr>
    </w:p>
    <w:p w:rsidR="002720A2" w:rsidRDefault="00616AA6" w:rsidP="00C338A6">
      <w:pPr>
        <w:pStyle w:val="naisf"/>
        <w:ind w:firstLine="0"/>
        <w:rPr>
          <w:color w:val="000000"/>
          <w:sz w:val="20"/>
          <w:szCs w:val="20"/>
        </w:rPr>
      </w:pPr>
      <w:r w:rsidRPr="00D1252E">
        <w:rPr>
          <w:sz w:val="28"/>
          <w:szCs w:val="28"/>
        </w:rPr>
        <w:t>Vīza: valsts sekretāre</w:t>
      </w:r>
      <w:r w:rsidRPr="00D1252E">
        <w:rPr>
          <w:sz w:val="28"/>
          <w:szCs w:val="28"/>
        </w:rPr>
        <w:tab/>
      </w:r>
      <w:r w:rsidRPr="00D1252E">
        <w:rPr>
          <w:sz w:val="28"/>
          <w:szCs w:val="28"/>
        </w:rPr>
        <w:tab/>
      </w:r>
      <w:r w:rsidRPr="00D1252E">
        <w:rPr>
          <w:sz w:val="28"/>
          <w:szCs w:val="28"/>
        </w:rPr>
        <w:tab/>
      </w:r>
      <w:r w:rsidRPr="00D1252E">
        <w:rPr>
          <w:sz w:val="28"/>
          <w:szCs w:val="28"/>
        </w:rPr>
        <w:tab/>
      </w:r>
      <w:r w:rsidR="00502E7D" w:rsidRPr="00D1252E">
        <w:rPr>
          <w:sz w:val="28"/>
          <w:szCs w:val="28"/>
        </w:rPr>
        <w:t xml:space="preserve"> </w:t>
      </w:r>
      <w:r w:rsidRPr="00D1252E">
        <w:rPr>
          <w:sz w:val="28"/>
          <w:szCs w:val="28"/>
        </w:rPr>
        <w:t>I.Pētersone</w:t>
      </w:r>
      <w:r w:rsidR="00B74BDF" w:rsidRPr="00D1252E">
        <w:rPr>
          <w:sz w:val="28"/>
          <w:szCs w:val="28"/>
        </w:rPr>
        <w:t>–</w:t>
      </w:r>
      <w:r w:rsidRPr="00D1252E">
        <w:rPr>
          <w:sz w:val="28"/>
          <w:szCs w:val="28"/>
        </w:rPr>
        <w:t>Godmane</w:t>
      </w:r>
    </w:p>
    <w:p w:rsidR="00AF1B96" w:rsidRDefault="00AF1B96" w:rsidP="00D539DB">
      <w:pPr>
        <w:rPr>
          <w:color w:val="000000"/>
          <w:sz w:val="20"/>
          <w:szCs w:val="20"/>
        </w:rPr>
      </w:pPr>
    </w:p>
    <w:p w:rsidR="00DB0ED4" w:rsidRDefault="00DB0ED4" w:rsidP="00DB0ED4">
      <w:pPr>
        <w:rPr>
          <w:color w:val="000000"/>
          <w:sz w:val="20"/>
          <w:szCs w:val="20"/>
        </w:rPr>
      </w:pPr>
      <w:r>
        <w:rPr>
          <w:color w:val="000000"/>
          <w:sz w:val="20"/>
          <w:szCs w:val="20"/>
        </w:rPr>
        <w:fldChar w:fldCharType="begin"/>
      </w:r>
      <w:r>
        <w:rPr>
          <w:color w:val="000000"/>
          <w:sz w:val="20"/>
          <w:szCs w:val="20"/>
        </w:rPr>
        <w:instrText xml:space="preserve"> TIME \@ "dd.MM.yyyy H:mm" </w:instrText>
      </w:r>
      <w:r>
        <w:rPr>
          <w:color w:val="000000"/>
          <w:sz w:val="20"/>
          <w:szCs w:val="20"/>
        </w:rPr>
        <w:fldChar w:fldCharType="separate"/>
      </w:r>
      <w:r w:rsidR="004A1971">
        <w:rPr>
          <w:noProof/>
          <w:color w:val="000000"/>
          <w:sz w:val="20"/>
          <w:szCs w:val="20"/>
        </w:rPr>
        <w:t>3</w:t>
      </w:r>
      <w:r w:rsidR="0073516C">
        <w:rPr>
          <w:noProof/>
          <w:color w:val="000000"/>
          <w:sz w:val="20"/>
          <w:szCs w:val="20"/>
        </w:rPr>
        <w:t>0</w:t>
      </w:r>
      <w:r w:rsidR="004A1971">
        <w:rPr>
          <w:noProof/>
          <w:color w:val="000000"/>
          <w:sz w:val="20"/>
          <w:szCs w:val="20"/>
        </w:rPr>
        <w:t>.01.2014 11:28</w:t>
      </w:r>
      <w:r>
        <w:rPr>
          <w:color w:val="000000"/>
          <w:sz w:val="20"/>
          <w:szCs w:val="20"/>
        </w:rPr>
        <w:fldChar w:fldCharType="end"/>
      </w:r>
    </w:p>
    <w:p w:rsidR="00EE1F63" w:rsidRDefault="007167FF" w:rsidP="00DB0ED4">
      <w:pPr>
        <w:rPr>
          <w:color w:val="000000"/>
          <w:sz w:val="20"/>
          <w:szCs w:val="20"/>
        </w:rPr>
      </w:pPr>
      <w:r>
        <w:rPr>
          <w:color w:val="000000"/>
          <w:sz w:val="20"/>
          <w:szCs w:val="20"/>
        </w:rPr>
        <w:t>17</w:t>
      </w:r>
      <w:r w:rsidR="00763BF7">
        <w:rPr>
          <w:color w:val="000000"/>
          <w:sz w:val="20"/>
          <w:szCs w:val="20"/>
        </w:rPr>
        <w:t>60</w:t>
      </w:r>
      <w:bookmarkStart w:id="2" w:name="_GoBack"/>
      <w:bookmarkEnd w:id="2"/>
    </w:p>
    <w:p w:rsidR="00DB0ED4" w:rsidRPr="008825C4" w:rsidRDefault="00DB0ED4" w:rsidP="00DB0ED4">
      <w:pPr>
        <w:rPr>
          <w:color w:val="000000"/>
          <w:sz w:val="20"/>
          <w:szCs w:val="20"/>
        </w:rPr>
      </w:pPr>
      <w:r w:rsidRPr="008825C4">
        <w:rPr>
          <w:color w:val="000000"/>
          <w:sz w:val="20"/>
          <w:szCs w:val="20"/>
        </w:rPr>
        <w:t xml:space="preserve">Iekšlietu ministrijas veselības un </w:t>
      </w:r>
    </w:p>
    <w:p w:rsidR="00DB0ED4" w:rsidRPr="008825C4" w:rsidRDefault="00DB0ED4" w:rsidP="00DB0ED4">
      <w:pPr>
        <w:rPr>
          <w:color w:val="000000"/>
          <w:sz w:val="20"/>
          <w:szCs w:val="20"/>
        </w:rPr>
      </w:pPr>
      <w:r w:rsidRPr="008825C4">
        <w:rPr>
          <w:color w:val="000000"/>
          <w:sz w:val="20"/>
          <w:szCs w:val="20"/>
        </w:rPr>
        <w:t>sporta centra direktors</w:t>
      </w:r>
    </w:p>
    <w:p w:rsidR="00DB0ED4" w:rsidRPr="008825C4" w:rsidRDefault="00DB0ED4" w:rsidP="00DB0ED4">
      <w:pPr>
        <w:rPr>
          <w:color w:val="000000"/>
          <w:sz w:val="20"/>
          <w:szCs w:val="20"/>
        </w:rPr>
      </w:pPr>
      <w:r w:rsidRPr="008825C4">
        <w:rPr>
          <w:color w:val="000000"/>
          <w:sz w:val="20"/>
          <w:szCs w:val="20"/>
        </w:rPr>
        <w:t>U.Iskrovs</w:t>
      </w:r>
    </w:p>
    <w:p w:rsidR="00D1252E" w:rsidRDefault="00DB0ED4" w:rsidP="00D539DB">
      <w:pPr>
        <w:rPr>
          <w:color w:val="000000"/>
          <w:sz w:val="20"/>
          <w:szCs w:val="20"/>
        </w:rPr>
      </w:pPr>
      <w:r w:rsidRPr="008825C4">
        <w:rPr>
          <w:color w:val="000000"/>
          <w:sz w:val="20"/>
          <w:szCs w:val="20"/>
        </w:rPr>
        <w:t xml:space="preserve">67829851, </w:t>
      </w:r>
      <w:hyperlink r:id="rId12" w:history="1">
        <w:r w:rsidRPr="00697B64">
          <w:rPr>
            <w:rStyle w:val="Hyperlink"/>
            <w:sz w:val="20"/>
            <w:szCs w:val="20"/>
          </w:rPr>
          <w:t>ugis.iskrovs@iem.gov.lv</w:t>
        </w:r>
      </w:hyperlink>
    </w:p>
    <w:p w:rsidR="00D1252E" w:rsidRDefault="00D1252E" w:rsidP="00D539DB">
      <w:pPr>
        <w:rPr>
          <w:color w:val="000000"/>
          <w:sz w:val="20"/>
          <w:szCs w:val="20"/>
        </w:rPr>
      </w:pPr>
    </w:p>
    <w:sectPr w:rsidR="00D1252E" w:rsidSect="00542E31">
      <w:headerReference w:type="even" r:id="rId13"/>
      <w:headerReference w:type="default" r:id="rId14"/>
      <w:footerReference w:type="default" r:id="rId15"/>
      <w:footerReference w:type="first" r:id="rId16"/>
      <w:pgSz w:w="11906" w:h="16838"/>
      <w:pgMar w:top="1440" w:right="144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9B2" w:rsidRDefault="00A019B2" w:rsidP="00616AA6">
      <w:r>
        <w:separator/>
      </w:r>
    </w:p>
  </w:endnote>
  <w:endnote w:type="continuationSeparator" w:id="0">
    <w:p w:rsidR="00A019B2" w:rsidRDefault="00A019B2" w:rsidP="0061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EF6" w:rsidRPr="006522FE" w:rsidRDefault="00923EF6" w:rsidP="006522FE">
    <w:pPr>
      <w:jc w:val="both"/>
      <w:rPr>
        <w:sz w:val="20"/>
        <w:szCs w:val="20"/>
      </w:rPr>
    </w:pPr>
    <w:r w:rsidRPr="00D65D1A">
      <w:rPr>
        <w:sz w:val="20"/>
        <w:szCs w:val="20"/>
      </w:rPr>
      <w:t>IEMAnot_</w:t>
    </w:r>
    <w:r w:rsidR="004A1971">
      <w:rPr>
        <w:sz w:val="20"/>
        <w:szCs w:val="20"/>
      </w:rPr>
      <w:t>3</w:t>
    </w:r>
    <w:r w:rsidR="00763BF7">
      <w:rPr>
        <w:sz w:val="20"/>
        <w:szCs w:val="20"/>
      </w:rPr>
      <w:t>0</w:t>
    </w:r>
    <w:r>
      <w:rPr>
        <w:sz w:val="20"/>
        <w:szCs w:val="20"/>
      </w:rPr>
      <w:t>0114</w:t>
    </w:r>
    <w:r w:rsidRPr="00D65D1A">
      <w:rPr>
        <w:sz w:val="20"/>
      </w:rPr>
      <w:t>_</w:t>
    </w:r>
    <w:r>
      <w:rPr>
        <w:sz w:val="20"/>
      </w:rPr>
      <w:t>vesel.doc</w:t>
    </w:r>
    <w:r w:rsidRPr="00D65D1A">
      <w:rPr>
        <w:sz w:val="20"/>
        <w:szCs w:val="20"/>
      </w:rPr>
      <w:t xml:space="preserve">; </w:t>
    </w:r>
    <w:r w:rsidRPr="006522FE">
      <w:rPr>
        <w:sz w:val="20"/>
        <w:szCs w:val="20"/>
      </w:rPr>
      <w:t>Ministru kabineta noteikumu projekta „Grozījumi Ministru kabineta 2010.gada 21.jūnija noteikumos Nr.569 „Kārtība, kādā Iekšlietu ministrijas sistēmas iestāžu un Ieslodzījuma vietu pārvaldes amatpersona ar speciālo dienesta pakāpi saņem apmaksātus veselības aprūpes pakalpojumus””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EF6" w:rsidRPr="006522FE" w:rsidRDefault="00923EF6" w:rsidP="006522FE">
    <w:pPr>
      <w:jc w:val="both"/>
      <w:rPr>
        <w:sz w:val="20"/>
        <w:szCs w:val="20"/>
      </w:rPr>
    </w:pPr>
    <w:r w:rsidRPr="00D65D1A">
      <w:rPr>
        <w:sz w:val="20"/>
        <w:szCs w:val="20"/>
      </w:rPr>
      <w:t>IEMAnot_</w:t>
    </w:r>
    <w:r w:rsidR="004A1971">
      <w:rPr>
        <w:sz w:val="20"/>
        <w:szCs w:val="20"/>
      </w:rPr>
      <w:t>3</w:t>
    </w:r>
    <w:r w:rsidR="00763BF7">
      <w:rPr>
        <w:sz w:val="20"/>
        <w:szCs w:val="20"/>
      </w:rPr>
      <w:t>0</w:t>
    </w:r>
    <w:r>
      <w:rPr>
        <w:sz w:val="20"/>
        <w:szCs w:val="20"/>
      </w:rPr>
      <w:t>0114</w:t>
    </w:r>
    <w:r w:rsidRPr="00D65D1A">
      <w:rPr>
        <w:sz w:val="20"/>
      </w:rPr>
      <w:t>_</w:t>
    </w:r>
    <w:r>
      <w:rPr>
        <w:sz w:val="20"/>
      </w:rPr>
      <w:t>vesel.doc</w:t>
    </w:r>
    <w:r w:rsidRPr="00D65D1A">
      <w:rPr>
        <w:sz w:val="20"/>
        <w:szCs w:val="20"/>
      </w:rPr>
      <w:t xml:space="preserve">; </w:t>
    </w:r>
    <w:r w:rsidRPr="006522FE">
      <w:rPr>
        <w:sz w:val="20"/>
        <w:szCs w:val="20"/>
      </w:rPr>
      <w:t>Ministru kabineta noteikumu projekta „Grozījumi Ministru kabineta 2010.gada 21.jūnija noteikumos Nr.569 „Kārtība, kādā Iekšlietu ministrijas sistēmas iestāžu un Ieslodzījuma vietu pārvaldes amatpersona ar speciālo dienesta pakāpi saņem apmaksātus veselības aprūpes pakalpojumus”” sākotnējās ietekmes novērtējuma ziņojums (anotācija)</w:t>
    </w:r>
  </w:p>
  <w:p w:rsidR="00923EF6" w:rsidRPr="006522FE" w:rsidRDefault="00923EF6" w:rsidP="006522FE">
    <w:pP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9B2" w:rsidRDefault="00A019B2" w:rsidP="00616AA6">
      <w:r>
        <w:separator/>
      </w:r>
    </w:p>
  </w:footnote>
  <w:footnote w:type="continuationSeparator" w:id="0">
    <w:p w:rsidR="00A019B2" w:rsidRDefault="00A019B2" w:rsidP="00616AA6">
      <w:r>
        <w:continuationSeparator/>
      </w:r>
    </w:p>
  </w:footnote>
  <w:footnote w:id="1">
    <w:p w:rsidR="00923EF6" w:rsidRPr="00145EDE" w:rsidRDefault="00923EF6" w:rsidP="00C05F8D">
      <w:pPr>
        <w:pStyle w:val="FootnoteText"/>
        <w:jc w:val="both"/>
      </w:pPr>
      <w:r w:rsidRPr="00145EDE">
        <w:rPr>
          <w:rStyle w:val="FootnoteReference"/>
        </w:rPr>
        <w:footnoteRef/>
      </w:r>
      <w:r w:rsidRPr="00145EDE">
        <w:t xml:space="preserve"> Plānotais izmaksāto kompensāciju skaits par zobārstniecības pakalpojumiem</w:t>
      </w:r>
      <w:r>
        <w:t xml:space="preserve"> noteikts saskaņā ar VSIA „Iekšlietu ministrijas poliklīnika” sniegto informāciju par vidējiem rādītājiem laikposmā no 2011. līdz 2013.gadam par ikgadējo veselības pārbaužu laikā konstatēto gadījumu skaitu, kad amatpersonām nepieciešama stomatoloģiska ārstēšana</w:t>
      </w:r>
    </w:p>
  </w:footnote>
  <w:footnote w:id="2">
    <w:p w:rsidR="00923EF6" w:rsidRPr="00145EDE" w:rsidRDefault="00923EF6" w:rsidP="00C05F8D">
      <w:pPr>
        <w:pStyle w:val="FootnoteText"/>
        <w:jc w:val="both"/>
      </w:pPr>
      <w:r w:rsidRPr="00145EDE">
        <w:rPr>
          <w:rStyle w:val="FootnoteReference"/>
        </w:rPr>
        <w:footnoteRef/>
      </w:r>
      <w:r w:rsidRPr="00145EDE">
        <w:t xml:space="preserve"> Kompensācijas apmērs par zobārstniecības pakalpojumiem</w:t>
      </w:r>
    </w:p>
  </w:footnote>
  <w:footnote w:id="3">
    <w:p w:rsidR="00923EF6" w:rsidRPr="00145EDE" w:rsidRDefault="00923EF6" w:rsidP="00C05F8D">
      <w:pPr>
        <w:pStyle w:val="FootnoteText"/>
        <w:jc w:val="both"/>
      </w:pPr>
      <w:r w:rsidRPr="00145EDE">
        <w:rPr>
          <w:rStyle w:val="FootnoteReference"/>
        </w:rPr>
        <w:footnoteRef/>
      </w:r>
      <w:r w:rsidRPr="00145EDE">
        <w:t xml:space="preserve"> Plānotais izmaksāto kompensāciju skaits par </w:t>
      </w:r>
      <w:r w:rsidRPr="003911D0">
        <w:t>medikamentu iegādi</w:t>
      </w:r>
      <w:r w:rsidR="00156759">
        <w:t xml:space="preserve"> </w:t>
      </w:r>
      <w:r w:rsidR="00F720FC">
        <w:t>noteikts saskaņā ar VSIA „Iekšlietu ministrijas poliklīnika” sniegto informāciju par vidējiem rādītājiem laikposmā no 2011. līdz 2013.gadam par amatpersonu ambulatoro apmeklējumu skaitu, kuru laikā tiek izrakstīti medikamenti.</w:t>
      </w:r>
    </w:p>
  </w:footnote>
  <w:footnote w:id="4">
    <w:p w:rsidR="00923EF6" w:rsidRPr="00145EDE" w:rsidRDefault="00923EF6" w:rsidP="00C05F8D">
      <w:pPr>
        <w:pStyle w:val="FootnoteText"/>
        <w:jc w:val="both"/>
      </w:pPr>
      <w:r w:rsidRPr="00145EDE">
        <w:rPr>
          <w:rStyle w:val="FootnoteReference"/>
        </w:rPr>
        <w:footnoteRef/>
      </w:r>
      <w:r w:rsidRPr="00145EDE">
        <w:t xml:space="preserve"> Kompensācijas apmērs par medikamentu iegādi</w:t>
      </w:r>
    </w:p>
  </w:footnote>
  <w:footnote w:id="5">
    <w:p w:rsidR="00923EF6" w:rsidRPr="00145EDE" w:rsidRDefault="00923EF6" w:rsidP="00C05F8D">
      <w:pPr>
        <w:pStyle w:val="FootnoteText"/>
        <w:jc w:val="both"/>
      </w:pPr>
      <w:r w:rsidRPr="00145EDE">
        <w:rPr>
          <w:rStyle w:val="FootnoteReference"/>
        </w:rPr>
        <w:footnoteRef/>
      </w:r>
      <w:r w:rsidRPr="00145EDE">
        <w:t xml:space="preserve"> Plānotais izmaksāto kompensāciju skaits par veselības aprūpes pakalpojumiem</w:t>
      </w:r>
      <w:r>
        <w:t xml:space="preserve"> saskaņā ar vidējiem rādītājiem laikposmā no 2011. līdz 2013.gadam</w:t>
      </w:r>
    </w:p>
  </w:footnote>
  <w:footnote w:id="6">
    <w:p w:rsidR="00923EF6" w:rsidRPr="00145EDE" w:rsidRDefault="00923EF6" w:rsidP="00C05F8D">
      <w:pPr>
        <w:pStyle w:val="FootnoteText"/>
        <w:jc w:val="both"/>
      </w:pPr>
      <w:r w:rsidRPr="00145EDE">
        <w:rPr>
          <w:rStyle w:val="FootnoteReference"/>
        </w:rPr>
        <w:footnoteRef/>
      </w:r>
      <w:r w:rsidRPr="00145EDE">
        <w:t xml:space="preserve"> Vidējais kompensācijas apmērs par veselības aprūpes pakalpojumiem</w:t>
      </w:r>
      <w:r w:rsidR="0059706B">
        <w:t xml:space="preserve">. Saskaņā ar vidējiem rādītājiem laikposmā no 2011.-2013.gadam vidējais </w:t>
      </w:r>
      <w:r w:rsidR="00C05F8D">
        <w:t xml:space="preserve">izmaksātās </w:t>
      </w:r>
      <w:r w:rsidR="0059706B">
        <w:t>kompensācijas apmērs par veselības aprūpes pakalpojumiem sastāda 52,4 % no maksimāl</w:t>
      </w:r>
      <w:r w:rsidR="008D36C2">
        <w:t>ā</w:t>
      </w:r>
      <w:r w:rsidR="0059706B">
        <w:t xml:space="preserve"> kompensācijas apmēra</w:t>
      </w:r>
    </w:p>
  </w:footnote>
  <w:footnote w:id="7">
    <w:p w:rsidR="00923EF6" w:rsidRPr="00145EDE" w:rsidRDefault="00923EF6" w:rsidP="00C05F8D">
      <w:pPr>
        <w:pStyle w:val="FootnoteText"/>
        <w:jc w:val="both"/>
      </w:pPr>
      <w:r w:rsidRPr="00145EDE">
        <w:rPr>
          <w:rStyle w:val="FootnoteReference"/>
        </w:rPr>
        <w:footnoteRef/>
      </w:r>
      <w:r w:rsidRPr="00145EDE">
        <w:t xml:space="preserve"> 2013.gadā budžetā </w:t>
      </w:r>
      <w:r w:rsidR="008D36C2">
        <w:t>apstiprināt</w:t>
      </w:r>
      <w:r w:rsidRPr="00145EDE">
        <w:t>ā summa veselības aprūpes izdevumu kompensācijām (50514 latu)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EF6" w:rsidRDefault="00923EF6" w:rsidP="00E947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3EF6" w:rsidRDefault="00923E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EF6" w:rsidRDefault="00923EF6" w:rsidP="00E947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516C">
      <w:rPr>
        <w:rStyle w:val="PageNumber"/>
        <w:noProof/>
      </w:rPr>
      <w:t>7</w:t>
    </w:r>
    <w:r>
      <w:rPr>
        <w:rStyle w:val="PageNumber"/>
      </w:rPr>
      <w:fldChar w:fldCharType="end"/>
    </w:r>
  </w:p>
  <w:p w:rsidR="00923EF6" w:rsidRDefault="00923E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E9C"/>
    <w:multiLevelType w:val="hybridMultilevel"/>
    <w:tmpl w:val="DE5E7EEC"/>
    <w:lvl w:ilvl="0" w:tplc="264EF0FE">
      <w:start w:val="1"/>
      <w:numFmt w:val="decimal"/>
      <w:lvlText w:val="%1)"/>
      <w:lvlJc w:val="left"/>
      <w:pPr>
        <w:ind w:left="1543" w:hanging="360"/>
      </w:pPr>
      <w:rPr>
        <w:rFonts w:hint="default"/>
        <w:color w:val="auto"/>
      </w:rPr>
    </w:lvl>
    <w:lvl w:ilvl="1" w:tplc="04260019" w:tentative="1">
      <w:start w:val="1"/>
      <w:numFmt w:val="lowerLetter"/>
      <w:lvlText w:val="%2."/>
      <w:lvlJc w:val="left"/>
      <w:pPr>
        <w:ind w:left="2263" w:hanging="360"/>
      </w:pPr>
    </w:lvl>
    <w:lvl w:ilvl="2" w:tplc="0426001B" w:tentative="1">
      <w:start w:val="1"/>
      <w:numFmt w:val="lowerRoman"/>
      <w:lvlText w:val="%3."/>
      <w:lvlJc w:val="right"/>
      <w:pPr>
        <w:ind w:left="2983" w:hanging="180"/>
      </w:pPr>
    </w:lvl>
    <w:lvl w:ilvl="3" w:tplc="0426000F" w:tentative="1">
      <w:start w:val="1"/>
      <w:numFmt w:val="decimal"/>
      <w:lvlText w:val="%4."/>
      <w:lvlJc w:val="left"/>
      <w:pPr>
        <w:ind w:left="3703" w:hanging="360"/>
      </w:pPr>
    </w:lvl>
    <w:lvl w:ilvl="4" w:tplc="04260019" w:tentative="1">
      <w:start w:val="1"/>
      <w:numFmt w:val="lowerLetter"/>
      <w:lvlText w:val="%5."/>
      <w:lvlJc w:val="left"/>
      <w:pPr>
        <w:ind w:left="4423" w:hanging="360"/>
      </w:pPr>
    </w:lvl>
    <w:lvl w:ilvl="5" w:tplc="0426001B" w:tentative="1">
      <w:start w:val="1"/>
      <w:numFmt w:val="lowerRoman"/>
      <w:lvlText w:val="%6."/>
      <w:lvlJc w:val="right"/>
      <w:pPr>
        <w:ind w:left="5143" w:hanging="180"/>
      </w:pPr>
    </w:lvl>
    <w:lvl w:ilvl="6" w:tplc="0426000F" w:tentative="1">
      <w:start w:val="1"/>
      <w:numFmt w:val="decimal"/>
      <w:lvlText w:val="%7."/>
      <w:lvlJc w:val="left"/>
      <w:pPr>
        <w:ind w:left="5863" w:hanging="360"/>
      </w:pPr>
    </w:lvl>
    <w:lvl w:ilvl="7" w:tplc="04260019" w:tentative="1">
      <w:start w:val="1"/>
      <w:numFmt w:val="lowerLetter"/>
      <w:lvlText w:val="%8."/>
      <w:lvlJc w:val="left"/>
      <w:pPr>
        <w:ind w:left="6583" w:hanging="360"/>
      </w:pPr>
    </w:lvl>
    <w:lvl w:ilvl="8" w:tplc="0426001B" w:tentative="1">
      <w:start w:val="1"/>
      <w:numFmt w:val="lowerRoman"/>
      <w:lvlText w:val="%9."/>
      <w:lvlJc w:val="right"/>
      <w:pPr>
        <w:ind w:left="7303" w:hanging="180"/>
      </w:pPr>
    </w:lvl>
  </w:abstractNum>
  <w:abstractNum w:abstractNumId="1">
    <w:nsid w:val="104713F4"/>
    <w:multiLevelType w:val="hybridMultilevel"/>
    <w:tmpl w:val="66EE0DAA"/>
    <w:lvl w:ilvl="0" w:tplc="5DAC1A1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99061FA"/>
    <w:multiLevelType w:val="hybridMultilevel"/>
    <w:tmpl w:val="347E3092"/>
    <w:lvl w:ilvl="0" w:tplc="04260001">
      <w:start w:val="1"/>
      <w:numFmt w:val="bullet"/>
      <w:lvlText w:val=""/>
      <w:lvlJc w:val="left"/>
      <w:pPr>
        <w:ind w:left="812" w:hanging="360"/>
      </w:pPr>
      <w:rPr>
        <w:rFonts w:ascii="Symbol" w:hAnsi="Symbol" w:hint="default"/>
      </w:rPr>
    </w:lvl>
    <w:lvl w:ilvl="1" w:tplc="04260003" w:tentative="1">
      <w:start w:val="1"/>
      <w:numFmt w:val="bullet"/>
      <w:lvlText w:val="o"/>
      <w:lvlJc w:val="left"/>
      <w:pPr>
        <w:ind w:left="1532" w:hanging="360"/>
      </w:pPr>
      <w:rPr>
        <w:rFonts w:ascii="Courier New" w:hAnsi="Courier New" w:cs="Courier New" w:hint="default"/>
      </w:rPr>
    </w:lvl>
    <w:lvl w:ilvl="2" w:tplc="04260005" w:tentative="1">
      <w:start w:val="1"/>
      <w:numFmt w:val="bullet"/>
      <w:lvlText w:val=""/>
      <w:lvlJc w:val="left"/>
      <w:pPr>
        <w:ind w:left="2252" w:hanging="360"/>
      </w:pPr>
      <w:rPr>
        <w:rFonts w:ascii="Wingdings" w:hAnsi="Wingdings" w:hint="default"/>
      </w:rPr>
    </w:lvl>
    <w:lvl w:ilvl="3" w:tplc="04260001" w:tentative="1">
      <w:start w:val="1"/>
      <w:numFmt w:val="bullet"/>
      <w:lvlText w:val=""/>
      <w:lvlJc w:val="left"/>
      <w:pPr>
        <w:ind w:left="2972" w:hanging="360"/>
      </w:pPr>
      <w:rPr>
        <w:rFonts w:ascii="Symbol" w:hAnsi="Symbol" w:hint="default"/>
      </w:rPr>
    </w:lvl>
    <w:lvl w:ilvl="4" w:tplc="04260003" w:tentative="1">
      <w:start w:val="1"/>
      <w:numFmt w:val="bullet"/>
      <w:lvlText w:val="o"/>
      <w:lvlJc w:val="left"/>
      <w:pPr>
        <w:ind w:left="3692" w:hanging="360"/>
      </w:pPr>
      <w:rPr>
        <w:rFonts w:ascii="Courier New" w:hAnsi="Courier New" w:cs="Courier New" w:hint="default"/>
      </w:rPr>
    </w:lvl>
    <w:lvl w:ilvl="5" w:tplc="04260005" w:tentative="1">
      <w:start w:val="1"/>
      <w:numFmt w:val="bullet"/>
      <w:lvlText w:val=""/>
      <w:lvlJc w:val="left"/>
      <w:pPr>
        <w:ind w:left="4412" w:hanging="360"/>
      </w:pPr>
      <w:rPr>
        <w:rFonts w:ascii="Wingdings" w:hAnsi="Wingdings" w:hint="default"/>
      </w:rPr>
    </w:lvl>
    <w:lvl w:ilvl="6" w:tplc="04260001" w:tentative="1">
      <w:start w:val="1"/>
      <w:numFmt w:val="bullet"/>
      <w:lvlText w:val=""/>
      <w:lvlJc w:val="left"/>
      <w:pPr>
        <w:ind w:left="5132" w:hanging="360"/>
      </w:pPr>
      <w:rPr>
        <w:rFonts w:ascii="Symbol" w:hAnsi="Symbol" w:hint="default"/>
      </w:rPr>
    </w:lvl>
    <w:lvl w:ilvl="7" w:tplc="04260003" w:tentative="1">
      <w:start w:val="1"/>
      <w:numFmt w:val="bullet"/>
      <w:lvlText w:val="o"/>
      <w:lvlJc w:val="left"/>
      <w:pPr>
        <w:ind w:left="5852" w:hanging="360"/>
      </w:pPr>
      <w:rPr>
        <w:rFonts w:ascii="Courier New" w:hAnsi="Courier New" w:cs="Courier New" w:hint="default"/>
      </w:rPr>
    </w:lvl>
    <w:lvl w:ilvl="8" w:tplc="04260005" w:tentative="1">
      <w:start w:val="1"/>
      <w:numFmt w:val="bullet"/>
      <w:lvlText w:val=""/>
      <w:lvlJc w:val="left"/>
      <w:pPr>
        <w:ind w:left="6572" w:hanging="360"/>
      </w:pPr>
      <w:rPr>
        <w:rFonts w:ascii="Wingdings" w:hAnsi="Wingdings" w:hint="default"/>
      </w:rPr>
    </w:lvl>
  </w:abstractNum>
  <w:abstractNum w:abstractNumId="3">
    <w:nsid w:val="387C3588"/>
    <w:multiLevelType w:val="hybridMultilevel"/>
    <w:tmpl w:val="33D24DB6"/>
    <w:lvl w:ilvl="0" w:tplc="2C58B31E">
      <w:start w:val="1"/>
      <w:numFmt w:val="decimal"/>
      <w:lvlText w:val="%1."/>
      <w:lvlJc w:val="left"/>
      <w:pPr>
        <w:ind w:left="530" w:hanging="360"/>
      </w:pPr>
      <w:rPr>
        <w:rFonts w:hint="default"/>
      </w:rPr>
    </w:lvl>
    <w:lvl w:ilvl="1" w:tplc="04260019" w:tentative="1">
      <w:start w:val="1"/>
      <w:numFmt w:val="lowerLetter"/>
      <w:lvlText w:val="%2."/>
      <w:lvlJc w:val="left"/>
      <w:pPr>
        <w:ind w:left="1250" w:hanging="360"/>
      </w:pPr>
    </w:lvl>
    <w:lvl w:ilvl="2" w:tplc="0426001B" w:tentative="1">
      <w:start w:val="1"/>
      <w:numFmt w:val="lowerRoman"/>
      <w:lvlText w:val="%3."/>
      <w:lvlJc w:val="right"/>
      <w:pPr>
        <w:ind w:left="1970" w:hanging="180"/>
      </w:pPr>
    </w:lvl>
    <w:lvl w:ilvl="3" w:tplc="0426000F" w:tentative="1">
      <w:start w:val="1"/>
      <w:numFmt w:val="decimal"/>
      <w:lvlText w:val="%4."/>
      <w:lvlJc w:val="left"/>
      <w:pPr>
        <w:ind w:left="2690" w:hanging="360"/>
      </w:pPr>
    </w:lvl>
    <w:lvl w:ilvl="4" w:tplc="04260019" w:tentative="1">
      <w:start w:val="1"/>
      <w:numFmt w:val="lowerLetter"/>
      <w:lvlText w:val="%5."/>
      <w:lvlJc w:val="left"/>
      <w:pPr>
        <w:ind w:left="3410" w:hanging="360"/>
      </w:pPr>
    </w:lvl>
    <w:lvl w:ilvl="5" w:tplc="0426001B" w:tentative="1">
      <w:start w:val="1"/>
      <w:numFmt w:val="lowerRoman"/>
      <w:lvlText w:val="%6."/>
      <w:lvlJc w:val="right"/>
      <w:pPr>
        <w:ind w:left="4130" w:hanging="180"/>
      </w:pPr>
    </w:lvl>
    <w:lvl w:ilvl="6" w:tplc="0426000F" w:tentative="1">
      <w:start w:val="1"/>
      <w:numFmt w:val="decimal"/>
      <w:lvlText w:val="%7."/>
      <w:lvlJc w:val="left"/>
      <w:pPr>
        <w:ind w:left="4850" w:hanging="360"/>
      </w:pPr>
    </w:lvl>
    <w:lvl w:ilvl="7" w:tplc="04260019" w:tentative="1">
      <w:start w:val="1"/>
      <w:numFmt w:val="lowerLetter"/>
      <w:lvlText w:val="%8."/>
      <w:lvlJc w:val="left"/>
      <w:pPr>
        <w:ind w:left="5570" w:hanging="360"/>
      </w:pPr>
    </w:lvl>
    <w:lvl w:ilvl="8" w:tplc="0426001B" w:tentative="1">
      <w:start w:val="1"/>
      <w:numFmt w:val="lowerRoman"/>
      <w:lvlText w:val="%9."/>
      <w:lvlJc w:val="right"/>
      <w:pPr>
        <w:ind w:left="6290" w:hanging="180"/>
      </w:pPr>
    </w:lvl>
  </w:abstractNum>
  <w:abstractNum w:abstractNumId="4">
    <w:nsid w:val="43F8527E"/>
    <w:multiLevelType w:val="hybridMultilevel"/>
    <w:tmpl w:val="82E28FCC"/>
    <w:lvl w:ilvl="0" w:tplc="918AF898">
      <w:start w:val="1"/>
      <w:numFmt w:val="decimal"/>
      <w:lvlText w:val="%1)"/>
      <w:lvlJc w:val="left"/>
      <w:pPr>
        <w:ind w:left="823" w:hanging="360"/>
      </w:pPr>
      <w:rPr>
        <w:rFonts w:hint="default"/>
      </w:rPr>
    </w:lvl>
    <w:lvl w:ilvl="1" w:tplc="04260019" w:tentative="1">
      <w:start w:val="1"/>
      <w:numFmt w:val="lowerLetter"/>
      <w:lvlText w:val="%2."/>
      <w:lvlJc w:val="left"/>
      <w:pPr>
        <w:ind w:left="1543" w:hanging="360"/>
      </w:pPr>
    </w:lvl>
    <w:lvl w:ilvl="2" w:tplc="0426001B" w:tentative="1">
      <w:start w:val="1"/>
      <w:numFmt w:val="lowerRoman"/>
      <w:lvlText w:val="%3."/>
      <w:lvlJc w:val="right"/>
      <w:pPr>
        <w:ind w:left="2263" w:hanging="180"/>
      </w:pPr>
    </w:lvl>
    <w:lvl w:ilvl="3" w:tplc="0426000F" w:tentative="1">
      <w:start w:val="1"/>
      <w:numFmt w:val="decimal"/>
      <w:lvlText w:val="%4."/>
      <w:lvlJc w:val="left"/>
      <w:pPr>
        <w:ind w:left="2983" w:hanging="360"/>
      </w:pPr>
    </w:lvl>
    <w:lvl w:ilvl="4" w:tplc="04260019" w:tentative="1">
      <w:start w:val="1"/>
      <w:numFmt w:val="lowerLetter"/>
      <w:lvlText w:val="%5."/>
      <w:lvlJc w:val="left"/>
      <w:pPr>
        <w:ind w:left="3703" w:hanging="360"/>
      </w:pPr>
    </w:lvl>
    <w:lvl w:ilvl="5" w:tplc="0426001B" w:tentative="1">
      <w:start w:val="1"/>
      <w:numFmt w:val="lowerRoman"/>
      <w:lvlText w:val="%6."/>
      <w:lvlJc w:val="right"/>
      <w:pPr>
        <w:ind w:left="4423" w:hanging="180"/>
      </w:pPr>
    </w:lvl>
    <w:lvl w:ilvl="6" w:tplc="0426000F" w:tentative="1">
      <w:start w:val="1"/>
      <w:numFmt w:val="decimal"/>
      <w:lvlText w:val="%7."/>
      <w:lvlJc w:val="left"/>
      <w:pPr>
        <w:ind w:left="5143" w:hanging="360"/>
      </w:pPr>
    </w:lvl>
    <w:lvl w:ilvl="7" w:tplc="04260019" w:tentative="1">
      <w:start w:val="1"/>
      <w:numFmt w:val="lowerLetter"/>
      <w:lvlText w:val="%8."/>
      <w:lvlJc w:val="left"/>
      <w:pPr>
        <w:ind w:left="5863" w:hanging="360"/>
      </w:pPr>
    </w:lvl>
    <w:lvl w:ilvl="8" w:tplc="0426001B" w:tentative="1">
      <w:start w:val="1"/>
      <w:numFmt w:val="lowerRoman"/>
      <w:lvlText w:val="%9."/>
      <w:lvlJc w:val="right"/>
      <w:pPr>
        <w:ind w:left="6583" w:hanging="180"/>
      </w:pPr>
    </w:lvl>
  </w:abstractNum>
  <w:abstractNum w:abstractNumId="5">
    <w:nsid w:val="45C1369C"/>
    <w:multiLevelType w:val="multilevel"/>
    <w:tmpl w:val="50403740"/>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46100F84"/>
    <w:multiLevelType w:val="hybridMultilevel"/>
    <w:tmpl w:val="162AB26A"/>
    <w:lvl w:ilvl="0" w:tplc="FFF04D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4AD47460"/>
    <w:multiLevelType w:val="hybridMultilevel"/>
    <w:tmpl w:val="5C1275BC"/>
    <w:lvl w:ilvl="0" w:tplc="6214104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3C02BF4"/>
    <w:multiLevelType w:val="hybridMultilevel"/>
    <w:tmpl w:val="7ABE3916"/>
    <w:lvl w:ilvl="0" w:tplc="F25EA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3F066F0"/>
    <w:multiLevelType w:val="hybridMultilevel"/>
    <w:tmpl w:val="1CE61D66"/>
    <w:lvl w:ilvl="0" w:tplc="AB58D7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54CE2E20"/>
    <w:multiLevelType w:val="hybridMultilevel"/>
    <w:tmpl w:val="6562DB1A"/>
    <w:lvl w:ilvl="0" w:tplc="C6F08D98">
      <w:start w:val="1"/>
      <w:numFmt w:val="decimal"/>
      <w:lvlText w:val="%1)"/>
      <w:lvlJc w:val="left"/>
      <w:pPr>
        <w:ind w:left="1183" w:hanging="360"/>
      </w:pPr>
      <w:rPr>
        <w:rFonts w:hint="default"/>
      </w:rPr>
    </w:lvl>
    <w:lvl w:ilvl="1" w:tplc="04260019" w:tentative="1">
      <w:start w:val="1"/>
      <w:numFmt w:val="lowerLetter"/>
      <w:lvlText w:val="%2."/>
      <w:lvlJc w:val="left"/>
      <w:pPr>
        <w:ind w:left="1903" w:hanging="360"/>
      </w:pPr>
    </w:lvl>
    <w:lvl w:ilvl="2" w:tplc="0426001B" w:tentative="1">
      <w:start w:val="1"/>
      <w:numFmt w:val="lowerRoman"/>
      <w:lvlText w:val="%3."/>
      <w:lvlJc w:val="right"/>
      <w:pPr>
        <w:ind w:left="2623" w:hanging="180"/>
      </w:pPr>
    </w:lvl>
    <w:lvl w:ilvl="3" w:tplc="0426000F" w:tentative="1">
      <w:start w:val="1"/>
      <w:numFmt w:val="decimal"/>
      <w:lvlText w:val="%4."/>
      <w:lvlJc w:val="left"/>
      <w:pPr>
        <w:ind w:left="3343" w:hanging="360"/>
      </w:pPr>
    </w:lvl>
    <w:lvl w:ilvl="4" w:tplc="04260019" w:tentative="1">
      <w:start w:val="1"/>
      <w:numFmt w:val="lowerLetter"/>
      <w:lvlText w:val="%5."/>
      <w:lvlJc w:val="left"/>
      <w:pPr>
        <w:ind w:left="4063" w:hanging="360"/>
      </w:pPr>
    </w:lvl>
    <w:lvl w:ilvl="5" w:tplc="0426001B" w:tentative="1">
      <w:start w:val="1"/>
      <w:numFmt w:val="lowerRoman"/>
      <w:lvlText w:val="%6."/>
      <w:lvlJc w:val="right"/>
      <w:pPr>
        <w:ind w:left="4783" w:hanging="180"/>
      </w:pPr>
    </w:lvl>
    <w:lvl w:ilvl="6" w:tplc="0426000F" w:tentative="1">
      <w:start w:val="1"/>
      <w:numFmt w:val="decimal"/>
      <w:lvlText w:val="%7."/>
      <w:lvlJc w:val="left"/>
      <w:pPr>
        <w:ind w:left="5503" w:hanging="360"/>
      </w:pPr>
    </w:lvl>
    <w:lvl w:ilvl="7" w:tplc="04260019" w:tentative="1">
      <w:start w:val="1"/>
      <w:numFmt w:val="lowerLetter"/>
      <w:lvlText w:val="%8."/>
      <w:lvlJc w:val="left"/>
      <w:pPr>
        <w:ind w:left="6223" w:hanging="360"/>
      </w:pPr>
    </w:lvl>
    <w:lvl w:ilvl="8" w:tplc="0426001B" w:tentative="1">
      <w:start w:val="1"/>
      <w:numFmt w:val="lowerRoman"/>
      <w:lvlText w:val="%9."/>
      <w:lvlJc w:val="right"/>
      <w:pPr>
        <w:ind w:left="6943" w:hanging="180"/>
      </w:pPr>
    </w:lvl>
  </w:abstractNum>
  <w:abstractNum w:abstractNumId="11">
    <w:nsid w:val="5B7552E8"/>
    <w:multiLevelType w:val="hybridMultilevel"/>
    <w:tmpl w:val="36F6F898"/>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0F71EE6"/>
    <w:multiLevelType w:val="hybridMultilevel"/>
    <w:tmpl w:val="34226E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6C029F7"/>
    <w:multiLevelType w:val="hybridMultilevel"/>
    <w:tmpl w:val="4956F116"/>
    <w:lvl w:ilvl="0" w:tplc="19426CC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799C2A30"/>
    <w:multiLevelType w:val="hybridMultilevel"/>
    <w:tmpl w:val="D5444D38"/>
    <w:lvl w:ilvl="0" w:tplc="20722132">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num w:numId="1">
    <w:abstractNumId w:val="14"/>
  </w:num>
  <w:num w:numId="2">
    <w:abstractNumId w:val="13"/>
  </w:num>
  <w:num w:numId="3">
    <w:abstractNumId w:val="7"/>
  </w:num>
  <w:num w:numId="4">
    <w:abstractNumId w:val="1"/>
  </w:num>
  <w:num w:numId="5">
    <w:abstractNumId w:val="8"/>
  </w:num>
  <w:num w:numId="6">
    <w:abstractNumId w:val="3"/>
  </w:num>
  <w:num w:numId="7">
    <w:abstractNumId w:val="11"/>
  </w:num>
  <w:num w:numId="8">
    <w:abstractNumId w:val="9"/>
  </w:num>
  <w:num w:numId="9">
    <w:abstractNumId w:val="2"/>
  </w:num>
  <w:num w:numId="10">
    <w:abstractNumId w:val="6"/>
  </w:num>
  <w:num w:numId="11">
    <w:abstractNumId w:val="5"/>
  </w:num>
  <w:num w:numId="12">
    <w:abstractNumId w:val="12"/>
  </w:num>
  <w:num w:numId="13">
    <w:abstractNumId w:val="4"/>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A6"/>
    <w:rsid w:val="00000A7A"/>
    <w:rsid w:val="0002334F"/>
    <w:rsid w:val="00027C37"/>
    <w:rsid w:val="00042BA1"/>
    <w:rsid w:val="00043DE0"/>
    <w:rsid w:val="00046F56"/>
    <w:rsid w:val="00057968"/>
    <w:rsid w:val="000678AC"/>
    <w:rsid w:val="0007077C"/>
    <w:rsid w:val="00070AA3"/>
    <w:rsid w:val="000757EC"/>
    <w:rsid w:val="00080BAA"/>
    <w:rsid w:val="00092306"/>
    <w:rsid w:val="000A06FD"/>
    <w:rsid w:val="000A7F51"/>
    <w:rsid w:val="000C2413"/>
    <w:rsid w:val="000C75A6"/>
    <w:rsid w:val="000D011D"/>
    <w:rsid w:val="000F1582"/>
    <w:rsid w:val="000F2F91"/>
    <w:rsid w:val="00111352"/>
    <w:rsid w:val="001164B7"/>
    <w:rsid w:val="00116D23"/>
    <w:rsid w:val="00127E4B"/>
    <w:rsid w:val="00132192"/>
    <w:rsid w:val="001403DC"/>
    <w:rsid w:val="00144CAD"/>
    <w:rsid w:val="00152AEC"/>
    <w:rsid w:val="00156759"/>
    <w:rsid w:val="00166FDD"/>
    <w:rsid w:val="0017581A"/>
    <w:rsid w:val="00186EFA"/>
    <w:rsid w:val="00193A8B"/>
    <w:rsid w:val="00197C43"/>
    <w:rsid w:val="001A789C"/>
    <w:rsid w:val="001B30CD"/>
    <w:rsid w:val="001B3EBE"/>
    <w:rsid w:val="001D349F"/>
    <w:rsid w:val="001E3C4C"/>
    <w:rsid w:val="001E3E86"/>
    <w:rsid w:val="001F4C14"/>
    <w:rsid w:val="00201BD9"/>
    <w:rsid w:val="002055CE"/>
    <w:rsid w:val="00221979"/>
    <w:rsid w:val="00223E3D"/>
    <w:rsid w:val="00237C20"/>
    <w:rsid w:val="00241D7C"/>
    <w:rsid w:val="002447E8"/>
    <w:rsid w:val="00246FDC"/>
    <w:rsid w:val="002554BA"/>
    <w:rsid w:val="00257716"/>
    <w:rsid w:val="002720A2"/>
    <w:rsid w:val="00273A9F"/>
    <w:rsid w:val="00275C6D"/>
    <w:rsid w:val="0029110D"/>
    <w:rsid w:val="002926D3"/>
    <w:rsid w:val="002940CD"/>
    <w:rsid w:val="002960EA"/>
    <w:rsid w:val="002A6197"/>
    <w:rsid w:val="002A7573"/>
    <w:rsid w:val="002B10A1"/>
    <w:rsid w:val="002B4610"/>
    <w:rsid w:val="002B5B67"/>
    <w:rsid w:val="002C28A3"/>
    <w:rsid w:val="002C7006"/>
    <w:rsid w:val="002E6C12"/>
    <w:rsid w:val="003019EE"/>
    <w:rsid w:val="0030306E"/>
    <w:rsid w:val="00311674"/>
    <w:rsid w:val="003126D5"/>
    <w:rsid w:val="00330F96"/>
    <w:rsid w:val="003517B2"/>
    <w:rsid w:val="0035487B"/>
    <w:rsid w:val="00361CA0"/>
    <w:rsid w:val="00373890"/>
    <w:rsid w:val="00374F27"/>
    <w:rsid w:val="00375FAB"/>
    <w:rsid w:val="0038231F"/>
    <w:rsid w:val="003911D0"/>
    <w:rsid w:val="003B10C2"/>
    <w:rsid w:val="003C5BC9"/>
    <w:rsid w:val="003C6387"/>
    <w:rsid w:val="003D1339"/>
    <w:rsid w:val="003D1A40"/>
    <w:rsid w:val="003F78D5"/>
    <w:rsid w:val="00403411"/>
    <w:rsid w:val="004034E0"/>
    <w:rsid w:val="00410DE6"/>
    <w:rsid w:val="004130AE"/>
    <w:rsid w:val="004139D6"/>
    <w:rsid w:val="004175B1"/>
    <w:rsid w:val="004262C0"/>
    <w:rsid w:val="004327F8"/>
    <w:rsid w:val="00437542"/>
    <w:rsid w:val="004430F1"/>
    <w:rsid w:val="004519E2"/>
    <w:rsid w:val="004545E7"/>
    <w:rsid w:val="004676D7"/>
    <w:rsid w:val="004705F1"/>
    <w:rsid w:val="004767AF"/>
    <w:rsid w:val="004854D4"/>
    <w:rsid w:val="004A11F7"/>
    <w:rsid w:val="004A1971"/>
    <w:rsid w:val="004C51BE"/>
    <w:rsid w:val="004C669F"/>
    <w:rsid w:val="004D1FCD"/>
    <w:rsid w:val="004D4483"/>
    <w:rsid w:val="00500381"/>
    <w:rsid w:val="00502E7D"/>
    <w:rsid w:val="00527A75"/>
    <w:rsid w:val="00527E3D"/>
    <w:rsid w:val="0053087D"/>
    <w:rsid w:val="00542E31"/>
    <w:rsid w:val="00545E70"/>
    <w:rsid w:val="005651F4"/>
    <w:rsid w:val="00581CD9"/>
    <w:rsid w:val="00593AC8"/>
    <w:rsid w:val="0059706B"/>
    <w:rsid w:val="005A0FDF"/>
    <w:rsid w:val="005B2CE7"/>
    <w:rsid w:val="005C3D9C"/>
    <w:rsid w:val="005D1584"/>
    <w:rsid w:val="00604EA3"/>
    <w:rsid w:val="00612D7E"/>
    <w:rsid w:val="006136B9"/>
    <w:rsid w:val="00616AA6"/>
    <w:rsid w:val="006329F8"/>
    <w:rsid w:val="00633D6B"/>
    <w:rsid w:val="006522FE"/>
    <w:rsid w:val="00664FC6"/>
    <w:rsid w:val="00680635"/>
    <w:rsid w:val="00687963"/>
    <w:rsid w:val="006A0DA7"/>
    <w:rsid w:val="006C55ED"/>
    <w:rsid w:val="006E3688"/>
    <w:rsid w:val="006E480C"/>
    <w:rsid w:val="006E54AA"/>
    <w:rsid w:val="006E76B7"/>
    <w:rsid w:val="006F73BC"/>
    <w:rsid w:val="0070343E"/>
    <w:rsid w:val="00710EAA"/>
    <w:rsid w:val="007167FF"/>
    <w:rsid w:val="00725865"/>
    <w:rsid w:val="00730E41"/>
    <w:rsid w:val="00732C68"/>
    <w:rsid w:val="0073516C"/>
    <w:rsid w:val="00736938"/>
    <w:rsid w:val="00747C51"/>
    <w:rsid w:val="007528E2"/>
    <w:rsid w:val="00753535"/>
    <w:rsid w:val="00755684"/>
    <w:rsid w:val="007610E4"/>
    <w:rsid w:val="00763BF7"/>
    <w:rsid w:val="00765A92"/>
    <w:rsid w:val="007702EA"/>
    <w:rsid w:val="0077070F"/>
    <w:rsid w:val="00772A46"/>
    <w:rsid w:val="00794E6B"/>
    <w:rsid w:val="007B0C0C"/>
    <w:rsid w:val="007B5718"/>
    <w:rsid w:val="007D3FD0"/>
    <w:rsid w:val="007D4C86"/>
    <w:rsid w:val="007D783D"/>
    <w:rsid w:val="007E0F97"/>
    <w:rsid w:val="007F4918"/>
    <w:rsid w:val="00805D9E"/>
    <w:rsid w:val="0080751B"/>
    <w:rsid w:val="00816363"/>
    <w:rsid w:val="008167ED"/>
    <w:rsid w:val="0082381C"/>
    <w:rsid w:val="0083004C"/>
    <w:rsid w:val="00834ED9"/>
    <w:rsid w:val="008372E7"/>
    <w:rsid w:val="00837BD6"/>
    <w:rsid w:val="0084798E"/>
    <w:rsid w:val="008605D0"/>
    <w:rsid w:val="00863DB5"/>
    <w:rsid w:val="00866E6B"/>
    <w:rsid w:val="00874E35"/>
    <w:rsid w:val="008936BC"/>
    <w:rsid w:val="008A023A"/>
    <w:rsid w:val="008A4EEF"/>
    <w:rsid w:val="008A561A"/>
    <w:rsid w:val="008C2585"/>
    <w:rsid w:val="008C2D66"/>
    <w:rsid w:val="008C47BE"/>
    <w:rsid w:val="008C6FC8"/>
    <w:rsid w:val="008D36C2"/>
    <w:rsid w:val="008D5F20"/>
    <w:rsid w:val="008F2ACB"/>
    <w:rsid w:val="0090153F"/>
    <w:rsid w:val="009114A0"/>
    <w:rsid w:val="00921B1A"/>
    <w:rsid w:val="00923EF6"/>
    <w:rsid w:val="00927C25"/>
    <w:rsid w:val="009304C8"/>
    <w:rsid w:val="00947830"/>
    <w:rsid w:val="00953A72"/>
    <w:rsid w:val="00957E54"/>
    <w:rsid w:val="00963119"/>
    <w:rsid w:val="009652EF"/>
    <w:rsid w:val="00974D74"/>
    <w:rsid w:val="00977B2E"/>
    <w:rsid w:val="0098089E"/>
    <w:rsid w:val="0098181D"/>
    <w:rsid w:val="00985272"/>
    <w:rsid w:val="009860E6"/>
    <w:rsid w:val="0099042F"/>
    <w:rsid w:val="00990B02"/>
    <w:rsid w:val="00991ED2"/>
    <w:rsid w:val="00997FA9"/>
    <w:rsid w:val="009A1D77"/>
    <w:rsid w:val="009A64DE"/>
    <w:rsid w:val="009A6FC2"/>
    <w:rsid w:val="009B1BDE"/>
    <w:rsid w:val="009B7E5E"/>
    <w:rsid w:val="009C3026"/>
    <w:rsid w:val="009D1066"/>
    <w:rsid w:val="009D62F6"/>
    <w:rsid w:val="009E0671"/>
    <w:rsid w:val="009E4FD6"/>
    <w:rsid w:val="009F0229"/>
    <w:rsid w:val="00A019B2"/>
    <w:rsid w:val="00A074A5"/>
    <w:rsid w:val="00A07F4E"/>
    <w:rsid w:val="00A102C0"/>
    <w:rsid w:val="00A105D7"/>
    <w:rsid w:val="00A217E7"/>
    <w:rsid w:val="00A329B2"/>
    <w:rsid w:val="00A55FEA"/>
    <w:rsid w:val="00A63E6C"/>
    <w:rsid w:val="00A6421B"/>
    <w:rsid w:val="00A81223"/>
    <w:rsid w:val="00A84C26"/>
    <w:rsid w:val="00A91B2A"/>
    <w:rsid w:val="00A9333D"/>
    <w:rsid w:val="00A959EC"/>
    <w:rsid w:val="00A965F1"/>
    <w:rsid w:val="00AB0063"/>
    <w:rsid w:val="00AB3C41"/>
    <w:rsid w:val="00AC1E3B"/>
    <w:rsid w:val="00AE4367"/>
    <w:rsid w:val="00AE608F"/>
    <w:rsid w:val="00AE70EE"/>
    <w:rsid w:val="00AF000F"/>
    <w:rsid w:val="00AF1B96"/>
    <w:rsid w:val="00AF352B"/>
    <w:rsid w:val="00AF666E"/>
    <w:rsid w:val="00B01423"/>
    <w:rsid w:val="00B0227E"/>
    <w:rsid w:val="00B03005"/>
    <w:rsid w:val="00B069C2"/>
    <w:rsid w:val="00B06A93"/>
    <w:rsid w:val="00B14E57"/>
    <w:rsid w:val="00B313A5"/>
    <w:rsid w:val="00B31A7F"/>
    <w:rsid w:val="00B55E0D"/>
    <w:rsid w:val="00B73EF6"/>
    <w:rsid w:val="00B74BDF"/>
    <w:rsid w:val="00B8301F"/>
    <w:rsid w:val="00B85665"/>
    <w:rsid w:val="00B8615D"/>
    <w:rsid w:val="00B9098B"/>
    <w:rsid w:val="00B93F08"/>
    <w:rsid w:val="00B945D8"/>
    <w:rsid w:val="00BA3A84"/>
    <w:rsid w:val="00BC1C4E"/>
    <w:rsid w:val="00BC5EDE"/>
    <w:rsid w:val="00BD6300"/>
    <w:rsid w:val="00BE2989"/>
    <w:rsid w:val="00BE31A9"/>
    <w:rsid w:val="00C05F8D"/>
    <w:rsid w:val="00C10320"/>
    <w:rsid w:val="00C152B1"/>
    <w:rsid w:val="00C215E5"/>
    <w:rsid w:val="00C21897"/>
    <w:rsid w:val="00C22E09"/>
    <w:rsid w:val="00C23501"/>
    <w:rsid w:val="00C338A6"/>
    <w:rsid w:val="00C40B1A"/>
    <w:rsid w:val="00C435E9"/>
    <w:rsid w:val="00C47791"/>
    <w:rsid w:val="00C477D5"/>
    <w:rsid w:val="00C51910"/>
    <w:rsid w:val="00C555E0"/>
    <w:rsid w:val="00C56A76"/>
    <w:rsid w:val="00C64257"/>
    <w:rsid w:val="00C657C0"/>
    <w:rsid w:val="00C66F33"/>
    <w:rsid w:val="00C67515"/>
    <w:rsid w:val="00C67B32"/>
    <w:rsid w:val="00C70E01"/>
    <w:rsid w:val="00C772F4"/>
    <w:rsid w:val="00C82AE8"/>
    <w:rsid w:val="00C82F00"/>
    <w:rsid w:val="00C971D2"/>
    <w:rsid w:val="00CB4634"/>
    <w:rsid w:val="00CC35CF"/>
    <w:rsid w:val="00CC4638"/>
    <w:rsid w:val="00CC496E"/>
    <w:rsid w:val="00CC769D"/>
    <w:rsid w:val="00CD54B5"/>
    <w:rsid w:val="00CE3660"/>
    <w:rsid w:val="00CE36C0"/>
    <w:rsid w:val="00CE417F"/>
    <w:rsid w:val="00D01F6B"/>
    <w:rsid w:val="00D1252E"/>
    <w:rsid w:val="00D12B8D"/>
    <w:rsid w:val="00D22685"/>
    <w:rsid w:val="00D23903"/>
    <w:rsid w:val="00D27291"/>
    <w:rsid w:val="00D34670"/>
    <w:rsid w:val="00D346C9"/>
    <w:rsid w:val="00D4062C"/>
    <w:rsid w:val="00D42003"/>
    <w:rsid w:val="00D42BC2"/>
    <w:rsid w:val="00D430F0"/>
    <w:rsid w:val="00D45A48"/>
    <w:rsid w:val="00D52D03"/>
    <w:rsid w:val="00D52F4F"/>
    <w:rsid w:val="00D539DB"/>
    <w:rsid w:val="00D556A2"/>
    <w:rsid w:val="00D5707B"/>
    <w:rsid w:val="00D65488"/>
    <w:rsid w:val="00D65D1A"/>
    <w:rsid w:val="00D80896"/>
    <w:rsid w:val="00D8120A"/>
    <w:rsid w:val="00D915CC"/>
    <w:rsid w:val="00D94C4E"/>
    <w:rsid w:val="00DB0ED4"/>
    <w:rsid w:val="00DB313F"/>
    <w:rsid w:val="00DB3BC6"/>
    <w:rsid w:val="00DC152F"/>
    <w:rsid w:val="00DC287F"/>
    <w:rsid w:val="00DC5725"/>
    <w:rsid w:val="00DD02FF"/>
    <w:rsid w:val="00DE03B5"/>
    <w:rsid w:val="00DE0EDD"/>
    <w:rsid w:val="00DF2B43"/>
    <w:rsid w:val="00DF45E9"/>
    <w:rsid w:val="00E06CCE"/>
    <w:rsid w:val="00E07EB8"/>
    <w:rsid w:val="00E150BC"/>
    <w:rsid w:val="00E249A5"/>
    <w:rsid w:val="00E27051"/>
    <w:rsid w:val="00E568D4"/>
    <w:rsid w:val="00E7262B"/>
    <w:rsid w:val="00E75E5B"/>
    <w:rsid w:val="00E80593"/>
    <w:rsid w:val="00E86D2D"/>
    <w:rsid w:val="00E94311"/>
    <w:rsid w:val="00E9479A"/>
    <w:rsid w:val="00EA3691"/>
    <w:rsid w:val="00EA526B"/>
    <w:rsid w:val="00EA55BE"/>
    <w:rsid w:val="00EA7D81"/>
    <w:rsid w:val="00EB07C7"/>
    <w:rsid w:val="00EC51E6"/>
    <w:rsid w:val="00ED0860"/>
    <w:rsid w:val="00ED2217"/>
    <w:rsid w:val="00ED3E5A"/>
    <w:rsid w:val="00ED6A06"/>
    <w:rsid w:val="00ED7568"/>
    <w:rsid w:val="00EE0C0F"/>
    <w:rsid w:val="00EE1F63"/>
    <w:rsid w:val="00EE4A6F"/>
    <w:rsid w:val="00EE501B"/>
    <w:rsid w:val="00EE55CF"/>
    <w:rsid w:val="00EF30AD"/>
    <w:rsid w:val="00EF75F9"/>
    <w:rsid w:val="00F02DB5"/>
    <w:rsid w:val="00F03184"/>
    <w:rsid w:val="00F0543C"/>
    <w:rsid w:val="00F11BBB"/>
    <w:rsid w:val="00F129F4"/>
    <w:rsid w:val="00F13B40"/>
    <w:rsid w:val="00F153B3"/>
    <w:rsid w:val="00F16489"/>
    <w:rsid w:val="00F17318"/>
    <w:rsid w:val="00F22CE0"/>
    <w:rsid w:val="00F26734"/>
    <w:rsid w:val="00F31085"/>
    <w:rsid w:val="00F44595"/>
    <w:rsid w:val="00F506A2"/>
    <w:rsid w:val="00F507FE"/>
    <w:rsid w:val="00F602CC"/>
    <w:rsid w:val="00F66B7E"/>
    <w:rsid w:val="00F720FC"/>
    <w:rsid w:val="00F9365C"/>
    <w:rsid w:val="00FA18B8"/>
    <w:rsid w:val="00FA6074"/>
    <w:rsid w:val="00FB0D6A"/>
    <w:rsid w:val="00FC116E"/>
    <w:rsid w:val="00FC26F8"/>
    <w:rsid w:val="00FC2F9C"/>
    <w:rsid w:val="00FC538E"/>
    <w:rsid w:val="00FD1BF2"/>
    <w:rsid w:val="00FD2175"/>
    <w:rsid w:val="00FD5FE7"/>
    <w:rsid w:val="00FE11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A6"/>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16AA6"/>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6AA6"/>
    <w:rPr>
      <w:rFonts w:ascii="Times New Roman" w:eastAsia="Times New Roman" w:hAnsi="Times New Roman" w:cs="Times New Roman"/>
      <w:b/>
      <w:bCs/>
      <w:sz w:val="27"/>
      <w:szCs w:val="27"/>
      <w:lang w:eastAsia="lv-LV"/>
    </w:rPr>
  </w:style>
  <w:style w:type="paragraph" w:styleId="BodyText">
    <w:name w:val="Body Text"/>
    <w:basedOn w:val="Normal"/>
    <w:link w:val="BodyTextChar"/>
    <w:rsid w:val="00616AA6"/>
    <w:pPr>
      <w:jc w:val="center"/>
    </w:pPr>
    <w:rPr>
      <w:b/>
      <w:bCs/>
      <w:sz w:val="28"/>
    </w:rPr>
  </w:style>
  <w:style w:type="character" w:customStyle="1" w:styleId="BodyTextChar">
    <w:name w:val="Body Text Char"/>
    <w:basedOn w:val="DefaultParagraphFont"/>
    <w:link w:val="BodyText"/>
    <w:rsid w:val="00616AA6"/>
    <w:rPr>
      <w:rFonts w:ascii="Times New Roman" w:eastAsia="Times New Roman" w:hAnsi="Times New Roman" w:cs="Times New Roman"/>
      <w:b/>
      <w:bCs/>
      <w:sz w:val="28"/>
      <w:szCs w:val="24"/>
    </w:rPr>
  </w:style>
  <w:style w:type="paragraph" w:customStyle="1" w:styleId="naisf">
    <w:name w:val="naisf"/>
    <w:basedOn w:val="Normal"/>
    <w:rsid w:val="00616AA6"/>
    <w:pPr>
      <w:spacing w:before="75" w:after="75"/>
      <w:ind w:firstLine="375"/>
      <w:jc w:val="both"/>
    </w:pPr>
    <w:rPr>
      <w:lang w:eastAsia="lv-LV"/>
    </w:rPr>
  </w:style>
  <w:style w:type="paragraph" w:styleId="Header">
    <w:name w:val="header"/>
    <w:basedOn w:val="Normal"/>
    <w:link w:val="HeaderChar"/>
    <w:rsid w:val="00616AA6"/>
    <w:pPr>
      <w:tabs>
        <w:tab w:val="center" w:pos="4153"/>
        <w:tab w:val="right" w:pos="8306"/>
      </w:tabs>
    </w:pPr>
    <w:rPr>
      <w:lang w:eastAsia="lv-LV"/>
    </w:rPr>
  </w:style>
  <w:style w:type="character" w:customStyle="1" w:styleId="HeaderChar">
    <w:name w:val="Header Char"/>
    <w:basedOn w:val="DefaultParagraphFont"/>
    <w:link w:val="Header"/>
    <w:rsid w:val="00616AA6"/>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616AA6"/>
    <w:pPr>
      <w:tabs>
        <w:tab w:val="center" w:pos="4153"/>
        <w:tab w:val="right" w:pos="8306"/>
      </w:tabs>
    </w:pPr>
    <w:rPr>
      <w:lang w:eastAsia="lv-LV"/>
    </w:rPr>
  </w:style>
  <w:style w:type="character" w:customStyle="1" w:styleId="FooterChar">
    <w:name w:val="Footer Char"/>
    <w:basedOn w:val="DefaultParagraphFont"/>
    <w:link w:val="Footer"/>
    <w:uiPriority w:val="99"/>
    <w:rsid w:val="00616AA6"/>
    <w:rPr>
      <w:rFonts w:ascii="Times New Roman" w:eastAsia="Times New Roman" w:hAnsi="Times New Roman" w:cs="Times New Roman"/>
      <w:sz w:val="24"/>
      <w:szCs w:val="24"/>
      <w:lang w:eastAsia="lv-LV"/>
    </w:rPr>
  </w:style>
  <w:style w:type="character" w:styleId="PageNumber">
    <w:name w:val="page number"/>
    <w:basedOn w:val="DefaultParagraphFont"/>
    <w:rsid w:val="00616AA6"/>
  </w:style>
  <w:style w:type="paragraph" w:customStyle="1" w:styleId="tv213">
    <w:name w:val="tv213"/>
    <w:basedOn w:val="Normal"/>
    <w:rsid w:val="005651F4"/>
    <w:pPr>
      <w:spacing w:before="100" w:beforeAutospacing="1" w:after="100" w:afterAutospacing="1"/>
    </w:pPr>
    <w:rPr>
      <w:lang w:eastAsia="lv-LV"/>
    </w:rPr>
  </w:style>
  <w:style w:type="character" w:styleId="Hyperlink">
    <w:name w:val="Hyperlink"/>
    <w:basedOn w:val="DefaultParagraphFont"/>
    <w:uiPriority w:val="99"/>
    <w:rsid w:val="00D539DB"/>
    <w:rPr>
      <w:rFonts w:cs="Times New Roman"/>
      <w:color w:val="0000FF"/>
      <w:u w:val="single"/>
    </w:rPr>
  </w:style>
  <w:style w:type="paragraph" w:styleId="BalloonText">
    <w:name w:val="Balloon Text"/>
    <w:basedOn w:val="Normal"/>
    <w:link w:val="BalloonTextChar"/>
    <w:uiPriority w:val="99"/>
    <w:semiHidden/>
    <w:unhideWhenUsed/>
    <w:rsid w:val="00F44595"/>
    <w:rPr>
      <w:rFonts w:ascii="Tahoma" w:hAnsi="Tahoma" w:cs="Tahoma"/>
      <w:sz w:val="16"/>
      <w:szCs w:val="16"/>
    </w:rPr>
  </w:style>
  <w:style w:type="character" w:customStyle="1" w:styleId="BalloonTextChar">
    <w:name w:val="Balloon Text Char"/>
    <w:basedOn w:val="DefaultParagraphFont"/>
    <w:link w:val="BalloonText"/>
    <w:uiPriority w:val="99"/>
    <w:semiHidden/>
    <w:rsid w:val="00F44595"/>
    <w:rPr>
      <w:rFonts w:ascii="Tahoma" w:eastAsia="Times New Roman" w:hAnsi="Tahoma" w:cs="Tahoma"/>
      <w:sz w:val="16"/>
      <w:szCs w:val="16"/>
    </w:rPr>
  </w:style>
  <w:style w:type="paragraph" w:customStyle="1" w:styleId="naisnod">
    <w:name w:val="naisnod"/>
    <w:basedOn w:val="Normal"/>
    <w:rsid w:val="002926D3"/>
    <w:pPr>
      <w:suppressAutoHyphens/>
      <w:spacing w:before="150" w:after="150"/>
      <w:jc w:val="center"/>
    </w:pPr>
    <w:rPr>
      <w:b/>
      <w:bCs/>
      <w:lang w:eastAsia="ar-SA"/>
    </w:rPr>
  </w:style>
  <w:style w:type="paragraph" w:customStyle="1" w:styleId="naiskr">
    <w:name w:val="naiskr"/>
    <w:basedOn w:val="Normal"/>
    <w:rsid w:val="002926D3"/>
    <w:pPr>
      <w:suppressAutoHyphens/>
      <w:spacing w:before="75" w:after="75"/>
    </w:pPr>
    <w:rPr>
      <w:lang w:eastAsia="ar-SA"/>
    </w:rPr>
  </w:style>
  <w:style w:type="paragraph" w:customStyle="1" w:styleId="CharCharCharChar">
    <w:name w:val="Char Char Char Char"/>
    <w:basedOn w:val="Normal"/>
    <w:rsid w:val="00FE110A"/>
    <w:pPr>
      <w:spacing w:after="160" w:line="240" w:lineRule="exact"/>
    </w:pPr>
    <w:rPr>
      <w:rFonts w:ascii="Dutch TL" w:hAnsi="Dutch TL"/>
      <w:sz w:val="28"/>
      <w:szCs w:val="20"/>
      <w:lang w:eastAsia="zh-TW"/>
    </w:rPr>
  </w:style>
  <w:style w:type="paragraph" w:styleId="ListParagraph">
    <w:name w:val="List Paragraph"/>
    <w:basedOn w:val="Normal"/>
    <w:uiPriority w:val="34"/>
    <w:qFormat/>
    <w:rsid w:val="00B8615D"/>
    <w:pPr>
      <w:ind w:left="720"/>
      <w:contextualSpacing/>
    </w:pPr>
  </w:style>
  <w:style w:type="paragraph" w:styleId="NoSpacing">
    <w:name w:val="No Spacing"/>
    <w:uiPriority w:val="1"/>
    <w:qFormat/>
    <w:rsid w:val="00FD1BF2"/>
    <w:pPr>
      <w:spacing w:after="0" w:line="240" w:lineRule="auto"/>
    </w:pPr>
  </w:style>
  <w:style w:type="paragraph" w:styleId="FootnoteText">
    <w:name w:val="footnote text"/>
    <w:basedOn w:val="Normal"/>
    <w:link w:val="FootnoteTextChar"/>
    <w:rsid w:val="00ED6A06"/>
    <w:rPr>
      <w:sz w:val="20"/>
      <w:szCs w:val="20"/>
      <w:lang w:eastAsia="lv-LV"/>
    </w:rPr>
  </w:style>
  <w:style w:type="character" w:customStyle="1" w:styleId="FootnoteTextChar">
    <w:name w:val="Footnote Text Char"/>
    <w:basedOn w:val="DefaultParagraphFont"/>
    <w:link w:val="FootnoteText"/>
    <w:rsid w:val="00ED6A06"/>
    <w:rPr>
      <w:rFonts w:ascii="Times New Roman" w:eastAsia="Times New Roman" w:hAnsi="Times New Roman" w:cs="Times New Roman"/>
      <w:sz w:val="20"/>
      <w:szCs w:val="20"/>
      <w:lang w:eastAsia="lv-LV"/>
    </w:rPr>
  </w:style>
  <w:style w:type="character" w:styleId="FootnoteReference">
    <w:name w:val="footnote reference"/>
    <w:semiHidden/>
    <w:rsid w:val="00ED6A06"/>
    <w:rPr>
      <w:vertAlign w:val="superscript"/>
    </w:rPr>
  </w:style>
  <w:style w:type="table" w:styleId="TableGrid">
    <w:name w:val="Table Grid"/>
    <w:basedOn w:val="TableNormal"/>
    <w:uiPriority w:val="59"/>
    <w:rsid w:val="00F03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Normal"/>
    <w:rsid w:val="00CC769D"/>
    <w:pPr>
      <w:spacing w:line="360" w:lineRule="auto"/>
      <w:ind w:firstLine="300"/>
    </w:pPr>
    <w:rPr>
      <w:color w:val="414142"/>
      <w:sz w:val="20"/>
      <w:szCs w:val="20"/>
      <w:lang w:eastAsia="lv-LV"/>
    </w:rPr>
  </w:style>
  <w:style w:type="paragraph" w:customStyle="1" w:styleId="labojumupamats1">
    <w:name w:val="labojumu_pamats1"/>
    <w:basedOn w:val="Normal"/>
    <w:rsid w:val="00CC769D"/>
    <w:pPr>
      <w:spacing w:before="45" w:line="360" w:lineRule="auto"/>
      <w:ind w:firstLine="300"/>
    </w:pPr>
    <w:rPr>
      <w:i/>
      <w:iCs/>
      <w:color w:val="414142"/>
      <w:sz w:val="20"/>
      <w:szCs w:val="20"/>
      <w:lang w:eastAsia="lv-LV"/>
    </w:rPr>
  </w:style>
  <w:style w:type="paragraph" w:styleId="CommentText">
    <w:name w:val="annotation text"/>
    <w:basedOn w:val="Normal"/>
    <w:link w:val="CommentTextChar"/>
    <w:uiPriority w:val="99"/>
    <w:semiHidden/>
    <w:unhideWhenUsed/>
    <w:rsid w:val="006522FE"/>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6522FE"/>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A6"/>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16AA6"/>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6AA6"/>
    <w:rPr>
      <w:rFonts w:ascii="Times New Roman" w:eastAsia="Times New Roman" w:hAnsi="Times New Roman" w:cs="Times New Roman"/>
      <w:b/>
      <w:bCs/>
      <w:sz w:val="27"/>
      <w:szCs w:val="27"/>
      <w:lang w:eastAsia="lv-LV"/>
    </w:rPr>
  </w:style>
  <w:style w:type="paragraph" w:styleId="BodyText">
    <w:name w:val="Body Text"/>
    <w:basedOn w:val="Normal"/>
    <w:link w:val="BodyTextChar"/>
    <w:rsid w:val="00616AA6"/>
    <w:pPr>
      <w:jc w:val="center"/>
    </w:pPr>
    <w:rPr>
      <w:b/>
      <w:bCs/>
      <w:sz w:val="28"/>
    </w:rPr>
  </w:style>
  <w:style w:type="character" w:customStyle="1" w:styleId="BodyTextChar">
    <w:name w:val="Body Text Char"/>
    <w:basedOn w:val="DefaultParagraphFont"/>
    <w:link w:val="BodyText"/>
    <w:rsid w:val="00616AA6"/>
    <w:rPr>
      <w:rFonts w:ascii="Times New Roman" w:eastAsia="Times New Roman" w:hAnsi="Times New Roman" w:cs="Times New Roman"/>
      <w:b/>
      <w:bCs/>
      <w:sz w:val="28"/>
      <w:szCs w:val="24"/>
    </w:rPr>
  </w:style>
  <w:style w:type="paragraph" w:customStyle="1" w:styleId="naisf">
    <w:name w:val="naisf"/>
    <w:basedOn w:val="Normal"/>
    <w:rsid w:val="00616AA6"/>
    <w:pPr>
      <w:spacing w:before="75" w:after="75"/>
      <w:ind w:firstLine="375"/>
      <w:jc w:val="both"/>
    </w:pPr>
    <w:rPr>
      <w:lang w:eastAsia="lv-LV"/>
    </w:rPr>
  </w:style>
  <w:style w:type="paragraph" w:styleId="Header">
    <w:name w:val="header"/>
    <w:basedOn w:val="Normal"/>
    <w:link w:val="HeaderChar"/>
    <w:rsid w:val="00616AA6"/>
    <w:pPr>
      <w:tabs>
        <w:tab w:val="center" w:pos="4153"/>
        <w:tab w:val="right" w:pos="8306"/>
      </w:tabs>
    </w:pPr>
    <w:rPr>
      <w:lang w:eastAsia="lv-LV"/>
    </w:rPr>
  </w:style>
  <w:style w:type="character" w:customStyle="1" w:styleId="HeaderChar">
    <w:name w:val="Header Char"/>
    <w:basedOn w:val="DefaultParagraphFont"/>
    <w:link w:val="Header"/>
    <w:rsid w:val="00616AA6"/>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616AA6"/>
    <w:pPr>
      <w:tabs>
        <w:tab w:val="center" w:pos="4153"/>
        <w:tab w:val="right" w:pos="8306"/>
      </w:tabs>
    </w:pPr>
    <w:rPr>
      <w:lang w:eastAsia="lv-LV"/>
    </w:rPr>
  </w:style>
  <w:style w:type="character" w:customStyle="1" w:styleId="FooterChar">
    <w:name w:val="Footer Char"/>
    <w:basedOn w:val="DefaultParagraphFont"/>
    <w:link w:val="Footer"/>
    <w:uiPriority w:val="99"/>
    <w:rsid w:val="00616AA6"/>
    <w:rPr>
      <w:rFonts w:ascii="Times New Roman" w:eastAsia="Times New Roman" w:hAnsi="Times New Roman" w:cs="Times New Roman"/>
      <w:sz w:val="24"/>
      <w:szCs w:val="24"/>
      <w:lang w:eastAsia="lv-LV"/>
    </w:rPr>
  </w:style>
  <w:style w:type="character" w:styleId="PageNumber">
    <w:name w:val="page number"/>
    <w:basedOn w:val="DefaultParagraphFont"/>
    <w:rsid w:val="00616AA6"/>
  </w:style>
  <w:style w:type="paragraph" w:customStyle="1" w:styleId="tv213">
    <w:name w:val="tv213"/>
    <w:basedOn w:val="Normal"/>
    <w:rsid w:val="005651F4"/>
    <w:pPr>
      <w:spacing w:before="100" w:beforeAutospacing="1" w:after="100" w:afterAutospacing="1"/>
    </w:pPr>
    <w:rPr>
      <w:lang w:eastAsia="lv-LV"/>
    </w:rPr>
  </w:style>
  <w:style w:type="character" w:styleId="Hyperlink">
    <w:name w:val="Hyperlink"/>
    <w:basedOn w:val="DefaultParagraphFont"/>
    <w:uiPriority w:val="99"/>
    <w:rsid w:val="00D539DB"/>
    <w:rPr>
      <w:rFonts w:cs="Times New Roman"/>
      <w:color w:val="0000FF"/>
      <w:u w:val="single"/>
    </w:rPr>
  </w:style>
  <w:style w:type="paragraph" w:styleId="BalloonText">
    <w:name w:val="Balloon Text"/>
    <w:basedOn w:val="Normal"/>
    <w:link w:val="BalloonTextChar"/>
    <w:uiPriority w:val="99"/>
    <w:semiHidden/>
    <w:unhideWhenUsed/>
    <w:rsid w:val="00F44595"/>
    <w:rPr>
      <w:rFonts w:ascii="Tahoma" w:hAnsi="Tahoma" w:cs="Tahoma"/>
      <w:sz w:val="16"/>
      <w:szCs w:val="16"/>
    </w:rPr>
  </w:style>
  <w:style w:type="character" w:customStyle="1" w:styleId="BalloonTextChar">
    <w:name w:val="Balloon Text Char"/>
    <w:basedOn w:val="DefaultParagraphFont"/>
    <w:link w:val="BalloonText"/>
    <w:uiPriority w:val="99"/>
    <w:semiHidden/>
    <w:rsid w:val="00F44595"/>
    <w:rPr>
      <w:rFonts w:ascii="Tahoma" w:eastAsia="Times New Roman" w:hAnsi="Tahoma" w:cs="Tahoma"/>
      <w:sz w:val="16"/>
      <w:szCs w:val="16"/>
    </w:rPr>
  </w:style>
  <w:style w:type="paragraph" w:customStyle="1" w:styleId="naisnod">
    <w:name w:val="naisnod"/>
    <w:basedOn w:val="Normal"/>
    <w:rsid w:val="002926D3"/>
    <w:pPr>
      <w:suppressAutoHyphens/>
      <w:spacing w:before="150" w:after="150"/>
      <w:jc w:val="center"/>
    </w:pPr>
    <w:rPr>
      <w:b/>
      <w:bCs/>
      <w:lang w:eastAsia="ar-SA"/>
    </w:rPr>
  </w:style>
  <w:style w:type="paragraph" w:customStyle="1" w:styleId="naiskr">
    <w:name w:val="naiskr"/>
    <w:basedOn w:val="Normal"/>
    <w:rsid w:val="002926D3"/>
    <w:pPr>
      <w:suppressAutoHyphens/>
      <w:spacing w:before="75" w:after="75"/>
    </w:pPr>
    <w:rPr>
      <w:lang w:eastAsia="ar-SA"/>
    </w:rPr>
  </w:style>
  <w:style w:type="paragraph" w:customStyle="1" w:styleId="CharCharCharChar">
    <w:name w:val="Char Char Char Char"/>
    <w:basedOn w:val="Normal"/>
    <w:rsid w:val="00FE110A"/>
    <w:pPr>
      <w:spacing w:after="160" w:line="240" w:lineRule="exact"/>
    </w:pPr>
    <w:rPr>
      <w:rFonts w:ascii="Dutch TL" w:hAnsi="Dutch TL"/>
      <w:sz w:val="28"/>
      <w:szCs w:val="20"/>
      <w:lang w:eastAsia="zh-TW"/>
    </w:rPr>
  </w:style>
  <w:style w:type="paragraph" w:styleId="ListParagraph">
    <w:name w:val="List Paragraph"/>
    <w:basedOn w:val="Normal"/>
    <w:uiPriority w:val="34"/>
    <w:qFormat/>
    <w:rsid w:val="00B8615D"/>
    <w:pPr>
      <w:ind w:left="720"/>
      <w:contextualSpacing/>
    </w:pPr>
  </w:style>
  <w:style w:type="paragraph" w:styleId="NoSpacing">
    <w:name w:val="No Spacing"/>
    <w:uiPriority w:val="1"/>
    <w:qFormat/>
    <w:rsid w:val="00FD1BF2"/>
    <w:pPr>
      <w:spacing w:after="0" w:line="240" w:lineRule="auto"/>
    </w:pPr>
  </w:style>
  <w:style w:type="paragraph" w:styleId="FootnoteText">
    <w:name w:val="footnote text"/>
    <w:basedOn w:val="Normal"/>
    <w:link w:val="FootnoteTextChar"/>
    <w:rsid w:val="00ED6A06"/>
    <w:rPr>
      <w:sz w:val="20"/>
      <w:szCs w:val="20"/>
      <w:lang w:eastAsia="lv-LV"/>
    </w:rPr>
  </w:style>
  <w:style w:type="character" w:customStyle="1" w:styleId="FootnoteTextChar">
    <w:name w:val="Footnote Text Char"/>
    <w:basedOn w:val="DefaultParagraphFont"/>
    <w:link w:val="FootnoteText"/>
    <w:rsid w:val="00ED6A06"/>
    <w:rPr>
      <w:rFonts w:ascii="Times New Roman" w:eastAsia="Times New Roman" w:hAnsi="Times New Roman" w:cs="Times New Roman"/>
      <w:sz w:val="20"/>
      <w:szCs w:val="20"/>
      <w:lang w:eastAsia="lv-LV"/>
    </w:rPr>
  </w:style>
  <w:style w:type="character" w:styleId="FootnoteReference">
    <w:name w:val="footnote reference"/>
    <w:semiHidden/>
    <w:rsid w:val="00ED6A06"/>
    <w:rPr>
      <w:vertAlign w:val="superscript"/>
    </w:rPr>
  </w:style>
  <w:style w:type="table" w:styleId="TableGrid">
    <w:name w:val="Table Grid"/>
    <w:basedOn w:val="TableNormal"/>
    <w:uiPriority w:val="59"/>
    <w:rsid w:val="00F03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Normal"/>
    <w:rsid w:val="00CC769D"/>
    <w:pPr>
      <w:spacing w:line="360" w:lineRule="auto"/>
      <w:ind w:firstLine="300"/>
    </w:pPr>
    <w:rPr>
      <w:color w:val="414142"/>
      <w:sz w:val="20"/>
      <w:szCs w:val="20"/>
      <w:lang w:eastAsia="lv-LV"/>
    </w:rPr>
  </w:style>
  <w:style w:type="paragraph" w:customStyle="1" w:styleId="labojumupamats1">
    <w:name w:val="labojumu_pamats1"/>
    <w:basedOn w:val="Normal"/>
    <w:rsid w:val="00CC769D"/>
    <w:pPr>
      <w:spacing w:before="45" w:line="360" w:lineRule="auto"/>
      <w:ind w:firstLine="300"/>
    </w:pPr>
    <w:rPr>
      <w:i/>
      <w:iCs/>
      <w:color w:val="414142"/>
      <w:sz w:val="20"/>
      <w:szCs w:val="20"/>
      <w:lang w:eastAsia="lv-LV"/>
    </w:rPr>
  </w:style>
  <w:style w:type="paragraph" w:styleId="CommentText">
    <w:name w:val="annotation text"/>
    <w:basedOn w:val="Normal"/>
    <w:link w:val="CommentTextChar"/>
    <w:uiPriority w:val="99"/>
    <w:semiHidden/>
    <w:unhideWhenUsed/>
    <w:rsid w:val="006522FE"/>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6522FE"/>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5134">
      <w:bodyDiv w:val="1"/>
      <w:marLeft w:val="0"/>
      <w:marRight w:val="0"/>
      <w:marTop w:val="0"/>
      <w:marBottom w:val="0"/>
      <w:divBdr>
        <w:top w:val="none" w:sz="0" w:space="0" w:color="auto"/>
        <w:left w:val="none" w:sz="0" w:space="0" w:color="auto"/>
        <w:bottom w:val="none" w:sz="0" w:space="0" w:color="auto"/>
        <w:right w:val="none" w:sz="0" w:space="0" w:color="auto"/>
      </w:divBdr>
    </w:div>
    <w:div w:id="579025058">
      <w:bodyDiv w:val="1"/>
      <w:marLeft w:val="0"/>
      <w:marRight w:val="0"/>
      <w:marTop w:val="0"/>
      <w:marBottom w:val="0"/>
      <w:divBdr>
        <w:top w:val="none" w:sz="0" w:space="0" w:color="auto"/>
        <w:left w:val="none" w:sz="0" w:space="0" w:color="auto"/>
        <w:bottom w:val="none" w:sz="0" w:space="0" w:color="auto"/>
        <w:right w:val="none" w:sz="0" w:space="0" w:color="auto"/>
      </w:divBdr>
    </w:div>
    <w:div w:id="703096532">
      <w:bodyDiv w:val="1"/>
      <w:marLeft w:val="0"/>
      <w:marRight w:val="0"/>
      <w:marTop w:val="0"/>
      <w:marBottom w:val="0"/>
      <w:divBdr>
        <w:top w:val="none" w:sz="0" w:space="0" w:color="auto"/>
        <w:left w:val="none" w:sz="0" w:space="0" w:color="auto"/>
        <w:bottom w:val="none" w:sz="0" w:space="0" w:color="auto"/>
        <w:right w:val="none" w:sz="0" w:space="0" w:color="auto"/>
      </w:divBdr>
      <w:divsChild>
        <w:div w:id="680472700">
          <w:marLeft w:val="0"/>
          <w:marRight w:val="0"/>
          <w:marTop w:val="0"/>
          <w:marBottom w:val="0"/>
          <w:divBdr>
            <w:top w:val="none" w:sz="0" w:space="0" w:color="auto"/>
            <w:left w:val="none" w:sz="0" w:space="0" w:color="auto"/>
            <w:bottom w:val="none" w:sz="0" w:space="0" w:color="auto"/>
            <w:right w:val="none" w:sz="0" w:space="0" w:color="auto"/>
          </w:divBdr>
          <w:divsChild>
            <w:div w:id="11035703">
              <w:marLeft w:val="0"/>
              <w:marRight w:val="0"/>
              <w:marTop w:val="0"/>
              <w:marBottom w:val="0"/>
              <w:divBdr>
                <w:top w:val="none" w:sz="0" w:space="0" w:color="auto"/>
                <w:left w:val="none" w:sz="0" w:space="0" w:color="auto"/>
                <w:bottom w:val="none" w:sz="0" w:space="0" w:color="auto"/>
                <w:right w:val="none" w:sz="0" w:space="0" w:color="auto"/>
              </w:divBdr>
              <w:divsChild>
                <w:div w:id="2067878367">
                  <w:marLeft w:val="0"/>
                  <w:marRight w:val="0"/>
                  <w:marTop w:val="0"/>
                  <w:marBottom w:val="0"/>
                  <w:divBdr>
                    <w:top w:val="none" w:sz="0" w:space="0" w:color="auto"/>
                    <w:left w:val="none" w:sz="0" w:space="0" w:color="auto"/>
                    <w:bottom w:val="none" w:sz="0" w:space="0" w:color="auto"/>
                    <w:right w:val="none" w:sz="0" w:space="0" w:color="auto"/>
                  </w:divBdr>
                  <w:divsChild>
                    <w:div w:id="2130051686">
                      <w:marLeft w:val="0"/>
                      <w:marRight w:val="0"/>
                      <w:marTop w:val="0"/>
                      <w:marBottom w:val="0"/>
                      <w:divBdr>
                        <w:top w:val="none" w:sz="0" w:space="0" w:color="auto"/>
                        <w:left w:val="none" w:sz="0" w:space="0" w:color="auto"/>
                        <w:bottom w:val="none" w:sz="0" w:space="0" w:color="auto"/>
                        <w:right w:val="none" w:sz="0" w:space="0" w:color="auto"/>
                      </w:divBdr>
                      <w:divsChild>
                        <w:div w:id="1181822884">
                          <w:marLeft w:val="0"/>
                          <w:marRight w:val="0"/>
                          <w:marTop w:val="300"/>
                          <w:marBottom w:val="0"/>
                          <w:divBdr>
                            <w:top w:val="none" w:sz="0" w:space="0" w:color="auto"/>
                            <w:left w:val="none" w:sz="0" w:space="0" w:color="auto"/>
                            <w:bottom w:val="none" w:sz="0" w:space="0" w:color="auto"/>
                            <w:right w:val="none" w:sz="0" w:space="0" w:color="auto"/>
                          </w:divBdr>
                          <w:divsChild>
                            <w:div w:id="543248772">
                              <w:marLeft w:val="0"/>
                              <w:marRight w:val="0"/>
                              <w:marTop w:val="0"/>
                              <w:marBottom w:val="0"/>
                              <w:divBdr>
                                <w:top w:val="none" w:sz="0" w:space="0" w:color="auto"/>
                                <w:left w:val="none" w:sz="0" w:space="0" w:color="auto"/>
                                <w:bottom w:val="none" w:sz="0" w:space="0" w:color="auto"/>
                                <w:right w:val="none" w:sz="0" w:space="0" w:color="auto"/>
                              </w:divBdr>
                              <w:divsChild>
                                <w:div w:id="16160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867744">
      <w:bodyDiv w:val="1"/>
      <w:marLeft w:val="0"/>
      <w:marRight w:val="0"/>
      <w:marTop w:val="0"/>
      <w:marBottom w:val="0"/>
      <w:divBdr>
        <w:top w:val="none" w:sz="0" w:space="0" w:color="auto"/>
        <w:left w:val="none" w:sz="0" w:space="0" w:color="auto"/>
        <w:bottom w:val="none" w:sz="0" w:space="0" w:color="auto"/>
        <w:right w:val="none" w:sz="0" w:space="0" w:color="auto"/>
      </w:divBdr>
    </w:div>
    <w:div w:id="1288003351">
      <w:bodyDiv w:val="1"/>
      <w:marLeft w:val="0"/>
      <w:marRight w:val="0"/>
      <w:marTop w:val="0"/>
      <w:marBottom w:val="0"/>
      <w:divBdr>
        <w:top w:val="none" w:sz="0" w:space="0" w:color="auto"/>
        <w:left w:val="none" w:sz="0" w:space="0" w:color="auto"/>
        <w:bottom w:val="none" w:sz="0" w:space="0" w:color="auto"/>
        <w:right w:val="none" w:sz="0" w:space="0" w:color="auto"/>
      </w:divBdr>
    </w:div>
    <w:div w:id="1492066999">
      <w:bodyDiv w:val="1"/>
      <w:marLeft w:val="0"/>
      <w:marRight w:val="0"/>
      <w:marTop w:val="0"/>
      <w:marBottom w:val="0"/>
      <w:divBdr>
        <w:top w:val="none" w:sz="0" w:space="0" w:color="auto"/>
        <w:left w:val="none" w:sz="0" w:space="0" w:color="auto"/>
        <w:bottom w:val="none" w:sz="0" w:space="0" w:color="auto"/>
        <w:right w:val="none" w:sz="0" w:space="0" w:color="auto"/>
      </w:divBdr>
    </w:div>
    <w:div w:id="158861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gis.iskrovs@ie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20227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likumi.lv/doc.php?id=202273" TargetMode="External"/><Relationship Id="rId4" Type="http://schemas.microsoft.com/office/2007/relationships/stylesWithEffects" Target="stylesWithEffects.xml"/><Relationship Id="rId9" Type="http://schemas.openxmlformats.org/officeDocument/2006/relationships/hyperlink" Target="http://likumi.lv/doc.php?id=202273"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41415-8BF7-4698-8EF8-D9781ADC9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8000</Words>
  <Characters>4560</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21.jūnija noteikumos Nr.569 „Kārtība, kādā Iekšlietu ministrijas sistēmas iestāžu un Ieslodzījuma vietu pārvaldes amatpersona ar speciālo dienesta pakāpi saņem apmaksātus veselība</vt:lpstr>
    </vt:vector>
  </TitlesOfParts>
  <Manager>U.Iskrovs 67829851</Manager>
  <Company>IeM</Company>
  <LinksUpToDate>false</LinksUpToDate>
  <CharactersWithSpaces>12535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21.jūnija noteikumos Nr.569 „Kārtība, kādā Iekšlietu ministrijas sistēmas iestāžu un Ieslodzījuma vietu pārvaldes amatpersona ar speciālo dienesta pakāpi saņem apmaksātus veselības aprūpes pakalpojumus”” sākotnējās ietekmes novērtējuma ziņojums (anotācija)</dc:title>
  <dc:subject>IEMAnoMinistru kabineta noteikumu projekta „Kārtība, kādā Iekšlietu ministrijas sistēmas iestāžu un Ieslodzījuma vietu pārvaldes amatpersona ar speciālo dienesta pakāpi, kura atvaļināta no dienesta sakarā ar noteiktajām prasībām neatbilstošu veselības stāvokli, saņem apmaksātus veselības aprūpes pakalpojumus”  sākotnējās ietekmes novērtējuma ziņojums (anotācija)</dc:subject>
  <dc:creator>U.Iskrovs 67829851</dc:creator>
  <cp:lastModifiedBy>Linda Kārkliņa</cp:lastModifiedBy>
  <cp:revision>3</cp:revision>
  <cp:lastPrinted>2014-01-31T09:28:00Z</cp:lastPrinted>
  <dcterms:created xsi:type="dcterms:W3CDTF">2014-01-31T09:45:00Z</dcterms:created>
  <dcterms:modified xsi:type="dcterms:W3CDTF">2014-01-31T09:45:00Z</dcterms:modified>
</cp:coreProperties>
</file>