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BF" w:rsidRDefault="006002BF" w:rsidP="00840039">
      <w:pPr>
        <w:rPr>
          <w:szCs w:val="28"/>
        </w:rPr>
      </w:pPr>
    </w:p>
    <w:p w:rsidR="00840039" w:rsidRDefault="00840039" w:rsidP="00840039">
      <w:pPr>
        <w:jc w:val="center"/>
        <w:rPr>
          <w:szCs w:val="28"/>
        </w:rPr>
      </w:pPr>
    </w:p>
    <w:p w:rsidR="00840039" w:rsidRDefault="00840039" w:rsidP="00840039">
      <w:pPr>
        <w:jc w:val="both"/>
        <w:rPr>
          <w:szCs w:val="28"/>
        </w:rPr>
      </w:pPr>
      <w:r>
        <w:rPr>
          <w:szCs w:val="28"/>
        </w:rPr>
        <w:t>201</w:t>
      </w:r>
      <w:r w:rsidR="009B2B6A">
        <w:rPr>
          <w:szCs w:val="28"/>
        </w:rPr>
        <w:t>4</w:t>
      </w:r>
      <w:r>
        <w:rPr>
          <w:szCs w:val="28"/>
        </w:rPr>
        <w:t xml:space="preserve">.gada ___.__________ </w:t>
      </w:r>
      <w:r>
        <w:rPr>
          <w:szCs w:val="28"/>
        </w:rPr>
        <w:tab/>
      </w:r>
      <w:r>
        <w:rPr>
          <w:szCs w:val="28"/>
        </w:rPr>
        <w:tab/>
      </w:r>
      <w:r>
        <w:rPr>
          <w:szCs w:val="28"/>
        </w:rPr>
        <w:tab/>
      </w:r>
      <w:r>
        <w:rPr>
          <w:szCs w:val="28"/>
        </w:rPr>
        <w:tab/>
      </w:r>
      <w:r>
        <w:rPr>
          <w:szCs w:val="28"/>
        </w:rPr>
        <w:tab/>
        <w:t xml:space="preserve">Noteikumi Nr.___ </w:t>
      </w:r>
    </w:p>
    <w:p w:rsidR="00840039" w:rsidRDefault="00840039" w:rsidP="00840039">
      <w:pPr>
        <w:jc w:val="both"/>
        <w:rPr>
          <w:szCs w:val="28"/>
        </w:rPr>
      </w:pPr>
      <w:r>
        <w:rPr>
          <w:szCs w:val="28"/>
        </w:rPr>
        <w:t xml:space="preserve">Rīgā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(prot. Nr.       .§)</w:t>
      </w:r>
    </w:p>
    <w:p w:rsidR="00840039" w:rsidRDefault="00840039" w:rsidP="00840039">
      <w:pPr>
        <w:tabs>
          <w:tab w:val="left" w:pos="6480"/>
        </w:tabs>
        <w:jc w:val="both"/>
        <w:rPr>
          <w:b/>
        </w:rPr>
      </w:pPr>
    </w:p>
    <w:p w:rsidR="00840039" w:rsidRDefault="00840039" w:rsidP="00840039">
      <w:pPr>
        <w:jc w:val="center"/>
        <w:rPr>
          <w:b/>
        </w:rPr>
      </w:pPr>
    </w:p>
    <w:p w:rsidR="00840039" w:rsidRPr="00840039" w:rsidRDefault="00840039" w:rsidP="00840039">
      <w:pPr>
        <w:jc w:val="center"/>
        <w:rPr>
          <w:b/>
          <w:color w:val="000000"/>
        </w:rPr>
      </w:pPr>
      <w:r w:rsidRPr="00AF4DCC">
        <w:rPr>
          <w:b/>
        </w:rPr>
        <w:t>Grozījum</w:t>
      </w:r>
      <w:r w:rsidR="00C85C0E">
        <w:rPr>
          <w:b/>
        </w:rPr>
        <w:t>i</w:t>
      </w:r>
      <w:r w:rsidRPr="00AF4DCC">
        <w:rPr>
          <w:b/>
          <w:color w:val="000000"/>
        </w:rPr>
        <w:t xml:space="preserve"> Ministru kabineta </w:t>
      </w:r>
      <w:r w:rsidRPr="00AF4DCC">
        <w:rPr>
          <w:b/>
        </w:rPr>
        <w:t xml:space="preserve">2010.gada </w:t>
      </w:r>
      <w:r>
        <w:rPr>
          <w:b/>
        </w:rPr>
        <w:t>2</w:t>
      </w:r>
      <w:r w:rsidR="00517D8C">
        <w:rPr>
          <w:b/>
        </w:rPr>
        <w:t>1</w:t>
      </w:r>
      <w:r>
        <w:rPr>
          <w:b/>
        </w:rPr>
        <w:t>.jūnija</w:t>
      </w:r>
      <w:r w:rsidRPr="00AF4DCC">
        <w:rPr>
          <w:b/>
        </w:rPr>
        <w:t xml:space="preserve"> </w:t>
      </w:r>
      <w:r w:rsidRPr="00AF4DCC">
        <w:rPr>
          <w:b/>
          <w:color w:val="000000"/>
        </w:rPr>
        <w:t>noteikumos Nr.</w:t>
      </w:r>
      <w:r w:rsidR="00517D8C">
        <w:rPr>
          <w:b/>
          <w:color w:val="000000"/>
        </w:rPr>
        <w:t>569</w:t>
      </w:r>
      <w:r w:rsidRPr="00AF4DCC">
        <w:rPr>
          <w:b/>
          <w:bCs/>
        </w:rPr>
        <w:t xml:space="preserve"> </w:t>
      </w:r>
      <w:r w:rsidRPr="00840039">
        <w:rPr>
          <w:b/>
          <w:bCs/>
        </w:rPr>
        <w:t>„</w:t>
      </w:r>
      <w:r w:rsidR="00517D8C">
        <w:rPr>
          <w:b/>
        </w:rPr>
        <w:t>Kārtība, kādā Iekšlietu ministrijas sistēmas iestāžu un Ieslodzījuma vietu pārvaldes amatpersona ar speciālo dienesta pakāpi saņem apmaksātus veselības aprūpes pakalpojumus</w:t>
      </w:r>
      <w:r w:rsidRPr="00840039">
        <w:rPr>
          <w:b/>
        </w:rPr>
        <w:t>”</w:t>
      </w:r>
    </w:p>
    <w:p w:rsidR="00840039" w:rsidRDefault="00840039" w:rsidP="00840039">
      <w:pPr>
        <w:tabs>
          <w:tab w:val="left" w:pos="6758"/>
        </w:tabs>
        <w:ind w:firstLine="709"/>
        <w:jc w:val="right"/>
      </w:pPr>
    </w:p>
    <w:p w:rsidR="00517D8C" w:rsidRPr="0073404B" w:rsidRDefault="00840039" w:rsidP="00840039">
      <w:pPr>
        <w:tabs>
          <w:tab w:val="left" w:pos="6758"/>
        </w:tabs>
        <w:ind w:firstLine="709"/>
        <w:jc w:val="right"/>
      </w:pPr>
      <w:r w:rsidRPr="0073404B">
        <w:t>Izdoti saskaņā</w:t>
      </w:r>
      <w:r w:rsidR="00517D8C" w:rsidRPr="0073404B">
        <w:t xml:space="preserve"> a</w:t>
      </w:r>
      <w:r w:rsidRPr="0073404B">
        <w:t xml:space="preserve">r </w:t>
      </w:r>
      <w:r w:rsidR="00517D8C" w:rsidRPr="0073404B">
        <w:t xml:space="preserve">Valsts un pašvaldību </w:t>
      </w:r>
    </w:p>
    <w:p w:rsidR="00517D8C" w:rsidRPr="0073404B" w:rsidRDefault="00517D8C" w:rsidP="00840039">
      <w:pPr>
        <w:tabs>
          <w:tab w:val="left" w:pos="6758"/>
        </w:tabs>
        <w:ind w:firstLine="709"/>
        <w:jc w:val="right"/>
      </w:pPr>
      <w:r w:rsidRPr="0073404B">
        <w:t xml:space="preserve">institūciju amatpersonu un darbinieku </w:t>
      </w:r>
    </w:p>
    <w:p w:rsidR="00840039" w:rsidRPr="0073404B" w:rsidRDefault="00517D8C" w:rsidP="00840039">
      <w:pPr>
        <w:tabs>
          <w:tab w:val="left" w:pos="6758"/>
        </w:tabs>
        <w:ind w:firstLine="709"/>
        <w:jc w:val="right"/>
      </w:pPr>
      <w:r w:rsidRPr="0073404B">
        <w:t>atlīdzības likuma 39</w:t>
      </w:r>
      <w:r w:rsidR="00840039" w:rsidRPr="0073404B">
        <w:t>.pant</w:t>
      </w:r>
      <w:r w:rsidR="009B2B6A">
        <w:t>a pirmo daļu</w:t>
      </w:r>
      <w:r w:rsidR="000E0F1C">
        <w:t xml:space="preserve"> </w:t>
      </w:r>
    </w:p>
    <w:p w:rsidR="00EC7105" w:rsidRDefault="00EC7105" w:rsidP="00840039">
      <w:pPr>
        <w:ind w:firstLine="709"/>
        <w:jc w:val="both"/>
        <w:rPr>
          <w:szCs w:val="28"/>
          <w:lang w:eastAsia="lv-LV"/>
        </w:rPr>
      </w:pPr>
    </w:p>
    <w:p w:rsidR="003E1D12" w:rsidRDefault="00C04CAD" w:rsidP="00C04CAD">
      <w:pPr>
        <w:ind w:firstLine="709"/>
        <w:jc w:val="both"/>
        <w:rPr>
          <w:szCs w:val="28"/>
          <w:lang w:eastAsia="lv-LV"/>
        </w:rPr>
      </w:pPr>
      <w:r>
        <w:rPr>
          <w:szCs w:val="28"/>
          <w:lang w:eastAsia="lv-LV"/>
        </w:rPr>
        <w:t xml:space="preserve">1. </w:t>
      </w:r>
      <w:r w:rsidR="00840039" w:rsidRPr="00C04CAD">
        <w:rPr>
          <w:szCs w:val="28"/>
          <w:lang w:eastAsia="lv-LV"/>
        </w:rPr>
        <w:t xml:space="preserve">Izdarīt </w:t>
      </w:r>
      <w:r w:rsidR="00840039" w:rsidRPr="00C04CAD">
        <w:rPr>
          <w:color w:val="000000"/>
          <w:szCs w:val="28"/>
        </w:rPr>
        <w:t xml:space="preserve">Ministru kabineta </w:t>
      </w:r>
      <w:r w:rsidR="00840039" w:rsidRPr="00C04CAD">
        <w:rPr>
          <w:szCs w:val="28"/>
        </w:rPr>
        <w:t>2010.gada 2</w:t>
      </w:r>
      <w:r w:rsidR="00517D8C" w:rsidRPr="00C04CAD">
        <w:rPr>
          <w:szCs w:val="28"/>
        </w:rPr>
        <w:t>1</w:t>
      </w:r>
      <w:r w:rsidR="00840039" w:rsidRPr="00C04CAD">
        <w:rPr>
          <w:szCs w:val="28"/>
        </w:rPr>
        <w:t xml:space="preserve">.jūnija </w:t>
      </w:r>
      <w:r w:rsidR="00840039" w:rsidRPr="00C04CAD">
        <w:rPr>
          <w:color w:val="000000"/>
          <w:szCs w:val="28"/>
        </w:rPr>
        <w:t>noteikumos Nr.</w:t>
      </w:r>
      <w:r w:rsidR="00517D8C" w:rsidRPr="00C04CAD">
        <w:rPr>
          <w:color w:val="000000"/>
          <w:szCs w:val="28"/>
        </w:rPr>
        <w:t>569</w:t>
      </w:r>
      <w:r w:rsidR="00840039" w:rsidRPr="00C04CAD">
        <w:rPr>
          <w:color w:val="000000"/>
          <w:szCs w:val="28"/>
        </w:rPr>
        <w:t xml:space="preserve"> </w:t>
      </w:r>
      <w:r w:rsidR="00840039" w:rsidRPr="00C04CAD">
        <w:rPr>
          <w:bCs/>
        </w:rPr>
        <w:t>„</w:t>
      </w:r>
      <w:r w:rsidR="00517D8C">
        <w:t>Kārtība, kādā Iekšlietu ministrijas sistēmas iestāžu un Ieslodzījuma vietu pārvaldes amatpersona ar speciālo dienesta pakāpi saņem apmaksātus veselības aprūpes pakalpojumus</w:t>
      </w:r>
      <w:r w:rsidR="00840039" w:rsidRPr="00DF42A4">
        <w:t>”</w:t>
      </w:r>
      <w:r w:rsidR="00840039" w:rsidRPr="00C04CAD">
        <w:rPr>
          <w:szCs w:val="28"/>
          <w:lang w:eastAsia="lv-LV"/>
        </w:rPr>
        <w:t xml:space="preserve"> (</w:t>
      </w:r>
      <w:r w:rsidR="00840039" w:rsidRPr="00C04CAD">
        <w:rPr>
          <w:szCs w:val="28"/>
        </w:rPr>
        <w:t>Latvijas Vēstnesis, 2010, 10</w:t>
      </w:r>
      <w:r w:rsidR="00517D8C" w:rsidRPr="00C04CAD">
        <w:rPr>
          <w:szCs w:val="28"/>
        </w:rPr>
        <w:t>1</w:t>
      </w:r>
      <w:r w:rsidR="00840039" w:rsidRPr="00C04CAD">
        <w:rPr>
          <w:szCs w:val="28"/>
        </w:rPr>
        <w:t>.nr.</w:t>
      </w:r>
      <w:r w:rsidR="00134D18">
        <w:rPr>
          <w:szCs w:val="28"/>
        </w:rPr>
        <w:t>, 160.nr., 2012, 70.nr.</w:t>
      </w:r>
      <w:r w:rsidR="006829D4">
        <w:rPr>
          <w:szCs w:val="28"/>
        </w:rPr>
        <w:t>, 2013,252.nr.</w:t>
      </w:r>
      <w:r w:rsidR="00840039" w:rsidRPr="00C04CAD">
        <w:rPr>
          <w:szCs w:val="28"/>
          <w:lang w:eastAsia="lv-LV"/>
        </w:rPr>
        <w:t xml:space="preserve">) </w:t>
      </w:r>
      <w:r w:rsidR="003E1D12">
        <w:rPr>
          <w:szCs w:val="28"/>
          <w:lang w:eastAsia="lv-LV"/>
        </w:rPr>
        <w:t xml:space="preserve">šādus </w:t>
      </w:r>
      <w:r w:rsidR="0073404B" w:rsidRPr="00C04CAD">
        <w:rPr>
          <w:szCs w:val="28"/>
          <w:lang w:eastAsia="lv-LV"/>
        </w:rPr>
        <w:t>grozījumu</w:t>
      </w:r>
      <w:r w:rsidR="003E1D12">
        <w:rPr>
          <w:szCs w:val="28"/>
          <w:lang w:eastAsia="lv-LV"/>
        </w:rPr>
        <w:t>s:</w:t>
      </w:r>
    </w:p>
    <w:p w:rsidR="00EC7105" w:rsidRDefault="00EC7105" w:rsidP="00C04CAD">
      <w:pPr>
        <w:ind w:firstLine="709"/>
        <w:jc w:val="both"/>
        <w:rPr>
          <w:szCs w:val="28"/>
          <w:lang w:eastAsia="lv-LV"/>
        </w:rPr>
      </w:pPr>
    </w:p>
    <w:p w:rsidR="006211D2" w:rsidRDefault="003E1D12" w:rsidP="006211D2">
      <w:pPr>
        <w:ind w:firstLine="709"/>
        <w:jc w:val="both"/>
      </w:pPr>
      <w:r>
        <w:rPr>
          <w:szCs w:val="28"/>
          <w:lang w:eastAsia="lv-LV"/>
        </w:rPr>
        <w:t>1.1.</w:t>
      </w:r>
      <w:r w:rsidR="0073404B" w:rsidRPr="00C04CAD">
        <w:rPr>
          <w:szCs w:val="28"/>
          <w:lang w:eastAsia="lv-LV"/>
        </w:rPr>
        <w:t xml:space="preserve"> </w:t>
      </w:r>
      <w:r>
        <w:t xml:space="preserve">izteikt </w:t>
      </w:r>
      <w:r w:rsidR="009B2B6A">
        <w:t>norādi, uz kāda likuma pamata noteikumi ir izdoti, šādā redakcijā:</w:t>
      </w:r>
    </w:p>
    <w:p w:rsidR="006211D2" w:rsidRDefault="003E1D12" w:rsidP="009B2B6A">
      <w:pPr>
        <w:tabs>
          <w:tab w:val="left" w:pos="6758"/>
        </w:tabs>
        <w:ind w:left="709"/>
        <w:rPr>
          <w:szCs w:val="28"/>
        </w:rPr>
      </w:pPr>
      <w:r>
        <w:t>„</w:t>
      </w:r>
      <w:bookmarkStart w:id="0" w:name="p3"/>
      <w:bookmarkStart w:id="1" w:name="p-429253"/>
      <w:bookmarkEnd w:id="0"/>
      <w:bookmarkEnd w:id="1"/>
      <w:r w:rsidR="009B2B6A" w:rsidRPr="0073404B">
        <w:t>Izdoti saskaņā ar Valsts un pašvaldību institūciju amatpersonu un darbinieku atlīdzības likuma 39.pant</w:t>
      </w:r>
      <w:r w:rsidR="009B2B6A">
        <w:t>a pirmo daļu</w:t>
      </w:r>
      <w:r w:rsidR="006211D2">
        <w:rPr>
          <w:szCs w:val="28"/>
        </w:rPr>
        <w:t>”</w:t>
      </w:r>
      <w:r w:rsidR="009B2B6A">
        <w:rPr>
          <w:szCs w:val="28"/>
        </w:rPr>
        <w:t>;</w:t>
      </w:r>
    </w:p>
    <w:p w:rsidR="009B2B6A" w:rsidRDefault="009B2B6A" w:rsidP="00BA0AE9">
      <w:pPr>
        <w:ind w:left="709"/>
        <w:jc w:val="both"/>
      </w:pPr>
    </w:p>
    <w:p w:rsidR="00BA0AE9" w:rsidRDefault="00524E70" w:rsidP="00BA0AE9">
      <w:pPr>
        <w:ind w:left="709"/>
        <w:jc w:val="both"/>
      </w:pPr>
      <w:r>
        <w:t xml:space="preserve">1.2. </w:t>
      </w:r>
      <w:r w:rsidR="009B2B6A">
        <w:t xml:space="preserve">izteikt </w:t>
      </w:r>
      <w:r w:rsidR="00BA0AE9">
        <w:t>2.7.apakšpunktu šādā redakcijā:</w:t>
      </w:r>
    </w:p>
    <w:p w:rsidR="00C9614F" w:rsidRDefault="00BA0AE9" w:rsidP="009B2B6A">
      <w:pPr>
        <w:ind w:left="709"/>
        <w:jc w:val="both"/>
      </w:pPr>
      <w:r>
        <w:t xml:space="preserve">„2.7. </w:t>
      </w:r>
      <w:r w:rsidR="009B2B6A" w:rsidRPr="0005351B">
        <w:rPr>
          <w:szCs w:val="28"/>
        </w:rPr>
        <w:t>ārstniecības personas izrakstītu medikamentu, kuri iekļauti Latvijas Republikas zāļu reģistrā, iegādi</w:t>
      </w:r>
      <w:r w:rsidR="00BD5B87">
        <w:t>.</w:t>
      </w:r>
      <w:r>
        <w:t>”</w:t>
      </w:r>
      <w:r w:rsidR="00BD5B87">
        <w:t>;</w:t>
      </w:r>
    </w:p>
    <w:p w:rsidR="009B2B6A" w:rsidRDefault="009B2B6A" w:rsidP="009B2B6A">
      <w:pPr>
        <w:ind w:left="709"/>
        <w:jc w:val="both"/>
      </w:pPr>
    </w:p>
    <w:p w:rsidR="006211D2" w:rsidRDefault="003E1D12" w:rsidP="006211D2">
      <w:pPr>
        <w:ind w:left="709"/>
        <w:jc w:val="both"/>
      </w:pPr>
      <w:r>
        <w:t>1.</w:t>
      </w:r>
      <w:r w:rsidR="00925348">
        <w:t>3</w:t>
      </w:r>
      <w:r w:rsidR="00BA0AE9">
        <w:t>. izteikt 4.</w:t>
      </w:r>
      <w:r w:rsidR="005D2597">
        <w:t>3.apakšpu</w:t>
      </w:r>
      <w:r w:rsidR="00BA0AE9">
        <w:t>nktu šādā redakcijā:</w:t>
      </w:r>
    </w:p>
    <w:p w:rsidR="006211D2" w:rsidRDefault="006211D2" w:rsidP="005D2597">
      <w:pPr>
        <w:ind w:left="709"/>
        <w:jc w:val="both"/>
        <w:rPr>
          <w:szCs w:val="28"/>
        </w:rPr>
      </w:pPr>
      <w:r>
        <w:rPr>
          <w:szCs w:val="28"/>
        </w:rPr>
        <w:t>„</w:t>
      </w:r>
      <w:r w:rsidRPr="005E250B">
        <w:rPr>
          <w:szCs w:val="28"/>
        </w:rPr>
        <w:t xml:space="preserve">4.3. šo noteikumu 2.2.apakšpunktā minētos veselības aprūpes pakalpojumus centrs apmaksā, kompensējot amatpersonām to izdevumus, bet kopumā ne vairāk kā 215 </w:t>
      </w:r>
      <w:proofErr w:type="spellStart"/>
      <w:r w:rsidRPr="006829D4">
        <w:rPr>
          <w:i/>
          <w:szCs w:val="28"/>
        </w:rPr>
        <w:t>euro</w:t>
      </w:r>
      <w:proofErr w:type="spellEnd"/>
      <w:r w:rsidRPr="005E250B">
        <w:rPr>
          <w:szCs w:val="28"/>
        </w:rPr>
        <w:t xml:space="preserve"> apmērā kalendāra gadā katrai amatpersonai;</w:t>
      </w:r>
      <w:r w:rsidR="00E30685">
        <w:rPr>
          <w:szCs w:val="28"/>
        </w:rPr>
        <w:t>”</w:t>
      </w:r>
    </w:p>
    <w:p w:rsidR="005D2597" w:rsidRDefault="005D2597" w:rsidP="005D2597">
      <w:pPr>
        <w:ind w:left="709"/>
        <w:jc w:val="both"/>
        <w:rPr>
          <w:szCs w:val="28"/>
        </w:rPr>
      </w:pPr>
    </w:p>
    <w:p w:rsidR="005D2597" w:rsidRPr="005E250B" w:rsidRDefault="005D2597" w:rsidP="005D2597">
      <w:pPr>
        <w:ind w:left="709"/>
        <w:jc w:val="both"/>
        <w:rPr>
          <w:szCs w:val="28"/>
        </w:rPr>
      </w:pPr>
      <w:r>
        <w:t>1.4. izteikt 4.5. un 4.6.apakšpunktus šādā redakcijā:</w:t>
      </w:r>
    </w:p>
    <w:p w:rsidR="006211D2" w:rsidRDefault="006829D4" w:rsidP="006211D2">
      <w:pPr>
        <w:ind w:left="709"/>
        <w:jc w:val="both"/>
        <w:rPr>
          <w:szCs w:val="28"/>
        </w:rPr>
      </w:pPr>
      <w:r>
        <w:rPr>
          <w:szCs w:val="28"/>
        </w:rPr>
        <w:t>„</w:t>
      </w:r>
      <w:r w:rsidR="006211D2" w:rsidRPr="005E250B">
        <w:rPr>
          <w:szCs w:val="28"/>
        </w:rPr>
        <w:t xml:space="preserve">4.5. šo noteikumu 2.6.apakšpunktā minētos veselības aprūpes pakalpojumus apmaksā, kompensējot amatpersonām to izdevumus, bet kopumā ne vairāk kā 145 </w:t>
      </w:r>
      <w:proofErr w:type="spellStart"/>
      <w:r w:rsidR="006211D2" w:rsidRPr="006829D4">
        <w:rPr>
          <w:i/>
          <w:szCs w:val="28"/>
        </w:rPr>
        <w:t>euro</w:t>
      </w:r>
      <w:proofErr w:type="spellEnd"/>
      <w:r w:rsidR="006211D2" w:rsidRPr="005E250B">
        <w:rPr>
          <w:szCs w:val="28"/>
        </w:rPr>
        <w:t xml:space="preserve"> apmērā kalendāra gadā katrai amatpersonai;</w:t>
      </w:r>
    </w:p>
    <w:p w:rsidR="005D2597" w:rsidRPr="005E250B" w:rsidRDefault="005D2597" w:rsidP="006211D2">
      <w:pPr>
        <w:ind w:left="709"/>
        <w:jc w:val="both"/>
        <w:rPr>
          <w:szCs w:val="28"/>
        </w:rPr>
      </w:pPr>
    </w:p>
    <w:p w:rsidR="006211D2" w:rsidRPr="005E250B" w:rsidRDefault="006211D2" w:rsidP="006211D2">
      <w:pPr>
        <w:ind w:left="709"/>
        <w:jc w:val="both"/>
        <w:rPr>
          <w:szCs w:val="28"/>
        </w:rPr>
      </w:pPr>
      <w:r w:rsidRPr="005E250B">
        <w:rPr>
          <w:szCs w:val="28"/>
        </w:rPr>
        <w:t xml:space="preserve">4.6. šo noteikumu 2.7.apakšpunktā minētos veselības aprūpes pakalpojumus apmaksā, kompensējot amatpersonām to izdevumus 75 % apmērā, bet kopumā ne vairāk kā 75 </w:t>
      </w:r>
      <w:proofErr w:type="spellStart"/>
      <w:r w:rsidRPr="006829D4">
        <w:rPr>
          <w:i/>
          <w:szCs w:val="28"/>
        </w:rPr>
        <w:t>euro</w:t>
      </w:r>
      <w:proofErr w:type="spellEnd"/>
      <w:r w:rsidRPr="005E250B">
        <w:rPr>
          <w:szCs w:val="28"/>
        </w:rPr>
        <w:t xml:space="preserve"> apmērā kalendāra gadā katrai amatpersonai;”</w:t>
      </w:r>
    </w:p>
    <w:p w:rsidR="003E1D12" w:rsidRPr="005E250B" w:rsidRDefault="003E1D12" w:rsidP="00C04CAD">
      <w:pPr>
        <w:ind w:firstLine="709"/>
        <w:jc w:val="both"/>
      </w:pPr>
    </w:p>
    <w:p w:rsidR="008C054E" w:rsidRPr="005E250B" w:rsidRDefault="008C054E" w:rsidP="00C04CAD">
      <w:pPr>
        <w:ind w:firstLine="709"/>
        <w:jc w:val="both"/>
      </w:pPr>
    </w:p>
    <w:p w:rsidR="00C40F54" w:rsidRPr="005E250B" w:rsidRDefault="00C40F54" w:rsidP="00C40F54">
      <w:pPr>
        <w:ind w:left="709"/>
        <w:jc w:val="both"/>
      </w:pPr>
      <w:r w:rsidRPr="005E250B">
        <w:t>1.</w:t>
      </w:r>
      <w:r w:rsidR="005D2597">
        <w:t>5</w:t>
      </w:r>
      <w:r w:rsidRPr="005E250B">
        <w:t xml:space="preserve">. </w:t>
      </w:r>
      <w:r w:rsidR="0040715C" w:rsidRPr="005E250B">
        <w:t>izteikt 11</w:t>
      </w:r>
      <w:r w:rsidRPr="005E250B">
        <w:t>.5.apakšpunkt</w:t>
      </w:r>
      <w:r w:rsidR="0040715C" w:rsidRPr="005E250B">
        <w:t>u šādā redakcijā:</w:t>
      </w:r>
    </w:p>
    <w:p w:rsidR="00DF0DEE" w:rsidRPr="005E250B" w:rsidRDefault="00C6475D" w:rsidP="008A09E8">
      <w:pPr>
        <w:ind w:left="709"/>
        <w:jc w:val="both"/>
      </w:pPr>
      <w:r w:rsidRPr="005E250B">
        <w:t>„11.5. ortodontijas pakalpojumi;”;</w:t>
      </w:r>
    </w:p>
    <w:p w:rsidR="00EC7105" w:rsidRPr="005E250B" w:rsidRDefault="00EC7105" w:rsidP="008A09E8">
      <w:pPr>
        <w:ind w:left="709"/>
        <w:jc w:val="both"/>
      </w:pPr>
    </w:p>
    <w:p w:rsidR="00C40F54" w:rsidRDefault="00C40F54" w:rsidP="00C40F54">
      <w:pPr>
        <w:ind w:firstLine="709"/>
        <w:jc w:val="both"/>
      </w:pPr>
      <w:r>
        <w:t>1.</w:t>
      </w:r>
      <w:r w:rsidR="005D2597">
        <w:t>6</w:t>
      </w:r>
      <w:r>
        <w:t>. svītrot 1</w:t>
      </w:r>
      <w:r w:rsidR="005D2597">
        <w:t>3</w:t>
      </w:r>
      <w:r>
        <w:t>.</w:t>
      </w:r>
      <w:r w:rsidR="005D2597">
        <w:t>, 14.,15.</w:t>
      </w:r>
      <w:r>
        <w:t>punktu;</w:t>
      </w:r>
    </w:p>
    <w:p w:rsidR="005D2597" w:rsidRDefault="005D2597" w:rsidP="00C40F54">
      <w:pPr>
        <w:ind w:firstLine="709"/>
        <w:jc w:val="both"/>
      </w:pPr>
    </w:p>
    <w:p w:rsidR="005D2597" w:rsidRDefault="005D2597" w:rsidP="00C40F54">
      <w:pPr>
        <w:ind w:firstLine="709"/>
        <w:jc w:val="both"/>
      </w:pPr>
      <w:r>
        <w:t>1.7. papildināt noteikumus ar 16.punktu šādā redakcijā:</w:t>
      </w:r>
    </w:p>
    <w:p w:rsidR="006829D4" w:rsidRDefault="006829D4" w:rsidP="006829D4">
      <w:pPr>
        <w:ind w:left="709"/>
        <w:jc w:val="both"/>
        <w:rPr>
          <w:szCs w:val="28"/>
        </w:rPr>
      </w:pPr>
      <w:r>
        <w:rPr>
          <w:szCs w:val="28"/>
        </w:rPr>
        <w:t>„</w:t>
      </w:r>
      <w:r w:rsidRPr="00924F44">
        <w:rPr>
          <w:szCs w:val="28"/>
        </w:rPr>
        <w:t>16.</w:t>
      </w:r>
      <w:r>
        <w:rPr>
          <w:szCs w:val="28"/>
        </w:rPr>
        <w:t xml:space="preserve"> Kompensācijas apmērs par šo noteikumu 2.2.apakšpunktā minētajiem veselības aprūpes pakalpojumiem (tajā skaitā amatpersonai veikto vakcināciju), kas amatpersonai sniegti 2013.gadā un ko amatpersonai kompensē saskaņā ar šo noteikumu 4.3.apakšpunktu, kopumā ir ne vairāk kā 71,14 </w:t>
      </w:r>
      <w:proofErr w:type="spellStart"/>
      <w:r w:rsidRPr="00924F44">
        <w:rPr>
          <w:i/>
          <w:szCs w:val="28"/>
        </w:rPr>
        <w:t>euro</w:t>
      </w:r>
      <w:proofErr w:type="spellEnd"/>
      <w:r>
        <w:rPr>
          <w:szCs w:val="28"/>
        </w:rPr>
        <w:t xml:space="preserve"> katrai amatpersonai.</w:t>
      </w:r>
      <w:r w:rsidRPr="00060955">
        <w:rPr>
          <w:szCs w:val="28"/>
        </w:rPr>
        <w:t xml:space="preserve"> Izdevumus par šo noteikumu 2.6 un 2.7 apakšpunktā minētajiem veselības aprūpes pakalpojumiem amatpersonai kompensē, ja šie veselības aprūpes pakalpojumi sniegti</w:t>
      </w:r>
      <w:r>
        <w:rPr>
          <w:szCs w:val="28"/>
        </w:rPr>
        <w:t>, sākot ar</w:t>
      </w:r>
      <w:r w:rsidRPr="00060955">
        <w:rPr>
          <w:szCs w:val="28"/>
        </w:rPr>
        <w:t xml:space="preserve"> 2014.gada 1.janvār</w:t>
      </w:r>
      <w:r>
        <w:rPr>
          <w:szCs w:val="28"/>
        </w:rPr>
        <w:t>i</w:t>
      </w:r>
      <w:r w:rsidRPr="00060955">
        <w:rPr>
          <w:szCs w:val="28"/>
        </w:rPr>
        <w:t>.”</w:t>
      </w:r>
      <w:r>
        <w:rPr>
          <w:szCs w:val="28"/>
        </w:rPr>
        <w:t>;</w:t>
      </w:r>
    </w:p>
    <w:p w:rsidR="00C40F54" w:rsidRDefault="00C40F54" w:rsidP="00C40F54">
      <w:pPr>
        <w:ind w:firstLine="709"/>
        <w:jc w:val="both"/>
      </w:pPr>
    </w:p>
    <w:p w:rsidR="00C40F54" w:rsidRDefault="00C40F54" w:rsidP="00C40F54">
      <w:pPr>
        <w:ind w:firstLine="709"/>
        <w:jc w:val="both"/>
      </w:pPr>
      <w:r>
        <w:t xml:space="preserve">2. Noteikumi </w:t>
      </w:r>
      <w:r w:rsidR="00E30685">
        <w:t xml:space="preserve">piemērojami ar </w:t>
      </w:r>
      <w:r w:rsidRPr="000F68A3">
        <w:t>2014.gada 1.janvār</w:t>
      </w:r>
      <w:r w:rsidR="006829D4">
        <w:t>i</w:t>
      </w:r>
      <w:r w:rsidRPr="000F68A3">
        <w:t>.</w:t>
      </w:r>
    </w:p>
    <w:p w:rsidR="00C04CAD" w:rsidRDefault="00C04CAD" w:rsidP="00C04CAD">
      <w:pPr>
        <w:ind w:firstLine="709"/>
        <w:jc w:val="both"/>
      </w:pPr>
    </w:p>
    <w:p w:rsidR="00840039" w:rsidRDefault="00840039" w:rsidP="00517D8C">
      <w:pPr>
        <w:tabs>
          <w:tab w:val="left" w:pos="763"/>
          <w:tab w:val="left" w:pos="6758"/>
        </w:tabs>
        <w:jc w:val="both"/>
      </w:pPr>
    </w:p>
    <w:p w:rsidR="006211D2" w:rsidRPr="00634FF3" w:rsidRDefault="006211D2" w:rsidP="00517D8C">
      <w:pPr>
        <w:tabs>
          <w:tab w:val="left" w:pos="763"/>
          <w:tab w:val="left" w:pos="6758"/>
        </w:tabs>
        <w:jc w:val="both"/>
      </w:pPr>
    </w:p>
    <w:p w:rsidR="006835EC" w:rsidRDefault="006835EC" w:rsidP="00840039">
      <w:pPr>
        <w:tabs>
          <w:tab w:val="left" w:pos="6840"/>
        </w:tabs>
        <w:jc w:val="both"/>
        <w:rPr>
          <w:szCs w:val="28"/>
        </w:rPr>
      </w:pPr>
    </w:p>
    <w:p w:rsidR="00840039" w:rsidRPr="00E442D9" w:rsidRDefault="00840039" w:rsidP="00840039">
      <w:pPr>
        <w:tabs>
          <w:tab w:val="left" w:pos="6840"/>
        </w:tabs>
        <w:jc w:val="both"/>
        <w:rPr>
          <w:szCs w:val="28"/>
        </w:rPr>
      </w:pPr>
      <w:r w:rsidRPr="00E442D9">
        <w:rPr>
          <w:szCs w:val="28"/>
        </w:rPr>
        <w:t>Ministru prezident</w:t>
      </w:r>
      <w:r w:rsidR="00241174">
        <w:rPr>
          <w:szCs w:val="28"/>
        </w:rPr>
        <w:t>e</w:t>
      </w:r>
      <w:r w:rsidRPr="00E442D9">
        <w:rPr>
          <w:szCs w:val="28"/>
        </w:rPr>
        <w:tab/>
      </w:r>
      <w:r w:rsidR="00241174">
        <w:rPr>
          <w:szCs w:val="28"/>
        </w:rPr>
        <w:t>L.Straujuma</w:t>
      </w:r>
      <w:bookmarkStart w:id="2" w:name="_GoBack"/>
      <w:bookmarkEnd w:id="2"/>
    </w:p>
    <w:p w:rsidR="00840039" w:rsidRPr="00E442D9" w:rsidRDefault="00840039" w:rsidP="00840039">
      <w:pPr>
        <w:ind w:firstLine="720"/>
        <w:jc w:val="both"/>
        <w:rPr>
          <w:szCs w:val="28"/>
        </w:rPr>
      </w:pPr>
    </w:p>
    <w:p w:rsidR="00840039" w:rsidRPr="00E442D9" w:rsidRDefault="00840039" w:rsidP="00840039">
      <w:pPr>
        <w:tabs>
          <w:tab w:val="left" w:pos="6840"/>
        </w:tabs>
        <w:jc w:val="both"/>
        <w:rPr>
          <w:szCs w:val="28"/>
        </w:rPr>
      </w:pPr>
      <w:r>
        <w:rPr>
          <w:szCs w:val="28"/>
        </w:rPr>
        <w:t>Iekšlietu ministrs</w:t>
      </w:r>
      <w:r>
        <w:rPr>
          <w:szCs w:val="28"/>
        </w:rPr>
        <w:tab/>
        <w:t>R. Kozlovskis</w:t>
      </w:r>
    </w:p>
    <w:p w:rsidR="00840039" w:rsidRDefault="00840039" w:rsidP="00840039">
      <w:pPr>
        <w:ind w:right="26"/>
        <w:rPr>
          <w:szCs w:val="28"/>
        </w:rPr>
      </w:pPr>
    </w:p>
    <w:p w:rsidR="00C22B1D" w:rsidRDefault="00C22B1D" w:rsidP="00840039">
      <w:pPr>
        <w:ind w:right="26"/>
        <w:rPr>
          <w:szCs w:val="28"/>
        </w:rPr>
      </w:pPr>
    </w:p>
    <w:p w:rsidR="001B06FB" w:rsidRDefault="001B06FB" w:rsidP="00840039">
      <w:pPr>
        <w:ind w:right="26"/>
        <w:rPr>
          <w:szCs w:val="28"/>
        </w:rPr>
      </w:pPr>
    </w:p>
    <w:p w:rsidR="00840039" w:rsidRDefault="00840039" w:rsidP="00840039">
      <w:pPr>
        <w:tabs>
          <w:tab w:val="left" w:pos="6840"/>
        </w:tabs>
        <w:jc w:val="both"/>
        <w:rPr>
          <w:szCs w:val="28"/>
        </w:rPr>
      </w:pPr>
      <w:r>
        <w:rPr>
          <w:szCs w:val="28"/>
        </w:rPr>
        <w:t>Iesniedzējs:</w:t>
      </w:r>
    </w:p>
    <w:p w:rsidR="00840039" w:rsidRPr="00E442D9" w:rsidRDefault="00840039" w:rsidP="00840039">
      <w:pPr>
        <w:tabs>
          <w:tab w:val="left" w:pos="3686"/>
          <w:tab w:val="left" w:pos="6840"/>
        </w:tabs>
        <w:jc w:val="both"/>
        <w:rPr>
          <w:szCs w:val="28"/>
        </w:rPr>
      </w:pPr>
      <w:r>
        <w:rPr>
          <w:szCs w:val="28"/>
        </w:rPr>
        <w:t>Iekšlietu ministrs</w:t>
      </w:r>
      <w:r>
        <w:rPr>
          <w:szCs w:val="28"/>
        </w:rPr>
        <w:tab/>
      </w:r>
      <w:r>
        <w:rPr>
          <w:szCs w:val="28"/>
        </w:rPr>
        <w:tab/>
        <w:t>R. Kozlovskis</w:t>
      </w:r>
    </w:p>
    <w:p w:rsidR="00840039" w:rsidRDefault="00840039" w:rsidP="00840039">
      <w:pPr>
        <w:tabs>
          <w:tab w:val="left" w:pos="774"/>
        </w:tabs>
        <w:ind w:right="26"/>
        <w:rPr>
          <w:szCs w:val="28"/>
        </w:rPr>
      </w:pPr>
    </w:p>
    <w:p w:rsidR="00840039" w:rsidRDefault="00840039" w:rsidP="00840039">
      <w:pPr>
        <w:tabs>
          <w:tab w:val="left" w:pos="709"/>
          <w:tab w:val="left" w:pos="6804"/>
        </w:tabs>
        <w:ind w:right="26"/>
        <w:rPr>
          <w:szCs w:val="28"/>
        </w:rPr>
      </w:pPr>
      <w:r>
        <w:rPr>
          <w:szCs w:val="28"/>
        </w:rPr>
        <w:t>Vīza:</w:t>
      </w:r>
    </w:p>
    <w:p w:rsidR="00840039" w:rsidRDefault="00840039" w:rsidP="00840039">
      <w:pPr>
        <w:tabs>
          <w:tab w:val="left" w:pos="709"/>
          <w:tab w:val="left" w:pos="6804"/>
          <w:tab w:val="left" w:pos="7088"/>
          <w:tab w:val="left" w:pos="8364"/>
        </w:tabs>
        <w:ind w:right="26"/>
        <w:rPr>
          <w:szCs w:val="28"/>
        </w:rPr>
      </w:pPr>
      <w:r>
        <w:rPr>
          <w:szCs w:val="28"/>
        </w:rPr>
        <w:t xml:space="preserve">Valsts sekretāre                                                             </w:t>
      </w:r>
      <w:r>
        <w:rPr>
          <w:szCs w:val="28"/>
        </w:rPr>
        <w:tab/>
        <w:t>I.Pētersone-Godmane</w:t>
      </w:r>
    </w:p>
    <w:p w:rsidR="006835EC" w:rsidRDefault="006835EC" w:rsidP="00840039">
      <w:pPr>
        <w:tabs>
          <w:tab w:val="right" w:pos="9354"/>
        </w:tabs>
        <w:rPr>
          <w:sz w:val="20"/>
        </w:rPr>
      </w:pPr>
    </w:p>
    <w:p w:rsidR="00BF6D13" w:rsidRDefault="00BF6D13" w:rsidP="00840039">
      <w:pPr>
        <w:tabs>
          <w:tab w:val="right" w:pos="9354"/>
        </w:tabs>
        <w:rPr>
          <w:sz w:val="20"/>
        </w:rPr>
      </w:pPr>
    </w:p>
    <w:p w:rsidR="00BF6D13" w:rsidRDefault="00BF6D13" w:rsidP="00840039">
      <w:pPr>
        <w:tabs>
          <w:tab w:val="right" w:pos="9354"/>
        </w:tabs>
        <w:rPr>
          <w:sz w:val="20"/>
        </w:rPr>
      </w:pPr>
    </w:p>
    <w:p w:rsidR="006002BF" w:rsidRDefault="006002BF" w:rsidP="00840039">
      <w:pPr>
        <w:tabs>
          <w:tab w:val="right" w:pos="9354"/>
        </w:tabs>
        <w:rPr>
          <w:sz w:val="20"/>
        </w:rPr>
      </w:pPr>
    </w:p>
    <w:p w:rsidR="005E250B" w:rsidRDefault="005E250B" w:rsidP="00840039">
      <w:pPr>
        <w:tabs>
          <w:tab w:val="right" w:pos="9354"/>
        </w:tabs>
        <w:rPr>
          <w:sz w:val="20"/>
        </w:rPr>
      </w:pPr>
    </w:p>
    <w:p w:rsidR="006002BF" w:rsidRDefault="006002BF" w:rsidP="00840039">
      <w:pPr>
        <w:tabs>
          <w:tab w:val="right" w:pos="9354"/>
        </w:tabs>
        <w:rPr>
          <w:sz w:val="20"/>
        </w:rPr>
      </w:pPr>
    </w:p>
    <w:p w:rsidR="00840039" w:rsidRDefault="00840039" w:rsidP="00840039">
      <w:pPr>
        <w:tabs>
          <w:tab w:val="right" w:pos="9354"/>
        </w:tabs>
        <w:rPr>
          <w:sz w:val="20"/>
        </w:rPr>
      </w:pPr>
      <w:r w:rsidRPr="005B6718">
        <w:rPr>
          <w:sz w:val="20"/>
        </w:rPr>
        <w:fldChar w:fldCharType="begin"/>
      </w:r>
      <w:r w:rsidRPr="005B6718">
        <w:rPr>
          <w:sz w:val="20"/>
          <w:lang w:val="en-GB"/>
        </w:rPr>
        <w:instrText xml:space="preserve"> DATE \@ "dd.MM.yyyy" </w:instrText>
      </w:r>
      <w:r w:rsidRPr="005B6718">
        <w:rPr>
          <w:sz w:val="20"/>
        </w:rPr>
        <w:fldChar w:fldCharType="separate"/>
      </w:r>
      <w:r w:rsidR="00241174">
        <w:rPr>
          <w:noProof/>
          <w:sz w:val="20"/>
          <w:lang w:val="en-GB"/>
        </w:rPr>
        <w:t>31.01.2014</w:t>
      </w:r>
      <w:r w:rsidRPr="005B6718">
        <w:rPr>
          <w:sz w:val="20"/>
        </w:rPr>
        <w:fldChar w:fldCharType="end"/>
      </w:r>
      <w:r w:rsidRPr="005B6718">
        <w:rPr>
          <w:sz w:val="20"/>
        </w:rPr>
        <w:t>.</w:t>
      </w:r>
      <w:r w:rsidR="00817C3F">
        <w:rPr>
          <w:sz w:val="20"/>
        </w:rPr>
        <w:t xml:space="preserve"> 09</w:t>
      </w:r>
      <w:r>
        <w:rPr>
          <w:sz w:val="20"/>
        </w:rPr>
        <w:t>:</w:t>
      </w:r>
      <w:r w:rsidR="00817C3F">
        <w:rPr>
          <w:sz w:val="20"/>
        </w:rPr>
        <w:t>16</w:t>
      </w:r>
      <w:r>
        <w:rPr>
          <w:sz w:val="20"/>
        </w:rPr>
        <w:tab/>
      </w:r>
    </w:p>
    <w:p w:rsidR="00840039" w:rsidRDefault="00C22B1D" w:rsidP="00840039">
      <w:pPr>
        <w:rPr>
          <w:sz w:val="20"/>
        </w:rPr>
      </w:pPr>
      <w:r>
        <w:rPr>
          <w:sz w:val="20"/>
        </w:rPr>
        <w:t>3</w:t>
      </w:r>
      <w:r w:rsidR="00295CD0">
        <w:rPr>
          <w:sz w:val="20"/>
        </w:rPr>
        <w:t>3</w:t>
      </w:r>
      <w:r w:rsidR="00582348">
        <w:rPr>
          <w:sz w:val="20"/>
        </w:rPr>
        <w:t>9</w:t>
      </w:r>
    </w:p>
    <w:p w:rsidR="007153AF" w:rsidRPr="007153AF" w:rsidRDefault="007153AF" w:rsidP="007153AF">
      <w:pPr>
        <w:jc w:val="both"/>
        <w:rPr>
          <w:sz w:val="20"/>
        </w:rPr>
      </w:pPr>
      <w:r w:rsidRPr="007153AF">
        <w:rPr>
          <w:sz w:val="20"/>
        </w:rPr>
        <w:t xml:space="preserve">Iekšlietu ministrijas veselības un </w:t>
      </w:r>
    </w:p>
    <w:p w:rsidR="007153AF" w:rsidRPr="007153AF" w:rsidRDefault="007153AF" w:rsidP="007153AF">
      <w:pPr>
        <w:jc w:val="both"/>
        <w:rPr>
          <w:sz w:val="20"/>
        </w:rPr>
      </w:pPr>
      <w:r w:rsidRPr="007153AF">
        <w:rPr>
          <w:sz w:val="20"/>
        </w:rPr>
        <w:t>sporta centra direktors</w:t>
      </w:r>
    </w:p>
    <w:p w:rsidR="007153AF" w:rsidRPr="007153AF" w:rsidRDefault="007153AF" w:rsidP="007153AF">
      <w:pPr>
        <w:jc w:val="both"/>
        <w:rPr>
          <w:sz w:val="20"/>
        </w:rPr>
      </w:pPr>
      <w:r w:rsidRPr="007153AF">
        <w:rPr>
          <w:sz w:val="20"/>
        </w:rPr>
        <w:t>U.Iskrovs</w:t>
      </w:r>
    </w:p>
    <w:p w:rsidR="00BF6D13" w:rsidRDefault="007153AF" w:rsidP="00CA317E">
      <w:pPr>
        <w:jc w:val="both"/>
        <w:rPr>
          <w:sz w:val="20"/>
        </w:rPr>
      </w:pPr>
      <w:r w:rsidRPr="007153AF">
        <w:rPr>
          <w:sz w:val="20"/>
        </w:rPr>
        <w:t xml:space="preserve">67829851, </w:t>
      </w:r>
      <w:hyperlink r:id="rId9" w:history="1">
        <w:r w:rsidRPr="007153AF">
          <w:rPr>
            <w:rStyle w:val="Hyperlink"/>
            <w:sz w:val="20"/>
          </w:rPr>
          <w:t>ugis.iskrovs@iem.gov.lv</w:t>
        </w:r>
      </w:hyperlink>
      <w:r w:rsidRPr="007153AF">
        <w:rPr>
          <w:sz w:val="20"/>
        </w:rPr>
        <w:t xml:space="preserve">     </w:t>
      </w:r>
    </w:p>
    <w:p w:rsidR="00BF6D13" w:rsidRDefault="00BF6D13" w:rsidP="00CA317E">
      <w:pPr>
        <w:jc w:val="both"/>
        <w:rPr>
          <w:sz w:val="20"/>
        </w:rPr>
      </w:pPr>
    </w:p>
    <w:p w:rsidR="00BF6D13" w:rsidRDefault="00BF6D13" w:rsidP="00CA317E">
      <w:pPr>
        <w:jc w:val="both"/>
        <w:rPr>
          <w:sz w:val="20"/>
        </w:rPr>
      </w:pPr>
    </w:p>
    <w:p w:rsidR="00BF6D13" w:rsidRDefault="00BF6D13" w:rsidP="00CA317E">
      <w:pPr>
        <w:jc w:val="both"/>
        <w:rPr>
          <w:sz w:val="20"/>
        </w:rPr>
      </w:pPr>
    </w:p>
    <w:p w:rsidR="00BF6D13" w:rsidRPr="00BF6D13" w:rsidRDefault="00BF6D13" w:rsidP="001B06FB">
      <w:pPr>
        <w:jc w:val="both"/>
        <w:rPr>
          <w:szCs w:val="28"/>
        </w:rPr>
      </w:pPr>
    </w:p>
    <w:sectPr w:rsidR="00BF6D13" w:rsidRPr="00BF6D13" w:rsidSect="00634FF3">
      <w:headerReference w:type="even" r:id="rId10"/>
      <w:headerReference w:type="default" r:id="rId11"/>
      <w:footerReference w:type="default" r:id="rId12"/>
      <w:footerReference w:type="first" r:id="rId13"/>
      <w:pgSz w:w="11906" w:h="16838" w:code="9"/>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F0" w:rsidRDefault="006A35F0" w:rsidP="006835EC">
      <w:r>
        <w:separator/>
      </w:r>
    </w:p>
  </w:endnote>
  <w:endnote w:type="continuationSeparator" w:id="0">
    <w:p w:rsidR="006A35F0" w:rsidRDefault="006A35F0" w:rsidP="0068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D5" w:rsidRPr="00C22B1D" w:rsidRDefault="00C22B1D" w:rsidP="00C22B1D">
    <w:pPr>
      <w:jc w:val="both"/>
      <w:rPr>
        <w:color w:val="000000"/>
        <w:sz w:val="20"/>
      </w:rPr>
    </w:pPr>
    <w:r w:rsidRPr="00A301A8">
      <w:rPr>
        <w:sz w:val="20"/>
      </w:rPr>
      <w:t>IEMNot_</w:t>
    </w:r>
    <w:r w:rsidR="005C57D6">
      <w:rPr>
        <w:sz w:val="20"/>
      </w:rPr>
      <w:t>20</w:t>
    </w:r>
    <w:r>
      <w:rPr>
        <w:sz w:val="20"/>
      </w:rPr>
      <w:t>1</w:t>
    </w:r>
    <w:r w:rsidRPr="00A301A8">
      <w:rPr>
        <w:sz w:val="20"/>
      </w:rPr>
      <w:t>0</w:t>
    </w:r>
    <w:r>
      <w:rPr>
        <w:sz w:val="20"/>
      </w:rPr>
      <w:t>1</w:t>
    </w:r>
    <w:r w:rsidRPr="00A301A8">
      <w:rPr>
        <w:sz w:val="20"/>
      </w:rPr>
      <w:t>1</w:t>
    </w:r>
    <w:r>
      <w:rPr>
        <w:sz w:val="20"/>
      </w:rPr>
      <w:t>4_vesel.doc</w:t>
    </w:r>
    <w:r w:rsidRPr="00A301A8">
      <w:rPr>
        <w:sz w:val="20"/>
      </w:rPr>
      <w:t xml:space="preserve">; Ministru kabineta noteikumu projekts </w:t>
    </w:r>
    <w:r>
      <w:rPr>
        <w:sz w:val="20"/>
      </w:rPr>
      <w:t>„</w:t>
    </w:r>
    <w:r w:rsidRPr="00A301A8">
      <w:rPr>
        <w:sz w:val="20"/>
      </w:rPr>
      <w:t>Grozījum</w:t>
    </w:r>
    <w:r>
      <w:rPr>
        <w:sz w:val="20"/>
      </w:rPr>
      <w:t>i</w:t>
    </w:r>
    <w:r w:rsidRPr="00A301A8">
      <w:rPr>
        <w:color w:val="000000"/>
        <w:sz w:val="20"/>
      </w:rPr>
      <w:t xml:space="preserve"> Ministru kabineta </w:t>
    </w:r>
    <w:r w:rsidRPr="00A301A8">
      <w:rPr>
        <w:sz w:val="20"/>
      </w:rPr>
      <w:t xml:space="preserve">2010.gada </w:t>
    </w:r>
    <w:r>
      <w:rPr>
        <w:sz w:val="20"/>
      </w:rPr>
      <w:t>21.jūnija</w:t>
    </w:r>
    <w:r w:rsidRPr="00A301A8">
      <w:rPr>
        <w:sz w:val="20"/>
      </w:rPr>
      <w:t xml:space="preserve"> </w:t>
    </w:r>
    <w:r w:rsidRPr="00A301A8">
      <w:rPr>
        <w:color w:val="000000"/>
        <w:sz w:val="20"/>
      </w:rPr>
      <w:t>noteikumos Nr.</w:t>
    </w:r>
    <w:r>
      <w:rPr>
        <w:color w:val="000000"/>
        <w:sz w:val="20"/>
      </w:rPr>
      <w:t>569</w:t>
    </w:r>
    <w:r w:rsidRPr="00A301A8">
      <w:rPr>
        <w:bCs/>
        <w:sz w:val="20"/>
      </w:rPr>
      <w:t xml:space="preserve"> </w:t>
    </w:r>
    <w:r>
      <w:rPr>
        <w:bCs/>
        <w:sz w:val="20"/>
      </w:rPr>
      <w:t>„Kārtība, kādā Iekšlietu ministrijas sistēmas iestāžu un Ieslodzījuma vietu pārvaldes amatpersona ar speciālo dienesta pakāpi saņem apmaksātus veselības aprūpes pakalpojumus””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A8" w:rsidRPr="00A301A8" w:rsidRDefault="00652276" w:rsidP="00A301A8">
    <w:pPr>
      <w:jc w:val="both"/>
      <w:rPr>
        <w:color w:val="000000"/>
        <w:sz w:val="20"/>
      </w:rPr>
    </w:pPr>
    <w:r w:rsidRPr="00A301A8">
      <w:rPr>
        <w:sz w:val="20"/>
      </w:rPr>
      <w:t>IEMNot_</w:t>
    </w:r>
    <w:r w:rsidR="005C57D6">
      <w:rPr>
        <w:sz w:val="20"/>
      </w:rPr>
      <w:t>20</w:t>
    </w:r>
    <w:r w:rsidR="00F42DD5">
      <w:rPr>
        <w:sz w:val="20"/>
      </w:rPr>
      <w:t>1</w:t>
    </w:r>
    <w:r w:rsidRPr="00A301A8">
      <w:rPr>
        <w:sz w:val="20"/>
      </w:rPr>
      <w:t>0</w:t>
    </w:r>
    <w:r w:rsidR="00C22B1D">
      <w:rPr>
        <w:sz w:val="20"/>
      </w:rPr>
      <w:t>1</w:t>
    </w:r>
    <w:r w:rsidRPr="00A301A8">
      <w:rPr>
        <w:sz w:val="20"/>
      </w:rPr>
      <w:t>1</w:t>
    </w:r>
    <w:r w:rsidR="00C22B1D">
      <w:rPr>
        <w:sz w:val="20"/>
      </w:rPr>
      <w:t>4_vesel</w:t>
    </w:r>
    <w:r>
      <w:rPr>
        <w:sz w:val="20"/>
      </w:rPr>
      <w:t>.doc</w:t>
    </w:r>
    <w:r w:rsidRPr="00A301A8">
      <w:rPr>
        <w:sz w:val="20"/>
      </w:rPr>
      <w:t xml:space="preserve">; Ministru kabineta noteikumu projekts </w:t>
    </w:r>
    <w:r>
      <w:rPr>
        <w:sz w:val="20"/>
      </w:rPr>
      <w:t>„</w:t>
    </w:r>
    <w:r w:rsidRPr="00A301A8">
      <w:rPr>
        <w:sz w:val="20"/>
      </w:rPr>
      <w:t>Grozījum</w:t>
    </w:r>
    <w:r w:rsidR="00C85C0E">
      <w:rPr>
        <w:sz w:val="20"/>
      </w:rPr>
      <w:t>i</w:t>
    </w:r>
    <w:r w:rsidRPr="00A301A8">
      <w:rPr>
        <w:color w:val="000000"/>
        <w:sz w:val="20"/>
      </w:rPr>
      <w:t xml:space="preserve"> Ministru kabineta </w:t>
    </w:r>
    <w:r w:rsidRPr="00A301A8">
      <w:rPr>
        <w:sz w:val="20"/>
      </w:rPr>
      <w:t xml:space="preserve">2010.gada </w:t>
    </w:r>
    <w:r w:rsidR="006835EC">
      <w:rPr>
        <w:sz w:val="20"/>
      </w:rPr>
      <w:t>2</w:t>
    </w:r>
    <w:r w:rsidR="00517D8C">
      <w:rPr>
        <w:sz w:val="20"/>
      </w:rPr>
      <w:t>1</w:t>
    </w:r>
    <w:r w:rsidR="006835EC">
      <w:rPr>
        <w:sz w:val="20"/>
      </w:rPr>
      <w:t>.jūnija</w:t>
    </w:r>
    <w:r w:rsidRPr="00A301A8">
      <w:rPr>
        <w:sz w:val="20"/>
      </w:rPr>
      <w:t xml:space="preserve"> </w:t>
    </w:r>
    <w:r w:rsidRPr="00A301A8">
      <w:rPr>
        <w:color w:val="000000"/>
        <w:sz w:val="20"/>
      </w:rPr>
      <w:t>noteikumos Nr.</w:t>
    </w:r>
    <w:r w:rsidR="00517D8C">
      <w:rPr>
        <w:color w:val="000000"/>
        <w:sz w:val="20"/>
      </w:rPr>
      <w:t>569</w:t>
    </w:r>
    <w:r w:rsidRPr="00A301A8">
      <w:rPr>
        <w:bCs/>
        <w:sz w:val="20"/>
      </w:rPr>
      <w:t xml:space="preserve"> </w:t>
    </w:r>
    <w:r>
      <w:rPr>
        <w:bCs/>
        <w:sz w:val="20"/>
      </w:rPr>
      <w:t>„</w:t>
    </w:r>
    <w:r w:rsidR="00517D8C">
      <w:rPr>
        <w:bCs/>
        <w:sz w:val="20"/>
      </w:rPr>
      <w:t>Kārtība, kādā Iekšlietu ministrijas sistēmas iestāžu un Ieslodzījuma vietu pārvaldes amatpersona ar speciālo dienesta pakāpi saņem apmaksātus veselības aprūpes pakalpojumus</w:t>
    </w:r>
    <w:r>
      <w:rPr>
        <w:bCs/>
        <w:sz w:val="20"/>
      </w:rPr>
      <w:t>””</w:t>
    </w:r>
  </w:p>
  <w:p w:rsidR="0099066A" w:rsidRPr="00A301A8" w:rsidRDefault="006A35F0" w:rsidP="00A301A8">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F0" w:rsidRDefault="006A35F0" w:rsidP="006835EC">
      <w:r>
        <w:separator/>
      </w:r>
    </w:p>
  </w:footnote>
  <w:footnote w:type="continuationSeparator" w:id="0">
    <w:p w:rsidR="006A35F0" w:rsidRDefault="006A35F0" w:rsidP="0068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Default="00652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66A" w:rsidRDefault="006A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Default="00652276">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241174">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1145"/>
    <w:multiLevelType w:val="hybridMultilevel"/>
    <w:tmpl w:val="C126615E"/>
    <w:lvl w:ilvl="0" w:tplc="08F4EC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8DC65CB"/>
    <w:multiLevelType w:val="hybridMultilevel"/>
    <w:tmpl w:val="9A400FD2"/>
    <w:lvl w:ilvl="0" w:tplc="F0547A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D2427DC"/>
    <w:multiLevelType w:val="hybridMultilevel"/>
    <w:tmpl w:val="62E2E544"/>
    <w:lvl w:ilvl="0" w:tplc="C3CC00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9"/>
    <w:rsid w:val="00053591"/>
    <w:rsid w:val="000A0FD0"/>
    <w:rsid w:val="000A11A6"/>
    <w:rsid w:val="000B78E3"/>
    <w:rsid w:val="000E0F1C"/>
    <w:rsid w:val="000E6356"/>
    <w:rsid w:val="000E741E"/>
    <w:rsid w:val="000F68A3"/>
    <w:rsid w:val="00134D18"/>
    <w:rsid w:val="0017050C"/>
    <w:rsid w:val="00183278"/>
    <w:rsid w:val="001B06FB"/>
    <w:rsid w:val="00224C1D"/>
    <w:rsid w:val="00232E8D"/>
    <w:rsid w:val="002401A5"/>
    <w:rsid w:val="00241174"/>
    <w:rsid w:val="00285E5F"/>
    <w:rsid w:val="00295CD0"/>
    <w:rsid w:val="00295EFC"/>
    <w:rsid w:val="002D4CAF"/>
    <w:rsid w:val="002E4415"/>
    <w:rsid w:val="003009BC"/>
    <w:rsid w:val="0030477A"/>
    <w:rsid w:val="00317728"/>
    <w:rsid w:val="003700A6"/>
    <w:rsid w:val="003B488E"/>
    <w:rsid w:val="003D7EBD"/>
    <w:rsid w:val="003E1D12"/>
    <w:rsid w:val="003E7471"/>
    <w:rsid w:val="0040715C"/>
    <w:rsid w:val="00407DCA"/>
    <w:rsid w:val="00412A5E"/>
    <w:rsid w:val="00506124"/>
    <w:rsid w:val="00517D8C"/>
    <w:rsid w:val="00520CAD"/>
    <w:rsid w:val="00524E70"/>
    <w:rsid w:val="005504D6"/>
    <w:rsid w:val="00582348"/>
    <w:rsid w:val="005B7CCC"/>
    <w:rsid w:val="005C57D6"/>
    <w:rsid w:val="005C72E3"/>
    <w:rsid w:val="005D2597"/>
    <w:rsid w:val="005E250B"/>
    <w:rsid w:val="005F0DF6"/>
    <w:rsid w:val="005F1AC5"/>
    <w:rsid w:val="005F48B1"/>
    <w:rsid w:val="005F6A60"/>
    <w:rsid w:val="006002BF"/>
    <w:rsid w:val="00614C88"/>
    <w:rsid w:val="006211D2"/>
    <w:rsid w:val="00652276"/>
    <w:rsid w:val="00676F0E"/>
    <w:rsid w:val="006829D4"/>
    <w:rsid w:val="006835EC"/>
    <w:rsid w:val="0068363A"/>
    <w:rsid w:val="006A35F0"/>
    <w:rsid w:val="006A5E10"/>
    <w:rsid w:val="006C42B5"/>
    <w:rsid w:val="006D601D"/>
    <w:rsid w:val="006E18AB"/>
    <w:rsid w:val="0071025A"/>
    <w:rsid w:val="007153AF"/>
    <w:rsid w:val="0073404B"/>
    <w:rsid w:val="00766E88"/>
    <w:rsid w:val="0078435C"/>
    <w:rsid w:val="00797D0D"/>
    <w:rsid w:val="007A34EE"/>
    <w:rsid w:val="007D1AEB"/>
    <w:rsid w:val="007D3D98"/>
    <w:rsid w:val="00817C3F"/>
    <w:rsid w:val="00823688"/>
    <w:rsid w:val="00840039"/>
    <w:rsid w:val="008A09E8"/>
    <w:rsid w:val="008C054E"/>
    <w:rsid w:val="00901070"/>
    <w:rsid w:val="00903735"/>
    <w:rsid w:val="00916044"/>
    <w:rsid w:val="00925348"/>
    <w:rsid w:val="00972C8C"/>
    <w:rsid w:val="009B2B6A"/>
    <w:rsid w:val="009D3F0D"/>
    <w:rsid w:val="00A82330"/>
    <w:rsid w:val="00A94485"/>
    <w:rsid w:val="00AA0FD5"/>
    <w:rsid w:val="00AD2F4D"/>
    <w:rsid w:val="00AE3400"/>
    <w:rsid w:val="00B05656"/>
    <w:rsid w:val="00B132F0"/>
    <w:rsid w:val="00B20732"/>
    <w:rsid w:val="00B344A7"/>
    <w:rsid w:val="00B4242E"/>
    <w:rsid w:val="00B648B1"/>
    <w:rsid w:val="00BA0AE9"/>
    <w:rsid w:val="00BA5582"/>
    <w:rsid w:val="00BC4C4D"/>
    <w:rsid w:val="00BD5B87"/>
    <w:rsid w:val="00BF6D13"/>
    <w:rsid w:val="00C04CAD"/>
    <w:rsid w:val="00C22B1D"/>
    <w:rsid w:val="00C40F54"/>
    <w:rsid w:val="00C458B9"/>
    <w:rsid w:val="00C6475D"/>
    <w:rsid w:val="00C73456"/>
    <w:rsid w:val="00C80255"/>
    <w:rsid w:val="00C85C0E"/>
    <w:rsid w:val="00C9614F"/>
    <w:rsid w:val="00CA317E"/>
    <w:rsid w:val="00CD1163"/>
    <w:rsid w:val="00D070C9"/>
    <w:rsid w:val="00D22685"/>
    <w:rsid w:val="00D3453D"/>
    <w:rsid w:val="00D36A32"/>
    <w:rsid w:val="00D42E5E"/>
    <w:rsid w:val="00D528BC"/>
    <w:rsid w:val="00D530C1"/>
    <w:rsid w:val="00D62303"/>
    <w:rsid w:val="00D727D0"/>
    <w:rsid w:val="00DD3109"/>
    <w:rsid w:val="00DE169A"/>
    <w:rsid w:val="00DE3CA3"/>
    <w:rsid w:val="00DF0DEE"/>
    <w:rsid w:val="00E013C4"/>
    <w:rsid w:val="00E10964"/>
    <w:rsid w:val="00E112AD"/>
    <w:rsid w:val="00E30685"/>
    <w:rsid w:val="00E638E6"/>
    <w:rsid w:val="00E64223"/>
    <w:rsid w:val="00E75E5F"/>
    <w:rsid w:val="00EC7105"/>
    <w:rsid w:val="00ED7D9D"/>
    <w:rsid w:val="00F05A4F"/>
    <w:rsid w:val="00F42DD5"/>
    <w:rsid w:val="00F8424D"/>
    <w:rsid w:val="00FB662D"/>
    <w:rsid w:val="00FC03E4"/>
    <w:rsid w:val="00FF54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39"/>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BF6D13"/>
    <w:pPr>
      <w:widowControl w:val="0"/>
      <w:autoSpaceDE w:val="0"/>
      <w:autoSpaceDN w:val="0"/>
      <w:adjustRightInd w:val="0"/>
      <w:outlineLvl w:val="0"/>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039"/>
    <w:pPr>
      <w:tabs>
        <w:tab w:val="center" w:pos="4153"/>
        <w:tab w:val="right" w:pos="8306"/>
      </w:tabs>
    </w:pPr>
  </w:style>
  <w:style w:type="character" w:customStyle="1" w:styleId="HeaderChar">
    <w:name w:val="Header Char"/>
    <w:basedOn w:val="DefaultParagraphFont"/>
    <w:link w:val="Header"/>
    <w:rsid w:val="00840039"/>
    <w:rPr>
      <w:rFonts w:ascii="Times New Roman" w:eastAsia="Times New Roman" w:hAnsi="Times New Roman" w:cs="Times New Roman"/>
      <w:sz w:val="28"/>
      <w:szCs w:val="20"/>
    </w:rPr>
  </w:style>
  <w:style w:type="character" w:styleId="PageNumber">
    <w:name w:val="page number"/>
    <w:basedOn w:val="DefaultParagraphFont"/>
    <w:rsid w:val="00840039"/>
  </w:style>
  <w:style w:type="character" w:styleId="Hyperlink">
    <w:name w:val="Hyperlink"/>
    <w:basedOn w:val="DefaultParagraphFont"/>
    <w:rsid w:val="00840039"/>
    <w:rPr>
      <w:color w:val="0000FF"/>
      <w:u w:val="single"/>
    </w:rPr>
  </w:style>
  <w:style w:type="paragraph" w:customStyle="1" w:styleId="tv213">
    <w:name w:val="tv213"/>
    <w:basedOn w:val="Normal"/>
    <w:rsid w:val="00840039"/>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840039"/>
    <w:rPr>
      <w:rFonts w:ascii="Tahoma" w:hAnsi="Tahoma" w:cs="Tahoma"/>
      <w:sz w:val="16"/>
      <w:szCs w:val="16"/>
    </w:rPr>
  </w:style>
  <w:style w:type="character" w:customStyle="1" w:styleId="BalloonTextChar">
    <w:name w:val="Balloon Text Char"/>
    <w:basedOn w:val="DefaultParagraphFont"/>
    <w:link w:val="BalloonText"/>
    <w:uiPriority w:val="99"/>
    <w:semiHidden/>
    <w:rsid w:val="0084003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0039"/>
    <w:rPr>
      <w:color w:val="800080" w:themeColor="followedHyperlink"/>
      <w:u w:val="single"/>
    </w:rPr>
  </w:style>
  <w:style w:type="paragraph" w:styleId="ListParagraph">
    <w:name w:val="List Paragraph"/>
    <w:basedOn w:val="Normal"/>
    <w:uiPriority w:val="34"/>
    <w:qFormat/>
    <w:rsid w:val="00840039"/>
    <w:pPr>
      <w:ind w:left="720"/>
      <w:contextualSpacing/>
    </w:pPr>
  </w:style>
  <w:style w:type="paragraph" w:styleId="Footer">
    <w:name w:val="footer"/>
    <w:basedOn w:val="Normal"/>
    <w:link w:val="FooterChar"/>
    <w:uiPriority w:val="99"/>
    <w:unhideWhenUsed/>
    <w:rsid w:val="006835EC"/>
    <w:pPr>
      <w:tabs>
        <w:tab w:val="center" w:pos="4153"/>
        <w:tab w:val="right" w:pos="8306"/>
      </w:tabs>
    </w:pPr>
  </w:style>
  <w:style w:type="character" w:customStyle="1" w:styleId="FooterChar">
    <w:name w:val="Footer Char"/>
    <w:basedOn w:val="DefaultParagraphFont"/>
    <w:link w:val="Footer"/>
    <w:uiPriority w:val="99"/>
    <w:rsid w:val="006835EC"/>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BF6D1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39"/>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BF6D13"/>
    <w:pPr>
      <w:widowControl w:val="0"/>
      <w:autoSpaceDE w:val="0"/>
      <w:autoSpaceDN w:val="0"/>
      <w:adjustRightInd w:val="0"/>
      <w:outlineLvl w:val="0"/>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039"/>
    <w:pPr>
      <w:tabs>
        <w:tab w:val="center" w:pos="4153"/>
        <w:tab w:val="right" w:pos="8306"/>
      </w:tabs>
    </w:pPr>
  </w:style>
  <w:style w:type="character" w:customStyle="1" w:styleId="HeaderChar">
    <w:name w:val="Header Char"/>
    <w:basedOn w:val="DefaultParagraphFont"/>
    <w:link w:val="Header"/>
    <w:rsid w:val="00840039"/>
    <w:rPr>
      <w:rFonts w:ascii="Times New Roman" w:eastAsia="Times New Roman" w:hAnsi="Times New Roman" w:cs="Times New Roman"/>
      <w:sz w:val="28"/>
      <w:szCs w:val="20"/>
    </w:rPr>
  </w:style>
  <w:style w:type="character" w:styleId="PageNumber">
    <w:name w:val="page number"/>
    <w:basedOn w:val="DefaultParagraphFont"/>
    <w:rsid w:val="00840039"/>
  </w:style>
  <w:style w:type="character" w:styleId="Hyperlink">
    <w:name w:val="Hyperlink"/>
    <w:basedOn w:val="DefaultParagraphFont"/>
    <w:rsid w:val="00840039"/>
    <w:rPr>
      <w:color w:val="0000FF"/>
      <w:u w:val="single"/>
    </w:rPr>
  </w:style>
  <w:style w:type="paragraph" w:customStyle="1" w:styleId="tv213">
    <w:name w:val="tv213"/>
    <w:basedOn w:val="Normal"/>
    <w:rsid w:val="00840039"/>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840039"/>
    <w:rPr>
      <w:rFonts w:ascii="Tahoma" w:hAnsi="Tahoma" w:cs="Tahoma"/>
      <w:sz w:val="16"/>
      <w:szCs w:val="16"/>
    </w:rPr>
  </w:style>
  <w:style w:type="character" w:customStyle="1" w:styleId="BalloonTextChar">
    <w:name w:val="Balloon Text Char"/>
    <w:basedOn w:val="DefaultParagraphFont"/>
    <w:link w:val="BalloonText"/>
    <w:uiPriority w:val="99"/>
    <w:semiHidden/>
    <w:rsid w:val="0084003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0039"/>
    <w:rPr>
      <w:color w:val="800080" w:themeColor="followedHyperlink"/>
      <w:u w:val="single"/>
    </w:rPr>
  </w:style>
  <w:style w:type="paragraph" w:styleId="ListParagraph">
    <w:name w:val="List Paragraph"/>
    <w:basedOn w:val="Normal"/>
    <w:uiPriority w:val="34"/>
    <w:qFormat/>
    <w:rsid w:val="00840039"/>
    <w:pPr>
      <w:ind w:left="720"/>
      <w:contextualSpacing/>
    </w:pPr>
  </w:style>
  <w:style w:type="paragraph" w:styleId="Footer">
    <w:name w:val="footer"/>
    <w:basedOn w:val="Normal"/>
    <w:link w:val="FooterChar"/>
    <w:uiPriority w:val="99"/>
    <w:unhideWhenUsed/>
    <w:rsid w:val="006835EC"/>
    <w:pPr>
      <w:tabs>
        <w:tab w:val="center" w:pos="4153"/>
        <w:tab w:val="right" w:pos="8306"/>
      </w:tabs>
    </w:pPr>
  </w:style>
  <w:style w:type="character" w:customStyle="1" w:styleId="FooterChar">
    <w:name w:val="Footer Char"/>
    <w:basedOn w:val="DefaultParagraphFont"/>
    <w:link w:val="Footer"/>
    <w:uiPriority w:val="99"/>
    <w:rsid w:val="006835EC"/>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BF6D1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610">
      <w:bodyDiv w:val="1"/>
      <w:marLeft w:val="0"/>
      <w:marRight w:val="0"/>
      <w:marTop w:val="0"/>
      <w:marBottom w:val="0"/>
      <w:divBdr>
        <w:top w:val="none" w:sz="0" w:space="0" w:color="auto"/>
        <w:left w:val="none" w:sz="0" w:space="0" w:color="auto"/>
        <w:bottom w:val="none" w:sz="0" w:space="0" w:color="auto"/>
        <w:right w:val="none" w:sz="0" w:space="0" w:color="auto"/>
      </w:divBdr>
      <w:divsChild>
        <w:div w:id="765686797">
          <w:marLeft w:val="0"/>
          <w:marRight w:val="0"/>
          <w:marTop w:val="0"/>
          <w:marBottom w:val="0"/>
          <w:divBdr>
            <w:top w:val="none" w:sz="0" w:space="0" w:color="auto"/>
            <w:left w:val="none" w:sz="0" w:space="0" w:color="auto"/>
            <w:bottom w:val="none" w:sz="0" w:space="0" w:color="auto"/>
            <w:right w:val="none" w:sz="0" w:space="0" w:color="auto"/>
          </w:divBdr>
        </w:div>
        <w:div w:id="1245799398">
          <w:marLeft w:val="0"/>
          <w:marRight w:val="0"/>
          <w:marTop w:val="0"/>
          <w:marBottom w:val="0"/>
          <w:divBdr>
            <w:top w:val="none" w:sz="0" w:space="0" w:color="auto"/>
            <w:left w:val="none" w:sz="0" w:space="0" w:color="auto"/>
            <w:bottom w:val="none" w:sz="0" w:space="0" w:color="auto"/>
            <w:right w:val="none" w:sz="0" w:space="0" w:color="auto"/>
          </w:divBdr>
        </w:div>
      </w:divsChild>
    </w:div>
    <w:div w:id="18952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is.iskrovs@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9272-60E0-4C5E-A1CF-B870306F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1921</Words>
  <Characters>1096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2010.gada 21.jūnija noteikumos Nr.569 „Kārtība, kādā Iekšlietu ministrijas sistēmas iestāžu un Ieslodzījuma vietu pārvaldes amatpersona ar speciālo dienesta pakāpi saņem apmaksātus veselības aprūpes pakalpojumus”</vt:lpstr>
    </vt:vector>
  </TitlesOfParts>
  <Company>IeM</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21.jūnija noteikumos Nr.569 „Kārtība, kādā Iekšlietu ministrijas sistēmas iestāžu un Ieslodzījuma vietu pārvaldes amatpersona ar speciālo dienesta pakāpi saņem apmaksātus veselības aprūpes pakalpojumus”</dc:title>
  <dc:subject>Ministru kabineta noteikumu projekts</dc:subject>
  <dc:creator>Uģis Iskrovs</dc:creator>
  <cp:keywords/>
  <dc:description>ugis.iskrovs@iem.gov.lv
67829851</dc:description>
  <cp:lastModifiedBy>Linda Kārkliņa</cp:lastModifiedBy>
  <cp:revision>3</cp:revision>
  <cp:lastPrinted>2014-01-20T07:13:00Z</cp:lastPrinted>
  <dcterms:created xsi:type="dcterms:W3CDTF">2014-01-31T09:44:00Z</dcterms:created>
  <dcterms:modified xsi:type="dcterms:W3CDTF">2014-01-31T12:15:00Z</dcterms:modified>
</cp:coreProperties>
</file>