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0" w:rsidRDefault="00B25660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B25660" w:rsidRPr="00CA5450" w:rsidRDefault="00B25660" w:rsidP="00CA5450">
      <w:pPr>
        <w:jc w:val="center"/>
        <w:rPr>
          <w:sz w:val="28"/>
          <w:szCs w:val="28"/>
        </w:rPr>
      </w:pPr>
    </w:p>
    <w:p w:rsidR="00B25660" w:rsidRPr="00F71317" w:rsidRDefault="00B25660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spellStart"/>
      <w:r w:rsidRPr="00F71317">
        <w:rPr>
          <w:sz w:val="28"/>
        </w:rPr>
        <w:t>Nr</w:t>
      </w:r>
      <w:proofErr w:type="spellEnd"/>
      <w:r w:rsidRPr="00F71317">
        <w:rPr>
          <w:sz w:val="28"/>
        </w:rPr>
        <w:t xml:space="preserve">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2011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B25660" w:rsidRPr="00F71317" w:rsidRDefault="00B25660">
      <w:pPr>
        <w:ind w:left="2880" w:firstLine="720"/>
        <w:rPr>
          <w:sz w:val="28"/>
        </w:rPr>
      </w:pPr>
    </w:p>
    <w:p w:rsidR="00B25660" w:rsidRPr="00F71317" w:rsidRDefault="00B25660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B25660" w:rsidRPr="00043861" w:rsidRDefault="00B25660" w:rsidP="007E7233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:rsidR="00B25660" w:rsidRDefault="00B25660" w:rsidP="007E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„Par Valsts policijas darbības nodrošināšanai nepieciešamo autotransporta līdzekļu nomu” </w:t>
      </w:r>
    </w:p>
    <w:p w:rsidR="00B25660" w:rsidRPr="00F71317" w:rsidRDefault="00B25660" w:rsidP="00456E71">
      <w:pPr>
        <w:jc w:val="center"/>
        <w:rPr>
          <w:sz w:val="28"/>
        </w:rPr>
      </w:pPr>
      <w:r w:rsidRPr="00F71317">
        <w:rPr>
          <w:sz w:val="28"/>
        </w:rPr>
        <w:t xml:space="preserve"> 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1"/>
      </w:tblGrid>
      <w:tr w:rsidR="00B25660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5660" w:rsidRPr="005771EF" w:rsidRDefault="00B25660" w:rsidP="005771EF">
            <w:pPr>
              <w:jc w:val="center"/>
              <w:rPr>
                <w:rFonts w:ascii="Tahoma" w:hAnsi="Tahoma" w:cs="Tahoma"/>
                <w:color w:val="2A2A2A"/>
                <w:sz w:val="14"/>
                <w:szCs w:val="14"/>
                <w:lang w:eastAsia="lv-LV"/>
              </w:rPr>
            </w:pPr>
          </w:p>
        </w:tc>
      </w:tr>
      <w:tr w:rsidR="00B25660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5660" w:rsidRPr="005771EF" w:rsidRDefault="00B25660" w:rsidP="005771EF">
            <w:pPr>
              <w:spacing w:before="100" w:beforeAutospacing="1" w:after="100" w:afterAutospacing="1"/>
              <w:rPr>
                <w:rFonts w:ascii="Tahoma" w:hAnsi="Tahoma" w:cs="Tahoma"/>
                <w:color w:val="2A2A2A"/>
                <w:sz w:val="17"/>
                <w:szCs w:val="17"/>
                <w:lang w:eastAsia="lv-LV"/>
              </w:rPr>
            </w:pPr>
          </w:p>
        </w:tc>
      </w:tr>
      <w:tr w:rsidR="00B25660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5660" w:rsidRPr="005771EF" w:rsidRDefault="00B25660" w:rsidP="005771E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A2A2A"/>
                <w:sz w:val="17"/>
                <w:szCs w:val="17"/>
                <w:lang w:eastAsia="lv-LV"/>
              </w:rPr>
            </w:pPr>
          </w:p>
        </w:tc>
      </w:tr>
      <w:tr w:rsidR="00B25660" w:rsidTr="00507FFD">
        <w:trPr>
          <w:tblCellSpacing w:w="0" w:type="dxa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B25660" w:rsidRDefault="00B25660" w:rsidP="005771EF">
            <w:pPr>
              <w:rPr>
                <w:color w:val="2A2A2A"/>
                <w:sz w:val="28"/>
                <w:szCs w:val="28"/>
                <w:lang w:eastAsia="lv-LV"/>
              </w:rPr>
            </w:pPr>
            <w:r>
              <w:rPr>
                <w:color w:val="2A2A2A"/>
                <w:sz w:val="28"/>
                <w:szCs w:val="28"/>
                <w:lang w:eastAsia="lv-LV"/>
              </w:rPr>
              <w:t>1.</w:t>
            </w:r>
            <w:r w:rsidRPr="0071214B">
              <w:rPr>
                <w:color w:val="2A2A2A"/>
                <w:sz w:val="28"/>
                <w:szCs w:val="28"/>
              </w:rPr>
              <w:t>Pieņemt zināšanai iesniegto informatīvo ziņojumu.</w:t>
            </w:r>
            <w:r w:rsidRPr="005771EF">
              <w:rPr>
                <w:color w:val="2A2A2A"/>
                <w:sz w:val="28"/>
                <w:szCs w:val="28"/>
                <w:lang w:eastAsia="lv-LV"/>
              </w:rPr>
              <w:t xml:space="preserve"> </w:t>
            </w:r>
            <w:r w:rsidRPr="005771EF">
              <w:rPr>
                <w:color w:val="2A2A2A"/>
                <w:sz w:val="28"/>
                <w:szCs w:val="28"/>
                <w:lang w:eastAsia="lv-LV"/>
              </w:rPr>
              <w:br/>
            </w:r>
          </w:p>
          <w:p w:rsidR="00B25660" w:rsidRDefault="00B25660" w:rsidP="003A4FA6">
            <w:pPr>
              <w:jc w:val="both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  <w:lang w:eastAsia="lv-LV"/>
              </w:rPr>
              <w:t xml:space="preserve">2. Atļaut Iekšlietu ministrijai slēgt iepirkuma līgumus par autotransporta līdzekļu nomu no 2012. līdz 2016.gadam, paredzot izdevumus ilgtermiņa saistībām ne vairāk kā </w:t>
            </w:r>
            <w:r>
              <w:rPr>
                <w:sz w:val="28"/>
                <w:szCs w:val="28"/>
              </w:rPr>
              <w:t>4 220 316 latu apmērā ik gadu.</w:t>
            </w:r>
          </w:p>
          <w:p w:rsidR="00B25660" w:rsidRDefault="00B25660" w:rsidP="003A4FA6">
            <w:pPr>
              <w:jc w:val="both"/>
              <w:rPr>
                <w:sz w:val="28"/>
                <w:szCs w:val="28"/>
              </w:rPr>
            </w:pPr>
          </w:p>
          <w:p w:rsidR="00B25660" w:rsidRPr="00FE357F" w:rsidRDefault="00B25660" w:rsidP="003A4FA6">
            <w:pPr>
              <w:jc w:val="both"/>
              <w:rPr>
                <w:color w:val="2A2A2A"/>
                <w:sz w:val="28"/>
                <w:szCs w:val="28"/>
                <w:lang w:eastAsia="lv-LV"/>
              </w:rPr>
            </w:pPr>
            <w:r>
              <w:rPr>
                <w:color w:val="2A2A2A"/>
                <w:sz w:val="28"/>
                <w:szCs w:val="28"/>
                <w:lang w:eastAsia="lv-LV"/>
              </w:rPr>
              <w:t xml:space="preserve">3. Finanšu ministrijai, </w:t>
            </w:r>
            <w:r w:rsidRPr="00FE357F">
              <w:rPr>
                <w:color w:val="2A2A2A"/>
                <w:sz w:val="28"/>
                <w:szCs w:val="28"/>
                <w:lang w:eastAsia="lv-LV"/>
              </w:rPr>
              <w:t>pamatojoties uz Iekšlietu ministrijas iesniegtajiem priekšlikumiem, 2012.gada valsts budžeta likumprojekta sagatavošanas procesā precizēt Iekšlietu ministrijas bāzes izdevumus ilgtermiņa saistībām atbilstoši noslēgtajiem iepirkuma līgumiem 2012. un 2013.gadam un palielināt tos 2014. – 2016.gadam.</w:t>
            </w:r>
          </w:p>
          <w:p w:rsidR="00B25660" w:rsidRPr="00FE357F" w:rsidRDefault="00B25660" w:rsidP="003A4FA6">
            <w:pPr>
              <w:jc w:val="both"/>
              <w:rPr>
                <w:color w:val="2A2A2A"/>
                <w:sz w:val="28"/>
                <w:szCs w:val="28"/>
                <w:lang w:eastAsia="lv-LV"/>
              </w:rPr>
            </w:pPr>
          </w:p>
          <w:p w:rsidR="00B25660" w:rsidRPr="00FE357F" w:rsidRDefault="00B25660" w:rsidP="00CE0195">
            <w:pPr>
              <w:jc w:val="both"/>
              <w:rPr>
                <w:color w:val="2A2A2A"/>
                <w:sz w:val="28"/>
                <w:szCs w:val="28"/>
                <w:lang w:eastAsia="lv-LV"/>
              </w:rPr>
            </w:pPr>
            <w:r w:rsidRPr="00FE357F">
              <w:rPr>
                <w:color w:val="2A2A2A"/>
                <w:sz w:val="28"/>
                <w:szCs w:val="28"/>
                <w:lang w:eastAsia="lv-LV"/>
              </w:rPr>
              <w:t xml:space="preserve">4.Ja </w:t>
            </w:r>
            <w:r>
              <w:rPr>
                <w:color w:val="2A2A2A"/>
                <w:sz w:val="28"/>
                <w:szCs w:val="28"/>
                <w:lang w:eastAsia="lv-LV"/>
              </w:rPr>
              <w:t xml:space="preserve">atbilstoši noslēgto iepirkuma līgumu nosacījumiem </w:t>
            </w:r>
            <w:r w:rsidRPr="00FE357F">
              <w:rPr>
                <w:color w:val="2A2A2A"/>
                <w:sz w:val="28"/>
                <w:szCs w:val="28"/>
                <w:lang w:eastAsia="lv-LV"/>
              </w:rPr>
              <w:t>Valsts policija atdod autotransporta līdzekļus to iznomātājiem pirms ter</w:t>
            </w:r>
            <w:r>
              <w:rPr>
                <w:color w:val="2A2A2A"/>
                <w:sz w:val="28"/>
                <w:szCs w:val="28"/>
                <w:lang w:eastAsia="lv-LV"/>
              </w:rPr>
              <w:t xml:space="preserve">miņa, Iekšlietu ministrijai </w:t>
            </w:r>
            <w:r w:rsidRPr="005E6C9F">
              <w:rPr>
                <w:color w:val="2A2A2A"/>
                <w:sz w:val="28"/>
                <w:szCs w:val="28"/>
                <w:lang w:eastAsia="lv-LV"/>
              </w:rPr>
              <w:t>2013.</w:t>
            </w:r>
            <w:r>
              <w:rPr>
                <w:color w:val="2A2A2A"/>
                <w:sz w:val="28"/>
                <w:szCs w:val="28"/>
                <w:lang w:eastAsia="lv-LV"/>
              </w:rPr>
              <w:t>–</w:t>
            </w:r>
            <w:r w:rsidRPr="00FE357F">
              <w:rPr>
                <w:color w:val="2A2A2A"/>
                <w:sz w:val="28"/>
                <w:szCs w:val="28"/>
                <w:lang w:eastAsia="lv-LV"/>
              </w:rPr>
              <w:t>2016.gada valsts budžeta projekta sagatavošanas procesā iesniegt Finanšu ministrijā priekšlikumus par izmaiņām bāzes izdevumos, samazinot autotransporta līdzekļu nomas maksai paredzēto finansējumu.</w:t>
            </w:r>
          </w:p>
          <w:p w:rsidR="00B25660" w:rsidRPr="005771EF" w:rsidRDefault="00B25660" w:rsidP="003A4FA6">
            <w:pPr>
              <w:jc w:val="both"/>
              <w:rPr>
                <w:color w:val="2A2A2A"/>
                <w:sz w:val="28"/>
                <w:szCs w:val="28"/>
                <w:lang w:eastAsia="lv-LV"/>
              </w:rPr>
            </w:pPr>
          </w:p>
        </w:tc>
      </w:tr>
    </w:tbl>
    <w:p w:rsidR="00B25660" w:rsidRPr="00F71317" w:rsidRDefault="00B25660" w:rsidP="00050A5A">
      <w:pPr>
        <w:jc w:val="both"/>
        <w:rPr>
          <w:sz w:val="28"/>
        </w:rPr>
      </w:pPr>
    </w:p>
    <w:p w:rsidR="00B25660" w:rsidRPr="00E14428" w:rsidRDefault="00B25660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E14428">
        <w:rPr>
          <w:rFonts w:ascii="Times New Roman" w:hAnsi="Times New Roman"/>
          <w:szCs w:val="28"/>
        </w:rPr>
        <w:t>Ministru prezidents</w:t>
      </w:r>
      <w:r w:rsidRPr="00E14428">
        <w:rPr>
          <w:rFonts w:ascii="Times New Roman" w:hAnsi="Times New Roman"/>
          <w:szCs w:val="28"/>
        </w:rPr>
        <w:tab/>
      </w:r>
      <w:proofErr w:type="spellStart"/>
      <w:r w:rsidRPr="00E14428">
        <w:rPr>
          <w:rFonts w:ascii="Times New Roman" w:hAnsi="Times New Roman"/>
          <w:szCs w:val="28"/>
        </w:rPr>
        <w:t>V.Dombrovskis</w:t>
      </w:r>
      <w:proofErr w:type="spellEnd"/>
    </w:p>
    <w:p w:rsidR="00B25660" w:rsidRDefault="00B25660">
      <w:pPr>
        <w:pStyle w:val="PlainText"/>
        <w:jc w:val="both"/>
        <w:rPr>
          <w:rFonts w:ascii="Times New Roman" w:hAnsi="Times New Roman"/>
        </w:rPr>
      </w:pPr>
    </w:p>
    <w:p w:rsidR="00B25660" w:rsidRDefault="00B25660" w:rsidP="009E7F40">
      <w:pPr>
        <w:pStyle w:val="PlainText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Valsts kancelejas direktore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E.Dreimane</w:t>
      </w:r>
      <w:proofErr w:type="spellEnd"/>
    </w:p>
    <w:p w:rsidR="00B25660" w:rsidRDefault="00F3739C" w:rsidP="00F3739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5660" w:rsidRDefault="00B25660" w:rsidP="009E7F40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Iekšlietu ministra </w:t>
      </w:r>
    </w:p>
    <w:p w:rsidR="00B25660" w:rsidRDefault="00B25660" w:rsidP="009E7F40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A.Štokenbergs</w:t>
      </w:r>
      <w:proofErr w:type="spellEnd"/>
    </w:p>
    <w:p w:rsidR="00B25660" w:rsidRDefault="00661632" w:rsidP="009E7F40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</w:p>
    <w:p w:rsidR="00661632" w:rsidRDefault="00661632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B25660" w:rsidRDefault="00B25660" w:rsidP="0071238E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315C2">
        <w:rPr>
          <w:sz w:val="28"/>
          <w:szCs w:val="28"/>
        </w:rPr>
        <w:t>I.Pētersone</w:t>
      </w:r>
    </w:p>
    <w:p w:rsidR="00B25660" w:rsidRDefault="00B25660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F3739C" w:rsidRDefault="00F3739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  <w:bookmarkStart w:id="0" w:name="_GoBack"/>
      <w:bookmarkEnd w:id="0"/>
    </w:p>
    <w:p w:rsidR="00B25660" w:rsidRPr="008F3FB9" w:rsidRDefault="00B25660" w:rsidP="00BE6ACC">
      <w:pPr>
        <w:pStyle w:val="naisf"/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  <w:lang w:val="ru-RU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  <w:lang w:val="ru-RU"/>
        </w:rPr>
        <w:fldChar w:fldCharType="separate"/>
      </w:r>
      <w:r w:rsidR="00661632">
        <w:rPr>
          <w:noProof/>
          <w:sz w:val="20"/>
          <w:szCs w:val="20"/>
          <w:lang w:val="ru-RU"/>
        </w:rPr>
        <w:t>10.06.2011 10:14</w:t>
      </w:r>
      <w:r w:rsidRPr="008F3FB9">
        <w:rPr>
          <w:sz w:val="20"/>
          <w:szCs w:val="20"/>
          <w:lang w:val="ru-RU"/>
        </w:rPr>
        <w:fldChar w:fldCharType="end"/>
      </w:r>
    </w:p>
    <w:p w:rsidR="00B25660" w:rsidRDefault="00631E2C" w:rsidP="00BE6ACC">
      <w:pPr>
        <w:jc w:val="both"/>
      </w:pPr>
      <w:fldSimple w:instr=" NUMWORDS   \* MERGEFORMAT ">
        <w:r w:rsidR="00661632">
          <w:rPr>
            <w:noProof/>
          </w:rPr>
          <w:t>154</w:t>
        </w:r>
      </w:fldSimple>
    </w:p>
    <w:p w:rsidR="00B25660" w:rsidRDefault="00B25660" w:rsidP="00216E98">
      <w:proofErr w:type="spellStart"/>
      <w:r>
        <w:t>A.Strode</w:t>
      </w:r>
      <w:proofErr w:type="spellEnd"/>
      <w:r>
        <w:t xml:space="preserve">, </w:t>
      </w:r>
    </w:p>
    <w:p w:rsidR="00B25660" w:rsidRPr="0094511F" w:rsidRDefault="00B25660" w:rsidP="00216E98">
      <w:r w:rsidRPr="0094511F">
        <w:t>6</w:t>
      </w:r>
      <w:r>
        <w:t>7219601</w:t>
      </w:r>
      <w:r w:rsidRPr="0094511F">
        <w:t xml:space="preserve">, </w:t>
      </w:r>
      <w:hyperlink r:id="rId8" w:history="1">
        <w:proofErr w:type="spellStart"/>
        <w:r>
          <w:rPr>
            <w:rStyle w:val="Hyperlink"/>
          </w:rPr>
          <w:t>alda.strode</w:t>
        </w:r>
        <w:proofErr w:type="spellEnd"/>
        <w:r w:rsidRPr="00D471D3">
          <w:rPr>
            <w:rStyle w:val="Hyperlink"/>
          </w:rPr>
          <w:t xml:space="preserve"> @</w:t>
        </w:r>
        <w:proofErr w:type="spellStart"/>
        <w:r w:rsidRPr="00D471D3">
          <w:rPr>
            <w:rStyle w:val="Hyperlink"/>
          </w:rPr>
          <w:t>iem.gov.lv</w:t>
        </w:r>
        <w:proofErr w:type="spellEnd"/>
      </w:hyperlink>
      <w:r>
        <w:t xml:space="preserve"> </w:t>
      </w:r>
    </w:p>
    <w:sectPr w:rsidR="00B25660" w:rsidRPr="0094511F" w:rsidSect="00F373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701" w:header="1134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9E" w:rsidRDefault="00AB039E">
      <w:r>
        <w:separator/>
      </w:r>
    </w:p>
  </w:endnote>
  <w:endnote w:type="continuationSeparator" w:id="0">
    <w:p w:rsidR="00AB039E" w:rsidRDefault="00AB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0" w:rsidRPr="00F961F4" w:rsidRDefault="00B25660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661632">
      <w:rPr>
        <w:noProof/>
        <w:szCs w:val="24"/>
      </w:rPr>
      <w:t>IeMprot_100611_auto</w:t>
    </w:r>
    <w:r w:rsidRPr="00F961F4">
      <w:rPr>
        <w:szCs w:val="24"/>
      </w:rPr>
      <w:fldChar w:fldCharType="end"/>
    </w:r>
    <w:r>
      <w:rPr>
        <w:szCs w:val="24"/>
      </w:rPr>
      <w:t xml:space="preserve">; Ministru kabineta sēdes </w:t>
    </w:r>
    <w:proofErr w:type="spellStart"/>
    <w:r>
      <w:rPr>
        <w:szCs w:val="24"/>
      </w:rPr>
      <w:t>protokollēmuma</w:t>
    </w:r>
    <w:proofErr w:type="spellEnd"/>
    <w:r>
      <w:rPr>
        <w:szCs w:val="24"/>
      </w:rPr>
      <w:t xml:space="preserve"> projekts </w:t>
    </w:r>
    <w:r w:rsidRPr="00F961F4">
      <w:rPr>
        <w:szCs w:val="24"/>
      </w:rPr>
      <w:t>„Samaksas kārtība komersantam par pakalpojuma sniegšanu – pārkāpum</w:t>
    </w:r>
    <w:r>
      <w:rPr>
        <w:szCs w:val="24"/>
      </w:rPr>
      <w:t>u</w:t>
    </w:r>
    <w:r w:rsidRPr="00F961F4">
      <w:rPr>
        <w:szCs w:val="24"/>
      </w:rPr>
      <w:t xml:space="preserve"> ceļu satiksmē fiksēšanu ar tehniskajiem līdzekļiem, neapturot </w:t>
    </w:r>
    <w:r>
      <w:rPr>
        <w:szCs w:val="24"/>
      </w:rPr>
      <w:t>tr</w:t>
    </w:r>
    <w:r w:rsidRPr="00F961F4">
      <w:rPr>
        <w:szCs w:val="24"/>
      </w:rPr>
      <w:t>ansportlīdzekli”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0" w:rsidRPr="00F961F4" w:rsidRDefault="00B25660" w:rsidP="00F961F4">
    <w:pPr>
      <w:pStyle w:val="Footer"/>
      <w:jc w:val="both"/>
      <w:rPr>
        <w:szCs w:val="24"/>
      </w:rPr>
    </w:pPr>
    <w:r w:rsidRPr="00F961F4">
      <w:rPr>
        <w:szCs w:val="24"/>
      </w:rPr>
      <w:fldChar w:fldCharType="begin"/>
    </w:r>
    <w:r w:rsidRPr="00F961F4">
      <w:rPr>
        <w:szCs w:val="24"/>
      </w:rPr>
      <w:instrText xml:space="preserve"> FILENAME </w:instrText>
    </w:r>
    <w:r w:rsidRPr="00F961F4">
      <w:rPr>
        <w:szCs w:val="24"/>
      </w:rPr>
      <w:fldChar w:fldCharType="separate"/>
    </w:r>
    <w:r w:rsidR="00661632">
      <w:rPr>
        <w:noProof/>
        <w:szCs w:val="24"/>
      </w:rPr>
      <w:t>IeMprot_100611_auto</w:t>
    </w:r>
    <w:r w:rsidRPr="00F961F4">
      <w:rPr>
        <w:szCs w:val="24"/>
      </w:rPr>
      <w:fldChar w:fldCharType="end"/>
    </w:r>
    <w:r>
      <w:rPr>
        <w:szCs w:val="24"/>
      </w:rPr>
      <w:t xml:space="preserve">; Ministru kabineta sēdes </w:t>
    </w:r>
    <w:proofErr w:type="spellStart"/>
    <w:r>
      <w:rPr>
        <w:szCs w:val="24"/>
      </w:rPr>
      <w:t>protokollēmuma</w:t>
    </w:r>
    <w:proofErr w:type="spellEnd"/>
    <w:r>
      <w:rPr>
        <w:szCs w:val="24"/>
      </w:rPr>
      <w:t xml:space="preserve"> projekts </w:t>
    </w:r>
    <w:r w:rsidRPr="00F961F4">
      <w:rPr>
        <w:szCs w:val="24"/>
      </w:rPr>
      <w:t>„</w:t>
    </w:r>
    <w:r>
      <w:rPr>
        <w:szCs w:val="24"/>
      </w:rPr>
      <w:t>Informatīvais ziņojums „Par Valsts policijas darbības nodrošināšanai nepieciešamo autotransporta līdzekļu nomu”</w:t>
    </w:r>
    <w:r w:rsidRPr="00F961F4">
      <w:rPr>
        <w:szCs w:val="24"/>
      </w:rPr>
      <w:t>”</w:t>
    </w:r>
  </w:p>
  <w:p w:rsidR="00B25660" w:rsidRPr="00050A5A" w:rsidRDefault="00B25660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9E" w:rsidRDefault="00AB039E">
      <w:r>
        <w:separator/>
      </w:r>
    </w:p>
  </w:footnote>
  <w:footnote w:type="continuationSeparator" w:id="0">
    <w:p w:rsidR="00AB039E" w:rsidRDefault="00AB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0" w:rsidRDefault="00B25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60" w:rsidRDefault="00B25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0" w:rsidRDefault="00B25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39C">
      <w:rPr>
        <w:rStyle w:val="PageNumber"/>
        <w:noProof/>
      </w:rPr>
      <w:t>2</w:t>
    </w:r>
    <w:r>
      <w:rPr>
        <w:rStyle w:val="PageNumber"/>
      </w:rPr>
      <w:fldChar w:fldCharType="end"/>
    </w:r>
  </w:p>
  <w:p w:rsidR="00B25660" w:rsidRDefault="00B25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60" w:rsidRDefault="00B25660" w:rsidP="00E452C2">
    <w:pPr>
      <w:pStyle w:val="Header"/>
      <w:jc w:val="right"/>
      <w:rPr>
        <w:sz w:val="28"/>
        <w:szCs w:val="28"/>
      </w:rPr>
    </w:pPr>
    <w:r w:rsidRPr="00E452C2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24E34"/>
    <w:rsid w:val="00043861"/>
    <w:rsid w:val="0004473E"/>
    <w:rsid w:val="00050A5A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589C"/>
    <w:rsid w:val="000B1581"/>
    <w:rsid w:val="000C012E"/>
    <w:rsid w:val="000C5EC7"/>
    <w:rsid w:val="000C628E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1042DD"/>
    <w:rsid w:val="0010430D"/>
    <w:rsid w:val="001065A9"/>
    <w:rsid w:val="0011252A"/>
    <w:rsid w:val="00124F90"/>
    <w:rsid w:val="0013137E"/>
    <w:rsid w:val="001320B0"/>
    <w:rsid w:val="00133E99"/>
    <w:rsid w:val="00161A92"/>
    <w:rsid w:val="0016229E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D00E5"/>
    <w:rsid w:val="001F7495"/>
    <w:rsid w:val="00201875"/>
    <w:rsid w:val="00212333"/>
    <w:rsid w:val="002124B9"/>
    <w:rsid w:val="00216B76"/>
    <w:rsid w:val="00216E98"/>
    <w:rsid w:val="002178F5"/>
    <w:rsid w:val="00231333"/>
    <w:rsid w:val="00233C48"/>
    <w:rsid w:val="00235FCE"/>
    <w:rsid w:val="00236E92"/>
    <w:rsid w:val="0024242A"/>
    <w:rsid w:val="00244BD5"/>
    <w:rsid w:val="00247EFB"/>
    <w:rsid w:val="00254F3D"/>
    <w:rsid w:val="00255BD7"/>
    <w:rsid w:val="00271DC2"/>
    <w:rsid w:val="0029140C"/>
    <w:rsid w:val="002941C9"/>
    <w:rsid w:val="0029629D"/>
    <w:rsid w:val="00296F75"/>
    <w:rsid w:val="00297FBB"/>
    <w:rsid w:val="002A4025"/>
    <w:rsid w:val="002B1CCB"/>
    <w:rsid w:val="002B3B2E"/>
    <w:rsid w:val="002C3BB6"/>
    <w:rsid w:val="002C41FD"/>
    <w:rsid w:val="002D2877"/>
    <w:rsid w:val="002D4883"/>
    <w:rsid w:val="002D6B7C"/>
    <w:rsid w:val="002E7AB2"/>
    <w:rsid w:val="002F36C1"/>
    <w:rsid w:val="002F6C71"/>
    <w:rsid w:val="002F7439"/>
    <w:rsid w:val="00300D89"/>
    <w:rsid w:val="00312A08"/>
    <w:rsid w:val="00312C4B"/>
    <w:rsid w:val="0033138A"/>
    <w:rsid w:val="00341119"/>
    <w:rsid w:val="00341286"/>
    <w:rsid w:val="00353DA6"/>
    <w:rsid w:val="003569B7"/>
    <w:rsid w:val="00371912"/>
    <w:rsid w:val="003720EC"/>
    <w:rsid w:val="00372A01"/>
    <w:rsid w:val="003732B3"/>
    <w:rsid w:val="0037332E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24B1"/>
    <w:rsid w:val="003E5F0F"/>
    <w:rsid w:val="003E61A1"/>
    <w:rsid w:val="003F640B"/>
    <w:rsid w:val="004022AC"/>
    <w:rsid w:val="00406137"/>
    <w:rsid w:val="00413F83"/>
    <w:rsid w:val="00417436"/>
    <w:rsid w:val="00425D41"/>
    <w:rsid w:val="00430056"/>
    <w:rsid w:val="004341ED"/>
    <w:rsid w:val="00434B97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B042C"/>
    <w:rsid w:val="004C60C9"/>
    <w:rsid w:val="004D12AF"/>
    <w:rsid w:val="004D4C48"/>
    <w:rsid w:val="004D6610"/>
    <w:rsid w:val="004E2761"/>
    <w:rsid w:val="004E5FD7"/>
    <w:rsid w:val="004F13C9"/>
    <w:rsid w:val="004F431C"/>
    <w:rsid w:val="004F6DED"/>
    <w:rsid w:val="00507FFD"/>
    <w:rsid w:val="0051013C"/>
    <w:rsid w:val="00513991"/>
    <w:rsid w:val="0051443A"/>
    <w:rsid w:val="00514614"/>
    <w:rsid w:val="00521926"/>
    <w:rsid w:val="005253E8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52A0"/>
    <w:rsid w:val="00577075"/>
    <w:rsid w:val="005771EF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B3D34"/>
    <w:rsid w:val="005D1765"/>
    <w:rsid w:val="005D3A3D"/>
    <w:rsid w:val="005D5E34"/>
    <w:rsid w:val="005E14F9"/>
    <w:rsid w:val="005E6C9F"/>
    <w:rsid w:val="005E74F2"/>
    <w:rsid w:val="005F1FBD"/>
    <w:rsid w:val="005F2E2D"/>
    <w:rsid w:val="00600B37"/>
    <w:rsid w:val="00604CC7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51006"/>
    <w:rsid w:val="006539EB"/>
    <w:rsid w:val="00661632"/>
    <w:rsid w:val="00671037"/>
    <w:rsid w:val="006773E3"/>
    <w:rsid w:val="006969EB"/>
    <w:rsid w:val="006B06E0"/>
    <w:rsid w:val="006B4648"/>
    <w:rsid w:val="006B4C0C"/>
    <w:rsid w:val="006C0FAE"/>
    <w:rsid w:val="006C6DB6"/>
    <w:rsid w:val="006D0A6F"/>
    <w:rsid w:val="006E3B0B"/>
    <w:rsid w:val="006F0B18"/>
    <w:rsid w:val="006F0D15"/>
    <w:rsid w:val="006F1E1D"/>
    <w:rsid w:val="006F2EE4"/>
    <w:rsid w:val="006F3312"/>
    <w:rsid w:val="006F7475"/>
    <w:rsid w:val="0070196F"/>
    <w:rsid w:val="00710BA8"/>
    <w:rsid w:val="0071214B"/>
    <w:rsid w:val="0071238E"/>
    <w:rsid w:val="007210B9"/>
    <w:rsid w:val="007210D3"/>
    <w:rsid w:val="00723077"/>
    <w:rsid w:val="0073606D"/>
    <w:rsid w:val="00751277"/>
    <w:rsid w:val="00752951"/>
    <w:rsid w:val="007728AD"/>
    <w:rsid w:val="007808CA"/>
    <w:rsid w:val="00780E37"/>
    <w:rsid w:val="00782666"/>
    <w:rsid w:val="007877AB"/>
    <w:rsid w:val="007921FB"/>
    <w:rsid w:val="007A01C2"/>
    <w:rsid w:val="007A0964"/>
    <w:rsid w:val="007A1136"/>
    <w:rsid w:val="007A2C9D"/>
    <w:rsid w:val="007B0162"/>
    <w:rsid w:val="007B7790"/>
    <w:rsid w:val="007B7BA8"/>
    <w:rsid w:val="007C243E"/>
    <w:rsid w:val="007C5AB4"/>
    <w:rsid w:val="007D0A22"/>
    <w:rsid w:val="007D34F4"/>
    <w:rsid w:val="007E3B10"/>
    <w:rsid w:val="007E7233"/>
    <w:rsid w:val="007F24D3"/>
    <w:rsid w:val="007F2E3D"/>
    <w:rsid w:val="00803A0A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5CFF"/>
    <w:rsid w:val="0087237C"/>
    <w:rsid w:val="0087255A"/>
    <w:rsid w:val="00875E5F"/>
    <w:rsid w:val="008908A1"/>
    <w:rsid w:val="008968B6"/>
    <w:rsid w:val="008A192A"/>
    <w:rsid w:val="008A3FB0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901E8E"/>
    <w:rsid w:val="00920385"/>
    <w:rsid w:val="0092149B"/>
    <w:rsid w:val="00923410"/>
    <w:rsid w:val="00940E49"/>
    <w:rsid w:val="009434AD"/>
    <w:rsid w:val="0094511F"/>
    <w:rsid w:val="009557AD"/>
    <w:rsid w:val="009646CE"/>
    <w:rsid w:val="00967A5A"/>
    <w:rsid w:val="00982430"/>
    <w:rsid w:val="00992E9A"/>
    <w:rsid w:val="00997586"/>
    <w:rsid w:val="009A00E9"/>
    <w:rsid w:val="009B17B0"/>
    <w:rsid w:val="009B5CAE"/>
    <w:rsid w:val="009C0842"/>
    <w:rsid w:val="009C7EA4"/>
    <w:rsid w:val="009D645B"/>
    <w:rsid w:val="009E7F40"/>
    <w:rsid w:val="009F2C19"/>
    <w:rsid w:val="00A04E28"/>
    <w:rsid w:val="00A06543"/>
    <w:rsid w:val="00A06905"/>
    <w:rsid w:val="00A13A19"/>
    <w:rsid w:val="00A149C2"/>
    <w:rsid w:val="00A15E47"/>
    <w:rsid w:val="00A51542"/>
    <w:rsid w:val="00A53D43"/>
    <w:rsid w:val="00A71614"/>
    <w:rsid w:val="00A74F41"/>
    <w:rsid w:val="00A775DA"/>
    <w:rsid w:val="00A83C87"/>
    <w:rsid w:val="00A8506F"/>
    <w:rsid w:val="00A9257D"/>
    <w:rsid w:val="00A965E4"/>
    <w:rsid w:val="00A96C35"/>
    <w:rsid w:val="00AA6608"/>
    <w:rsid w:val="00AA7A96"/>
    <w:rsid w:val="00AA7EB6"/>
    <w:rsid w:val="00AB039E"/>
    <w:rsid w:val="00AB1161"/>
    <w:rsid w:val="00AB57F7"/>
    <w:rsid w:val="00AC1534"/>
    <w:rsid w:val="00AC23F0"/>
    <w:rsid w:val="00AD06AF"/>
    <w:rsid w:val="00AD0D5C"/>
    <w:rsid w:val="00AE074A"/>
    <w:rsid w:val="00AF32BC"/>
    <w:rsid w:val="00AF4188"/>
    <w:rsid w:val="00AF43B8"/>
    <w:rsid w:val="00AF6320"/>
    <w:rsid w:val="00B000AC"/>
    <w:rsid w:val="00B012DD"/>
    <w:rsid w:val="00B04B2B"/>
    <w:rsid w:val="00B07A38"/>
    <w:rsid w:val="00B15C98"/>
    <w:rsid w:val="00B21E90"/>
    <w:rsid w:val="00B25660"/>
    <w:rsid w:val="00B304C3"/>
    <w:rsid w:val="00B35216"/>
    <w:rsid w:val="00B44C4D"/>
    <w:rsid w:val="00B476D7"/>
    <w:rsid w:val="00B52588"/>
    <w:rsid w:val="00B565EE"/>
    <w:rsid w:val="00B6208D"/>
    <w:rsid w:val="00B7623D"/>
    <w:rsid w:val="00B87C30"/>
    <w:rsid w:val="00B95FFD"/>
    <w:rsid w:val="00B96894"/>
    <w:rsid w:val="00BA2E3C"/>
    <w:rsid w:val="00BB46EE"/>
    <w:rsid w:val="00BB54B9"/>
    <w:rsid w:val="00BC2D5B"/>
    <w:rsid w:val="00BD10FD"/>
    <w:rsid w:val="00BD1621"/>
    <w:rsid w:val="00BE0DB2"/>
    <w:rsid w:val="00BE6ACC"/>
    <w:rsid w:val="00BE6B27"/>
    <w:rsid w:val="00BF07F6"/>
    <w:rsid w:val="00C0199E"/>
    <w:rsid w:val="00C03F2F"/>
    <w:rsid w:val="00C10478"/>
    <w:rsid w:val="00C10C40"/>
    <w:rsid w:val="00C1351A"/>
    <w:rsid w:val="00C21A9F"/>
    <w:rsid w:val="00C33057"/>
    <w:rsid w:val="00C37968"/>
    <w:rsid w:val="00C56384"/>
    <w:rsid w:val="00C62DD3"/>
    <w:rsid w:val="00C6656B"/>
    <w:rsid w:val="00C713AA"/>
    <w:rsid w:val="00C7265C"/>
    <w:rsid w:val="00C84BCA"/>
    <w:rsid w:val="00C967DB"/>
    <w:rsid w:val="00CA3046"/>
    <w:rsid w:val="00CA5450"/>
    <w:rsid w:val="00CA6AAB"/>
    <w:rsid w:val="00CB21A8"/>
    <w:rsid w:val="00CB7460"/>
    <w:rsid w:val="00CC14AE"/>
    <w:rsid w:val="00CC523D"/>
    <w:rsid w:val="00CD365A"/>
    <w:rsid w:val="00CD7465"/>
    <w:rsid w:val="00CE0195"/>
    <w:rsid w:val="00CE3DDC"/>
    <w:rsid w:val="00CF4AF1"/>
    <w:rsid w:val="00CF6231"/>
    <w:rsid w:val="00CF703A"/>
    <w:rsid w:val="00CF7CC2"/>
    <w:rsid w:val="00D00912"/>
    <w:rsid w:val="00D030A6"/>
    <w:rsid w:val="00D1036C"/>
    <w:rsid w:val="00D23C28"/>
    <w:rsid w:val="00D30FA1"/>
    <w:rsid w:val="00D314C8"/>
    <w:rsid w:val="00D34CCF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93663"/>
    <w:rsid w:val="00DA3E5E"/>
    <w:rsid w:val="00DA4D62"/>
    <w:rsid w:val="00DC07D7"/>
    <w:rsid w:val="00DE267D"/>
    <w:rsid w:val="00E000B3"/>
    <w:rsid w:val="00E00B28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801DD"/>
    <w:rsid w:val="00E836C2"/>
    <w:rsid w:val="00E870FB"/>
    <w:rsid w:val="00EA6F3F"/>
    <w:rsid w:val="00EB0400"/>
    <w:rsid w:val="00EB09E5"/>
    <w:rsid w:val="00EC037E"/>
    <w:rsid w:val="00EE5AE6"/>
    <w:rsid w:val="00EE60F6"/>
    <w:rsid w:val="00EE713A"/>
    <w:rsid w:val="00EF1014"/>
    <w:rsid w:val="00F00959"/>
    <w:rsid w:val="00F02E2C"/>
    <w:rsid w:val="00F054BD"/>
    <w:rsid w:val="00F05E5A"/>
    <w:rsid w:val="00F16590"/>
    <w:rsid w:val="00F20E90"/>
    <w:rsid w:val="00F231EC"/>
    <w:rsid w:val="00F25CEE"/>
    <w:rsid w:val="00F34281"/>
    <w:rsid w:val="00F3739C"/>
    <w:rsid w:val="00F37BB6"/>
    <w:rsid w:val="00F51760"/>
    <w:rsid w:val="00F528C5"/>
    <w:rsid w:val="00F6504F"/>
    <w:rsid w:val="00F71317"/>
    <w:rsid w:val="00F723AB"/>
    <w:rsid w:val="00F82ADB"/>
    <w:rsid w:val="00F84A11"/>
    <w:rsid w:val="00F94EDA"/>
    <w:rsid w:val="00F961F4"/>
    <w:rsid w:val="00F97290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potjomkina@ie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1383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Ieva Potjomkina</cp:lastModifiedBy>
  <cp:revision>8</cp:revision>
  <cp:lastPrinted>2011-06-10T07:14:00Z</cp:lastPrinted>
  <dcterms:created xsi:type="dcterms:W3CDTF">2011-06-08T12:35:00Z</dcterms:created>
  <dcterms:modified xsi:type="dcterms:W3CDTF">2011-06-10T07:15:00Z</dcterms:modified>
</cp:coreProperties>
</file>