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F6" w:rsidRDefault="006747F6" w:rsidP="00161F9F">
      <w:pPr>
        <w:jc w:val="center"/>
        <w:rPr>
          <w:b/>
          <w:sz w:val="28"/>
          <w:szCs w:val="28"/>
        </w:rPr>
      </w:pPr>
      <w:bookmarkStart w:id="0" w:name="OLE_LINK1"/>
      <w:bookmarkStart w:id="1" w:name="OLE_LINK2"/>
      <w:bookmarkStart w:id="2" w:name="OLE_LINK3"/>
      <w:r>
        <w:rPr>
          <w:b/>
          <w:sz w:val="28"/>
          <w:szCs w:val="28"/>
        </w:rPr>
        <w:t xml:space="preserve">Likumprojekta </w:t>
      </w:r>
      <w:r w:rsidR="00AF0303">
        <w:rPr>
          <w:b/>
          <w:sz w:val="28"/>
          <w:szCs w:val="28"/>
        </w:rPr>
        <w:t>"</w:t>
      </w:r>
      <w:r w:rsidR="00580977">
        <w:rPr>
          <w:b/>
          <w:sz w:val="28"/>
          <w:szCs w:val="28"/>
        </w:rPr>
        <w:t>Grozījumi</w:t>
      </w:r>
      <w:r>
        <w:rPr>
          <w:b/>
          <w:sz w:val="28"/>
          <w:szCs w:val="28"/>
        </w:rPr>
        <w:t xml:space="preserve"> Autortiesību likumā</w:t>
      </w:r>
      <w:r w:rsidR="00AF0303">
        <w:rPr>
          <w:b/>
          <w:sz w:val="28"/>
          <w:szCs w:val="28"/>
        </w:rPr>
        <w:t>"</w:t>
      </w:r>
    </w:p>
    <w:p w:rsidR="00E37606" w:rsidRPr="00AB2A5C" w:rsidRDefault="00E37606" w:rsidP="00161F9F">
      <w:pPr>
        <w:jc w:val="center"/>
        <w:rPr>
          <w:b/>
          <w:sz w:val="28"/>
          <w:szCs w:val="28"/>
        </w:rPr>
      </w:pPr>
      <w:r w:rsidRPr="00AB2A5C">
        <w:rPr>
          <w:b/>
          <w:sz w:val="28"/>
          <w:szCs w:val="28"/>
        </w:rPr>
        <w:t xml:space="preserve">sākotnējās ietekmes novērtējuma </w:t>
      </w:r>
      <w:smartTag w:uri="schemas-tilde-lv/tildestengine" w:element="veidnes">
        <w:smartTagPr>
          <w:attr w:name="text" w:val="ziņojums"/>
          <w:attr w:name="baseform" w:val="ziņojums"/>
          <w:attr w:name="id" w:val="-1"/>
        </w:smartTagPr>
        <w:r w:rsidRPr="00AB2A5C">
          <w:rPr>
            <w:b/>
            <w:sz w:val="28"/>
            <w:szCs w:val="28"/>
          </w:rPr>
          <w:t>ziņojums</w:t>
        </w:r>
        <w:r>
          <w:rPr>
            <w:b/>
            <w:sz w:val="28"/>
            <w:szCs w:val="28"/>
          </w:rPr>
          <w:t xml:space="preserve"> </w:t>
        </w:r>
      </w:smartTag>
      <w:r w:rsidRPr="00AB2A5C">
        <w:rPr>
          <w:b/>
          <w:sz w:val="28"/>
          <w:szCs w:val="28"/>
        </w:rPr>
        <w:t>(anotācija)</w:t>
      </w:r>
    </w:p>
    <w:bookmarkEnd w:id="0"/>
    <w:bookmarkEnd w:id="1"/>
    <w:bookmarkEnd w:id="2"/>
    <w:p w:rsidR="00E37606" w:rsidRPr="00BA5E65" w:rsidRDefault="00E37606" w:rsidP="00161F9F">
      <w:pPr>
        <w:pStyle w:val="Pamatteksts"/>
        <w:rPr>
          <w:szCs w:val="28"/>
        </w:rPr>
      </w:pPr>
    </w:p>
    <w:tbl>
      <w:tblPr>
        <w:tblpPr w:leftFromText="181" w:rightFromText="181"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6"/>
        <w:gridCol w:w="2881"/>
        <w:gridCol w:w="5665"/>
      </w:tblGrid>
      <w:tr w:rsidR="00E37606" w:rsidRPr="00BA5E65" w:rsidTr="00AB1AD2">
        <w:trPr>
          <w:trHeight w:val="361"/>
        </w:trPr>
        <w:tc>
          <w:tcPr>
            <w:tcW w:w="5000" w:type="pct"/>
            <w:gridSpan w:val="3"/>
          </w:tcPr>
          <w:p w:rsidR="00E37606" w:rsidRPr="00BA5E65" w:rsidRDefault="00E37606" w:rsidP="00FE42EC">
            <w:pPr>
              <w:pStyle w:val="Pamatteksts"/>
              <w:rPr>
                <w:szCs w:val="28"/>
              </w:rPr>
            </w:pPr>
            <w:r w:rsidRPr="00BA5E65">
              <w:rPr>
                <w:szCs w:val="28"/>
              </w:rPr>
              <w:t>I.</w:t>
            </w:r>
            <w:r w:rsidR="00FE42EC">
              <w:rPr>
                <w:szCs w:val="28"/>
              </w:rPr>
              <w:t> </w:t>
            </w:r>
            <w:r w:rsidRPr="00BA5E65">
              <w:rPr>
                <w:szCs w:val="28"/>
              </w:rPr>
              <w:t>Tiesību akta projekta izstrādes nepieciešamība</w:t>
            </w:r>
          </w:p>
        </w:tc>
      </w:tr>
      <w:tr w:rsidR="00E37606" w:rsidRPr="00BA5E65" w:rsidTr="00AB1AD2">
        <w:tc>
          <w:tcPr>
            <w:tcW w:w="290" w:type="pct"/>
          </w:tcPr>
          <w:p w:rsidR="00E37606" w:rsidRPr="00BA5E65" w:rsidRDefault="00E37606" w:rsidP="00AB1AD2">
            <w:pPr>
              <w:jc w:val="center"/>
              <w:rPr>
                <w:sz w:val="28"/>
                <w:szCs w:val="28"/>
              </w:rPr>
            </w:pPr>
            <w:r w:rsidRPr="00BA5E65">
              <w:rPr>
                <w:sz w:val="28"/>
                <w:szCs w:val="28"/>
              </w:rPr>
              <w:t>1.</w:t>
            </w:r>
          </w:p>
        </w:tc>
        <w:tc>
          <w:tcPr>
            <w:tcW w:w="1588" w:type="pct"/>
          </w:tcPr>
          <w:p w:rsidR="00E37606" w:rsidRPr="00BA5E65" w:rsidRDefault="00E37606" w:rsidP="00AB1AD2">
            <w:pPr>
              <w:rPr>
                <w:sz w:val="28"/>
                <w:szCs w:val="28"/>
              </w:rPr>
            </w:pPr>
            <w:r w:rsidRPr="00BA5E65">
              <w:rPr>
                <w:sz w:val="28"/>
                <w:szCs w:val="28"/>
              </w:rPr>
              <w:t>Pamatojums</w:t>
            </w:r>
          </w:p>
        </w:tc>
        <w:tc>
          <w:tcPr>
            <w:tcW w:w="3122" w:type="pct"/>
          </w:tcPr>
          <w:p w:rsidR="00E37606" w:rsidRPr="00C345F2" w:rsidRDefault="003D5296" w:rsidP="003D5296">
            <w:pPr>
              <w:ind w:left="57"/>
              <w:jc w:val="both"/>
              <w:rPr>
                <w:sz w:val="28"/>
                <w:szCs w:val="28"/>
              </w:rPr>
            </w:pPr>
            <w:r>
              <w:rPr>
                <w:sz w:val="28"/>
                <w:szCs w:val="28"/>
              </w:rPr>
              <w:t>Eiropas Parlamenta un P</w:t>
            </w:r>
            <w:r w:rsidRPr="009B39D2">
              <w:rPr>
                <w:sz w:val="28"/>
                <w:szCs w:val="28"/>
              </w:rPr>
              <w:t xml:space="preserve">adomes </w:t>
            </w:r>
            <w:r w:rsidR="00A577EA">
              <w:rPr>
                <w:sz w:val="28"/>
                <w:szCs w:val="28"/>
              </w:rPr>
              <w:t>2011.gada 27.septembra d</w:t>
            </w:r>
            <w:r w:rsidRPr="009B39D2">
              <w:rPr>
                <w:sz w:val="28"/>
                <w:szCs w:val="28"/>
              </w:rPr>
              <w:t>irektīva 2011/77/</w:t>
            </w:r>
            <w:r>
              <w:rPr>
                <w:sz w:val="28"/>
                <w:szCs w:val="28"/>
              </w:rPr>
              <w:t>ES</w:t>
            </w:r>
            <w:r w:rsidR="003D2800">
              <w:rPr>
                <w:sz w:val="28"/>
                <w:szCs w:val="28"/>
              </w:rPr>
              <w:t>,</w:t>
            </w:r>
            <w:r>
              <w:rPr>
                <w:sz w:val="28"/>
                <w:szCs w:val="28"/>
              </w:rPr>
              <w:t xml:space="preserve"> </w:t>
            </w:r>
            <w:r w:rsidR="00A577EA">
              <w:rPr>
                <w:sz w:val="28"/>
                <w:szCs w:val="28"/>
              </w:rPr>
              <w:t>ar ko groza d</w:t>
            </w:r>
            <w:r w:rsidRPr="009B39D2">
              <w:rPr>
                <w:sz w:val="28"/>
                <w:szCs w:val="28"/>
              </w:rPr>
              <w:t>irektīvu 2006/116/EK par autortiesību un dažu blakustiesību aizsardzības termiņiem</w:t>
            </w:r>
            <w:r w:rsidR="0086552C">
              <w:rPr>
                <w:sz w:val="28"/>
                <w:szCs w:val="28"/>
              </w:rPr>
              <w:t xml:space="preserve"> (turpmāk – Direktīva)</w:t>
            </w:r>
            <w:r>
              <w:rPr>
                <w:sz w:val="28"/>
                <w:szCs w:val="28"/>
              </w:rPr>
              <w:t>.</w:t>
            </w:r>
          </w:p>
        </w:tc>
      </w:tr>
      <w:tr w:rsidR="00E37606" w:rsidRPr="00BA5E65" w:rsidTr="00AB1AD2">
        <w:tc>
          <w:tcPr>
            <w:tcW w:w="290" w:type="pct"/>
          </w:tcPr>
          <w:p w:rsidR="00E37606" w:rsidRPr="00BA5E65" w:rsidRDefault="00E37606" w:rsidP="00AB1AD2">
            <w:pPr>
              <w:jc w:val="center"/>
              <w:rPr>
                <w:sz w:val="28"/>
                <w:szCs w:val="28"/>
              </w:rPr>
            </w:pPr>
            <w:r w:rsidRPr="00BA5E65">
              <w:rPr>
                <w:sz w:val="28"/>
                <w:szCs w:val="28"/>
              </w:rPr>
              <w:t>2.</w:t>
            </w:r>
          </w:p>
        </w:tc>
        <w:tc>
          <w:tcPr>
            <w:tcW w:w="1588" w:type="pct"/>
          </w:tcPr>
          <w:p w:rsidR="00E37606" w:rsidRPr="00BA5E65" w:rsidRDefault="00E37606" w:rsidP="00AB1AD2">
            <w:pPr>
              <w:rPr>
                <w:sz w:val="28"/>
                <w:szCs w:val="28"/>
              </w:rPr>
            </w:pPr>
            <w:r w:rsidRPr="00BA5E65">
              <w:rPr>
                <w:sz w:val="28"/>
                <w:szCs w:val="28"/>
              </w:rPr>
              <w:t>Pašreizējā situācija un problēmas</w:t>
            </w:r>
          </w:p>
        </w:tc>
        <w:tc>
          <w:tcPr>
            <w:tcW w:w="3122" w:type="pct"/>
          </w:tcPr>
          <w:p w:rsidR="00E37606" w:rsidRDefault="0086552C" w:rsidP="0086552C">
            <w:pPr>
              <w:pStyle w:val="naiskr"/>
              <w:spacing w:before="0" w:after="0"/>
              <w:jc w:val="both"/>
              <w:rPr>
                <w:sz w:val="28"/>
                <w:szCs w:val="28"/>
              </w:rPr>
            </w:pPr>
            <w:r w:rsidRPr="0086552C">
              <w:rPr>
                <w:sz w:val="28"/>
                <w:szCs w:val="28"/>
              </w:rPr>
              <w:t>Direktīva tika publicēta Eiropas Savienības Oficiālajā Vēstnesī</w:t>
            </w:r>
            <w:r>
              <w:rPr>
                <w:sz w:val="28"/>
                <w:szCs w:val="28"/>
              </w:rPr>
              <w:t xml:space="preserve"> </w:t>
            </w:r>
            <w:r w:rsidRPr="0086552C">
              <w:rPr>
                <w:sz w:val="28"/>
                <w:szCs w:val="28"/>
              </w:rPr>
              <w:t xml:space="preserve">2011.gada </w:t>
            </w:r>
            <w:r>
              <w:rPr>
                <w:sz w:val="28"/>
                <w:szCs w:val="28"/>
              </w:rPr>
              <w:t>11</w:t>
            </w:r>
            <w:r w:rsidRPr="0086552C">
              <w:rPr>
                <w:sz w:val="28"/>
                <w:szCs w:val="28"/>
              </w:rPr>
              <w:t>.</w:t>
            </w:r>
            <w:r>
              <w:rPr>
                <w:sz w:val="28"/>
                <w:szCs w:val="28"/>
              </w:rPr>
              <w:t>oktobrī</w:t>
            </w:r>
            <w:r w:rsidRPr="0086552C">
              <w:rPr>
                <w:sz w:val="28"/>
                <w:szCs w:val="28"/>
              </w:rPr>
              <w:t xml:space="preserve">. Tās pārņemšanas termiņš ir 2013.gada </w:t>
            </w:r>
            <w:r>
              <w:rPr>
                <w:sz w:val="28"/>
                <w:szCs w:val="28"/>
              </w:rPr>
              <w:t>1</w:t>
            </w:r>
            <w:r w:rsidRPr="0086552C">
              <w:rPr>
                <w:sz w:val="28"/>
                <w:szCs w:val="28"/>
              </w:rPr>
              <w:t>.</w:t>
            </w:r>
            <w:r>
              <w:rPr>
                <w:sz w:val="28"/>
                <w:szCs w:val="28"/>
              </w:rPr>
              <w:t>novembris</w:t>
            </w:r>
            <w:r w:rsidRPr="0086552C">
              <w:rPr>
                <w:sz w:val="28"/>
                <w:szCs w:val="28"/>
              </w:rPr>
              <w:t>.</w:t>
            </w:r>
          </w:p>
          <w:p w:rsidR="0086552C" w:rsidRDefault="0086552C" w:rsidP="0086552C">
            <w:pPr>
              <w:pStyle w:val="naiskr"/>
              <w:spacing w:before="0" w:after="0"/>
              <w:jc w:val="both"/>
              <w:rPr>
                <w:sz w:val="28"/>
                <w:szCs w:val="28"/>
              </w:rPr>
            </w:pPr>
          </w:p>
          <w:p w:rsidR="005B7989" w:rsidRDefault="005B7989" w:rsidP="00AA148D">
            <w:pPr>
              <w:pStyle w:val="naiskr"/>
              <w:jc w:val="both"/>
              <w:rPr>
                <w:sz w:val="28"/>
                <w:szCs w:val="28"/>
              </w:rPr>
            </w:pPr>
            <w:r>
              <w:rPr>
                <w:sz w:val="28"/>
                <w:szCs w:val="28"/>
              </w:rPr>
              <w:t>A</w:t>
            </w:r>
            <w:r w:rsidR="00AA148D">
              <w:rPr>
                <w:sz w:val="28"/>
                <w:szCs w:val="28"/>
              </w:rPr>
              <w:t xml:space="preserve">tbilstoši Direktīvas </w:t>
            </w:r>
            <w:r w:rsidR="004E5C20">
              <w:rPr>
                <w:sz w:val="28"/>
                <w:szCs w:val="28"/>
              </w:rPr>
              <w:t xml:space="preserve">preambulai </w:t>
            </w:r>
            <w:r>
              <w:rPr>
                <w:sz w:val="28"/>
                <w:szCs w:val="28"/>
              </w:rPr>
              <w:t>i</w:t>
            </w:r>
            <w:r w:rsidRPr="005B7989">
              <w:rPr>
                <w:sz w:val="28"/>
                <w:szCs w:val="28"/>
              </w:rPr>
              <w:t>zpildītāju radošā devuma sabiedriski atzītais nozīmīgums</w:t>
            </w:r>
            <w:r>
              <w:rPr>
                <w:sz w:val="28"/>
                <w:szCs w:val="28"/>
              </w:rPr>
              <w:t xml:space="preserve"> </w:t>
            </w:r>
            <w:r w:rsidRPr="005B7989">
              <w:rPr>
                <w:sz w:val="28"/>
                <w:szCs w:val="28"/>
              </w:rPr>
              <w:t>būtu jāatspoguļo ar tādu aizsardzības līmeni, lai atzītu</w:t>
            </w:r>
            <w:r>
              <w:rPr>
                <w:sz w:val="28"/>
                <w:szCs w:val="28"/>
              </w:rPr>
              <w:t xml:space="preserve"> </w:t>
            </w:r>
            <w:r w:rsidRPr="005B7989">
              <w:rPr>
                <w:sz w:val="28"/>
                <w:szCs w:val="28"/>
              </w:rPr>
              <w:t>viņu radošo un māksliniecisko ieguldījumu</w:t>
            </w:r>
            <w:r w:rsidR="00AA148D">
              <w:rPr>
                <w:sz w:val="28"/>
                <w:szCs w:val="28"/>
              </w:rPr>
              <w:t xml:space="preserve"> (4.apsvērums)</w:t>
            </w:r>
            <w:r w:rsidRPr="005B7989">
              <w:rPr>
                <w:sz w:val="28"/>
                <w:szCs w:val="28"/>
              </w:rPr>
              <w:t>.</w:t>
            </w:r>
            <w:r>
              <w:rPr>
                <w:sz w:val="28"/>
                <w:szCs w:val="28"/>
              </w:rPr>
              <w:t xml:space="preserve"> Tāpat </w:t>
            </w:r>
            <w:r w:rsidR="00AA148D">
              <w:rPr>
                <w:sz w:val="28"/>
                <w:szCs w:val="28"/>
              </w:rPr>
              <w:t>pašreizējais</w:t>
            </w:r>
            <w:r>
              <w:rPr>
                <w:sz w:val="28"/>
                <w:szCs w:val="28"/>
              </w:rPr>
              <w:t xml:space="preserve"> </w:t>
            </w:r>
            <w:r w:rsidRPr="005B7989">
              <w:rPr>
                <w:sz w:val="28"/>
                <w:szCs w:val="28"/>
              </w:rPr>
              <w:t>50</w:t>
            </w:r>
            <w:r>
              <w:rPr>
                <w:sz w:val="28"/>
                <w:szCs w:val="28"/>
              </w:rPr>
              <w:t xml:space="preserve"> </w:t>
            </w:r>
            <w:r w:rsidRPr="005B7989">
              <w:rPr>
                <w:sz w:val="28"/>
                <w:szCs w:val="28"/>
              </w:rPr>
              <w:t>gadu aizsardzības termiņš, ko piemēro izpildījumu fiksācijām,</w:t>
            </w:r>
            <w:r>
              <w:rPr>
                <w:sz w:val="28"/>
                <w:szCs w:val="28"/>
              </w:rPr>
              <w:t xml:space="preserve"> </w:t>
            </w:r>
            <w:r w:rsidRPr="005B7989">
              <w:rPr>
                <w:sz w:val="28"/>
                <w:szCs w:val="28"/>
              </w:rPr>
              <w:t xml:space="preserve">bieži vien nenodrošina šo </w:t>
            </w:r>
            <w:r>
              <w:rPr>
                <w:sz w:val="28"/>
                <w:szCs w:val="28"/>
              </w:rPr>
              <w:t>izpildījumu</w:t>
            </w:r>
            <w:r w:rsidRPr="005B7989">
              <w:rPr>
                <w:sz w:val="28"/>
                <w:szCs w:val="28"/>
              </w:rPr>
              <w:t xml:space="preserve"> aizsardzību visas izpildītāju</w:t>
            </w:r>
            <w:r>
              <w:rPr>
                <w:sz w:val="28"/>
                <w:szCs w:val="28"/>
              </w:rPr>
              <w:t xml:space="preserve"> </w:t>
            </w:r>
            <w:r w:rsidRPr="005B7989">
              <w:rPr>
                <w:sz w:val="28"/>
                <w:szCs w:val="28"/>
              </w:rPr>
              <w:t>dzīves garumā</w:t>
            </w:r>
            <w:r>
              <w:rPr>
                <w:sz w:val="28"/>
                <w:szCs w:val="28"/>
              </w:rPr>
              <w:t xml:space="preserve">. </w:t>
            </w:r>
            <w:r w:rsidR="00AA148D">
              <w:rPr>
                <w:sz w:val="28"/>
                <w:szCs w:val="28"/>
              </w:rPr>
              <w:t>T</w:t>
            </w:r>
            <w:r w:rsidR="00AA148D" w:rsidRPr="00AA148D">
              <w:rPr>
                <w:sz w:val="28"/>
                <w:szCs w:val="28"/>
              </w:rPr>
              <w:t>urklāt bieži vien izpildītāji nevar izmantot savas tiesības, lai novērstu vai ierobežotu aizskarošu viņu izpildījumu izmantošanu (5.apsvērums)</w:t>
            </w:r>
            <w:r w:rsidR="00AA148D">
              <w:rPr>
                <w:sz w:val="28"/>
                <w:szCs w:val="28"/>
              </w:rPr>
              <w:t>.</w:t>
            </w:r>
            <w:r w:rsidR="00AA148D">
              <w:t xml:space="preserve"> </w:t>
            </w:r>
            <w:r w:rsidR="00AA148D" w:rsidRPr="00AA148D">
              <w:rPr>
                <w:sz w:val="28"/>
                <w:szCs w:val="28"/>
              </w:rPr>
              <w:t>Tāpēc Direktīvas mērķis ir pagarināt izpildītāju un fonogrammu producentu tiesību aizsardzības termiņu, kā arī paredzēt papildu pasākumus, kas sekmētu izpildītāju tiesības gūt atlīdzību par viņu izpildījumu izmantošanu.</w:t>
            </w:r>
          </w:p>
          <w:p w:rsidR="00AA148D" w:rsidRDefault="00AA148D" w:rsidP="00AA148D">
            <w:pPr>
              <w:pStyle w:val="naiskr"/>
              <w:jc w:val="both"/>
              <w:rPr>
                <w:sz w:val="28"/>
                <w:szCs w:val="28"/>
              </w:rPr>
            </w:pPr>
          </w:p>
          <w:p w:rsidR="00AA148D" w:rsidRPr="00AA148D" w:rsidRDefault="00AA148D" w:rsidP="00AA148D">
            <w:pPr>
              <w:pStyle w:val="naiskr"/>
              <w:spacing w:before="0" w:after="120"/>
              <w:jc w:val="both"/>
              <w:rPr>
                <w:b/>
                <w:sz w:val="28"/>
                <w:szCs w:val="28"/>
              </w:rPr>
            </w:pPr>
            <w:r w:rsidRPr="00AA148D">
              <w:rPr>
                <w:b/>
                <w:sz w:val="28"/>
                <w:szCs w:val="28"/>
              </w:rPr>
              <w:t>Izpildītāju tiesību aizsardzības termiņa pagarināšana</w:t>
            </w:r>
          </w:p>
          <w:p w:rsidR="00AA148D" w:rsidRPr="00AA148D" w:rsidRDefault="00AA148D" w:rsidP="00AA148D">
            <w:pPr>
              <w:pStyle w:val="naiskr"/>
              <w:spacing w:before="0" w:after="120"/>
              <w:jc w:val="both"/>
              <w:rPr>
                <w:sz w:val="28"/>
                <w:szCs w:val="28"/>
              </w:rPr>
            </w:pPr>
            <w:r w:rsidRPr="00AA148D">
              <w:rPr>
                <w:sz w:val="28"/>
                <w:szCs w:val="28"/>
              </w:rPr>
              <w:t>Atbilstoši Autortiesību likuma 55.panta pirmajai daļai izpildītāju tiesības ir spēkā 50 gadus pēc pirmā izpildījuma. Ja šajā laikā izpildījuma fiksācija ir likumīgi publicēta vai publiskota, aizsardzības termiņš ir spēkā 50 gadus pēc publicēšanas vai publiskošanas dienas atkarībā no tā, kura darbība bijusi pirmā.</w:t>
            </w:r>
          </w:p>
          <w:p w:rsidR="00AA148D" w:rsidRDefault="00AA148D" w:rsidP="00AA148D">
            <w:pPr>
              <w:pStyle w:val="naiskr"/>
              <w:jc w:val="both"/>
              <w:rPr>
                <w:sz w:val="28"/>
                <w:szCs w:val="28"/>
              </w:rPr>
            </w:pPr>
            <w:r w:rsidRPr="00AA148D">
              <w:rPr>
                <w:sz w:val="28"/>
                <w:szCs w:val="28"/>
              </w:rPr>
              <w:t xml:space="preserve">Direktīvas 1.panta 2.punkta (a) apakšpunkts paredz minētā izpildītāju tiesību aizsardzības termiņa pagarināšanu uz 70 gadiem attiecībā uz </w:t>
            </w:r>
            <w:r w:rsidRPr="00AA148D">
              <w:rPr>
                <w:sz w:val="28"/>
                <w:szCs w:val="28"/>
              </w:rPr>
              <w:lastRenderedPageBreak/>
              <w:t>izpildījumu fiksācijām fonogrammās, kas likumīgi publiskotas vai publicētas.</w:t>
            </w:r>
          </w:p>
          <w:p w:rsidR="00C536FE" w:rsidRDefault="00C536FE" w:rsidP="00C536FE">
            <w:pPr>
              <w:pStyle w:val="naiskr"/>
              <w:spacing w:before="0" w:after="0"/>
              <w:jc w:val="both"/>
              <w:rPr>
                <w:sz w:val="28"/>
                <w:szCs w:val="28"/>
              </w:rPr>
            </w:pPr>
          </w:p>
          <w:p w:rsidR="00AA148D" w:rsidRPr="00AA148D" w:rsidRDefault="00AA148D" w:rsidP="00AA148D">
            <w:pPr>
              <w:pStyle w:val="naiskr"/>
              <w:spacing w:before="0" w:after="0"/>
              <w:jc w:val="both"/>
              <w:rPr>
                <w:b/>
                <w:sz w:val="28"/>
                <w:szCs w:val="28"/>
              </w:rPr>
            </w:pPr>
            <w:r w:rsidRPr="00AA148D">
              <w:rPr>
                <w:b/>
                <w:sz w:val="28"/>
                <w:szCs w:val="28"/>
              </w:rPr>
              <w:t>Fonogrammas producenta tiesību aizsardzības termiņa pagarināšana</w:t>
            </w:r>
          </w:p>
          <w:p w:rsidR="00AA148D" w:rsidRPr="00AA148D" w:rsidRDefault="00AA148D" w:rsidP="00AA148D">
            <w:pPr>
              <w:pStyle w:val="naiskr"/>
              <w:spacing w:before="0" w:after="120"/>
              <w:jc w:val="both"/>
              <w:rPr>
                <w:sz w:val="28"/>
                <w:szCs w:val="28"/>
              </w:rPr>
            </w:pPr>
            <w:r w:rsidRPr="00AA148D">
              <w:rPr>
                <w:sz w:val="28"/>
                <w:szCs w:val="28"/>
              </w:rPr>
              <w:t>Atbilstoši Autortiesību likuma 55.panta otrajai daļai fonogrammas producenta tiesības ir spēkā 50 gadus pēc tam, kad izdarīta fiksācija. Ja šajā laikā fonogramma ir likumīgi publicēta vai publiskota, aizsardzības termiņš ir spēkā 50 gadus pēc publicēšanas vai publiskošanas dienas atkarībā no tā, kura darbība bijusi pirmā.</w:t>
            </w:r>
          </w:p>
          <w:p w:rsidR="00AA148D" w:rsidRDefault="00AA148D" w:rsidP="00AA148D">
            <w:pPr>
              <w:pStyle w:val="naiskr"/>
              <w:spacing w:before="0" w:after="0"/>
              <w:jc w:val="both"/>
              <w:rPr>
                <w:sz w:val="28"/>
                <w:szCs w:val="28"/>
              </w:rPr>
            </w:pPr>
            <w:r w:rsidRPr="00AA148D">
              <w:rPr>
                <w:sz w:val="28"/>
                <w:szCs w:val="28"/>
              </w:rPr>
              <w:t>Direktīvas 1.panta 2.punkta (b) apakšpunkts paredz minētā fonogrammas producenta tiesību aizsardzības termiņa pagarināšanu uz 70 gadiem attiecībā uz fonogrammām, kas likumīgi publicētas vai publiskotas.</w:t>
            </w:r>
          </w:p>
          <w:p w:rsidR="00DE5400" w:rsidRDefault="00DE5400" w:rsidP="00AA148D">
            <w:pPr>
              <w:pStyle w:val="naiskr"/>
              <w:spacing w:before="0" w:after="0"/>
              <w:jc w:val="both"/>
              <w:rPr>
                <w:sz w:val="28"/>
                <w:szCs w:val="28"/>
              </w:rPr>
            </w:pPr>
          </w:p>
          <w:p w:rsidR="00DE5400" w:rsidRPr="00DE5400" w:rsidRDefault="00DE5400" w:rsidP="00DE5400">
            <w:pPr>
              <w:pStyle w:val="naiskr"/>
              <w:spacing w:before="0" w:after="120"/>
              <w:jc w:val="both"/>
              <w:rPr>
                <w:b/>
                <w:sz w:val="28"/>
                <w:szCs w:val="28"/>
              </w:rPr>
            </w:pPr>
            <w:r w:rsidRPr="00DE5400">
              <w:rPr>
                <w:b/>
                <w:sz w:val="28"/>
                <w:szCs w:val="28"/>
              </w:rPr>
              <w:t>Izpildītāja tiesības izbeigt līgumu</w:t>
            </w:r>
          </w:p>
          <w:p w:rsidR="00DE5400" w:rsidRPr="00DE5400" w:rsidRDefault="00DE5400" w:rsidP="001D274E">
            <w:pPr>
              <w:pStyle w:val="naiskr"/>
              <w:spacing w:before="0" w:after="0"/>
              <w:jc w:val="both"/>
              <w:rPr>
                <w:sz w:val="28"/>
                <w:szCs w:val="28"/>
              </w:rPr>
            </w:pPr>
            <w:r w:rsidRPr="00DE5400">
              <w:rPr>
                <w:sz w:val="28"/>
                <w:szCs w:val="28"/>
              </w:rPr>
              <w:t>Direktīvas 1.panta 2.punkta (c) apakšpunkts paredz izpildītāja tiesības izbeigt līgumu, ar kuru tas nodevis fonogrammas producentam tiesības uz savu izpildījumu, ja pēc 50 gadu aizsardzības termiņa izbeigšanās fonogrammas producents</w:t>
            </w:r>
            <w:r w:rsidR="001D274E">
              <w:rPr>
                <w:sz w:val="28"/>
                <w:szCs w:val="28"/>
              </w:rPr>
              <w:t>:</w:t>
            </w:r>
          </w:p>
          <w:p w:rsidR="00DE5400" w:rsidRPr="00DE5400" w:rsidRDefault="001D274E" w:rsidP="001D274E">
            <w:pPr>
              <w:pStyle w:val="naiskr"/>
              <w:spacing w:before="0" w:after="0"/>
              <w:jc w:val="both"/>
              <w:rPr>
                <w:sz w:val="28"/>
                <w:szCs w:val="28"/>
              </w:rPr>
            </w:pPr>
            <w:r>
              <w:rPr>
                <w:sz w:val="28"/>
                <w:szCs w:val="28"/>
              </w:rPr>
              <w:t>1) </w:t>
            </w:r>
            <w:r w:rsidR="00DE5400" w:rsidRPr="00DE5400">
              <w:rPr>
                <w:sz w:val="28"/>
                <w:szCs w:val="28"/>
              </w:rPr>
              <w:t>nepiedāvā nopirkt fonogrammas kopijas pietiekamā daudzumā vai</w:t>
            </w:r>
          </w:p>
          <w:p w:rsidR="00DE5400" w:rsidRPr="00DE5400" w:rsidRDefault="001D274E" w:rsidP="00D818DB">
            <w:pPr>
              <w:pStyle w:val="naiskr"/>
              <w:spacing w:before="0" w:after="120"/>
              <w:jc w:val="both"/>
              <w:rPr>
                <w:sz w:val="28"/>
                <w:szCs w:val="28"/>
              </w:rPr>
            </w:pPr>
            <w:r>
              <w:rPr>
                <w:sz w:val="28"/>
                <w:szCs w:val="28"/>
              </w:rPr>
              <w:t>2) </w:t>
            </w:r>
            <w:r w:rsidR="00DE5400" w:rsidRPr="00DE5400">
              <w:rPr>
                <w:sz w:val="28"/>
                <w:szCs w:val="28"/>
              </w:rPr>
              <w:t>nenodrošina tās pieejamību sabiedrībai pa vadiem vai citādā veidā tādējādi, ka tai var piekļūt individuāli izraudzītā vietā un individuāli izraudzītā laikā.</w:t>
            </w:r>
          </w:p>
          <w:p w:rsidR="00DE5400" w:rsidRPr="00DE5400" w:rsidRDefault="00DE5400" w:rsidP="00D818DB">
            <w:pPr>
              <w:pStyle w:val="naiskr"/>
              <w:spacing w:before="0" w:after="120"/>
              <w:jc w:val="both"/>
              <w:rPr>
                <w:sz w:val="28"/>
                <w:szCs w:val="28"/>
              </w:rPr>
            </w:pPr>
            <w:r w:rsidRPr="00DE5400">
              <w:rPr>
                <w:sz w:val="28"/>
                <w:szCs w:val="28"/>
              </w:rPr>
              <w:t xml:space="preserve">Izpildītājam ir pienākums paziņot fonogrammas producentam par nodomu izbeigt līgumu. Ja fonogrammas producents viena gada laikā pēc minētā paziņojuma saņemšanas neveic abas iepriekš minētās izmantošanas darbības, izpildītāja līgums ar fonogrammas producentu var tikt izbeigts, kā rezultātā izbeidzas fonogrammas producenta tiesības uz konkrēto </w:t>
            </w:r>
            <w:r w:rsidR="004E5C20">
              <w:rPr>
                <w:sz w:val="28"/>
                <w:szCs w:val="28"/>
              </w:rPr>
              <w:t>fonogrammu</w:t>
            </w:r>
            <w:r w:rsidRPr="00DE5400">
              <w:rPr>
                <w:sz w:val="28"/>
                <w:szCs w:val="28"/>
              </w:rPr>
              <w:t>.</w:t>
            </w:r>
          </w:p>
          <w:p w:rsidR="00DE5400" w:rsidRDefault="00DE5400" w:rsidP="00DE5400">
            <w:pPr>
              <w:pStyle w:val="naiskr"/>
              <w:spacing w:before="0" w:after="0"/>
              <w:jc w:val="both"/>
              <w:rPr>
                <w:sz w:val="28"/>
                <w:szCs w:val="28"/>
              </w:rPr>
            </w:pPr>
            <w:r w:rsidRPr="00DE5400">
              <w:rPr>
                <w:sz w:val="28"/>
                <w:szCs w:val="28"/>
              </w:rPr>
              <w:t xml:space="preserve">Direktīva paredz, ka gadījumos, kad fonogrammā fiksēti vairāku izpildītāju izpildījumi, izpildītāju tiesības izbeigt līgumu ar fonogrammas producentu īstenojamas atbilstoši nacionālajiem </w:t>
            </w:r>
            <w:r w:rsidRPr="00DE5400">
              <w:rPr>
                <w:sz w:val="28"/>
                <w:szCs w:val="28"/>
              </w:rPr>
              <w:lastRenderedPageBreak/>
              <w:t>normatīvajiem aktiem.</w:t>
            </w:r>
          </w:p>
          <w:p w:rsidR="00D818DB" w:rsidRPr="00D818DB" w:rsidRDefault="00D818DB" w:rsidP="00D818DB">
            <w:pPr>
              <w:pStyle w:val="naiskr"/>
              <w:spacing w:before="0" w:after="120"/>
              <w:jc w:val="both"/>
              <w:rPr>
                <w:b/>
                <w:sz w:val="28"/>
                <w:szCs w:val="28"/>
              </w:rPr>
            </w:pPr>
            <w:r w:rsidRPr="00D818DB">
              <w:rPr>
                <w:b/>
                <w:sz w:val="28"/>
                <w:szCs w:val="28"/>
              </w:rPr>
              <w:t>Izpildītāja tiesības saņemt ikgadējo papildu atlīdzību</w:t>
            </w:r>
          </w:p>
          <w:p w:rsidR="00B05143" w:rsidRPr="00B05143" w:rsidRDefault="00B05143" w:rsidP="00B05143">
            <w:pPr>
              <w:pStyle w:val="naiskr"/>
              <w:jc w:val="both"/>
              <w:rPr>
                <w:sz w:val="28"/>
                <w:szCs w:val="28"/>
              </w:rPr>
            </w:pPr>
            <w:r w:rsidRPr="00B05143">
              <w:rPr>
                <w:sz w:val="28"/>
                <w:szCs w:val="28"/>
              </w:rPr>
              <w:t xml:space="preserve">Slēdzot līgumu, ar kuru izpildītājs nodod savas izņēmuma (ekskluzīvās) tiesības fonogrammas producentam, izpildītāji bieži saņem vienreizēju atlīdzību vai arī pēc sākotnējā avansa saņemšanas sāk saņemt regulārus maksājumus no fonogrammas producenta tikai tad, kad minētais producents ir atguvis izdevumus par attiecīgās fonogrammas publicēšanu vai publiskošanu un veicis citus līgumā paredzētos atskaitījumus. Lai nodrošinātu, ka šādi izpildītāji gūtu labumu no viņu </w:t>
            </w:r>
            <w:r w:rsidR="001950AE">
              <w:rPr>
                <w:sz w:val="28"/>
                <w:szCs w:val="28"/>
              </w:rPr>
              <w:t xml:space="preserve">tiesību </w:t>
            </w:r>
            <w:r w:rsidRPr="00B05143">
              <w:rPr>
                <w:sz w:val="28"/>
                <w:szCs w:val="28"/>
              </w:rPr>
              <w:t xml:space="preserve">aizsardzības termiņa pagarināšanas, Direktīvas 1.panta 2.punkta (c) apakšpunktā ir </w:t>
            </w:r>
            <w:r w:rsidR="00050DA9">
              <w:rPr>
                <w:sz w:val="28"/>
                <w:szCs w:val="28"/>
              </w:rPr>
              <w:t>paredzēti divi papildu pasākumi, kas īstenojami pēc 50 gadu aizsardzības termiņa izbeigšanās.</w:t>
            </w:r>
          </w:p>
          <w:p w:rsidR="00050DA9" w:rsidRDefault="00B05143" w:rsidP="00B05143">
            <w:pPr>
              <w:pStyle w:val="naiskr"/>
              <w:spacing w:before="0" w:after="0"/>
              <w:jc w:val="both"/>
              <w:rPr>
                <w:sz w:val="28"/>
                <w:szCs w:val="28"/>
              </w:rPr>
            </w:pPr>
            <w:r w:rsidRPr="00B05143">
              <w:rPr>
                <w:sz w:val="28"/>
                <w:szCs w:val="28"/>
              </w:rPr>
              <w:t xml:space="preserve">Pirmkārt, </w:t>
            </w:r>
            <w:r w:rsidR="00050DA9">
              <w:rPr>
                <w:sz w:val="28"/>
                <w:szCs w:val="28"/>
              </w:rPr>
              <w:t>fonogrammas producentam ir noteikts pienākums atlikt 20% no ienākumiem, ko tas saņēmis par fonogrammas izmantošanu iepriekšējā gadā.</w:t>
            </w:r>
            <w:r w:rsidR="005A6205">
              <w:rPr>
                <w:sz w:val="28"/>
                <w:szCs w:val="28"/>
              </w:rPr>
              <w:t xml:space="preserve"> Šī</w:t>
            </w:r>
            <w:r w:rsidR="00050DA9">
              <w:rPr>
                <w:sz w:val="28"/>
                <w:szCs w:val="28"/>
              </w:rPr>
              <w:t xml:space="preserve"> summa izlietojama ikgadējas papildu atlīdzības samaksai izpildītājam, kurš, slēdzot līgumu ar fonogrammas producentu, saņēmis vienreizēju atlīdzību.</w:t>
            </w:r>
            <w:r w:rsidR="0099462D">
              <w:rPr>
                <w:sz w:val="28"/>
                <w:szCs w:val="28"/>
              </w:rPr>
              <w:t xml:space="preserve"> Direktīva paredz </w:t>
            </w:r>
            <w:r w:rsidR="00AE239E">
              <w:rPr>
                <w:sz w:val="28"/>
                <w:szCs w:val="28"/>
              </w:rPr>
              <w:t xml:space="preserve">Eiropas Savienības (ES) dalībvalstu pienākumu uzticēt </w:t>
            </w:r>
            <w:r w:rsidR="0099462D">
              <w:rPr>
                <w:sz w:val="28"/>
                <w:szCs w:val="28"/>
              </w:rPr>
              <w:t>iepriekš minētās atlīdzības izmaksas administrē</w:t>
            </w:r>
            <w:r w:rsidR="00AE239E">
              <w:rPr>
                <w:sz w:val="28"/>
                <w:szCs w:val="28"/>
              </w:rPr>
              <w:t>šanu</w:t>
            </w:r>
            <w:r w:rsidR="0099462D">
              <w:rPr>
                <w:sz w:val="28"/>
                <w:szCs w:val="28"/>
              </w:rPr>
              <w:t xml:space="preserve"> mantisko tiesību kolektīvā pārvaldījuma organizācijai.</w:t>
            </w:r>
          </w:p>
          <w:p w:rsidR="00D818DB" w:rsidRDefault="00050DA9" w:rsidP="00B05143">
            <w:pPr>
              <w:pStyle w:val="naiskr"/>
              <w:spacing w:before="0" w:after="0"/>
              <w:jc w:val="both"/>
              <w:rPr>
                <w:sz w:val="28"/>
                <w:szCs w:val="28"/>
              </w:rPr>
            </w:pPr>
            <w:r>
              <w:rPr>
                <w:sz w:val="28"/>
                <w:szCs w:val="28"/>
              </w:rPr>
              <w:t xml:space="preserve">Otrkārt, </w:t>
            </w:r>
            <w:r w:rsidR="00A73522">
              <w:rPr>
                <w:sz w:val="28"/>
                <w:szCs w:val="28"/>
              </w:rPr>
              <w:t>gadījumos, kad izpildītājam ir tiesības saņemt regulārus maksājumus, fonogrammas producents nedrīkst no minētajiem maksājumiem atskaitīt ne avansa maksājumus, ne jebkādus citus līgumā ar izpildītāju noteiktus atskaitījumus.</w:t>
            </w:r>
          </w:p>
          <w:p w:rsidR="00B05143" w:rsidRDefault="00B05143" w:rsidP="00B05143">
            <w:pPr>
              <w:pStyle w:val="naiskr"/>
              <w:spacing w:before="0" w:after="0"/>
              <w:jc w:val="both"/>
              <w:rPr>
                <w:sz w:val="28"/>
                <w:szCs w:val="28"/>
              </w:rPr>
            </w:pPr>
          </w:p>
          <w:p w:rsidR="0086552C" w:rsidRPr="00C536FE" w:rsidRDefault="00C536FE" w:rsidP="00F20AF3">
            <w:pPr>
              <w:pStyle w:val="naiskr"/>
              <w:spacing w:before="0" w:after="120"/>
              <w:jc w:val="both"/>
              <w:rPr>
                <w:b/>
                <w:sz w:val="28"/>
                <w:szCs w:val="28"/>
              </w:rPr>
            </w:pPr>
            <w:r w:rsidRPr="00C536FE">
              <w:rPr>
                <w:b/>
                <w:sz w:val="28"/>
                <w:szCs w:val="28"/>
              </w:rPr>
              <w:t>Muzikālo darbu ar tekstu aizsardzības termiņi</w:t>
            </w:r>
          </w:p>
          <w:p w:rsidR="005B7989" w:rsidRDefault="00AE239E" w:rsidP="00F20AF3">
            <w:pPr>
              <w:pStyle w:val="naiskr"/>
              <w:spacing w:before="0" w:after="120"/>
              <w:jc w:val="both"/>
              <w:rPr>
                <w:sz w:val="28"/>
                <w:szCs w:val="28"/>
              </w:rPr>
            </w:pPr>
            <w:r>
              <w:rPr>
                <w:sz w:val="28"/>
                <w:szCs w:val="28"/>
              </w:rPr>
              <w:t xml:space="preserve">ES </w:t>
            </w:r>
            <w:r w:rsidR="005B7989">
              <w:rPr>
                <w:sz w:val="28"/>
                <w:szCs w:val="28"/>
              </w:rPr>
              <w:t xml:space="preserve">dalībvalstīs </w:t>
            </w:r>
            <w:r w:rsidR="002B29CC">
              <w:rPr>
                <w:sz w:val="28"/>
                <w:szCs w:val="28"/>
              </w:rPr>
              <w:t xml:space="preserve">pastāv neviendabīgs regulējums attiecībā uz muzikālo </w:t>
            </w:r>
            <w:r w:rsidR="00C55925">
              <w:rPr>
                <w:sz w:val="28"/>
                <w:szCs w:val="28"/>
              </w:rPr>
              <w:t>darbu</w:t>
            </w:r>
            <w:r w:rsidR="002B29CC">
              <w:rPr>
                <w:sz w:val="28"/>
                <w:szCs w:val="28"/>
              </w:rPr>
              <w:t xml:space="preserve"> ar </w:t>
            </w:r>
            <w:r w:rsidR="00C55925">
              <w:rPr>
                <w:sz w:val="28"/>
                <w:szCs w:val="28"/>
              </w:rPr>
              <w:t>tekstu</w:t>
            </w:r>
            <w:r w:rsidR="002B29CC">
              <w:rPr>
                <w:sz w:val="28"/>
                <w:szCs w:val="28"/>
              </w:rPr>
              <w:t xml:space="preserve"> autoru tiesību aizsardzības termiņiem</w:t>
            </w:r>
            <w:r w:rsidR="00EA1322">
              <w:rPr>
                <w:sz w:val="28"/>
                <w:szCs w:val="28"/>
              </w:rPr>
              <w:t>. ES dalībvalstīs, kur</w:t>
            </w:r>
            <w:r w:rsidR="00854020">
              <w:rPr>
                <w:sz w:val="28"/>
                <w:szCs w:val="28"/>
              </w:rPr>
              <w:t>ās</w:t>
            </w:r>
            <w:r w:rsidR="00EA1322">
              <w:rPr>
                <w:sz w:val="28"/>
                <w:szCs w:val="28"/>
              </w:rPr>
              <w:t xml:space="preserve"> šādu darbu autori tiek atzīti par līdzautoriem, uz tiem tiek attiecināts nacionālais normatīvais regulējums, kas atbilst </w:t>
            </w:r>
            <w:r w:rsidR="00023B84" w:rsidRPr="00023B84">
              <w:rPr>
                <w:sz w:val="28"/>
                <w:szCs w:val="28"/>
              </w:rPr>
              <w:t>Eiropas Parlamenta un Padomes Direktīva</w:t>
            </w:r>
            <w:r w:rsidR="00023B84">
              <w:rPr>
                <w:sz w:val="28"/>
                <w:szCs w:val="28"/>
              </w:rPr>
              <w:t xml:space="preserve">s 2006/116/EK </w:t>
            </w:r>
            <w:r w:rsidR="00023B84" w:rsidRPr="00023B84">
              <w:rPr>
                <w:sz w:val="28"/>
                <w:szCs w:val="28"/>
              </w:rPr>
              <w:t xml:space="preserve">par autortiesību un dažu blakustiesību </w:t>
            </w:r>
            <w:r w:rsidR="00023B84" w:rsidRPr="00023B84">
              <w:rPr>
                <w:sz w:val="28"/>
                <w:szCs w:val="28"/>
              </w:rPr>
              <w:lastRenderedPageBreak/>
              <w:t xml:space="preserve">aizsardzības termiņiem </w:t>
            </w:r>
            <w:r w:rsidR="00023B84">
              <w:rPr>
                <w:sz w:val="28"/>
                <w:szCs w:val="28"/>
              </w:rPr>
              <w:t xml:space="preserve">(turpmāk – Termiņu direktīva) 1.panta </w:t>
            </w:r>
            <w:r w:rsidR="00BB36D4">
              <w:rPr>
                <w:sz w:val="28"/>
                <w:szCs w:val="28"/>
              </w:rPr>
              <w:t>2.</w:t>
            </w:r>
            <w:r w:rsidR="00023B84">
              <w:rPr>
                <w:sz w:val="28"/>
                <w:szCs w:val="28"/>
              </w:rPr>
              <w:t>punktā noteiktajam, ka,</w:t>
            </w:r>
            <w:r w:rsidR="00023B84" w:rsidRPr="00023B84">
              <w:rPr>
                <w:sz w:val="28"/>
                <w:szCs w:val="28"/>
              </w:rPr>
              <w:t xml:space="preserve"> ja darbam ir vairāki līdzautori, </w:t>
            </w:r>
            <w:r w:rsidR="00023B84">
              <w:rPr>
                <w:sz w:val="28"/>
                <w:szCs w:val="28"/>
              </w:rPr>
              <w:t xml:space="preserve">panta </w:t>
            </w:r>
            <w:r w:rsidR="00B73D25">
              <w:rPr>
                <w:sz w:val="28"/>
                <w:szCs w:val="28"/>
              </w:rPr>
              <w:t>1.</w:t>
            </w:r>
            <w:r w:rsidR="00023B84" w:rsidRPr="00023B84">
              <w:rPr>
                <w:sz w:val="28"/>
                <w:szCs w:val="28"/>
              </w:rPr>
              <w:t xml:space="preserve">punktā minēto </w:t>
            </w:r>
            <w:r w:rsidR="007C42BC">
              <w:rPr>
                <w:sz w:val="28"/>
                <w:szCs w:val="28"/>
              </w:rPr>
              <w:t xml:space="preserve">autora tiesību aizsardzības </w:t>
            </w:r>
            <w:r w:rsidR="00023B84" w:rsidRPr="00023B84">
              <w:rPr>
                <w:sz w:val="28"/>
                <w:szCs w:val="28"/>
              </w:rPr>
              <w:t>termiņu</w:t>
            </w:r>
            <w:r w:rsidR="00023B84">
              <w:rPr>
                <w:sz w:val="28"/>
                <w:szCs w:val="28"/>
              </w:rPr>
              <w:t xml:space="preserve"> (70 gadi </w:t>
            </w:r>
            <w:r w:rsidR="00EC448B">
              <w:rPr>
                <w:sz w:val="28"/>
                <w:szCs w:val="28"/>
              </w:rPr>
              <w:t>pēc autora nāves</w:t>
            </w:r>
            <w:r w:rsidR="00023B84">
              <w:rPr>
                <w:sz w:val="28"/>
                <w:szCs w:val="28"/>
              </w:rPr>
              <w:t>)</w:t>
            </w:r>
            <w:r w:rsidR="00023B84" w:rsidRPr="00023B84">
              <w:rPr>
                <w:sz w:val="28"/>
                <w:szCs w:val="28"/>
              </w:rPr>
              <w:t xml:space="preserve"> aprēķina no pēdējā dzīvā autora nāves</w:t>
            </w:r>
            <w:r w:rsidR="007C42BC">
              <w:rPr>
                <w:sz w:val="28"/>
                <w:szCs w:val="28"/>
              </w:rPr>
              <w:t>. Turpretim ES dalībvalstīs, kur</w:t>
            </w:r>
            <w:r w:rsidR="00854020">
              <w:rPr>
                <w:sz w:val="28"/>
                <w:szCs w:val="28"/>
              </w:rPr>
              <w:t>ās</w:t>
            </w:r>
            <w:r w:rsidR="007C42BC">
              <w:rPr>
                <w:sz w:val="28"/>
                <w:szCs w:val="28"/>
              </w:rPr>
              <w:t xml:space="preserve"> minēto darbu autori netiek atzīti par līdzautoriem (piemēram, Lielbritānijā, Vācijā), autortiesību aizsardzības termiņu</w:t>
            </w:r>
            <w:r w:rsidR="00023B84" w:rsidRPr="00023B84">
              <w:rPr>
                <w:sz w:val="28"/>
                <w:szCs w:val="28"/>
              </w:rPr>
              <w:t xml:space="preserve"> </w:t>
            </w:r>
            <w:r w:rsidR="007C42BC">
              <w:rPr>
                <w:sz w:val="28"/>
                <w:szCs w:val="28"/>
              </w:rPr>
              <w:t>aprēķina katram autoram, kura individuālais ieguldījums muzikālā darba ar tekstu radīšanā ir norobežoj</w:t>
            </w:r>
            <w:r w:rsidR="00EC448B">
              <w:rPr>
                <w:sz w:val="28"/>
                <w:szCs w:val="28"/>
              </w:rPr>
              <w:t>a</w:t>
            </w:r>
            <w:r w:rsidR="007C42BC">
              <w:rPr>
                <w:sz w:val="28"/>
                <w:szCs w:val="28"/>
              </w:rPr>
              <w:t xml:space="preserve">ms kā neatkarīgs darbs, atsevišķi. </w:t>
            </w:r>
            <w:r w:rsidR="00EE0080">
              <w:rPr>
                <w:sz w:val="28"/>
                <w:szCs w:val="28"/>
              </w:rPr>
              <w:t xml:space="preserve">Iepriekš minētais </w:t>
            </w:r>
            <w:r w:rsidR="002B29CC">
              <w:rPr>
                <w:sz w:val="28"/>
                <w:szCs w:val="28"/>
              </w:rPr>
              <w:t>harmonizācijas trūkum</w:t>
            </w:r>
            <w:r w:rsidR="00174DA1">
              <w:rPr>
                <w:sz w:val="28"/>
                <w:szCs w:val="28"/>
              </w:rPr>
              <w:t>s</w:t>
            </w:r>
            <w:r w:rsidR="002B29CC">
              <w:rPr>
                <w:sz w:val="28"/>
                <w:szCs w:val="28"/>
              </w:rPr>
              <w:t xml:space="preserve"> vienotā tirgus interesēs </w:t>
            </w:r>
            <w:r w:rsidR="00174DA1">
              <w:rPr>
                <w:sz w:val="28"/>
                <w:szCs w:val="28"/>
              </w:rPr>
              <w:t>ir jānovērš</w:t>
            </w:r>
            <w:r w:rsidR="002B29CC">
              <w:rPr>
                <w:sz w:val="28"/>
                <w:szCs w:val="28"/>
              </w:rPr>
              <w:t>.</w:t>
            </w:r>
          </w:p>
          <w:p w:rsidR="00BC34C4" w:rsidRPr="00F20AF3" w:rsidRDefault="00BC34C4" w:rsidP="00F20AF3">
            <w:pPr>
              <w:pStyle w:val="naiskr"/>
              <w:spacing w:before="0" w:after="120"/>
              <w:jc w:val="both"/>
              <w:rPr>
                <w:sz w:val="28"/>
                <w:szCs w:val="28"/>
              </w:rPr>
            </w:pPr>
            <w:r>
              <w:rPr>
                <w:sz w:val="28"/>
                <w:szCs w:val="28"/>
              </w:rPr>
              <w:t xml:space="preserve">Direktīvas 1.panta </w:t>
            </w:r>
            <w:r w:rsidR="00E33A4E">
              <w:rPr>
                <w:sz w:val="28"/>
                <w:szCs w:val="28"/>
              </w:rPr>
              <w:t>1.</w:t>
            </w:r>
            <w:r w:rsidR="00DF33D4">
              <w:rPr>
                <w:sz w:val="28"/>
                <w:szCs w:val="28"/>
              </w:rPr>
              <w:t>punkts paredz harmonizēt muzikālo</w:t>
            </w:r>
            <w:r>
              <w:rPr>
                <w:sz w:val="28"/>
                <w:szCs w:val="28"/>
              </w:rPr>
              <w:t xml:space="preserve"> darbu</w:t>
            </w:r>
            <w:r w:rsidR="00DF33D4">
              <w:rPr>
                <w:sz w:val="28"/>
                <w:szCs w:val="28"/>
              </w:rPr>
              <w:t xml:space="preserve"> ar tekstu</w:t>
            </w:r>
            <w:r>
              <w:rPr>
                <w:sz w:val="28"/>
                <w:szCs w:val="28"/>
              </w:rPr>
              <w:t xml:space="preserve"> (Direktīvā </w:t>
            </w:r>
            <w:r w:rsidR="00DF33D4">
              <w:rPr>
                <w:sz w:val="28"/>
                <w:szCs w:val="28"/>
              </w:rPr>
              <w:t>izmantots termins</w:t>
            </w:r>
            <w:r>
              <w:rPr>
                <w:sz w:val="28"/>
                <w:szCs w:val="28"/>
              </w:rPr>
              <w:t xml:space="preserve"> „</w:t>
            </w:r>
            <w:r w:rsidR="00DF33D4">
              <w:rPr>
                <w:sz w:val="28"/>
                <w:szCs w:val="28"/>
              </w:rPr>
              <w:t>muzikālā kompozīcija</w:t>
            </w:r>
            <w:r>
              <w:rPr>
                <w:sz w:val="28"/>
                <w:szCs w:val="28"/>
              </w:rPr>
              <w:t xml:space="preserve"> ar vārdiem”</w:t>
            </w:r>
            <w:r w:rsidR="00DF33D4">
              <w:rPr>
                <w:sz w:val="28"/>
                <w:szCs w:val="28"/>
              </w:rPr>
              <w:t xml:space="preserve">, kas atbilst </w:t>
            </w:r>
            <w:r w:rsidR="00DF33D4" w:rsidRPr="00DF33D4">
              <w:rPr>
                <w:sz w:val="28"/>
                <w:szCs w:val="28"/>
              </w:rPr>
              <w:t>Bernes konvencija</w:t>
            </w:r>
            <w:r w:rsidR="00DF33D4">
              <w:rPr>
                <w:sz w:val="28"/>
                <w:szCs w:val="28"/>
              </w:rPr>
              <w:t>s</w:t>
            </w:r>
            <w:r w:rsidR="00DF33D4" w:rsidRPr="00DF33D4">
              <w:rPr>
                <w:sz w:val="28"/>
                <w:szCs w:val="28"/>
              </w:rPr>
              <w:t xml:space="preserve"> par literatūras un mākslas darbu aizsardzību</w:t>
            </w:r>
            <w:r w:rsidR="00DF33D4">
              <w:rPr>
                <w:sz w:val="28"/>
                <w:szCs w:val="28"/>
              </w:rPr>
              <w:t xml:space="preserve"> 2.panta pirmajā daļā izmantotajam analoģiskajam terminam) aizsardzības termiņus, nosakot, ka attiecīgais termiņš </w:t>
            </w:r>
            <w:r w:rsidR="00DF33D4" w:rsidRPr="00DF33D4">
              <w:rPr>
                <w:sz w:val="28"/>
                <w:szCs w:val="28"/>
              </w:rPr>
              <w:t>beidzas 70 gadus pēc tam, kad mirusi pēdēj</w:t>
            </w:r>
            <w:r w:rsidR="00DF33D4">
              <w:rPr>
                <w:sz w:val="28"/>
                <w:szCs w:val="28"/>
              </w:rPr>
              <w:t xml:space="preserve">ā no turpmāk minētajām personām </w:t>
            </w:r>
            <w:r w:rsidR="00DF33D4" w:rsidRPr="00DF33D4">
              <w:rPr>
                <w:sz w:val="28"/>
                <w:szCs w:val="28"/>
              </w:rPr>
              <w:t xml:space="preserve">– teksta autors vai mūzikas </w:t>
            </w:r>
            <w:r w:rsidR="00901DC1">
              <w:rPr>
                <w:sz w:val="28"/>
                <w:szCs w:val="28"/>
              </w:rPr>
              <w:t>autors</w:t>
            </w:r>
            <w:r w:rsidR="00DF33D4" w:rsidRPr="00DF33D4">
              <w:rPr>
                <w:sz w:val="28"/>
                <w:szCs w:val="28"/>
              </w:rPr>
              <w:t xml:space="preserve">, ja </w:t>
            </w:r>
            <w:r w:rsidR="00DF33D4">
              <w:rPr>
                <w:sz w:val="28"/>
                <w:szCs w:val="28"/>
              </w:rPr>
              <w:t>šo abu personu</w:t>
            </w:r>
            <w:r w:rsidR="00DF33D4" w:rsidRPr="00DF33D4">
              <w:rPr>
                <w:sz w:val="28"/>
                <w:szCs w:val="28"/>
              </w:rPr>
              <w:t xml:space="preserve"> </w:t>
            </w:r>
            <w:r w:rsidR="00F1638D">
              <w:rPr>
                <w:sz w:val="28"/>
                <w:szCs w:val="28"/>
              </w:rPr>
              <w:t>ieguldījumi</w:t>
            </w:r>
            <w:r w:rsidR="00DF33D4" w:rsidRPr="00DF33D4">
              <w:rPr>
                <w:sz w:val="28"/>
                <w:szCs w:val="28"/>
              </w:rPr>
              <w:t xml:space="preserve"> </w:t>
            </w:r>
            <w:r w:rsidR="00DF33D4">
              <w:rPr>
                <w:sz w:val="28"/>
                <w:szCs w:val="28"/>
              </w:rPr>
              <w:t xml:space="preserve">tika īpaši </w:t>
            </w:r>
            <w:r w:rsidR="00F1638D">
              <w:rPr>
                <w:sz w:val="28"/>
                <w:szCs w:val="28"/>
              </w:rPr>
              <w:t>radīti</w:t>
            </w:r>
            <w:r w:rsidR="00DF33D4">
              <w:rPr>
                <w:sz w:val="28"/>
                <w:szCs w:val="28"/>
              </w:rPr>
              <w:t xml:space="preserve"> attiecīgajam </w:t>
            </w:r>
            <w:r w:rsidR="00DF33D4" w:rsidRPr="00F20AF3">
              <w:rPr>
                <w:sz w:val="28"/>
                <w:szCs w:val="28"/>
              </w:rPr>
              <w:t>muzikālajam darbam ar tekstu.</w:t>
            </w:r>
          </w:p>
          <w:p w:rsidR="00C55925" w:rsidRDefault="00673210" w:rsidP="004F3F48">
            <w:pPr>
              <w:pStyle w:val="naiskr"/>
              <w:spacing w:before="0" w:after="120"/>
              <w:jc w:val="both"/>
              <w:rPr>
                <w:sz w:val="28"/>
                <w:szCs w:val="28"/>
              </w:rPr>
            </w:pPr>
            <w:r w:rsidRPr="00F20AF3">
              <w:rPr>
                <w:sz w:val="28"/>
                <w:szCs w:val="28"/>
              </w:rPr>
              <w:t>Direktīva</w:t>
            </w:r>
            <w:r w:rsidR="00A15FAC" w:rsidRPr="00F20AF3">
              <w:rPr>
                <w:sz w:val="28"/>
                <w:szCs w:val="28"/>
              </w:rPr>
              <w:t xml:space="preserve"> neuzliek</w:t>
            </w:r>
            <w:r w:rsidR="00A15FAC">
              <w:rPr>
                <w:sz w:val="28"/>
                <w:szCs w:val="28"/>
              </w:rPr>
              <w:t xml:space="preserve"> </w:t>
            </w:r>
            <w:r w:rsidR="00CF48AA">
              <w:rPr>
                <w:sz w:val="28"/>
                <w:szCs w:val="28"/>
              </w:rPr>
              <w:t>ES</w:t>
            </w:r>
            <w:r w:rsidR="00A15FAC">
              <w:rPr>
                <w:sz w:val="28"/>
                <w:szCs w:val="28"/>
              </w:rPr>
              <w:t xml:space="preserve"> dalībvalstīm pienākumu </w:t>
            </w:r>
            <w:r w:rsidR="00EE0080">
              <w:rPr>
                <w:sz w:val="28"/>
                <w:szCs w:val="28"/>
              </w:rPr>
              <w:t>harmonizēt līdzautorības regulējumu, bet gan</w:t>
            </w:r>
            <w:r w:rsidR="00CF48AA">
              <w:rPr>
                <w:sz w:val="28"/>
                <w:szCs w:val="28"/>
              </w:rPr>
              <w:t>,</w:t>
            </w:r>
            <w:r w:rsidR="00EE0080">
              <w:rPr>
                <w:sz w:val="28"/>
                <w:szCs w:val="28"/>
              </w:rPr>
              <w:t xml:space="preserve"> līdzīgi kā audiovizuālo darbu gadījumā (sk. Termiņ</w:t>
            </w:r>
            <w:r w:rsidR="00854020">
              <w:rPr>
                <w:sz w:val="28"/>
                <w:szCs w:val="28"/>
              </w:rPr>
              <w:t>u</w:t>
            </w:r>
            <w:r w:rsidR="00EE0080">
              <w:rPr>
                <w:sz w:val="28"/>
                <w:szCs w:val="28"/>
              </w:rPr>
              <w:t xml:space="preserve"> direktīvas 2.pantu un Autortiesību likuma 37.panta pirmo daļu)</w:t>
            </w:r>
            <w:r w:rsidR="00CF48AA">
              <w:rPr>
                <w:sz w:val="28"/>
                <w:szCs w:val="28"/>
              </w:rPr>
              <w:t>,</w:t>
            </w:r>
            <w:r w:rsidR="00EE0080">
              <w:rPr>
                <w:sz w:val="28"/>
                <w:szCs w:val="28"/>
              </w:rPr>
              <w:t xml:space="preserve"> paredz speciālu regulējumu attiecībā uz</w:t>
            </w:r>
            <w:r w:rsidR="000368D1">
              <w:rPr>
                <w:sz w:val="28"/>
                <w:szCs w:val="28"/>
              </w:rPr>
              <w:t xml:space="preserve"> konkrētu darbu veidu –</w:t>
            </w:r>
            <w:r w:rsidR="00EE0080">
              <w:rPr>
                <w:sz w:val="28"/>
                <w:szCs w:val="28"/>
              </w:rPr>
              <w:t xml:space="preserve"> muzikālajiem darbiem ar tekstu.</w:t>
            </w:r>
          </w:p>
          <w:p w:rsidR="001A2DB4" w:rsidRDefault="00E527BC" w:rsidP="008D4D62">
            <w:pPr>
              <w:pStyle w:val="naiskr"/>
              <w:spacing w:before="0" w:after="0"/>
              <w:jc w:val="both"/>
              <w:rPr>
                <w:sz w:val="28"/>
                <w:szCs w:val="28"/>
              </w:rPr>
            </w:pPr>
            <w:r>
              <w:rPr>
                <w:sz w:val="28"/>
                <w:szCs w:val="28"/>
              </w:rPr>
              <w:t xml:space="preserve">Saskaņā ar Autortiesību likuma </w:t>
            </w:r>
            <w:r w:rsidR="007A4E3A">
              <w:rPr>
                <w:sz w:val="28"/>
                <w:szCs w:val="28"/>
              </w:rPr>
              <w:t>37.panta trešo daļu a</w:t>
            </w:r>
            <w:r w:rsidR="007A4E3A" w:rsidRPr="007A4E3A">
              <w:rPr>
                <w:sz w:val="28"/>
                <w:szCs w:val="28"/>
              </w:rPr>
              <w:t>utortiesības uz darbu, ko radījuši līdzautori, ir spēkā visu līdzautoru dzīves laiku un 70 gadus pēc pēdējā, pārējos līdzautorus pārdzīvojušā līdzautora nāves.</w:t>
            </w:r>
            <w:r w:rsidR="007A4E3A">
              <w:rPr>
                <w:sz w:val="28"/>
                <w:szCs w:val="28"/>
              </w:rPr>
              <w:t xml:space="preserve"> Atbilstoši Autortiesību likuma 9.pantam par līdzautoriem atzīstami gan autori, kuru</w:t>
            </w:r>
            <w:r w:rsidR="007A4E3A">
              <w:t xml:space="preserve"> i</w:t>
            </w:r>
            <w:r w:rsidR="007A4E3A" w:rsidRPr="007A4E3A">
              <w:rPr>
                <w:sz w:val="28"/>
                <w:szCs w:val="28"/>
              </w:rPr>
              <w:t>ndividuālais ieguldījums darba radīšanā nav norobežojams kā neatkarīgs darbs</w:t>
            </w:r>
            <w:r w:rsidR="007A4E3A">
              <w:rPr>
                <w:sz w:val="28"/>
                <w:szCs w:val="28"/>
              </w:rPr>
              <w:t xml:space="preserve"> (9.panta </w:t>
            </w:r>
            <w:r w:rsidR="00FD60CC">
              <w:rPr>
                <w:sz w:val="28"/>
                <w:szCs w:val="28"/>
              </w:rPr>
              <w:t>pirmā daļa), gan autori, kuru</w:t>
            </w:r>
            <w:r w:rsidR="00FD60CC">
              <w:t xml:space="preserve"> i</w:t>
            </w:r>
            <w:r w:rsidR="00FD60CC" w:rsidRPr="007A4E3A">
              <w:rPr>
                <w:sz w:val="28"/>
                <w:szCs w:val="28"/>
              </w:rPr>
              <w:t xml:space="preserve">ndividuālais ieguldījums darba radīšanā </w:t>
            </w:r>
            <w:r w:rsidR="00FD60CC">
              <w:rPr>
                <w:sz w:val="28"/>
                <w:szCs w:val="28"/>
              </w:rPr>
              <w:t>ir</w:t>
            </w:r>
            <w:r w:rsidR="00FD60CC" w:rsidRPr="007A4E3A">
              <w:rPr>
                <w:sz w:val="28"/>
                <w:szCs w:val="28"/>
              </w:rPr>
              <w:t xml:space="preserve"> norobežojams kā neatkarīgs </w:t>
            </w:r>
            <w:r w:rsidR="00FD60CC" w:rsidRPr="007A4E3A">
              <w:rPr>
                <w:sz w:val="28"/>
                <w:szCs w:val="28"/>
              </w:rPr>
              <w:lastRenderedPageBreak/>
              <w:t>darbs</w:t>
            </w:r>
            <w:r w:rsidR="00FD60CC">
              <w:rPr>
                <w:sz w:val="28"/>
                <w:szCs w:val="28"/>
              </w:rPr>
              <w:t xml:space="preserve"> (9.panta otrā daļa). Juridiskajā literatūrā ir norādīts, ka </w:t>
            </w:r>
            <w:r w:rsidR="00A2684B">
              <w:rPr>
                <w:sz w:val="28"/>
                <w:szCs w:val="28"/>
              </w:rPr>
              <w:t>„</w:t>
            </w:r>
            <w:r w:rsidR="00854020">
              <w:rPr>
                <w:sz w:val="28"/>
                <w:szCs w:val="28"/>
              </w:rPr>
              <w:t>līdzautoru radīts darbs</w:t>
            </w:r>
            <w:r w:rsidR="00397BB0">
              <w:rPr>
                <w:sz w:val="28"/>
                <w:szCs w:val="28"/>
              </w:rPr>
              <w:t xml:space="preserve"> ir darbs, kura autori darbojušies vairāk vai mazāk saskaņoti un vērsuši savu gribu vienā virzienā, viena konkrēta mērķa sasniegšanai</w:t>
            </w:r>
            <w:r w:rsidR="00A2684B">
              <w:rPr>
                <w:sz w:val="28"/>
                <w:szCs w:val="28"/>
              </w:rPr>
              <w:t>”</w:t>
            </w:r>
            <w:r w:rsidR="00397BB0">
              <w:rPr>
                <w:sz w:val="28"/>
                <w:szCs w:val="28"/>
              </w:rPr>
              <w:t xml:space="preserve"> (</w:t>
            </w:r>
            <w:r w:rsidR="00397BB0" w:rsidRPr="005E355C">
              <w:rPr>
                <w:sz w:val="28"/>
                <w:szCs w:val="28"/>
              </w:rPr>
              <w:t xml:space="preserve">Grudulis M. </w:t>
            </w:r>
            <w:r w:rsidR="00397BB0" w:rsidRPr="005E355C">
              <w:rPr>
                <w:iCs/>
                <w:sz w:val="28"/>
                <w:szCs w:val="28"/>
              </w:rPr>
              <w:t>Ievads autortiesībās.</w:t>
            </w:r>
            <w:r w:rsidR="00397BB0" w:rsidRPr="005E355C">
              <w:rPr>
                <w:sz w:val="28"/>
                <w:szCs w:val="28"/>
              </w:rPr>
              <w:t xml:space="preserve"> Rīga: Latvijas Vēstnesis, 2006, </w:t>
            </w:r>
            <w:r w:rsidR="00397BB0">
              <w:rPr>
                <w:sz w:val="28"/>
                <w:szCs w:val="28"/>
              </w:rPr>
              <w:t>69</w:t>
            </w:r>
            <w:r w:rsidR="00397BB0" w:rsidRPr="005E355C">
              <w:rPr>
                <w:sz w:val="28"/>
                <w:szCs w:val="28"/>
              </w:rPr>
              <w:t>. lpp.</w:t>
            </w:r>
            <w:r w:rsidR="00902D8B">
              <w:rPr>
                <w:sz w:val="28"/>
                <w:szCs w:val="28"/>
              </w:rPr>
              <w:t xml:space="preserve">). Minēto atziņu, attiecinot to </w:t>
            </w:r>
            <w:r w:rsidR="002A6276">
              <w:rPr>
                <w:sz w:val="28"/>
                <w:szCs w:val="28"/>
              </w:rPr>
              <w:t xml:space="preserve">uz </w:t>
            </w:r>
            <w:r w:rsidR="000834CE">
              <w:rPr>
                <w:sz w:val="28"/>
                <w:szCs w:val="28"/>
              </w:rPr>
              <w:t xml:space="preserve">visu Autortiesību likuma 9.panta regulējumu, </w:t>
            </w:r>
            <w:r w:rsidR="00902D8B">
              <w:rPr>
                <w:sz w:val="28"/>
                <w:szCs w:val="28"/>
              </w:rPr>
              <w:t xml:space="preserve">ir atbalstījis </w:t>
            </w:r>
            <w:r w:rsidR="000834CE">
              <w:rPr>
                <w:sz w:val="28"/>
                <w:szCs w:val="28"/>
              </w:rPr>
              <w:t>Latvijas Republikas</w:t>
            </w:r>
            <w:r w:rsidR="00902D8B">
              <w:rPr>
                <w:sz w:val="28"/>
                <w:szCs w:val="28"/>
              </w:rPr>
              <w:t xml:space="preserve"> Augstākā</w:t>
            </w:r>
            <w:r w:rsidR="000834CE">
              <w:rPr>
                <w:sz w:val="28"/>
                <w:szCs w:val="28"/>
              </w:rPr>
              <w:t>s</w:t>
            </w:r>
            <w:r w:rsidR="00902D8B">
              <w:rPr>
                <w:sz w:val="28"/>
                <w:szCs w:val="28"/>
              </w:rPr>
              <w:t xml:space="preserve"> tiesa</w:t>
            </w:r>
            <w:r w:rsidR="000834CE">
              <w:rPr>
                <w:sz w:val="28"/>
                <w:szCs w:val="28"/>
              </w:rPr>
              <w:t xml:space="preserve">s Senāts </w:t>
            </w:r>
            <w:r w:rsidR="000834CE" w:rsidRPr="000834CE">
              <w:rPr>
                <w:sz w:val="28"/>
                <w:szCs w:val="28"/>
              </w:rPr>
              <w:t>2012.gada 8.februāra</w:t>
            </w:r>
            <w:r w:rsidR="000834CE">
              <w:rPr>
                <w:sz w:val="28"/>
                <w:szCs w:val="28"/>
              </w:rPr>
              <w:t xml:space="preserve"> spriedumā lietā Nr. SKC-2/2012 (sk. </w:t>
            </w:r>
            <w:r w:rsidR="005E4F15">
              <w:rPr>
                <w:sz w:val="28"/>
                <w:szCs w:val="28"/>
              </w:rPr>
              <w:t xml:space="preserve">sprieduma </w:t>
            </w:r>
            <w:r w:rsidR="000834CE">
              <w:rPr>
                <w:sz w:val="28"/>
                <w:szCs w:val="28"/>
              </w:rPr>
              <w:t xml:space="preserve">12.2 rindkopu). Līdz ar to </w:t>
            </w:r>
            <w:r w:rsidR="00177C82">
              <w:rPr>
                <w:sz w:val="28"/>
                <w:szCs w:val="28"/>
              </w:rPr>
              <w:t>gadījumā</w:t>
            </w:r>
            <w:r w:rsidR="000834CE">
              <w:rPr>
                <w:sz w:val="28"/>
                <w:szCs w:val="28"/>
              </w:rPr>
              <w:t>, kad</w:t>
            </w:r>
            <w:r w:rsidR="00177C82">
              <w:rPr>
                <w:sz w:val="28"/>
                <w:szCs w:val="28"/>
              </w:rPr>
              <w:t xml:space="preserve"> </w:t>
            </w:r>
            <w:r w:rsidR="00901DC1">
              <w:rPr>
                <w:sz w:val="28"/>
                <w:szCs w:val="28"/>
              </w:rPr>
              <w:t xml:space="preserve">muzikālā darba ar tekstu mūzikas autora un teksta autora ieguldījums tika īpaši radīts šim darbam, abi autori atzīstami par līdzautoriem Autortiesību likuma 9.panta izpratnē. </w:t>
            </w:r>
          </w:p>
          <w:p w:rsidR="00BC34C4" w:rsidRDefault="00BB36D4" w:rsidP="008D4D62">
            <w:pPr>
              <w:pStyle w:val="naiskr"/>
              <w:spacing w:before="0" w:after="0"/>
              <w:jc w:val="both"/>
              <w:rPr>
                <w:sz w:val="28"/>
                <w:szCs w:val="28"/>
              </w:rPr>
            </w:pPr>
            <w:r>
              <w:rPr>
                <w:sz w:val="28"/>
                <w:szCs w:val="28"/>
              </w:rPr>
              <w:t>Tā kā Autortiesību likuma 37.panta trešajā daļā noteiktā autortiesību aizsardzības termiņa aprēķināšanas kārtība ir attiecināma gan uz likuma 9.panta pirmajā, gan otrajā daļā norādītajiem līdzautorības gadījumiem</w:t>
            </w:r>
            <w:r w:rsidR="00E33A4E">
              <w:rPr>
                <w:sz w:val="28"/>
                <w:szCs w:val="28"/>
              </w:rPr>
              <w:t xml:space="preserve"> </w:t>
            </w:r>
            <w:r w:rsidR="001F1908" w:rsidRPr="00AC52FA">
              <w:rPr>
                <w:sz w:val="28"/>
                <w:szCs w:val="28"/>
              </w:rPr>
              <w:t xml:space="preserve">un tādējādi </w:t>
            </w:r>
            <w:r w:rsidR="00AC52FA" w:rsidRPr="00AC52FA">
              <w:rPr>
                <w:sz w:val="28"/>
                <w:szCs w:val="28"/>
              </w:rPr>
              <w:t xml:space="preserve">tā </w:t>
            </w:r>
            <w:r w:rsidR="001F1908" w:rsidRPr="00AC52FA">
              <w:rPr>
                <w:sz w:val="28"/>
                <w:szCs w:val="28"/>
              </w:rPr>
              <w:t>nav atkarīg</w:t>
            </w:r>
            <w:r w:rsidR="00AC52FA" w:rsidRPr="00AC52FA">
              <w:rPr>
                <w:sz w:val="28"/>
                <w:szCs w:val="28"/>
              </w:rPr>
              <w:t>a</w:t>
            </w:r>
            <w:r w:rsidR="001F1908" w:rsidRPr="00AC52FA">
              <w:rPr>
                <w:sz w:val="28"/>
                <w:szCs w:val="28"/>
              </w:rPr>
              <w:t xml:space="preserve"> no iespējas izmantot atsevišķus autoru ieguldījumus darbā neatkarīgi vienu no otra (kā neatkarīgus darbus),</w:t>
            </w:r>
            <w:r>
              <w:rPr>
                <w:sz w:val="28"/>
                <w:szCs w:val="28"/>
              </w:rPr>
              <w:t xml:space="preserve"> muzikālu darbu ar tekstu autortiesību aizsardzības termiņš jau šobrīd atbilst Direktīvas 1.panta </w:t>
            </w:r>
            <w:r w:rsidR="00E33A4E">
              <w:rPr>
                <w:sz w:val="28"/>
                <w:szCs w:val="28"/>
              </w:rPr>
              <w:t>1.</w:t>
            </w:r>
            <w:r>
              <w:rPr>
                <w:sz w:val="28"/>
                <w:szCs w:val="28"/>
              </w:rPr>
              <w:t xml:space="preserve">punktā </w:t>
            </w:r>
            <w:r w:rsidR="00E33A4E">
              <w:rPr>
                <w:sz w:val="28"/>
                <w:szCs w:val="28"/>
              </w:rPr>
              <w:t>noteiktajam termiņam un grozījumi minētā Direktīvas regulējuma ieviešanai Autortiesību likumā nav nepieciešami.</w:t>
            </w:r>
          </w:p>
          <w:p w:rsidR="00B673F9" w:rsidRDefault="00B673F9" w:rsidP="008D4D62">
            <w:pPr>
              <w:pStyle w:val="naiskr"/>
              <w:spacing w:before="0" w:after="0"/>
              <w:jc w:val="both"/>
              <w:rPr>
                <w:sz w:val="28"/>
                <w:szCs w:val="28"/>
              </w:rPr>
            </w:pPr>
          </w:p>
          <w:p w:rsidR="00B673F9" w:rsidRPr="00B673F9" w:rsidRDefault="00B673F9" w:rsidP="002C6428">
            <w:pPr>
              <w:pStyle w:val="naiskr"/>
              <w:spacing w:before="0" w:after="120"/>
              <w:jc w:val="both"/>
              <w:rPr>
                <w:b/>
                <w:sz w:val="28"/>
                <w:szCs w:val="28"/>
              </w:rPr>
            </w:pPr>
            <w:r w:rsidRPr="00B673F9">
              <w:rPr>
                <w:b/>
                <w:sz w:val="28"/>
                <w:szCs w:val="28"/>
              </w:rPr>
              <w:t>Direktīvas piemērošana laikā un pārejas nosacījumi</w:t>
            </w:r>
          </w:p>
          <w:p w:rsidR="00B673F9" w:rsidRDefault="00B673F9" w:rsidP="00CB4BB8">
            <w:pPr>
              <w:pStyle w:val="naiskr"/>
              <w:spacing w:before="0" w:after="120"/>
              <w:jc w:val="both"/>
              <w:rPr>
                <w:sz w:val="28"/>
                <w:szCs w:val="28"/>
              </w:rPr>
            </w:pPr>
            <w:r>
              <w:rPr>
                <w:sz w:val="28"/>
                <w:szCs w:val="28"/>
              </w:rPr>
              <w:t>Direktīvas 1.panta 3.punkts paredz</w:t>
            </w:r>
            <w:r w:rsidR="002C6428">
              <w:rPr>
                <w:sz w:val="28"/>
                <w:szCs w:val="28"/>
              </w:rPr>
              <w:t xml:space="preserve"> papildināt Termiņu direktīvas 10.pantu ar 5. un 6.punktu,</w:t>
            </w:r>
            <w:r w:rsidR="006B49A6">
              <w:rPr>
                <w:sz w:val="28"/>
                <w:szCs w:val="28"/>
              </w:rPr>
              <w:t xml:space="preserve"> kas </w:t>
            </w:r>
            <w:r w:rsidR="002C6428">
              <w:rPr>
                <w:sz w:val="28"/>
                <w:szCs w:val="28"/>
              </w:rPr>
              <w:t xml:space="preserve">ietver tiesību aizsardzības termiņu pagarināšanas </w:t>
            </w:r>
            <w:r w:rsidR="002C4F2B">
              <w:rPr>
                <w:sz w:val="28"/>
                <w:szCs w:val="28"/>
              </w:rPr>
              <w:t>priekš</w:t>
            </w:r>
            <w:r w:rsidR="002C6428">
              <w:rPr>
                <w:sz w:val="28"/>
                <w:szCs w:val="28"/>
              </w:rPr>
              <w:t xml:space="preserve">nosacījumus un ar to saistīto </w:t>
            </w:r>
            <w:r w:rsidR="006B49A6">
              <w:rPr>
                <w:sz w:val="28"/>
                <w:szCs w:val="28"/>
              </w:rPr>
              <w:t>regulējumu.</w:t>
            </w:r>
            <w:r w:rsidR="00B51E1B">
              <w:rPr>
                <w:sz w:val="28"/>
                <w:szCs w:val="28"/>
              </w:rPr>
              <w:t xml:space="preserve"> Saskaņā ar jauno Termiņu direktīvas 10.panta 5.punktu Direktīvas normas par aizsardzības termiņu </w:t>
            </w:r>
            <w:r w:rsidR="002F6BA3">
              <w:rPr>
                <w:sz w:val="28"/>
                <w:szCs w:val="28"/>
              </w:rPr>
              <w:t>pagarinājumu</w:t>
            </w:r>
            <w:r w:rsidR="00B51E1B">
              <w:rPr>
                <w:sz w:val="28"/>
                <w:szCs w:val="28"/>
              </w:rPr>
              <w:t xml:space="preserve"> ir attiecināmas uz tām izpildījumu </w:t>
            </w:r>
            <w:proofErr w:type="spellStart"/>
            <w:r w:rsidR="00B51E1B">
              <w:rPr>
                <w:sz w:val="28"/>
                <w:szCs w:val="28"/>
              </w:rPr>
              <w:t>fiksācijām</w:t>
            </w:r>
            <w:proofErr w:type="spellEnd"/>
            <w:r w:rsidR="00B51E1B">
              <w:rPr>
                <w:sz w:val="28"/>
                <w:szCs w:val="28"/>
              </w:rPr>
              <w:t xml:space="preserve"> un fonogrammām, kuru aizsardzības termiņš 2013.gada 1.novembrī vēl nebija beidzies. Tāpat minētās normas tiek attiecinātas uz tām izpildījumu </w:t>
            </w:r>
            <w:proofErr w:type="spellStart"/>
            <w:r w:rsidR="00B51E1B">
              <w:rPr>
                <w:sz w:val="28"/>
                <w:szCs w:val="28"/>
              </w:rPr>
              <w:t>fiksācijām</w:t>
            </w:r>
            <w:proofErr w:type="spellEnd"/>
            <w:r w:rsidR="00B51E1B">
              <w:rPr>
                <w:sz w:val="28"/>
                <w:szCs w:val="28"/>
              </w:rPr>
              <w:t xml:space="preserve"> un </w:t>
            </w:r>
            <w:r w:rsidR="00B51E1B">
              <w:rPr>
                <w:sz w:val="28"/>
                <w:szCs w:val="28"/>
              </w:rPr>
              <w:lastRenderedPageBreak/>
              <w:t>fonogrammām, kas radītas pēc 2013.gada 1.novembra.</w:t>
            </w:r>
          </w:p>
          <w:p w:rsidR="00CB4BB8" w:rsidRDefault="00CB4BB8" w:rsidP="00840902">
            <w:pPr>
              <w:pStyle w:val="naiskr"/>
              <w:spacing w:before="0" w:after="120"/>
              <w:jc w:val="both"/>
              <w:rPr>
                <w:sz w:val="28"/>
                <w:szCs w:val="28"/>
              </w:rPr>
            </w:pPr>
            <w:r>
              <w:rPr>
                <w:sz w:val="28"/>
                <w:szCs w:val="28"/>
              </w:rPr>
              <w:t xml:space="preserve">Atbilstoši jaunajam Termiņu direktīvas 10.panta 6.punktam </w:t>
            </w:r>
            <w:r w:rsidR="00AC52FA">
              <w:rPr>
                <w:sz w:val="28"/>
                <w:szCs w:val="28"/>
              </w:rPr>
              <w:t>muzikālo</w:t>
            </w:r>
            <w:r w:rsidR="00BD7C81">
              <w:rPr>
                <w:sz w:val="28"/>
                <w:szCs w:val="28"/>
              </w:rPr>
              <w:t xml:space="preserve"> darbu ar tekstu tiesību aizsardzības termiņu harm</w:t>
            </w:r>
            <w:r w:rsidR="00AC52FA">
              <w:rPr>
                <w:sz w:val="28"/>
                <w:szCs w:val="28"/>
              </w:rPr>
              <w:t>onizācija ir attiecināma uz tādiem</w:t>
            </w:r>
            <w:r w:rsidR="00BD7C81">
              <w:rPr>
                <w:sz w:val="28"/>
                <w:szCs w:val="28"/>
              </w:rPr>
              <w:t xml:space="preserve"> </w:t>
            </w:r>
            <w:r w:rsidR="00AC52FA">
              <w:rPr>
                <w:sz w:val="28"/>
                <w:szCs w:val="28"/>
              </w:rPr>
              <w:t>muzikālajiem</w:t>
            </w:r>
            <w:r w:rsidR="00BD7C81">
              <w:rPr>
                <w:sz w:val="28"/>
                <w:szCs w:val="28"/>
              </w:rPr>
              <w:t xml:space="preserve"> darbiem ar tekstu, kur</w:t>
            </w:r>
            <w:r w:rsidR="00C160E8">
              <w:rPr>
                <w:sz w:val="28"/>
                <w:szCs w:val="28"/>
              </w:rPr>
              <w:t>os iekļautā</w:t>
            </w:r>
            <w:r w:rsidR="00BD7C81">
              <w:rPr>
                <w:sz w:val="28"/>
                <w:szCs w:val="28"/>
              </w:rPr>
              <w:t xml:space="preserve"> mūzika vai teksts 2013.gada 1.novembrī ir aizsargāts vismaz vienā ES dalībvalst</w:t>
            </w:r>
            <w:r w:rsidR="0068481A">
              <w:rPr>
                <w:sz w:val="28"/>
                <w:szCs w:val="28"/>
              </w:rPr>
              <w:t xml:space="preserve">ī, kā arī </w:t>
            </w:r>
            <w:r w:rsidR="00E54C2A">
              <w:rPr>
                <w:sz w:val="28"/>
                <w:szCs w:val="28"/>
              </w:rPr>
              <w:t xml:space="preserve">uz </w:t>
            </w:r>
            <w:r w:rsidR="00C160E8">
              <w:rPr>
                <w:sz w:val="28"/>
                <w:szCs w:val="28"/>
              </w:rPr>
              <w:t>muzikālajiem</w:t>
            </w:r>
            <w:r w:rsidR="00FD7FA9">
              <w:rPr>
                <w:sz w:val="28"/>
                <w:szCs w:val="28"/>
              </w:rPr>
              <w:t xml:space="preserve"> darbiem ar tekstu, kas radīti pēc minētā datuma.</w:t>
            </w:r>
            <w:r w:rsidR="00784F77">
              <w:rPr>
                <w:sz w:val="28"/>
                <w:szCs w:val="28"/>
              </w:rPr>
              <w:t xml:space="preserve"> Tā</w:t>
            </w:r>
            <w:r w:rsidR="00E54C2A">
              <w:rPr>
                <w:sz w:val="28"/>
                <w:szCs w:val="28"/>
              </w:rPr>
              <w:t>pat Direktīva paredz, ka muzikālo</w:t>
            </w:r>
            <w:r w:rsidR="00784F77">
              <w:rPr>
                <w:sz w:val="28"/>
                <w:szCs w:val="28"/>
              </w:rPr>
              <w:t xml:space="preserve"> darbu ar tekstu tiesību aizsardzības termiņu harmonizācija neskar līdz 2013.gada 1.novembrim jau veikt</w:t>
            </w:r>
            <w:r w:rsidR="003D01D3">
              <w:rPr>
                <w:sz w:val="28"/>
                <w:szCs w:val="28"/>
              </w:rPr>
              <w:t>o</w:t>
            </w:r>
            <w:r w:rsidR="00784F77">
              <w:rPr>
                <w:sz w:val="28"/>
                <w:szCs w:val="28"/>
              </w:rPr>
              <w:t xml:space="preserve"> minēto darbu izmanto</w:t>
            </w:r>
            <w:r w:rsidR="003D01D3">
              <w:rPr>
                <w:sz w:val="28"/>
                <w:szCs w:val="28"/>
              </w:rPr>
              <w:t>šanu</w:t>
            </w:r>
            <w:r w:rsidR="00784F77">
              <w:rPr>
                <w:sz w:val="28"/>
                <w:szCs w:val="28"/>
              </w:rPr>
              <w:t xml:space="preserve"> un ka ES dalībvalstīm jāparedz atbilstoši noteikumi, it īpaši, lai aizsargātu trešo personu tiesības. </w:t>
            </w:r>
          </w:p>
          <w:p w:rsidR="00840902" w:rsidRPr="00C345F2" w:rsidRDefault="00840902" w:rsidP="00CF0D9D">
            <w:pPr>
              <w:pStyle w:val="naiskr"/>
              <w:spacing w:before="0" w:after="0"/>
              <w:jc w:val="both"/>
              <w:rPr>
                <w:sz w:val="28"/>
                <w:szCs w:val="28"/>
              </w:rPr>
            </w:pPr>
            <w:r>
              <w:rPr>
                <w:sz w:val="28"/>
                <w:szCs w:val="28"/>
              </w:rPr>
              <w:t xml:space="preserve">Direktīvas 1.panta 4.punkts paredz papildināt Termiņu direktīvu ar 10a </w:t>
            </w:r>
            <w:r w:rsidR="00CF0D9D">
              <w:rPr>
                <w:sz w:val="28"/>
                <w:szCs w:val="28"/>
              </w:rPr>
              <w:t>pantu</w:t>
            </w:r>
            <w:r>
              <w:rPr>
                <w:sz w:val="28"/>
                <w:szCs w:val="28"/>
              </w:rPr>
              <w:t>. Saskaņā ar minētā panta 1.punktu</w:t>
            </w:r>
            <w:r w:rsidR="00CF0D9D">
              <w:rPr>
                <w:sz w:val="28"/>
                <w:szCs w:val="28"/>
              </w:rPr>
              <w:t xml:space="preserve"> pirms 2013.gada 1.novembra noslēgtie līgumi starp izpildītājiem un fonogrammu producentiem, ar kuriem izpildītāji ir nodevuši fonogrammu</w:t>
            </w:r>
            <w:r w:rsidR="00CF0D9D" w:rsidRPr="00CF0D9D">
              <w:rPr>
                <w:sz w:val="28"/>
                <w:szCs w:val="28"/>
              </w:rPr>
              <w:t xml:space="preserve"> pr</w:t>
            </w:r>
            <w:r w:rsidR="00CF0D9D">
              <w:rPr>
                <w:sz w:val="28"/>
                <w:szCs w:val="28"/>
              </w:rPr>
              <w:t xml:space="preserve">oducentiem tiesības uz savu izpildījumu </w:t>
            </w:r>
            <w:proofErr w:type="spellStart"/>
            <w:r w:rsidR="00CF0D9D">
              <w:rPr>
                <w:sz w:val="28"/>
                <w:szCs w:val="28"/>
              </w:rPr>
              <w:t>fiksācijām</w:t>
            </w:r>
            <w:proofErr w:type="spellEnd"/>
            <w:r w:rsidR="00CF0D9D">
              <w:rPr>
                <w:sz w:val="28"/>
                <w:szCs w:val="28"/>
              </w:rPr>
              <w:t xml:space="preserve">, </w:t>
            </w:r>
            <w:r w:rsidR="00CF0D9D" w:rsidRPr="00CF0D9D">
              <w:rPr>
                <w:sz w:val="28"/>
                <w:szCs w:val="28"/>
              </w:rPr>
              <w:t>ir spēkā arī tajā laikā, par kādu ir pagarināti izpildītāju un fonogrammu producentu tiesību aizsardzības termiņi</w:t>
            </w:r>
            <w:r w:rsidR="009F08F3">
              <w:rPr>
                <w:sz w:val="28"/>
                <w:szCs w:val="28"/>
              </w:rPr>
              <w:t>, ciktāl minētajos līgumos nav skaidri noteikts pretējais.</w:t>
            </w:r>
          </w:p>
        </w:tc>
      </w:tr>
      <w:tr w:rsidR="00E37606" w:rsidRPr="00BA5E65" w:rsidTr="00AB1AD2">
        <w:tc>
          <w:tcPr>
            <w:tcW w:w="290" w:type="pct"/>
          </w:tcPr>
          <w:p w:rsidR="00E37606" w:rsidRPr="00BA5E65" w:rsidRDefault="00E37606" w:rsidP="00AB1AD2">
            <w:pPr>
              <w:jc w:val="center"/>
              <w:rPr>
                <w:sz w:val="28"/>
                <w:szCs w:val="28"/>
              </w:rPr>
            </w:pPr>
            <w:r w:rsidRPr="00BA5E65">
              <w:rPr>
                <w:sz w:val="28"/>
                <w:szCs w:val="28"/>
              </w:rPr>
              <w:lastRenderedPageBreak/>
              <w:t>3.</w:t>
            </w:r>
          </w:p>
        </w:tc>
        <w:tc>
          <w:tcPr>
            <w:tcW w:w="1588" w:type="pct"/>
          </w:tcPr>
          <w:p w:rsidR="00E37606" w:rsidRPr="00BA5E65" w:rsidRDefault="00E37606" w:rsidP="00AB1AD2">
            <w:pPr>
              <w:rPr>
                <w:sz w:val="28"/>
                <w:szCs w:val="28"/>
              </w:rPr>
            </w:pPr>
            <w:r w:rsidRPr="00BA5E65">
              <w:rPr>
                <w:sz w:val="28"/>
                <w:szCs w:val="28"/>
              </w:rPr>
              <w:t>Saistītie politikas ietekmes novērtējumi un pētījumi</w:t>
            </w:r>
          </w:p>
        </w:tc>
        <w:tc>
          <w:tcPr>
            <w:tcW w:w="3122" w:type="pct"/>
          </w:tcPr>
          <w:p w:rsidR="00E37606" w:rsidRPr="00BA5E65" w:rsidRDefault="00FD58E7" w:rsidP="00AB1AD2">
            <w:pPr>
              <w:tabs>
                <w:tab w:val="left" w:pos="5279"/>
              </w:tabs>
              <w:ind w:right="31"/>
              <w:jc w:val="both"/>
              <w:rPr>
                <w:sz w:val="28"/>
                <w:szCs w:val="28"/>
              </w:rPr>
            </w:pPr>
            <w:r w:rsidRPr="00D35683">
              <w:rPr>
                <w:bCs/>
                <w:sz w:val="28"/>
                <w:szCs w:val="28"/>
              </w:rPr>
              <w:t>Projekts šo jomu neskar</w:t>
            </w:r>
          </w:p>
        </w:tc>
      </w:tr>
      <w:tr w:rsidR="00E37606" w:rsidRPr="00BA5E65" w:rsidTr="00AB1AD2">
        <w:tc>
          <w:tcPr>
            <w:tcW w:w="290" w:type="pct"/>
          </w:tcPr>
          <w:p w:rsidR="00E37606" w:rsidRPr="00BA5E65" w:rsidRDefault="00E37606" w:rsidP="00AB1AD2">
            <w:pPr>
              <w:jc w:val="center"/>
              <w:rPr>
                <w:sz w:val="28"/>
                <w:szCs w:val="28"/>
              </w:rPr>
            </w:pPr>
            <w:r w:rsidRPr="00BA5E65">
              <w:rPr>
                <w:sz w:val="28"/>
                <w:szCs w:val="28"/>
              </w:rPr>
              <w:t>4.</w:t>
            </w:r>
          </w:p>
        </w:tc>
        <w:tc>
          <w:tcPr>
            <w:tcW w:w="1588" w:type="pct"/>
          </w:tcPr>
          <w:p w:rsidR="00E37606" w:rsidRPr="00BA5E65" w:rsidRDefault="00E37606" w:rsidP="00AB1AD2">
            <w:pPr>
              <w:rPr>
                <w:sz w:val="28"/>
                <w:szCs w:val="28"/>
              </w:rPr>
            </w:pPr>
            <w:r w:rsidRPr="00BA5E65">
              <w:rPr>
                <w:sz w:val="28"/>
                <w:szCs w:val="28"/>
              </w:rPr>
              <w:t>Tiesiskā regulējuma mērķis un būtība</w:t>
            </w:r>
          </w:p>
        </w:tc>
        <w:tc>
          <w:tcPr>
            <w:tcW w:w="3122" w:type="pct"/>
          </w:tcPr>
          <w:p w:rsidR="00B51130" w:rsidRPr="00B51130" w:rsidRDefault="00B51130" w:rsidP="00F94883">
            <w:pPr>
              <w:pStyle w:val="naiskr"/>
              <w:spacing w:before="0" w:after="120"/>
              <w:jc w:val="both"/>
              <w:rPr>
                <w:sz w:val="28"/>
                <w:szCs w:val="28"/>
              </w:rPr>
            </w:pPr>
            <w:r w:rsidRPr="00B51130">
              <w:rPr>
                <w:sz w:val="28"/>
                <w:szCs w:val="28"/>
              </w:rPr>
              <w:t>Autortiesību likumā tiek veikti šādi grozījumi:</w:t>
            </w:r>
          </w:p>
          <w:p w:rsidR="00E37606" w:rsidRDefault="00B51130" w:rsidP="00F94883">
            <w:pPr>
              <w:pStyle w:val="naiskr"/>
              <w:spacing w:before="0" w:after="120"/>
              <w:jc w:val="both"/>
              <w:rPr>
                <w:sz w:val="28"/>
                <w:szCs w:val="28"/>
              </w:rPr>
            </w:pPr>
            <w:r w:rsidRPr="001A2DB4">
              <w:rPr>
                <w:b/>
                <w:sz w:val="28"/>
                <w:szCs w:val="28"/>
              </w:rPr>
              <w:t>48.panta 9., 10. un 11.daļā</w:t>
            </w:r>
            <w:r w:rsidR="001A2DB4">
              <w:rPr>
                <w:sz w:val="28"/>
                <w:szCs w:val="28"/>
              </w:rPr>
              <w:t xml:space="preserve"> paredzētas izpildītāja tiesības  izbeigt līgumu ar fonogrammas producentu, kā arī šādas izbeigšanas priekšnosacījumi un kārtība.</w:t>
            </w:r>
          </w:p>
          <w:p w:rsidR="001A2DB4" w:rsidRDefault="001A2DB4" w:rsidP="00F94883">
            <w:pPr>
              <w:pStyle w:val="naiskr"/>
              <w:spacing w:before="0" w:after="120"/>
              <w:jc w:val="both"/>
              <w:rPr>
                <w:sz w:val="28"/>
                <w:szCs w:val="28"/>
              </w:rPr>
            </w:pPr>
            <w:r w:rsidRPr="00A67134">
              <w:rPr>
                <w:b/>
                <w:sz w:val="28"/>
                <w:szCs w:val="28"/>
              </w:rPr>
              <w:t xml:space="preserve">48.panta 12., </w:t>
            </w:r>
            <w:r w:rsidR="00B673F9" w:rsidRPr="00A67134">
              <w:rPr>
                <w:b/>
                <w:sz w:val="28"/>
                <w:szCs w:val="28"/>
              </w:rPr>
              <w:t>13. un 14.daļā</w:t>
            </w:r>
            <w:r w:rsidR="00B673F9">
              <w:rPr>
                <w:sz w:val="28"/>
                <w:szCs w:val="28"/>
              </w:rPr>
              <w:t xml:space="preserve"> </w:t>
            </w:r>
            <w:r w:rsidR="000167D7">
              <w:rPr>
                <w:sz w:val="28"/>
                <w:szCs w:val="28"/>
              </w:rPr>
              <w:t>noteiktas izpildītāja tiesības saņemt ikgadēju papildu atlīdzību gadījumos, kad, līgumtiesiskā ceļā nododot fonogrammas producentam tiesības uz savu izpildījumu, izpildītājs saņēmis vienreizēju atlīdzību</w:t>
            </w:r>
            <w:r w:rsidR="00A67134">
              <w:rPr>
                <w:sz w:val="28"/>
                <w:szCs w:val="28"/>
              </w:rPr>
              <w:t>.</w:t>
            </w:r>
          </w:p>
          <w:p w:rsidR="00A67134" w:rsidRDefault="00A67134" w:rsidP="00F94883">
            <w:pPr>
              <w:pStyle w:val="naiskr"/>
              <w:spacing w:before="0" w:after="120"/>
              <w:jc w:val="both"/>
              <w:rPr>
                <w:sz w:val="28"/>
                <w:szCs w:val="28"/>
              </w:rPr>
            </w:pPr>
            <w:r w:rsidRPr="00CC2CD6">
              <w:rPr>
                <w:b/>
                <w:sz w:val="28"/>
                <w:szCs w:val="28"/>
              </w:rPr>
              <w:t>48.panta 15.daļā</w:t>
            </w:r>
            <w:r>
              <w:rPr>
                <w:sz w:val="28"/>
                <w:szCs w:val="28"/>
              </w:rPr>
              <w:t xml:space="preserve"> paredzēts</w:t>
            </w:r>
            <w:r w:rsidR="009439A6">
              <w:rPr>
                <w:sz w:val="28"/>
                <w:szCs w:val="28"/>
              </w:rPr>
              <w:t xml:space="preserve">, ka gadījumos, kad </w:t>
            </w:r>
            <w:r w:rsidR="009439A6">
              <w:rPr>
                <w:sz w:val="28"/>
                <w:szCs w:val="28"/>
              </w:rPr>
              <w:lastRenderedPageBreak/>
              <w:t xml:space="preserve">starp izpildītāju un fonogrammas producentu noslēgtais līgums paredz </w:t>
            </w:r>
            <w:r w:rsidR="004872F4">
              <w:rPr>
                <w:sz w:val="28"/>
                <w:szCs w:val="28"/>
              </w:rPr>
              <w:t>regulāri izmaksājamu atlīdzību,</w:t>
            </w:r>
            <w:r>
              <w:rPr>
                <w:sz w:val="28"/>
                <w:szCs w:val="28"/>
              </w:rPr>
              <w:t xml:space="preserve"> fonogrammas producentam </w:t>
            </w:r>
            <w:r w:rsidR="004872F4">
              <w:rPr>
                <w:sz w:val="28"/>
                <w:szCs w:val="28"/>
              </w:rPr>
              <w:t xml:space="preserve">ir aizliegts </w:t>
            </w:r>
            <w:r>
              <w:rPr>
                <w:sz w:val="28"/>
                <w:szCs w:val="28"/>
              </w:rPr>
              <w:t>veikt no izpildītājam paredzētajiem maksājumiem jebkādus atskaitījumus.</w:t>
            </w:r>
          </w:p>
          <w:p w:rsidR="00CC2CD6" w:rsidRDefault="00CC2CD6" w:rsidP="00F94883">
            <w:pPr>
              <w:pStyle w:val="naiskr"/>
              <w:spacing w:before="0" w:after="120"/>
              <w:jc w:val="both"/>
              <w:rPr>
                <w:sz w:val="28"/>
                <w:szCs w:val="28"/>
              </w:rPr>
            </w:pPr>
            <w:r w:rsidRPr="00CC2CD6">
              <w:rPr>
                <w:b/>
                <w:sz w:val="28"/>
                <w:szCs w:val="28"/>
              </w:rPr>
              <w:t>55.panta pirmajā daļā</w:t>
            </w:r>
            <w:r>
              <w:rPr>
                <w:sz w:val="28"/>
                <w:szCs w:val="28"/>
              </w:rPr>
              <w:t xml:space="preserve"> noteikts izpildītāju tiesību aizsardzības termiņa pagarinājums, bet </w:t>
            </w:r>
            <w:r w:rsidRPr="00CC2CD6">
              <w:rPr>
                <w:b/>
                <w:sz w:val="28"/>
                <w:szCs w:val="28"/>
              </w:rPr>
              <w:t>55.panta</w:t>
            </w:r>
            <w:r>
              <w:rPr>
                <w:sz w:val="28"/>
                <w:szCs w:val="28"/>
              </w:rPr>
              <w:t xml:space="preserve"> </w:t>
            </w:r>
            <w:r w:rsidRPr="00CC2CD6">
              <w:rPr>
                <w:b/>
                <w:sz w:val="28"/>
                <w:szCs w:val="28"/>
              </w:rPr>
              <w:t>otrajā prim daļā</w:t>
            </w:r>
            <w:r>
              <w:rPr>
                <w:sz w:val="28"/>
                <w:szCs w:val="28"/>
              </w:rPr>
              <w:t xml:space="preserve"> – fonogrammas producenta aizsardzības termiņa pagarinājums.</w:t>
            </w:r>
          </w:p>
          <w:p w:rsidR="004872F4" w:rsidRDefault="004872F4" w:rsidP="00F94883">
            <w:pPr>
              <w:pStyle w:val="naiskr"/>
              <w:spacing w:before="0" w:after="120"/>
              <w:jc w:val="both"/>
              <w:rPr>
                <w:sz w:val="28"/>
                <w:szCs w:val="28"/>
              </w:rPr>
            </w:pPr>
            <w:r w:rsidRPr="004872F4">
              <w:rPr>
                <w:b/>
                <w:sz w:val="28"/>
                <w:szCs w:val="28"/>
              </w:rPr>
              <w:t>55.panta otrajā daļā</w:t>
            </w:r>
            <w:r>
              <w:rPr>
                <w:sz w:val="28"/>
                <w:szCs w:val="28"/>
              </w:rPr>
              <w:t xml:space="preserve"> </w:t>
            </w:r>
            <w:r w:rsidR="00AC52FA">
              <w:rPr>
                <w:sz w:val="28"/>
                <w:szCs w:val="28"/>
              </w:rPr>
              <w:t>ietverti</w:t>
            </w:r>
            <w:r>
              <w:rPr>
                <w:sz w:val="28"/>
                <w:szCs w:val="28"/>
              </w:rPr>
              <w:t xml:space="preserve"> grozījum</w:t>
            </w:r>
            <w:r w:rsidR="00AC52FA">
              <w:rPr>
                <w:sz w:val="28"/>
                <w:szCs w:val="28"/>
              </w:rPr>
              <w:t>i</w:t>
            </w:r>
            <w:r>
              <w:rPr>
                <w:sz w:val="28"/>
                <w:szCs w:val="28"/>
              </w:rPr>
              <w:t xml:space="preserve">, kas saistīti ar fonogrammu producentu tiesību aizsardzības termiņu turpmāku noteikšanu 55.panta otrajā </w:t>
            </w:r>
            <w:proofErr w:type="spellStart"/>
            <w:r>
              <w:rPr>
                <w:sz w:val="28"/>
                <w:szCs w:val="28"/>
              </w:rPr>
              <w:t>prim</w:t>
            </w:r>
            <w:proofErr w:type="spellEnd"/>
            <w:r>
              <w:rPr>
                <w:sz w:val="28"/>
                <w:szCs w:val="28"/>
              </w:rPr>
              <w:t xml:space="preserve"> daļā.</w:t>
            </w:r>
          </w:p>
          <w:p w:rsidR="004872F4" w:rsidRDefault="004872F4" w:rsidP="00F94883">
            <w:pPr>
              <w:pStyle w:val="naiskr"/>
              <w:spacing w:before="0" w:after="120"/>
              <w:jc w:val="both"/>
              <w:rPr>
                <w:sz w:val="28"/>
                <w:szCs w:val="28"/>
              </w:rPr>
            </w:pPr>
            <w:r w:rsidRPr="00D609D0">
              <w:rPr>
                <w:b/>
                <w:sz w:val="28"/>
                <w:szCs w:val="28"/>
              </w:rPr>
              <w:t xml:space="preserve">55.panta trešajā </w:t>
            </w:r>
            <w:proofErr w:type="spellStart"/>
            <w:r w:rsidRPr="00D609D0">
              <w:rPr>
                <w:b/>
                <w:sz w:val="28"/>
                <w:szCs w:val="28"/>
              </w:rPr>
              <w:t>prim</w:t>
            </w:r>
            <w:proofErr w:type="spellEnd"/>
            <w:r w:rsidRPr="00D609D0">
              <w:rPr>
                <w:b/>
                <w:sz w:val="28"/>
                <w:szCs w:val="28"/>
              </w:rPr>
              <w:t xml:space="preserve"> daļā</w:t>
            </w:r>
            <w:r>
              <w:rPr>
                <w:sz w:val="28"/>
                <w:szCs w:val="28"/>
              </w:rPr>
              <w:t xml:space="preserve"> </w:t>
            </w:r>
            <w:r w:rsidR="00AC52FA">
              <w:rPr>
                <w:sz w:val="28"/>
                <w:szCs w:val="28"/>
              </w:rPr>
              <w:t>ietverti</w:t>
            </w:r>
            <w:r>
              <w:rPr>
                <w:sz w:val="28"/>
                <w:szCs w:val="28"/>
              </w:rPr>
              <w:t xml:space="preserve"> groz</w:t>
            </w:r>
            <w:r w:rsidR="00AC52FA">
              <w:rPr>
                <w:sz w:val="28"/>
                <w:szCs w:val="28"/>
              </w:rPr>
              <w:t>ījumi</w:t>
            </w:r>
            <w:r>
              <w:rPr>
                <w:sz w:val="28"/>
                <w:szCs w:val="28"/>
              </w:rPr>
              <w:t xml:space="preserve">, kas ņem vērā minētā panta papildināšanu ar jaunu (otro </w:t>
            </w:r>
            <w:proofErr w:type="spellStart"/>
            <w:r>
              <w:rPr>
                <w:sz w:val="28"/>
                <w:szCs w:val="28"/>
              </w:rPr>
              <w:t>prim</w:t>
            </w:r>
            <w:proofErr w:type="spellEnd"/>
            <w:r>
              <w:rPr>
                <w:sz w:val="28"/>
                <w:szCs w:val="28"/>
              </w:rPr>
              <w:t>) daļu.</w:t>
            </w:r>
          </w:p>
          <w:p w:rsidR="0090104E" w:rsidRDefault="00012979" w:rsidP="00C120AC">
            <w:pPr>
              <w:pStyle w:val="naiskr"/>
              <w:spacing w:before="0" w:after="120"/>
              <w:jc w:val="both"/>
              <w:rPr>
                <w:sz w:val="28"/>
                <w:szCs w:val="28"/>
              </w:rPr>
            </w:pPr>
            <w:r w:rsidRPr="00012979">
              <w:rPr>
                <w:b/>
                <w:sz w:val="28"/>
                <w:szCs w:val="28"/>
              </w:rPr>
              <w:t>Pārejas noteikumu otrais punkts</w:t>
            </w:r>
            <w:r>
              <w:rPr>
                <w:sz w:val="28"/>
                <w:szCs w:val="28"/>
              </w:rPr>
              <w:t xml:space="preserve"> papildināts ar regulējumu, kas izriet no Direktīvas 1.panta 3.punkta. Atbilstoši minētajam regulējumam </w:t>
            </w:r>
            <w:r w:rsidR="0090104E">
              <w:rPr>
                <w:sz w:val="28"/>
                <w:szCs w:val="28"/>
              </w:rPr>
              <w:t xml:space="preserve">Direktīvā paredzētais </w:t>
            </w:r>
            <w:r>
              <w:rPr>
                <w:sz w:val="28"/>
                <w:szCs w:val="28"/>
              </w:rPr>
              <w:t xml:space="preserve">izpildītāju un fonogrammu producentu tiesību aizsardzības termiņu </w:t>
            </w:r>
            <w:r w:rsidR="00141F11">
              <w:rPr>
                <w:sz w:val="28"/>
                <w:szCs w:val="28"/>
              </w:rPr>
              <w:t>pagarinājums</w:t>
            </w:r>
            <w:r w:rsidR="0090104E">
              <w:rPr>
                <w:sz w:val="28"/>
                <w:szCs w:val="28"/>
              </w:rPr>
              <w:t xml:space="preserve"> un </w:t>
            </w:r>
            <w:r w:rsidR="00C4246F">
              <w:rPr>
                <w:sz w:val="28"/>
                <w:szCs w:val="28"/>
              </w:rPr>
              <w:t>Direktīvā</w:t>
            </w:r>
            <w:r w:rsidR="0090104E">
              <w:rPr>
                <w:sz w:val="28"/>
                <w:szCs w:val="28"/>
              </w:rPr>
              <w:t xml:space="preserve"> ietvertās</w:t>
            </w:r>
            <w:r w:rsidR="00141F11">
              <w:rPr>
                <w:sz w:val="28"/>
                <w:szCs w:val="28"/>
              </w:rPr>
              <w:t xml:space="preserve"> </w:t>
            </w:r>
            <w:r w:rsidR="00852DD8">
              <w:rPr>
                <w:sz w:val="28"/>
                <w:szCs w:val="28"/>
              </w:rPr>
              <w:t>normas</w:t>
            </w:r>
            <w:r w:rsidR="0082422E">
              <w:rPr>
                <w:sz w:val="28"/>
                <w:szCs w:val="28"/>
              </w:rPr>
              <w:t xml:space="preserve"> par </w:t>
            </w:r>
            <w:r w:rsidR="00852DD8">
              <w:rPr>
                <w:sz w:val="28"/>
                <w:szCs w:val="28"/>
              </w:rPr>
              <w:t xml:space="preserve">izpildītāju tiesībām </w:t>
            </w:r>
            <w:r w:rsidR="005E11A1">
              <w:rPr>
                <w:sz w:val="28"/>
                <w:szCs w:val="28"/>
              </w:rPr>
              <w:t xml:space="preserve">izbeigt līgumus ar fonogrammu producentiem, tiesības </w:t>
            </w:r>
            <w:r w:rsidR="00852DD8">
              <w:rPr>
                <w:sz w:val="28"/>
                <w:szCs w:val="28"/>
              </w:rPr>
              <w:t>saņemt ikgadējo papildu atlīdzību</w:t>
            </w:r>
            <w:r w:rsidR="0090104E">
              <w:rPr>
                <w:sz w:val="28"/>
                <w:szCs w:val="28"/>
              </w:rPr>
              <w:t xml:space="preserve"> un normas, kas aizliedz veikt no izpildītājam paredzētajiem maksājumiem jebkādus atskaitījumus, </w:t>
            </w:r>
            <w:r w:rsidR="002F6BA3">
              <w:rPr>
                <w:sz w:val="28"/>
                <w:szCs w:val="28"/>
              </w:rPr>
              <w:t xml:space="preserve">ir attiecināmas uz tām izpildījumu </w:t>
            </w:r>
            <w:proofErr w:type="spellStart"/>
            <w:r w:rsidR="002F6BA3">
              <w:rPr>
                <w:sz w:val="28"/>
                <w:szCs w:val="28"/>
              </w:rPr>
              <w:t>fiksācijām</w:t>
            </w:r>
            <w:proofErr w:type="spellEnd"/>
            <w:r w:rsidR="002F6BA3">
              <w:rPr>
                <w:sz w:val="28"/>
                <w:szCs w:val="28"/>
              </w:rPr>
              <w:t xml:space="preserve"> un fonogrammām, kuru aizsardzības termiņš 2013.gada 1.novembrī atbilstoši Autortiesību likuma</w:t>
            </w:r>
            <w:r w:rsidR="00C4246F">
              <w:rPr>
                <w:sz w:val="28"/>
                <w:szCs w:val="28"/>
              </w:rPr>
              <w:t xml:space="preserve">m tā redakcijā, kas bija spēkā pirms likumprojektā paredzēto grozījumu spēkā stāšanās, </w:t>
            </w:r>
            <w:r w:rsidR="002F6BA3">
              <w:rPr>
                <w:sz w:val="28"/>
                <w:szCs w:val="28"/>
              </w:rPr>
              <w:t>vēl nebija beidzies.</w:t>
            </w:r>
            <w:r w:rsidR="0090104E">
              <w:rPr>
                <w:sz w:val="28"/>
                <w:szCs w:val="28"/>
              </w:rPr>
              <w:t xml:space="preserve"> </w:t>
            </w:r>
            <w:r w:rsidR="00C4246F">
              <w:rPr>
                <w:sz w:val="28"/>
                <w:szCs w:val="28"/>
              </w:rPr>
              <w:t xml:space="preserve">Tāpat minētās normas tiek attiecinātas uz tām izpildījumu </w:t>
            </w:r>
            <w:proofErr w:type="spellStart"/>
            <w:r w:rsidR="00C4246F">
              <w:rPr>
                <w:sz w:val="28"/>
                <w:szCs w:val="28"/>
              </w:rPr>
              <w:t>fiksācijām</w:t>
            </w:r>
            <w:proofErr w:type="spellEnd"/>
            <w:r w:rsidR="00C4246F">
              <w:rPr>
                <w:sz w:val="28"/>
                <w:szCs w:val="28"/>
              </w:rPr>
              <w:t xml:space="preserve"> un fonogrammām, kas radītas pēc 2013.gada 1.novembra</w:t>
            </w:r>
            <w:r w:rsidR="00C120AC">
              <w:rPr>
                <w:sz w:val="28"/>
                <w:szCs w:val="28"/>
              </w:rPr>
              <w:t>.</w:t>
            </w:r>
          </w:p>
          <w:p w:rsidR="00CC2CD6" w:rsidRPr="00161F9F" w:rsidRDefault="00CC2CD6" w:rsidP="00B51130">
            <w:pPr>
              <w:pStyle w:val="naiskr"/>
              <w:spacing w:before="0" w:after="0"/>
              <w:jc w:val="both"/>
              <w:rPr>
                <w:sz w:val="28"/>
                <w:szCs w:val="28"/>
              </w:rPr>
            </w:pPr>
            <w:r w:rsidRPr="00C120AC">
              <w:rPr>
                <w:b/>
                <w:sz w:val="28"/>
                <w:szCs w:val="28"/>
              </w:rPr>
              <w:t>Pārejas noteikumu 12.punktā</w:t>
            </w:r>
            <w:bookmarkStart w:id="3" w:name="_GoBack"/>
            <w:bookmarkEnd w:id="3"/>
            <w:r w:rsidR="00C120AC">
              <w:rPr>
                <w:sz w:val="28"/>
                <w:szCs w:val="28"/>
              </w:rPr>
              <w:t xml:space="preserve"> paredzēts, ka pirms 2013.gada 1.novembra noslēgtie līgumi starp izpildītājiem un fonogrammu producentiem, ar kuriem izpildītāji ir nodevuši fonogrammu</w:t>
            </w:r>
            <w:r w:rsidR="00C120AC" w:rsidRPr="00CF0D9D">
              <w:rPr>
                <w:sz w:val="28"/>
                <w:szCs w:val="28"/>
              </w:rPr>
              <w:t xml:space="preserve"> pr</w:t>
            </w:r>
            <w:r w:rsidR="00C120AC">
              <w:rPr>
                <w:sz w:val="28"/>
                <w:szCs w:val="28"/>
              </w:rPr>
              <w:t xml:space="preserve">oducentiem tiesības uz savu izpildījumu </w:t>
            </w:r>
            <w:proofErr w:type="spellStart"/>
            <w:r w:rsidR="00C120AC">
              <w:rPr>
                <w:sz w:val="28"/>
                <w:szCs w:val="28"/>
              </w:rPr>
              <w:t>fiksācijām</w:t>
            </w:r>
            <w:proofErr w:type="spellEnd"/>
            <w:r w:rsidR="00C120AC">
              <w:rPr>
                <w:sz w:val="28"/>
                <w:szCs w:val="28"/>
              </w:rPr>
              <w:t xml:space="preserve">, </w:t>
            </w:r>
            <w:r w:rsidR="00C120AC" w:rsidRPr="00CF0D9D">
              <w:rPr>
                <w:sz w:val="28"/>
                <w:szCs w:val="28"/>
              </w:rPr>
              <w:t xml:space="preserve">ir spēkā arī tajā laikā, par kādu ir pagarināti izpildītāju un fonogrammu producentu </w:t>
            </w:r>
            <w:r w:rsidR="00C120AC" w:rsidRPr="00CF0D9D">
              <w:rPr>
                <w:sz w:val="28"/>
                <w:szCs w:val="28"/>
              </w:rPr>
              <w:lastRenderedPageBreak/>
              <w:t>tiesību aizsardzības termiņi</w:t>
            </w:r>
            <w:r w:rsidR="00C120AC">
              <w:rPr>
                <w:sz w:val="28"/>
                <w:szCs w:val="28"/>
              </w:rPr>
              <w:t>, ciktāl minētajos līgumos nav skaidri noteikts pretējais.</w:t>
            </w:r>
          </w:p>
        </w:tc>
      </w:tr>
      <w:tr w:rsidR="00E37606" w:rsidRPr="00BA5E65" w:rsidTr="00AB1AD2">
        <w:tc>
          <w:tcPr>
            <w:tcW w:w="290" w:type="pct"/>
          </w:tcPr>
          <w:p w:rsidR="00E37606" w:rsidRPr="00BA5E65" w:rsidRDefault="00E37606" w:rsidP="00AB1AD2">
            <w:pPr>
              <w:jc w:val="center"/>
              <w:rPr>
                <w:sz w:val="28"/>
                <w:szCs w:val="28"/>
              </w:rPr>
            </w:pPr>
            <w:r w:rsidRPr="00BA5E65">
              <w:rPr>
                <w:sz w:val="28"/>
                <w:szCs w:val="28"/>
              </w:rPr>
              <w:lastRenderedPageBreak/>
              <w:t>5.</w:t>
            </w:r>
          </w:p>
        </w:tc>
        <w:tc>
          <w:tcPr>
            <w:tcW w:w="1588" w:type="pct"/>
          </w:tcPr>
          <w:p w:rsidR="00E37606" w:rsidRPr="00BA5E65" w:rsidRDefault="00E37606" w:rsidP="00AB1AD2">
            <w:pPr>
              <w:rPr>
                <w:sz w:val="28"/>
                <w:szCs w:val="28"/>
              </w:rPr>
            </w:pPr>
            <w:r w:rsidRPr="00BA5E65">
              <w:rPr>
                <w:sz w:val="28"/>
                <w:szCs w:val="28"/>
              </w:rPr>
              <w:t>Projekta izstrādē iesaistītās institūcijas</w:t>
            </w:r>
          </w:p>
        </w:tc>
        <w:tc>
          <w:tcPr>
            <w:tcW w:w="3122" w:type="pct"/>
          </w:tcPr>
          <w:p w:rsidR="00E37606" w:rsidRPr="00BA5E65" w:rsidRDefault="00C84009" w:rsidP="00AB1AD2">
            <w:pPr>
              <w:tabs>
                <w:tab w:val="left" w:pos="5279"/>
              </w:tabs>
              <w:ind w:right="31"/>
              <w:jc w:val="both"/>
              <w:rPr>
                <w:sz w:val="28"/>
                <w:szCs w:val="28"/>
              </w:rPr>
            </w:pPr>
            <w:r>
              <w:rPr>
                <w:bCs/>
                <w:sz w:val="28"/>
                <w:szCs w:val="28"/>
              </w:rPr>
              <w:t>Kultūras ministrija</w:t>
            </w:r>
            <w:r w:rsidR="00FD58E7">
              <w:rPr>
                <w:bCs/>
                <w:sz w:val="28"/>
                <w:szCs w:val="28"/>
              </w:rPr>
              <w:t xml:space="preserve">, </w:t>
            </w:r>
            <w:r w:rsidR="00FD58E7" w:rsidRPr="00B339AC">
              <w:rPr>
                <w:iCs/>
                <w:sz w:val="28"/>
                <w:szCs w:val="28"/>
              </w:rPr>
              <w:t xml:space="preserve">ar kultūras ministra </w:t>
            </w:r>
            <w:r w:rsidR="00FD58E7">
              <w:rPr>
                <w:iCs/>
                <w:sz w:val="28"/>
                <w:szCs w:val="28"/>
              </w:rPr>
              <w:t>2011</w:t>
            </w:r>
            <w:r w:rsidR="00FD58E7" w:rsidRPr="003275C6">
              <w:rPr>
                <w:iCs/>
                <w:sz w:val="28"/>
                <w:szCs w:val="28"/>
              </w:rPr>
              <w:t xml:space="preserve">.gada </w:t>
            </w:r>
            <w:r w:rsidR="00FD58E7">
              <w:rPr>
                <w:iCs/>
                <w:sz w:val="28"/>
                <w:szCs w:val="28"/>
              </w:rPr>
              <w:t>31</w:t>
            </w:r>
            <w:r w:rsidR="00FD58E7" w:rsidRPr="003275C6">
              <w:rPr>
                <w:iCs/>
                <w:sz w:val="28"/>
                <w:szCs w:val="28"/>
              </w:rPr>
              <w:t>.</w:t>
            </w:r>
            <w:r w:rsidR="00FD58E7">
              <w:rPr>
                <w:iCs/>
                <w:sz w:val="28"/>
                <w:szCs w:val="28"/>
              </w:rPr>
              <w:t>marta</w:t>
            </w:r>
            <w:r w:rsidR="00FD58E7" w:rsidRPr="003275C6">
              <w:rPr>
                <w:iCs/>
                <w:sz w:val="28"/>
                <w:szCs w:val="28"/>
              </w:rPr>
              <w:t xml:space="preserve"> rīkojumu Nr.</w:t>
            </w:r>
            <w:r w:rsidR="00FD58E7">
              <w:rPr>
                <w:iCs/>
                <w:sz w:val="28"/>
                <w:szCs w:val="28"/>
              </w:rPr>
              <w:t>6-1-92</w:t>
            </w:r>
            <w:r w:rsidR="00FD58E7" w:rsidRPr="003275C6">
              <w:rPr>
                <w:iCs/>
                <w:sz w:val="28"/>
                <w:szCs w:val="28"/>
              </w:rPr>
              <w:t xml:space="preserve"> </w:t>
            </w:r>
            <w:r w:rsidR="00FD58E7" w:rsidRPr="00B339AC">
              <w:rPr>
                <w:iCs/>
                <w:sz w:val="28"/>
                <w:szCs w:val="28"/>
              </w:rPr>
              <w:t xml:space="preserve">izveidotā darba grupa </w:t>
            </w:r>
            <w:r w:rsidR="00FD58E7">
              <w:rPr>
                <w:iCs/>
                <w:sz w:val="28"/>
                <w:szCs w:val="28"/>
              </w:rPr>
              <w:t>Autortiesību likuma izvērtēšanai un nepieciešamo grozījumu izstrādei</w:t>
            </w:r>
            <w:r w:rsidR="00EE551A">
              <w:rPr>
                <w:iCs/>
                <w:sz w:val="28"/>
                <w:szCs w:val="28"/>
              </w:rPr>
              <w:t>.</w:t>
            </w:r>
          </w:p>
        </w:tc>
      </w:tr>
      <w:tr w:rsidR="00E37606" w:rsidRPr="00BA5E65" w:rsidTr="00AB1AD2">
        <w:trPr>
          <w:trHeight w:val="989"/>
        </w:trPr>
        <w:tc>
          <w:tcPr>
            <w:tcW w:w="290" w:type="pct"/>
          </w:tcPr>
          <w:p w:rsidR="00E37606" w:rsidRPr="00BA5E65" w:rsidRDefault="00E37606" w:rsidP="00AB1AD2">
            <w:pPr>
              <w:jc w:val="center"/>
              <w:rPr>
                <w:sz w:val="28"/>
                <w:szCs w:val="28"/>
              </w:rPr>
            </w:pPr>
            <w:r w:rsidRPr="00BA5E65">
              <w:rPr>
                <w:sz w:val="28"/>
                <w:szCs w:val="28"/>
              </w:rPr>
              <w:t>6.</w:t>
            </w:r>
          </w:p>
        </w:tc>
        <w:tc>
          <w:tcPr>
            <w:tcW w:w="1588" w:type="pct"/>
          </w:tcPr>
          <w:p w:rsidR="00E37606" w:rsidRPr="00BA5E65" w:rsidRDefault="00E37606" w:rsidP="00AB1AD2">
            <w:pPr>
              <w:rPr>
                <w:sz w:val="28"/>
                <w:szCs w:val="28"/>
              </w:rPr>
            </w:pPr>
            <w:r w:rsidRPr="00BA5E65">
              <w:rPr>
                <w:sz w:val="28"/>
                <w:szCs w:val="28"/>
              </w:rPr>
              <w:t>Iemesli, kādēļ netika nodrošināta sabiedrības līdzdalība</w:t>
            </w:r>
          </w:p>
        </w:tc>
        <w:tc>
          <w:tcPr>
            <w:tcW w:w="3122" w:type="pct"/>
          </w:tcPr>
          <w:p w:rsidR="004B7922" w:rsidRPr="00AB3C41" w:rsidRDefault="00505E37" w:rsidP="00AB1AD2">
            <w:pPr>
              <w:jc w:val="both"/>
              <w:rPr>
                <w:color w:val="000000"/>
                <w:sz w:val="28"/>
                <w:szCs w:val="28"/>
              </w:rPr>
            </w:pPr>
            <w:r w:rsidRPr="00D35683">
              <w:rPr>
                <w:bCs/>
                <w:sz w:val="28"/>
                <w:szCs w:val="28"/>
              </w:rPr>
              <w:t>Projekts šo jomu neskar</w:t>
            </w:r>
          </w:p>
        </w:tc>
      </w:tr>
      <w:tr w:rsidR="00E37606" w:rsidRPr="00BA5E65" w:rsidTr="00AB1AD2">
        <w:tc>
          <w:tcPr>
            <w:tcW w:w="290" w:type="pct"/>
          </w:tcPr>
          <w:p w:rsidR="00E37606" w:rsidRPr="00BA5E65" w:rsidRDefault="00E37606" w:rsidP="00AB1AD2">
            <w:pPr>
              <w:jc w:val="center"/>
              <w:rPr>
                <w:sz w:val="28"/>
                <w:szCs w:val="28"/>
              </w:rPr>
            </w:pPr>
            <w:r w:rsidRPr="00BA5E65">
              <w:rPr>
                <w:sz w:val="28"/>
                <w:szCs w:val="28"/>
              </w:rPr>
              <w:t>7.</w:t>
            </w:r>
          </w:p>
        </w:tc>
        <w:tc>
          <w:tcPr>
            <w:tcW w:w="1588" w:type="pct"/>
          </w:tcPr>
          <w:p w:rsidR="00E37606" w:rsidRPr="00BA5E65" w:rsidRDefault="00E37606" w:rsidP="00AB1AD2">
            <w:pPr>
              <w:rPr>
                <w:sz w:val="28"/>
                <w:szCs w:val="28"/>
              </w:rPr>
            </w:pPr>
            <w:r w:rsidRPr="00BA5E65">
              <w:rPr>
                <w:sz w:val="28"/>
                <w:szCs w:val="28"/>
              </w:rPr>
              <w:t> Cita informācija</w:t>
            </w:r>
          </w:p>
        </w:tc>
        <w:tc>
          <w:tcPr>
            <w:tcW w:w="3122" w:type="pct"/>
          </w:tcPr>
          <w:p w:rsidR="007D3829" w:rsidRPr="008B7611" w:rsidRDefault="00505E37" w:rsidP="00AB1AD2">
            <w:pPr>
              <w:pStyle w:val="naiskr"/>
              <w:spacing w:before="0" w:after="0"/>
              <w:jc w:val="both"/>
              <w:rPr>
                <w:sz w:val="28"/>
                <w:szCs w:val="28"/>
              </w:rPr>
            </w:pPr>
            <w:r w:rsidRPr="008B7611">
              <w:rPr>
                <w:sz w:val="28"/>
                <w:szCs w:val="28"/>
              </w:rPr>
              <w:t>Nav</w:t>
            </w:r>
          </w:p>
        </w:tc>
      </w:tr>
    </w:tbl>
    <w:p w:rsidR="00E37606" w:rsidRDefault="00E37606" w:rsidP="00161F9F">
      <w:pPr>
        <w:rPr>
          <w:sz w:val="28"/>
          <w:szCs w:val="28"/>
          <w:lang w:eastAsia="lv-LV"/>
        </w:rPr>
      </w:pPr>
    </w:p>
    <w:tbl>
      <w:tblPr>
        <w:tblpPr w:leftFromText="180" w:rightFromText="180" w:vertAnchor="text" w:horzAnchor="margin" w:tblpXSpec="center" w:tblpY="14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3"/>
        <w:gridCol w:w="2663"/>
        <w:gridCol w:w="5706"/>
      </w:tblGrid>
      <w:tr w:rsidR="00F27ECC" w:rsidRPr="00CF1DE2" w:rsidTr="00E31829">
        <w:tc>
          <w:tcPr>
            <w:tcW w:w="9214" w:type="dxa"/>
            <w:gridSpan w:val="3"/>
            <w:vAlign w:val="center"/>
          </w:tcPr>
          <w:p w:rsidR="00F27ECC" w:rsidRPr="00D35683" w:rsidRDefault="00FE42EC" w:rsidP="00161F9F">
            <w:pPr>
              <w:pStyle w:val="naisnod"/>
              <w:spacing w:before="0" w:after="0"/>
              <w:rPr>
                <w:sz w:val="28"/>
                <w:szCs w:val="28"/>
              </w:rPr>
            </w:pPr>
            <w:r>
              <w:rPr>
                <w:sz w:val="28"/>
                <w:szCs w:val="28"/>
              </w:rPr>
              <w:t>II. </w:t>
            </w:r>
            <w:r w:rsidR="00F27ECC" w:rsidRPr="00D35683">
              <w:rPr>
                <w:sz w:val="28"/>
                <w:szCs w:val="28"/>
              </w:rPr>
              <w:t>Tiesību akta projekta ietekme uz sabiedrību</w:t>
            </w:r>
          </w:p>
        </w:tc>
      </w:tr>
      <w:tr w:rsidR="00F27ECC" w:rsidRPr="00CF1DE2" w:rsidTr="00E31829">
        <w:trPr>
          <w:trHeight w:val="467"/>
        </w:trPr>
        <w:tc>
          <w:tcPr>
            <w:tcW w:w="716" w:type="dxa"/>
          </w:tcPr>
          <w:p w:rsidR="00F27ECC" w:rsidRPr="00D35683" w:rsidRDefault="00F27ECC" w:rsidP="00161F9F">
            <w:pPr>
              <w:pStyle w:val="naiskr"/>
              <w:spacing w:before="0" w:after="0"/>
              <w:rPr>
                <w:sz w:val="28"/>
                <w:szCs w:val="28"/>
              </w:rPr>
            </w:pPr>
            <w:r w:rsidRPr="00D35683">
              <w:rPr>
                <w:sz w:val="28"/>
                <w:szCs w:val="28"/>
              </w:rPr>
              <w:t>1.</w:t>
            </w:r>
          </w:p>
        </w:tc>
        <w:tc>
          <w:tcPr>
            <w:tcW w:w="2687" w:type="dxa"/>
          </w:tcPr>
          <w:p w:rsidR="00F27ECC" w:rsidRPr="00D35683" w:rsidRDefault="00F27ECC" w:rsidP="00161F9F">
            <w:pPr>
              <w:pStyle w:val="naiskr"/>
              <w:spacing w:before="0" w:after="0"/>
              <w:rPr>
                <w:sz w:val="28"/>
                <w:szCs w:val="28"/>
              </w:rPr>
            </w:pPr>
            <w:r w:rsidRPr="00D35683">
              <w:rPr>
                <w:sz w:val="28"/>
                <w:szCs w:val="28"/>
              </w:rPr>
              <w:t>Sabiedrības mērķgrupa</w:t>
            </w:r>
          </w:p>
        </w:tc>
        <w:tc>
          <w:tcPr>
            <w:tcW w:w="5811" w:type="dxa"/>
          </w:tcPr>
          <w:p w:rsidR="00F27ECC" w:rsidRDefault="00F27ECC" w:rsidP="00E31829">
            <w:pPr>
              <w:ind w:right="151"/>
              <w:jc w:val="both"/>
              <w:rPr>
                <w:sz w:val="28"/>
                <w:szCs w:val="28"/>
              </w:rPr>
            </w:pPr>
            <w:r w:rsidRPr="00D35683">
              <w:rPr>
                <w:sz w:val="28"/>
                <w:szCs w:val="28"/>
              </w:rPr>
              <w:t>Sabiedrības mērķgrupas, kuru intereses ietekmē šis projekts, ir:</w:t>
            </w:r>
          </w:p>
          <w:p w:rsidR="006D359F" w:rsidRDefault="006D359F" w:rsidP="00E31829">
            <w:pPr>
              <w:ind w:right="151"/>
              <w:jc w:val="both"/>
              <w:rPr>
                <w:sz w:val="28"/>
                <w:szCs w:val="28"/>
              </w:rPr>
            </w:pPr>
            <w:r>
              <w:rPr>
                <w:sz w:val="28"/>
                <w:szCs w:val="28"/>
              </w:rPr>
              <w:t>1) izpildītāji (nav zināms precīzs skaits, jo netiek veikta</w:t>
            </w:r>
            <w:r w:rsidR="0072262B">
              <w:rPr>
                <w:sz w:val="28"/>
                <w:szCs w:val="28"/>
              </w:rPr>
              <w:t xml:space="preserve"> attiecīga statistiskā uzskaite</w:t>
            </w:r>
            <w:r>
              <w:rPr>
                <w:sz w:val="28"/>
                <w:szCs w:val="28"/>
              </w:rPr>
              <w:t>);</w:t>
            </w:r>
          </w:p>
          <w:p w:rsidR="00F27ECC" w:rsidRPr="00D35683" w:rsidRDefault="006D359F" w:rsidP="0072262B">
            <w:pPr>
              <w:ind w:right="151"/>
              <w:jc w:val="both"/>
              <w:rPr>
                <w:sz w:val="28"/>
                <w:szCs w:val="28"/>
              </w:rPr>
            </w:pPr>
            <w:r>
              <w:rPr>
                <w:sz w:val="28"/>
                <w:szCs w:val="28"/>
              </w:rPr>
              <w:t>2) fonogrammu producenti</w:t>
            </w:r>
            <w:r w:rsidR="003D2800">
              <w:rPr>
                <w:sz w:val="28"/>
                <w:szCs w:val="28"/>
              </w:rPr>
              <w:t xml:space="preserve"> </w:t>
            </w:r>
            <w:r>
              <w:rPr>
                <w:sz w:val="28"/>
                <w:szCs w:val="28"/>
              </w:rPr>
              <w:t>(nav zināms precīzs skaits, jo netiek veikta</w:t>
            </w:r>
            <w:r w:rsidR="0072262B">
              <w:rPr>
                <w:sz w:val="28"/>
                <w:szCs w:val="28"/>
              </w:rPr>
              <w:t xml:space="preserve"> attiecīga statistiskā uzskaite</w:t>
            </w:r>
            <w:r>
              <w:rPr>
                <w:sz w:val="28"/>
                <w:szCs w:val="28"/>
              </w:rPr>
              <w:t>)</w:t>
            </w:r>
            <w:r w:rsidR="0072262B">
              <w:rPr>
                <w:sz w:val="28"/>
                <w:szCs w:val="28"/>
              </w:rPr>
              <w:t>.</w:t>
            </w:r>
          </w:p>
        </w:tc>
      </w:tr>
      <w:tr w:rsidR="00F27ECC" w:rsidRPr="00CF1DE2" w:rsidTr="00E31829">
        <w:trPr>
          <w:trHeight w:val="523"/>
        </w:trPr>
        <w:tc>
          <w:tcPr>
            <w:tcW w:w="716" w:type="dxa"/>
          </w:tcPr>
          <w:p w:rsidR="00F27ECC" w:rsidRPr="00D35683" w:rsidRDefault="00F27ECC" w:rsidP="00161F9F">
            <w:pPr>
              <w:pStyle w:val="naiskr"/>
              <w:spacing w:before="0" w:after="0"/>
              <w:rPr>
                <w:sz w:val="28"/>
                <w:szCs w:val="28"/>
              </w:rPr>
            </w:pPr>
            <w:r w:rsidRPr="00D35683">
              <w:rPr>
                <w:sz w:val="28"/>
                <w:szCs w:val="28"/>
              </w:rPr>
              <w:t>2.</w:t>
            </w:r>
          </w:p>
        </w:tc>
        <w:tc>
          <w:tcPr>
            <w:tcW w:w="2687" w:type="dxa"/>
          </w:tcPr>
          <w:p w:rsidR="00F27ECC" w:rsidRPr="00D35683" w:rsidRDefault="00F27ECC" w:rsidP="00161F9F">
            <w:pPr>
              <w:pStyle w:val="naiskr"/>
              <w:spacing w:before="0" w:after="0"/>
              <w:rPr>
                <w:sz w:val="28"/>
                <w:szCs w:val="28"/>
              </w:rPr>
            </w:pPr>
            <w:r w:rsidRPr="00D35683">
              <w:rPr>
                <w:sz w:val="28"/>
                <w:szCs w:val="28"/>
              </w:rPr>
              <w:t>Citas sabiedrības grupas (bez mērķgrupas), kuras tiesiskais regulējums arī ietekmē vai varētu ietekmēt</w:t>
            </w:r>
          </w:p>
        </w:tc>
        <w:tc>
          <w:tcPr>
            <w:tcW w:w="5811" w:type="dxa"/>
          </w:tcPr>
          <w:p w:rsidR="00F27ECC" w:rsidRPr="00D35683" w:rsidRDefault="0072262B" w:rsidP="003D5296">
            <w:pPr>
              <w:pStyle w:val="naiskr"/>
              <w:spacing w:before="0" w:after="0"/>
              <w:jc w:val="both"/>
              <w:rPr>
                <w:sz w:val="28"/>
                <w:szCs w:val="28"/>
              </w:rPr>
            </w:pPr>
            <w:r w:rsidRPr="00D35683">
              <w:rPr>
                <w:bCs/>
                <w:sz w:val="28"/>
                <w:szCs w:val="28"/>
              </w:rPr>
              <w:t>Projekts šo jomu neskar</w:t>
            </w:r>
          </w:p>
        </w:tc>
      </w:tr>
      <w:tr w:rsidR="00F27ECC" w:rsidRPr="00CF1DE2" w:rsidTr="00E31829">
        <w:trPr>
          <w:trHeight w:val="517"/>
        </w:trPr>
        <w:tc>
          <w:tcPr>
            <w:tcW w:w="716" w:type="dxa"/>
          </w:tcPr>
          <w:p w:rsidR="00F27ECC" w:rsidRPr="00D35683" w:rsidRDefault="00F27ECC" w:rsidP="00161F9F">
            <w:pPr>
              <w:pStyle w:val="naiskr"/>
              <w:spacing w:before="0" w:after="0"/>
              <w:rPr>
                <w:sz w:val="28"/>
                <w:szCs w:val="28"/>
              </w:rPr>
            </w:pPr>
            <w:r w:rsidRPr="00D35683">
              <w:rPr>
                <w:sz w:val="28"/>
                <w:szCs w:val="28"/>
              </w:rPr>
              <w:t>3.</w:t>
            </w:r>
          </w:p>
        </w:tc>
        <w:tc>
          <w:tcPr>
            <w:tcW w:w="2687" w:type="dxa"/>
          </w:tcPr>
          <w:p w:rsidR="00F27ECC" w:rsidRPr="00D35683" w:rsidRDefault="00F27ECC" w:rsidP="00161F9F">
            <w:pPr>
              <w:pStyle w:val="naiskr"/>
              <w:spacing w:before="0" w:after="0"/>
              <w:rPr>
                <w:sz w:val="28"/>
                <w:szCs w:val="28"/>
              </w:rPr>
            </w:pPr>
            <w:r w:rsidRPr="00D35683">
              <w:rPr>
                <w:sz w:val="28"/>
                <w:szCs w:val="28"/>
              </w:rPr>
              <w:t>Tiesiskā regulējuma finansiālā ietekme</w:t>
            </w:r>
          </w:p>
        </w:tc>
        <w:tc>
          <w:tcPr>
            <w:tcW w:w="5811" w:type="dxa"/>
          </w:tcPr>
          <w:p w:rsidR="002367E9" w:rsidRPr="002367E9" w:rsidRDefault="002367E9" w:rsidP="002367E9">
            <w:pPr>
              <w:pStyle w:val="naiskr"/>
              <w:spacing w:before="0" w:after="120"/>
              <w:jc w:val="both"/>
              <w:rPr>
                <w:sz w:val="28"/>
                <w:szCs w:val="28"/>
              </w:rPr>
            </w:pPr>
            <w:r w:rsidRPr="002367E9">
              <w:rPr>
                <w:sz w:val="28"/>
                <w:szCs w:val="28"/>
              </w:rPr>
              <w:t>Projekta piemērošana radīs papildu ienākumus izpildītājiem un fonogrammu producentiem saistībā ar viņu tiesību aizsardzības termiņa pagarināšanu par 20 gadiem.</w:t>
            </w:r>
          </w:p>
          <w:p w:rsidR="00F27ECC" w:rsidRPr="00D35683" w:rsidRDefault="002367E9" w:rsidP="002367E9">
            <w:pPr>
              <w:pStyle w:val="naiskr"/>
              <w:spacing w:before="0" w:after="0"/>
              <w:jc w:val="both"/>
              <w:rPr>
                <w:sz w:val="28"/>
                <w:szCs w:val="28"/>
              </w:rPr>
            </w:pPr>
            <w:r w:rsidRPr="002367E9">
              <w:rPr>
                <w:sz w:val="28"/>
                <w:szCs w:val="28"/>
              </w:rPr>
              <w:t>Finansiālās ietekmes aprēķinus nav iespējams veikt, jo nav pieejami statistikas dati par izpildītāju un fonogrammu producentu skaitu,</w:t>
            </w:r>
            <w:r>
              <w:rPr>
                <w:sz w:val="28"/>
                <w:szCs w:val="28"/>
              </w:rPr>
              <w:t xml:space="preserve"> noslēgtajiem līgumiem,</w:t>
            </w:r>
            <w:r w:rsidRPr="002367E9">
              <w:rPr>
                <w:sz w:val="28"/>
                <w:szCs w:val="28"/>
              </w:rPr>
              <w:t xml:space="preserve"> kā arī fonogrammu skaitu, uz ko attieksies minētais termiņa pagarinājums, kā arī citi Direktīvā paredzētie pasākumi izpildītāju labklājības sekmēšanai.</w:t>
            </w:r>
          </w:p>
        </w:tc>
      </w:tr>
      <w:tr w:rsidR="00F27ECC" w:rsidRPr="00CF1DE2" w:rsidTr="00E31829">
        <w:trPr>
          <w:trHeight w:val="517"/>
        </w:trPr>
        <w:tc>
          <w:tcPr>
            <w:tcW w:w="716" w:type="dxa"/>
          </w:tcPr>
          <w:p w:rsidR="00F27ECC" w:rsidRPr="00D35683" w:rsidRDefault="00F27ECC" w:rsidP="00161F9F">
            <w:pPr>
              <w:pStyle w:val="naiskr"/>
              <w:spacing w:before="0" w:after="0"/>
              <w:rPr>
                <w:sz w:val="28"/>
                <w:szCs w:val="28"/>
              </w:rPr>
            </w:pPr>
            <w:r w:rsidRPr="00D35683">
              <w:rPr>
                <w:sz w:val="28"/>
                <w:szCs w:val="28"/>
              </w:rPr>
              <w:t>4.</w:t>
            </w:r>
          </w:p>
        </w:tc>
        <w:tc>
          <w:tcPr>
            <w:tcW w:w="2687" w:type="dxa"/>
          </w:tcPr>
          <w:p w:rsidR="00F27ECC" w:rsidRPr="00D35683" w:rsidRDefault="00F27ECC" w:rsidP="00161F9F">
            <w:pPr>
              <w:pStyle w:val="naiskr"/>
              <w:spacing w:before="0" w:after="0"/>
              <w:rPr>
                <w:sz w:val="28"/>
                <w:szCs w:val="28"/>
              </w:rPr>
            </w:pPr>
            <w:r w:rsidRPr="00D35683">
              <w:rPr>
                <w:sz w:val="28"/>
                <w:szCs w:val="28"/>
              </w:rPr>
              <w:t>Tiesiskā regulējuma nefinansiālā ietekme</w:t>
            </w:r>
          </w:p>
        </w:tc>
        <w:tc>
          <w:tcPr>
            <w:tcW w:w="5811" w:type="dxa"/>
          </w:tcPr>
          <w:p w:rsidR="00F27ECC" w:rsidRPr="00D35683" w:rsidRDefault="006450E5" w:rsidP="00161F9F">
            <w:pPr>
              <w:pStyle w:val="naiskr"/>
              <w:spacing w:before="0" w:after="0"/>
              <w:ind w:firstLine="4"/>
              <w:jc w:val="both"/>
              <w:rPr>
                <w:sz w:val="28"/>
                <w:szCs w:val="28"/>
              </w:rPr>
            </w:pPr>
            <w:r w:rsidRPr="00D35683">
              <w:rPr>
                <w:bCs/>
                <w:sz w:val="28"/>
                <w:szCs w:val="28"/>
              </w:rPr>
              <w:t>Projekts šo jomu neskar</w:t>
            </w:r>
          </w:p>
        </w:tc>
      </w:tr>
      <w:tr w:rsidR="00F27ECC" w:rsidRPr="00CF1DE2" w:rsidTr="00E31829">
        <w:trPr>
          <w:trHeight w:val="531"/>
        </w:trPr>
        <w:tc>
          <w:tcPr>
            <w:tcW w:w="716" w:type="dxa"/>
          </w:tcPr>
          <w:p w:rsidR="00F27ECC" w:rsidRPr="00D35683" w:rsidRDefault="00F27ECC" w:rsidP="00161F9F">
            <w:pPr>
              <w:pStyle w:val="naiskr"/>
              <w:spacing w:before="0" w:after="0"/>
              <w:rPr>
                <w:sz w:val="28"/>
                <w:szCs w:val="28"/>
              </w:rPr>
            </w:pPr>
            <w:r w:rsidRPr="00D35683">
              <w:rPr>
                <w:sz w:val="28"/>
                <w:szCs w:val="28"/>
              </w:rPr>
              <w:t>5.</w:t>
            </w:r>
          </w:p>
        </w:tc>
        <w:tc>
          <w:tcPr>
            <w:tcW w:w="2687" w:type="dxa"/>
          </w:tcPr>
          <w:p w:rsidR="00F27ECC" w:rsidRPr="00D35683" w:rsidRDefault="00F27ECC" w:rsidP="00161F9F">
            <w:pPr>
              <w:pStyle w:val="naiskr"/>
              <w:spacing w:before="0" w:after="0"/>
              <w:rPr>
                <w:sz w:val="28"/>
                <w:szCs w:val="28"/>
              </w:rPr>
            </w:pPr>
            <w:r w:rsidRPr="00D35683">
              <w:rPr>
                <w:sz w:val="28"/>
                <w:szCs w:val="28"/>
              </w:rPr>
              <w:t>Administratīvās procedūras raksturojums</w:t>
            </w:r>
          </w:p>
        </w:tc>
        <w:tc>
          <w:tcPr>
            <w:tcW w:w="5811" w:type="dxa"/>
          </w:tcPr>
          <w:p w:rsidR="00F27ECC" w:rsidRPr="00D35683" w:rsidRDefault="00AD0AC2" w:rsidP="00161F9F">
            <w:pPr>
              <w:pStyle w:val="naiskr"/>
              <w:spacing w:before="0" w:after="0"/>
              <w:rPr>
                <w:sz w:val="28"/>
                <w:szCs w:val="28"/>
              </w:rPr>
            </w:pPr>
            <w:r w:rsidRPr="00D35683">
              <w:rPr>
                <w:bCs/>
                <w:sz w:val="28"/>
                <w:szCs w:val="28"/>
              </w:rPr>
              <w:t>Projekts šo jomu neskar</w:t>
            </w:r>
          </w:p>
        </w:tc>
      </w:tr>
      <w:tr w:rsidR="00F27ECC" w:rsidRPr="00CF1DE2" w:rsidTr="00E31829">
        <w:trPr>
          <w:trHeight w:val="357"/>
        </w:trPr>
        <w:tc>
          <w:tcPr>
            <w:tcW w:w="716" w:type="dxa"/>
          </w:tcPr>
          <w:p w:rsidR="00F27ECC" w:rsidRPr="00D35683" w:rsidRDefault="00F27ECC" w:rsidP="00161F9F">
            <w:pPr>
              <w:pStyle w:val="naiskr"/>
              <w:spacing w:before="0" w:after="0"/>
              <w:rPr>
                <w:sz w:val="28"/>
                <w:szCs w:val="28"/>
              </w:rPr>
            </w:pPr>
            <w:r w:rsidRPr="00D35683">
              <w:rPr>
                <w:sz w:val="28"/>
                <w:szCs w:val="28"/>
              </w:rPr>
              <w:t>6.</w:t>
            </w:r>
          </w:p>
        </w:tc>
        <w:tc>
          <w:tcPr>
            <w:tcW w:w="2687" w:type="dxa"/>
          </w:tcPr>
          <w:p w:rsidR="00F27ECC" w:rsidRPr="00D35683" w:rsidRDefault="00F27ECC" w:rsidP="00161F9F">
            <w:pPr>
              <w:pStyle w:val="naiskr"/>
              <w:spacing w:before="0" w:after="0"/>
              <w:rPr>
                <w:sz w:val="28"/>
                <w:szCs w:val="28"/>
              </w:rPr>
            </w:pPr>
            <w:r w:rsidRPr="00D35683">
              <w:rPr>
                <w:sz w:val="28"/>
                <w:szCs w:val="28"/>
              </w:rPr>
              <w:t xml:space="preserve">Administratīvo </w:t>
            </w:r>
            <w:r w:rsidRPr="00D35683">
              <w:rPr>
                <w:sz w:val="28"/>
                <w:szCs w:val="28"/>
              </w:rPr>
              <w:lastRenderedPageBreak/>
              <w:t>izmaksu monetārs novērtējums</w:t>
            </w:r>
          </w:p>
        </w:tc>
        <w:tc>
          <w:tcPr>
            <w:tcW w:w="5811" w:type="dxa"/>
          </w:tcPr>
          <w:p w:rsidR="00F27ECC" w:rsidRPr="00D35683" w:rsidRDefault="00AD0AC2" w:rsidP="00161F9F">
            <w:pPr>
              <w:pStyle w:val="naiskr"/>
              <w:spacing w:before="0" w:after="0"/>
              <w:rPr>
                <w:sz w:val="28"/>
                <w:szCs w:val="28"/>
              </w:rPr>
            </w:pPr>
            <w:r w:rsidRPr="00D35683">
              <w:rPr>
                <w:bCs/>
                <w:sz w:val="28"/>
                <w:szCs w:val="28"/>
              </w:rPr>
              <w:lastRenderedPageBreak/>
              <w:t>Projekts šo jomu neskar</w:t>
            </w:r>
          </w:p>
        </w:tc>
      </w:tr>
      <w:tr w:rsidR="00F27ECC" w:rsidRPr="00CF1DE2" w:rsidTr="00E31829">
        <w:trPr>
          <w:trHeight w:val="448"/>
        </w:trPr>
        <w:tc>
          <w:tcPr>
            <w:tcW w:w="716" w:type="dxa"/>
          </w:tcPr>
          <w:p w:rsidR="00F27ECC" w:rsidRPr="00D35683" w:rsidRDefault="00F27ECC" w:rsidP="00161F9F">
            <w:pPr>
              <w:pStyle w:val="naiskr"/>
              <w:spacing w:before="0" w:after="0"/>
              <w:rPr>
                <w:sz w:val="28"/>
                <w:szCs w:val="28"/>
              </w:rPr>
            </w:pPr>
            <w:r w:rsidRPr="00D35683">
              <w:rPr>
                <w:sz w:val="28"/>
                <w:szCs w:val="28"/>
              </w:rPr>
              <w:lastRenderedPageBreak/>
              <w:t>7.</w:t>
            </w:r>
          </w:p>
        </w:tc>
        <w:tc>
          <w:tcPr>
            <w:tcW w:w="2687" w:type="dxa"/>
          </w:tcPr>
          <w:p w:rsidR="00F27ECC" w:rsidRPr="00D35683" w:rsidRDefault="00F27ECC" w:rsidP="00161F9F">
            <w:pPr>
              <w:pStyle w:val="naiskr"/>
              <w:spacing w:before="0" w:after="0"/>
              <w:rPr>
                <w:sz w:val="28"/>
                <w:szCs w:val="28"/>
              </w:rPr>
            </w:pPr>
            <w:r w:rsidRPr="00D35683">
              <w:rPr>
                <w:sz w:val="28"/>
                <w:szCs w:val="28"/>
              </w:rPr>
              <w:t>Cita informācija</w:t>
            </w:r>
          </w:p>
        </w:tc>
        <w:tc>
          <w:tcPr>
            <w:tcW w:w="5811" w:type="dxa"/>
          </w:tcPr>
          <w:p w:rsidR="00F27ECC" w:rsidRPr="00D35683" w:rsidRDefault="00AD0AC2" w:rsidP="00161F9F">
            <w:pPr>
              <w:pStyle w:val="naiskr"/>
              <w:spacing w:before="0" w:after="0"/>
              <w:rPr>
                <w:sz w:val="28"/>
                <w:szCs w:val="28"/>
              </w:rPr>
            </w:pPr>
            <w:r>
              <w:rPr>
                <w:sz w:val="28"/>
                <w:szCs w:val="28"/>
              </w:rPr>
              <w:t>Nav</w:t>
            </w:r>
          </w:p>
        </w:tc>
      </w:tr>
    </w:tbl>
    <w:p w:rsidR="00F27ECC" w:rsidRDefault="00F27ECC" w:rsidP="00161F9F">
      <w:pPr>
        <w:rPr>
          <w:sz w:val="28"/>
          <w:szCs w:val="28"/>
          <w:lang w:eastAsia="lv-LV"/>
        </w:rPr>
      </w:pPr>
    </w:p>
    <w:tbl>
      <w:tblPr>
        <w:tblpPr w:leftFromText="181" w:rightFromText="181" w:vertAnchor="text" w:horzAnchor="margin" w:tblpXSpec="center" w:tblpY="14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72"/>
      </w:tblGrid>
      <w:tr w:rsidR="00161F9F" w:rsidTr="00AB1AD2">
        <w:tc>
          <w:tcPr>
            <w:tcW w:w="9356" w:type="dxa"/>
            <w:tcBorders>
              <w:top w:val="single" w:sz="4" w:space="0" w:color="auto"/>
              <w:left w:val="single" w:sz="4" w:space="0" w:color="auto"/>
              <w:bottom w:val="single" w:sz="4" w:space="0" w:color="auto"/>
              <w:right w:val="single" w:sz="4" w:space="0" w:color="auto"/>
            </w:tcBorders>
            <w:vAlign w:val="center"/>
            <w:hideMark/>
          </w:tcPr>
          <w:p w:rsidR="00161F9F" w:rsidRDefault="00FE42EC" w:rsidP="00AB1AD2">
            <w:pPr>
              <w:pStyle w:val="naisnod"/>
              <w:spacing w:before="0" w:after="0"/>
              <w:rPr>
                <w:szCs w:val="28"/>
                <w:lang w:eastAsia="en-US"/>
              </w:rPr>
            </w:pPr>
            <w:r>
              <w:rPr>
                <w:sz w:val="28"/>
                <w:szCs w:val="28"/>
                <w:lang w:eastAsia="en-US"/>
              </w:rPr>
              <w:t>III. </w:t>
            </w:r>
            <w:r w:rsidR="00161F9F">
              <w:rPr>
                <w:sz w:val="28"/>
                <w:szCs w:val="28"/>
                <w:lang w:eastAsia="en-US"/>
              </w:rPr>
              <w:t>Tiesību akta projekta ietekme</w:t>
            </w:r>
            <w:r w:rsidR="00580977">
              <w:rPr>
                <w:sz w:val="28"/>
                <w:szCs w:val="28"/>
                <w:lang w:eastAsia="en-US"/>
              </w:rPr>
              <w:t xml:space="preserve"> uz</w:t>
            </w:r>
            <w:r w:rsidR="00161F9F">
              <w:rPr>
                <w:sz w:val="28"/>
                <w:szCs w:val="28"/>
                <w:lang w:eastAsia="en-US"/>
              </w:rPr>
              <w:t xml:space="preserve"> valsts budžetu un pašvaldību budžetiem</w:t>
            </w:r>
          </w:p>
        </w:tc>
      </w:tr>
      <w:tr w:rsidR="00161F9F" w:rsidTr="00AB1AD2">
        <w:trPr>
          <w:trHeight w:val="283"/>
        </w:trPr>
        <w:tc>
          <w:tcPr>
            <w:tcW w:w="9356" w:type="dxa"/>
            <w:tcBorders>
              <w:top w:val="single" w:sz="4" w:space="0" w:color="auto"/>
              <w:left w:val="single" w:sz="4" w:space="0" w:color="auto"/>
              <w:bottom w:val="single" w:sz="4" w:space="0" w:color="auto"/>
              <w:right w:val="single" w:sz="4" w:space="0" w:color="auto"/>
            </w:tcBorders>
          </w:tcPr>
          <w:p w:rsidR="00161F9F" w:rsidRDefault="00161F9F" w:rsidP="00AB1AD2">
            <w:pPr>
              <w:tabs>
                <w:tab w:val="num" w:pos="0"/>
              </w:tabs>
              <w:ind w:firstLine="426"/>
              <w:jc w:val="center"/>
              <w:rPr>
                <w:szCs w:val="28"/>
              </w:rPr>
            </w:pPr>
            <w:r w:rsidRPr="00DD5FAA">
              <w:rPr>
                <w:sz w:val="28"/>
                <w:szCs w:val="28"/>
              </w:rPr>
              <w:t>Projekts šo jomu neskar</w:t>
            </w:r>
          </w:p>
        </w:tc>
      </w:tr>
    </w:tbl>
    <w:p w:rsidR="00161F9F" w:rsidRDefault="00161F9F" w:rsidP="00161F9F">
      <w:pPr>
        <w:rPr>
          <w:sz w:val="28"/>
          <w:szCs w:val="28"/>
          <w:lang w:eastAsia="lv-LV"/>
        </w:rPr>
      </w:pPr>
    </w:p>
    <w:tbl>
      <w:tblPr>
        <w:tblpPr w:leftFromText="180" w:rightFromText="180" w:vertAnchor="text" w:horzAnchor="margin" w:tblpXSpec="center" w:tblpY="14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72"/>
      </w:tblGrid>
      <w:tr w:rsidR="0057558F" w:rsidTr="00A72546">
        <w:tc>
          <w:tcPr>
            <w:tcW w:w="9356" w:type="dxa"/>
            <w:tcBorders>
              <w:top w:val="single" w:sz="4" w:space="0" w:color="auto"/>
              <w:left w:val="single" w:sz="4" w:space="0" w:color="auto"/>
              <w:bottom w:val="single" w:sz="4" w:space="0" w:color="auto"/>
              <w:right w:val="single" w:sz="4" w:space="0" w:color="auto"/>
            </w:tcBorders>
            <w:vAlign w:val="center"/>
            <w:hideMark/>
          </w:tcPr>
          <w:p w:rsidR="0057558F" w:rsidRDefault="00FE42EC" w:rsidP="0057558F">
            <w:pPr>
              <w:pStyle w:val="naisnod"/>
              <w:spacing w:before="0" w:after="0"/>
              <w:rPr>
                <w:szCs w:val="28"/>
                <w:lang w:eastAsia="en-US"/>
              </w:rPr>
            </w:pPr>
            <w:r>
              <w:rPr>
                <w:sz w:val="28"/>
                <w:szCs w:val="28"/>
                <w:lang w:eastAsia="en-US"/>
              </w:rPr>
              <w:t>IV. </w:t>
            </w:r>
            <w:r w:rsidR="0057558F">
              <w:rPr>
                <w:sz w:val="28"/>
                <w:szCs w:val="28"/>
                <w:lang w:eastAsia="en-US"/>
              </w:rPr>
              <w:t>Tiesību akta projekta ietekme uz spēkā esošo tiesību normu sistēmu</w:t>
            </w:r>
          </w:p>
        </w:tc>
      </w:tr>
      <w:tr w:rsidR="0057558F" w:rsidTr="00A72546">
        <w:trPr>
          <w:trHeight w:val="283"/>
        </w:trPr>
        <w:tc>
          <w:tcPr>
            <w:tcW w:w="9356" w:type="dxa"/>
            <w:tcBorders>
              <w:top w:val="single" w:sz="4" w:space="0" w:color="auto"/>
              <w:left w:val="single" w:sz="4" w:space="0" w:color="auto"/>
              <w:bottom w:val="single" w:sz="4" w:space="0" w:color="auto"/>
              <w:right w:val="single" w:sz="4" w:space="0" w:color="auto"/>
            </w:tcBorders>
          </w:tcPr>
          <w:p w:rsidR="0057558F" w:rsidRDefault="0057558F" w:rsidP="003C5B59">
            <w:pPr>
              <w:tabs>
                <w:tab w:val="num" w:pos="0"/>
              </w:tabs>
              <w:ind w:firstLine="426"/>
              <w:jc w:val="center"/>
              <w:rPr>
                <w:szCs w:val="28"/>
              </w:rPr>
            </w:pPr>
            <w:r w:rsidRPr="00DD5FAA">
              <w:rPr>
                <w:sz w:val="28"/>
                <w:szCs w:val="28"/>
              </w:rPr>
              <w:t>Projekts šo jomu neskar</w:t>
            </w:r>
          </w:p>
        </w:tc>
      </w:tr>
    </w:tbl>
    <w:p w:rsidR="003C5B59" w:rsidRDefault="003C5B59" w:rsidP="009B39D2">
      <w:pPr>
        <w:pStyle w:val="naislab"/>
        <w:spacing w:before="0" w:after="0"/>
        <w:jc w:val="left"/>
        <w:outlineLvl w:val="0"/>
        <w:rPr>
          <w:b/>
          <w:color w:val="auto"/>
          <w:sz w:val="28"/>
          <w:szCs w:val="28"/>
        </w:rPr>
      </w:pPr>
    </w:p>
    <w:tbl>
      <w:tblPr>
        <w:tblpPr w:leftFromText="181" w:rightFromText="181" w:vertAnchor="text" w:horzAnchor="margin" w:tblpXSpec="center" w:tblpY="148"/>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757"/>
        <w:gridCol w:w="2716"/>
        <w:gridCol w:w="5599"/>
      </w:tblGrid>
      <w:tr w:rsidR="00AB1AD2" w:rsidRPr="00AB1AD2" w:rsidTr="009B39D2">
        <w:trPr>
          <w:trHeight w:val="144"/>
        </w:trPr>
        <w:tc>
          <w:tcPr>
            <w:tcW w:w="9072" w:type="dxa"/>
            <w:gridSpan w:val="3"/>
            <w:vAlign w:val="center"/>
          </w:tcPr>
          <w:p w:rsidR="00AB1AD2" w:rsidRPr="00AB1AD2" w:rsidRDefault="00AB1AD2" w:rsidP="00FE42EC">
            <w:pPr>
              <w:jc w:val="center"/>
              <w:rPr>
                <w:b/>
                <w:sz w:val="28"/>
                <w:szCs w:val="28"/>
              </w:rPr>
            </w:pPr>
            <w:r w:rsidRPr="00AB1AD2">
              <w:rPr>
                <w:b/>
                <w:sz w:val="28"/>
                <w:szCs w:val="28"/>
              </w:rPr>
              <w:t>V.</w:t>
            </w:r>
            <w:r w:rsidR="00FE42EC">
              <w:rPr>
                <w:b/>
                <w:sz w:val="28"/>
                <w:szCs w:val="28"/>
              </w:rPr>
              <w:t> </w:t>
            </w:r>
            <w:r w:rsidRPr="00AB1AD2">
              <w:rPr>
                <w:b/>
                <w:sz w:val="28"/>
                <w:szCs w:val="28"/>
              </w:rPr>
              <w:t>Tiesību akta projekta atbilstība Latvijas Republikas starptautiskajām saistībām</w:t>
            </w:r>
          </w:p>
        </w:tc>
      </w:tr>
      <w:tr w:rsidR="00AB1AD2" w:rsidRPr="00AB1AD2" w:rsidTr="009B39D2">
        <w:trPr>
          <w:trHeight w:val="144"/>
        </w:trPr>
        <w:tc>
          <w:tcPr>
            <w:tcW w:w="757" w:type="dxa"/>
          </w:tcPr>
          <w:p w:rsidR="00AB1AD2" w:rsidRPr="00AB1AD2" w:rsidRDefault="00AB1AD2" w:rsidP="00AB1AD2">
            <w:pPr>
              <w:ind w:left="57"/>
              <w:rPr>
                <w:sz w:val="28"/>
                <w:szCs w:val="28"/>
              </w:rPr>
            </w:pPr>
            <w:r w:rsidRPr="00AB1AD2">
              <w:rPr>
                <w:sz w:val="28"/>
                <w:szCs w:val="28"/>
              </w:rPr>
              <w:t>1.</w:t>
            </w:r>
          </w:p>
        </w:tc>
        <w:tc>
          <w:tcPr>
            <w:tcW w:w="2716" w:type="dxa"/>
          </w:tcPr>
          <w:p w:rsidR="00AB1AD2" w:rsidRPr="00AB1AD2" w:rsidRDefault="00AB1AD2" w:rsidP="00AB1AD2">
            <w:pPr>
              <w:ind w:left="57"/>
              <w:rPr>
                <w:sz w:val="28"/>
                <w:szCs w:val="28"/>
              </w:rPr>
            </w:pPr>
            <w:r w:rsidRPr="00AB1AD2">
              <w:rPr>
                <w:sz w:val="28"/>
                <w:szCs w:val="28"/>
              </w:rPr>
              <w:t>Saistības pret Eiropas Savienību</w:t>
            </w:r>
          </w:p>
        </w:tc>
        <w:tc>
          <w:tcPr>
            <w:tcW w:w="5599" w:type="dxa"/>
          </w:tcPr>
          <w:p w:rsidR="00AB1AD2" w:rsidRDefault="009B39D2" w:rsidP="009B39D2">
            <w:pPr>
              <w:ind w:left="57"/>
              <w:jc w:val="both"/>
              <w:rPr>
                <w:sz w:val="28"/>
                <w:szCs w:val="28"/>
              </w:rPr>
            </w:pPr>
            <w:r>
              <w:rPr>
                <w:sz w:val="28"/>
                <w:szCs w:val="28"/>
              </w:rPr>
              <w:t>Eiropas Parlamenta un P</w:t>
            </w:r>
            <w:r w:rsidRPr="009B39D2">
              <w:rPr>
                <w:sz w:val="28"/>
                <w:szCs w:val="28"/>
              </w:rPr>
              <w:t xml:space="preserve">adomes </w:t>
            </w:r>
            <w:r w:rsidR="008A5BB0">
              <w:rPr>
                <w:sz w:val="28"/>
                <w:szCs w:val="28"/>
              </w:rPr>
              <w:t>2011.gada 27.septembra d</w:t>
            </w:r>
            <w:r w:rsidRPr="009B39D2">
              <w:rPr>
                <w:sz w:val="28"/>
                <w:szCs w:val="28"/>
              </w:rPr>
              <w:t>irektīva 2011/77/</w:t>
            </w:r>
            <w:r>
              <w:rPr>
                <w:sz w:val="28"/>
                <w:szCs w:val="28"/>
              </w:rPr>
              <w:t>ES</w:t>
            </w:r>
            <w:r w:rsidR="003D2800">
              <w:rPr>
                <w:sz w:val="28"/>
                <w:szCs w:val="28"/>
              </w:rPr>
              <w:t>,</w:t>
            </w:r>
            <w:r>
              <w:rPr>
                <w:sz w:val="28"/>
                <w:szCs w:val="28"/>
              </w:rPr>
              <w:t xml:space="preserve"> </w:t>
            </w:r>
            <w:r w:rsidR="008A5BB0">
              <w:rPr>
                <w:sz w:val="28"/>
                <w:szCs w:val="28"/>
              </w:rPr>
              <w:t>ar ko groza d</w:t>
            </w:r>
            <w:r w:rsidRPr="009B39D2">
              <w:rPr>
                <w:sz w:val="28"/>
                <w:szCs w:val="28"/>
              </w:rPr>
              <w:t>irektīvu 2006/116/EK par autortiesību un dažu blakustiesību aizsardzības termiņiem</w:t>
            </w:r>
            <w:r w:rsidR="00974745">
              <w:rPr>
                <w:sz w:val="28"/>
                <w:szCs w:val="28"/>
              </w:rPr>
              <w:t>.</w:t>
            </w:r>
          </w:p>
          <w:p w:rsidR="00CA5D8F" w:rsidRDefault="00CA5D8F" w:rsidP="009B39D2">
            <w:pPr>
              <w:ind w:left="57"/>
              <w:jc w:val="both"/>
              <w:rPr>
                <w:sz w:val="28"/>
                <w:szCs w:val="28"/>
              </w:rPr>
            </w:pPr>
          </w:p>
          <w:p w:rsidR="00CA5D8F" w:rsidRPr="00AB1AD2" w:rsidRDefault="00CA5D8F" w:rsidP="00CA5D8F">
            <w:pPr>
              <w:ind w:left="57"/>
              <w:jc w:val="both"/>
              <w:rPr>
                <w:sz w:val="28"/>
                <w:szCs w:val="28"/>
              </w:rPr>
            </w:pPr>
            <w:r w:rsidRPr="00CA5D8F">
              <w:rPr>
                <w:sz w:val="28"/>
                <w:szCs w:val="28"/>
              </w:rPr>
              <w:t xml:space="preserve">Direktīvas pārņemšanas termiņš ir 2013.gada </w:t>
            </w:r>
            <w:r>
              <w:rPr>
                <w:sz w:val="28"/>
                <w:szCs w:val="28"/>
              </w:rPr>
              <w:t>1.novembris.</w:t>
            </w:r>
          </w:p>
        </w:tc>
      </w:tr>
      <w:tr w:rsidR="00AB1AD2" w:rsidRPr="00AB1AD2" w:rsidTr="009B39D2">
        <w:trPr>
          <w:trHeight w:val="144"/>
        </w:trPr>
        <w:tc>
          <w:tcPr>
            <w:tcW w:w="757" w:type="dxa"/>
          </w:tcPr>
          <w:p w:rsidR="00AB1AD2" w:rsidRPr="00AB1AD2" w:rsidRDefault="00AB1AD2" w:rsidP="00AB1AD2">
            <w:pPr>
              <w:ind w:left="57"/>
              <w:rPr>
                <w:sz w:val="28"/>
                <w:szCs w:val="28"/>
              </w:rPr>
            </w:pPr>
            <w:r w:rsidRPr="00AB1AD2">
              <w:rPr>
                <w:sz w:val="28"/>
                <w:szCs w:val="28"/>
              </w:rPr>
              <w:t>2.</w:t>
            </w:r>
          </w:p>
        </w:tc>
        <w:tc>
          <w:tcPr>
            <w:tcW w:w="2716" w:type="dxa"/>
          </w:tcPr>
          <w:p w:rsidR="00AB1AD2" w:rsidRPr="00AB1AD2" w:rsidRDefault="00AB1AD2" w:rsidP="00AB1AD2">
            <w:pPr>
              <w:ind w:left="57"/>
              <w:rPr>
                <w:sz w:val="28"/>
                <w:szCs w:val="28"/>
              </w:rPr>
            </w:pPr>
            <w:r w:rsidRPr="00AB1AD2">
              <w:rPr>
                <w:sz w:val="28"/>
                <w:szCs w:val="28"/>
              </w:rPr>
              <w:t>Citas starptautiskās saistības</w:t>
            </w:r>
          </w:p>
        </w:tc>
        <w:tc>
          <w:tcPr>
            <w:tcW w:w="5599" w:type="dxa"/>
          </w:tcPr>
          <w:p w:rsidR="00AB1AD2" w:rsidRPr="00AB1AD2" w:rsidRDefault="00FE42EC" w:rsidP="00AB1AD2">
            <w:pPr>
              <w:ind w:left="57"/>
              <w:rPr>
                <w:sz w:val="28"/>
                <w:szCs w:val="28"/>
              </w:rPr>
            </w:pPr>
            <w:r w:rsidRPr="00AB1AD2">
              <w:rPr>
                <w:sz w:val="28"/>
                <w:szCs w:val="28"/>
              </w:rPr>
              <w:t>Nav</w:t>
            </w:r>
          </w:p>
        </w:tc>
      </w:tr>
      <w:tr w:rsidR="00AB1AD2" w:rsidRPr="00AB1AD2" w:rsidTr="009B39D2">
        <w:trPr>
          <w:trHeight w:val="454"/>
        </w:trPr>
        <w:tc>
          <w:tcPr>
            <w:tcW w:w="757" w:type="dxa"/>
          </w:tcPr>
          <w:p w:rsidR="00AB1AD2" w:rsidRPr="00AB1AD2" w:rsidRDefault="00AB1AD2" w:rsidP="00AB1AD2">
            <w:pPr>
              <w:ind w:left="57"/>
              <w:rPr>
                <w:sz w:val="28"/>
                <w:szCs w:val="28"/>
              </w:rPr>
            </w:pPr>
            <w:r w:rsidRPr="00AB1AD2">
              <w:rPr>
                <w:sz w:val="28"/>
                <w:szCs w:val="28"/>
              </w:rPr>
              <w:t>3.</w:t>
            </w:r>
          </w:p>
        </w:tc>
        <w:tc>
          <w:tcPr>
            <w:tcW w:w="2716" w:type="dxa"/>
          </w:tcPr>
          <w:p w:rsidR="00AB1AD2" w:rsidRPr="00AB1AD2" w:rsidRDefault="00AB1AD2" w:rsidP="00AB1AD2">
            <w:pPr>
              <w:ind w:left="57"/>
              <w:rPr>
                <w:sz w:val="28"/>
                <w:szCs w:val="28"/>
              </w:rPr>
            </w:pPr>
            <w:r w:rsidRPr="00AB1AD2">
              <w:rPr>
                <w:sz w:val="28"/>
                <w:szCs w:val="28"/>
              </w:rPr>
              <w:t>Cita informācija</w:t>
            </w:r>
          </w:p>
        </w:tc>
        <w:tc>
          <w:tcPr>
            <w:tcW w:w="5599" w:type="dxa"/>
          </w:tcPr>
          <w:p w:rsidR="00AB1AD2" w:rsidRPr="00AB1AD2" w:rsidRDefault="00AB1AD2" w:rsidP="00AB1AD2">
            <w:pPr>
              <w:ind w:left="57"/>
              <w:rPr>
                <w:sz w:val="28"/>
                <w:szCs w:val="28"/>
              </w:rPr>
            </w:pPr>
            <w:r w:rsidRPr="00AB1AD2">
              <w:rPr>
                <w:sz w:val="28"/>
                <w:szCs w:val="28"/>
              </w:rPr>
              <w:t>Nav</w:t>
            </w:r>
          </w:p>
        </w:tc>
      </w:tr>
    </w:tbl>
    <w:p w:rsidR="006542F8" w:rsidRDefault="006542F8" w:rsidP="006542F8">
      <w:pPr>
        <w:pStyle w:val="naislab"/>
        <w:tabs>
          <w:tab w:val="left" w:pos="3686"/>
        </w:tabs>
        <w:spacing w:before="0" w:after="0"/>
        <w:jc w:val="left"/>
        <w:outlineLvl w:val="0"/>
        <w:rPr>
          <w:b/>
          <w:color w:val="auto"/>
          <w:sz w:val="28"/>
          <w:szCs w:val="28"/>
        </w:rPr>
      </w:pPr>
    </w:p>
    <w:tbl>
      <w:tblPr>
        <w:tblpPr w:leftFromText="181" w:rightFromText="181" w:vertAnchor="text" w:horzAnchor="margin"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2148"/>
        <w:gridCol w:w="1821"/>
        <w:gridCol w:w="2365"/>
        <w:gridCol w:w="2738"/>
      </w:tblGrid>
      <w:tr w:rsidR="0010536E" w:rsidRPr="00BA3C4F" w:rsidTr="007C1C17">
        <w:trPr>
          <w:trHeight w:val="523"/>
        </w:trPr>
        <w:tc>
          <w:tcPr>
            <w:tcW w:w="9072" w:type="dxa"/>
            <w:gridSpan w:val="4"/>
            <w:vAlign w:val="center"/>
          </w:tcPr>
          <w:p w:rsidR="0010536E" w:rsidRPr="0010536E" w:rsidRDefault="0010536E" w:rsidP="0010536E">
            <w:pPr>
              <w:ind w:left="57"/>
              <w:jc w:val="center"/>
              <w:rPr>
                <w:b/>
                <w:sz w:val="28"/>
                <w:szCs w:val="28"/>
              </w:rPr>
            </w:pPr>
            <w:r w:rsidRPr="0010536E">
              <w:rPr>
                <w:b/>
                <w:sz w:val="28"/>
                <w:szCs w:val="28"/>
              </w:rPr>
              <w:t>1.tabula</w:t>
            </w:r>
          </w:p>
          <w:p w:rsidR="0010536E" w:rsidRPr="0010536E" w:rsidRDefault="0010536E" w:rsidP="0010536E">
            <w:pPr>
              <w:ind w:left="57"/>
              <w:jc w:val="center"/>
              <w:rPr>
                <w:sz w:val="28"/>
                <w:szCs w:val="28"/>
              </w:rPr>
            </w:pPr>
            <w:r w:rsidRPr="0010536E">
              <w:rPr>
                <w:b/>
                <w:sz w:val="28"/>
                <w:szCs w:val="28"/>
              </w:rPr>
              <w:t>Tiesību akta projekta atbilstība ES tiesību aktiem</w:t>
            </w:r>
          </w:p>
        </w:tc>
      </w:tr>
      <w:tr w:rsidR="0010536E" w:rsidRPr="00BA3C4F" w:rsidTr="007C1C17">
        <w:tc>
          <w:tcPr>
            <w:tcW w:w="2148" w:type="dxa"/>
            <w:vAlign w:val="center"/>
          </w:tcPr>
          <w:p w:rsidR="0010536E" w:rsidRPr="0010536E" w:rsidRDefault="0010536E" w:rsidP="0010536E">
            <w:pPr>
              <w:ind w:left="57"/>
              <w:jc w:val="center"/>
              <w:rPr>
                <w:sz w:val="28"/>
                <w:szCs w:val="28"/>
              </w:rPr>
            </w:pPr>
            <w:r w:rsidRPr="0010536E">
              <w:rPr>
                <w:sz w:val="28"/>
                <w:szCs w:val="28"/>
              </w:rPr>
              <w:t>A</w:t>
            </w:r>
          </w:p>
        </w:tc>
        <w:tc>
          <w:tcPr>
            <w:tcW w:w="1821" w:type="dxa"/>
            <w:vAlign w:val="center"/>
          </w:tcPr>
          <w:p w:rsidR="0010536E" w:rsidRPr="0010536E" w:rsidRDefault="0010536E" w:rsidP="0010536E">
            <w:pPr>
              <w:ind w:left="57"/>
              <w:jc w:val="center"/>
              <w:rPr>
                <w:sz w:val="28"/>
                <w:szCs w:val="28"/>
              </w:rPr>
            </w:pPr>
            <w:r w:rsidRPr="0010536E">
              <w:rPr>
                <w:sz w:val="28"/>
                <w:szCs w:val="28"/>
              </w:rPr>
              <w:t>B</w:t>
            </w:r>
          </w:p>
        </w:tc>
        <w:tc>
          <w:tcPr>
            <w:tcW w:w="2365" w:type="dxa"/>
            <w:vAlign w:val="center"/>
          </w:tcPr>
          <w:p w:rsidR="0010536E" w:rsidRPr="0010536E" w:rsidRDefault="0010536E" w:rsidP="0010536E">
            <w:pPr>
              <w:ind w:left="57"/>
              <w:jc w:val="center"/>
              <w:rPr>
                <w:sz w:val="28"/>
                <w:szCs w:val="28"/>
              </w:rPr>
            </w:pPr>
            <w:r w:rsidRPr="0010536E">
              <w:rPr>
                <w:sz w:val="28"/>
                <w:szCs w:val="28"/>
              </w:rPr>
              <w:t>C</w:t>
            </w:r>
          </w:p>
        </w:tc>
        <w:tc>
          <w:tcPr>
            <w:tcW w:w="2738" w:type="dxa"/>
            <w:vAlign w:val="center"/>
          </w:tcPr>
          <w:p w:rsidR="0010536E" w:rsidRPr="0010536E" w:rsidRDefault="0010536E" w:rsidP="0010536E">
            <w:pPr>
              <w:ind w:left="57"/>
              <w:jc w:val="center"/>
              <w:rPr>
                <w:sz w:val="28"/>
                <w:szCs w:val="28"/>
              </w:rPr>
            </w:pPr>
            <w:r w:rsidRPr="0010536E">
              <w:rPr>
                <w:sz w:val="28"/>
                <w:szCs w:val="28"/>
              </w:rPr>
              <w:t>D</w:t>
            </w:r>
          </w:p>
        </w:tc>
      </w:tr>
      <w:tr w:rsidR="0010536E" w:rsidRPr="00C46301" w:rsidTr="007C1C17">
        <w:trPr>
          <w:trHeight w:val="1942"/>
        </w:trPr>
        <w:tc>
          <w:tcPr>
            <w:tcW w:w="2148" w:type="dxa"/>
          </w:tcPr>
          <w:p w:rsidR="0010536E" w:rsidRPr="0010536E" w:rsidRDefault="0010536E" w:rsidP="0010536E">
            <w:pPr>
              <w:spacing w:after="120"/>
              <w:ind w:left="57"/>
              <w:rPr>
                <w:spacing w:val="-3"/>
                <w:sz w:val="28"/>
                <w:szCs w:val="28"/>
              </w:rPr>
            </w:pPr>
            <w:r w:rsidRPr="0010536E">
              <w:rPr>
                <w:spacing w:val="-3"/>
                <w:sz w:val="28"/>
                <w:szCs w:val="28"/>
              </w:rPr>
              <w:t>Attiecīgā ES tiesību akta panta numurs (uzskaitot katru tiesību akta vienību – pantu, daļu, punktu, apakšpunktu)</w:t>
            </w:r>
          </w:p>
        </w:tc>
        <w:tc>
          <w:tcPr>
            <w:tcW w:w="1821" w:type="dxa"/>
          </w:tcPr>
          <w:p w:rsidR="0010536E" w:rsidRPr="0010536E" w:rsidRDefault="0010536E" w:rsidP="0010536E">
            <w:pPr>
              <w:spacing w:after="120"/>
              <w:ind w:left="57"/>
              <w:rPr>
                <w:spacing w:val="-3"/>
                <w:sz w:val="28"/>
                <w:szCs w:val="28"/>
              </w:rPr>
            </w:pPr>
            <w:r w:rsidRPr="0010536E">
              <w:rPr>
                <w:spacing w:val="-3"/>
                <w:sz w:val="28"/>
                <w:szCs w:val="28"/>
              </w:rPr>
              <w:t xml:space="preserve">Projekta vienība, kas pārņem vai ievieš katru šīs tabulas A ailē minēto ES tiesību akta vienību, vai tiesību </w:t>
            </w:r>
            <w:smartTag w:uri="urn:schemas-microsoft-com:office:smarttags" w:element="place">
              <w:smartTagPr>
                <w:attr w:name="id" w:val="-1"/>
                <w:attr w:name="baseform" w:val="akts"/>
                <w:attr w:name="text" w:val="akts"/>
              </w:smartTagPr>
              <w:r w:rsidRPr="0010536E">
                <w:rPr>
                  <w:spacing w:val="-3"/>
                  <w:sz w:val="28"/>
                  <w:szCs w:val="28"/>
                </w:rPr>
                <w:t>akts</w:t>
              </w:r>
            </w:smartTag>
            <w:r w:rsidRPr="0010536E">
              <w:rPr>
                <w:spacing w:val="-3"/>
                <w:sz w:val="28"/>
                <w:szCs w:val="28"/>
              </w:rPr>
              <w:t xml:space="preserve">, kur attiecīgā ES tiesību akta vienība pārņemta vai </w:t>
            </w:r>
            <w:r w:rsidRPr="0010536E">
              <w:rPr>
                <w:spacing w:val="-3"/>
                <w:sz w:val="28"/>
                <w:szCs w:val="28"/>
              </w:rPr>
              <w:lastRenderedPageBreak/>
              <w:t>ieviesta</w:t>
            </w:r>
          </w:p>
        </w:tc>
        <w:tc>
          <w:tcPr>
            <w:tcW w:w="2365" w:type="dxa"/>
          </w:tcPr>
          <w:p w:rsidR="0010536E" w:rsidRPr="0010536E" w:rsidRDefault="0010536E" w:rsidP="0010536E">
            <w:pPr>
              <w:spacing w:after="120"/>
              <w:ind w:left="57"/>
              <w:rPr>
                <w:spacing w:val="-3"/>
                <w:sz w:val="28"/>
                <w:szCs w:val="28"/>
              </w:rPr>
            </w:pPr>
            <w:r w:rsidRPr="0010536E">
              <w:rPr>
                <w:spacing w:val="-3"/>
                <w:sz w:val="28"/>
                <w:szCs w:val="28"/>
              </w:rPr>
              <w:lastRenderedPageBreak/>
              <w:t>Informācija par to, vai šīs tabulas A ailē minētās ES tiesību akta vienības tiek pārņemtas vai ieviestas pilnībā vai daļēji.</w:t>
            </w:r>
          </w:p>
          <w:p w:rsidR="0010536E" w:rsidRPr="0010536E" w:rsidRDefault="0010536E" w:rsidP="0010536E">
            <w:pPr>
              <w:spacing w:after="120"/>
              <w:ind w:left="57"/>
              <w:rPr>
                <w:spacing w:val="-3"/>
                <w:sz w:val="28"/>
                <w:szCs w:val="28"/>
              </w:rPr>
            </w:pPr>
            <w:r w:rsidRPr="0010536E">
              <w:rPr>
                <w:spacing w:val="-3"/>
                <w:sz w:val="28"/>
                <w:szCs w:val="28"/>
              </w:rPr>
              <w:t xml:space="preserve">Ja attiecīgā ES tiesību akta vienība tiek pārņemta vai ieviesta daļēji, sniedz attiecīgu </w:t>
            </w:r>
            <w:r w:rsidRPr="0010536E">
              <w:rPr>
                <w:spacing w:val="-3"/>
                <w:sz w:val="28"/>
                <w:szCs w:val="28"/>
              </w:rPr>
              <w:lastRenderedPageBreak/>
              <w:t>skaidrojumu, kā arī precīzi norāda, kad un kādā veidā ES tiesību akta vienība tiks pārņemta vai ieviesta pilnībā.</w:t>
            </w:r>
          </w:p>
          <w:p w:rsidR="0010536E" w:rsidRPr="0010536E" w:rsidRDefault="0010536E" w:rsidP="0010536E">
            <w:pPr>
              <w:spacing w:after="120"/>
              <w:ind w:left="57"/>
              <w:rPr>
                <w:spacing w:val="-3"/>
                <w:sz w:val="28"/>
                <w:szCs w:val="28"/>
              </w:rPr>
            </w:pPr>
            <w:r w:rsidRPr="0010536E">
              <w:rPr>
                <w:spacing w:val="-3"/>
                <w:sz w:val="28"/>
                <w:szCs w:val="28"/>
              </w:rPr>
              <w:t>Norāda institūciju, kas ir atbildīga par šo saistību izpildi pilnībā</w:t>
            </w:r>
          </w:p>
        </w:tc>
        <w:tc>
          <w:tcPr>
            <w:tcW w:w="2738" w:type="dxa"/>
          </w:tcPr>
          <w:p w:rsidR="0010536E" w:rsidRPr="0010536E" w:rsidRDefault="0010536E" w:rsidP="0010536E">
            <w:pPr>
              <w:spacing w:after="120"/>
              <w:ind w:left="57"/>
              <w:rPr>
                <w:sz w:val="28"/>
                <w:szCs w:val="28"/>
              </w:rPr>
            </w:pPr>
            <w:r w:rsidRPr="0010536E">
              <w:rPr>
                <w:spacing w:val="-3"/>
                <w:sz w:val="28"/>
                <w:szCs w:val="28"/>
              </w:rPr>
              <w:lastRenderedPageBreak/>
              <w:t xml:space="preserve">Informācija par to, vai šīs </w:t>
            </w:r>
            <w:r w:rsidRPr="0010536E">
              <w:rPr>
                <w:sz w:val="28"/>
                <w:szCs w:val="28"/>
              </w:rPr>
              <w:t>tabulas B ailē minētās projekta vienības paredz stingrākas prasības nekā šīs tabulas A ailē minētās ES tiesību akta vienības.</w:t>
            </w:r>
          </w:p>
          <w:p w:rsidR="0010536E" w:rsidRPr="0010536E" w:rsidRDefault="0010536E" w:rsidP="0010536E">
            <w:pPr>
              <w:spacing w:after="120"/>
              <w:ind w:left="57"/>
              <w:rPr>
                <w:sz w:val="28"/>
                <w:szCs w:val="28"/>
              </w:rPr>
            </w:pPr>
            <w:r w:rsidRPr="0010536E">
              <w:rPr>
                <w:sz w:val="28"/>
                <w:szCs w:val="28"/>
              </w:rPr>
              <w:t xml:space="preserve">Ja projekts satur stingrākas prasības nekā attiecīgais ES tiesību akts, norāda </w:t>
            </w:r>
            <w:r w:rsidRPr="0010536E">
              <w:rPr>
                <w:sz w:val="28"/>
                <w:szCs w:val="28"/>
              </w:rPr>
              <w:lastRenderedPageBreak/>
              <w:t>pamatojumu un samērīgumu.</w:t>
            </w:r>
          </w:p>
          <w:p w:rsidR="0010536E" w:rsidRPr="0010536E" w:rsidRDefault="0010536E" w:rsidP="0010536E">
            <w:pPr>
              <w:ind w:left="57"/>
              <w:rPr>
                <w:spacing w:val="-3"/>
                <w:sz w:val="28"/>
                <w:szCs w:val="28"/>
              </w:rPr>
            </w:pPr>
            <w:r w:rsidRPr="0010536E">
              <w:rPr>
                <w:sz w:val="28"/>
                <w:szCs w:val="28"/>
              </w:rPr>
              <w:t>Norāda iespējamās alternatīvas (t.sk. alternatīvas, kas neparedz tiesiskā regulējuma izstrādi) – kādos gadījumos būtu iespējams izvairīties no stingrāku prasību</w:t>
            </w:r>
            <w:r w:rsidRPr="0010536E">
              <w:rPr>
                <w:spacing w:val="-3"/>
                <w:sz w:val="28"/>
                <w:szCs w:val="28"/>
              </w:rPr>
              <w:t xml:space="preserve"> noteikšanas, nekā paredzēts attiecīgajos ES tiesību aktos</w:t>
            </w:r>
          </w:p>
        </w:tc>
      </w:tr>
      <w:tr w:rsidR="0010536E" w:rsidRPr="00C46301" w:rsidTr="007C1C17">
        <w:trPr>
          <w:trHeight w:val="851"/>
        </w:trPr>
        <w:tc>
          <w:tcPr>
            <w:tcW w:w="2148" w:type="dxa"/>
          </w:tcPr>
          <w:p w:rsidR="0010536E" w:rsidRPr="007C1C17" w:rsidRDefault="007C1C17" w:rsidP="007C1C17">
            <w:pPr>
              <w:ind w:left="57"/>
              <w:rPr>
                <w:spacing w:val="-2"/>
                <w:sz w:val="28"/>
                <w:szCs w:val="28"/>
              </w:rPr>
            </w:pPr>
            <w:r>
              <w:rPr>
                <w:sz w:val="28"/>
                <w:szCs w:val="28"/>
              </w:rPr>
              <w:lastRenderedPageBreak/>
              <w:t>1.panta 1.punkts</w:t>
            </w:r>
          </w:p>
        </w:tc>
        <w:tc>
          <w:tcPr>
            <w:tcW w:w="1821" w:type="dxa"/>
          </w:tcPr>
          <w:p w:rsidR="0010536E" w:rsidRPr="007C1C17" w:rsidRDefault="00866BF5" w:rsidP="00AF2C4F">
            <w:pPr>
              <w:ind w:left="57"/>
              <w:rPr>
                <w:spacing w:val="-2"/>
                <w:sz w:val="28"/>
                <w:szCs w:val="28"/>
              </w:rPr>
            </w:pPr>
            <w:r>
              <w:rPr>
                <w:spacing w:val="-2"/>
                <w:sz w:val="28"/>
                <w:szCs w:val="28"/>
              </w:rPr>
              <w:t>Autortiesību likums</w:t>
            </w:r>
          </w:p>
        </w:tc>
        <w:tc>
          <w:tcPr>
            <w:tcW w:w="2365" w:type="dxa"/>
          </w:tcPr>
          <w:p w:rsidR="0010536E" w:rsidRPr="007C1C17" w:rsidRDefault="0010536E" w:rsidP="007C1C17">
            <w:pPr>
              <w:ind w:left="57"/>
              <w:rPr>
                <w:spacing w:val="-2"/>
                <w:sz w:val="28"/>
                <w:szCs w:val="28"/>
              </w:rPr>
            </w:pPr>
            <w:r w:rsidRPr="007C1C17">
              <w:rPr>
                <w:spacing w:val="-2"/>
                <w:sz w:val="28"/>
                <w:szCs w:val="28"/>
              </w:rPr>
              <w:t>Atbilst</w:t>
            </w:r>
          </w:p>
        </w:tc>
        <w:tc>
          <w:tcPr>
            <w:tcW w:w="2738" w:type="dxa"/>
          </w:tcPr>
          <w:p w:rsidR="0010536E" w:rsidRPr="007C1C17" w:rsidRDefault="007C1C17" w:rsidP="007C1C17">
            <w:pPr>
              <w:ind w:left="57"/>
              <w:jc w:val="both"/>
              <w:rPr>
                <w:spacing w:val="-2"/>
                <w:sz w:val="28"/>
                <w:szCs w:val="28"/>
              </w:rPr>
            </w:pPr>
            <w:r>
              <w:rPr>
                <w:spacing w:val="-2"/>
                <w:sz w:val="28"/>
                <w:szCs w:val="28"/>
              </w:rPr>
              <w:t>Neparedz stingrākas prasības</w:t>
            </w:r>
          </w:p>
        </w:tc>
      </w:tr>
      <w:tr w:rsidR="00AF2C4F" w:rsidRPr="00C46301" w:rsidTr="007C1C17">
        <w:trPr>
          <w:trHeight w:val="851"/>
        </w:trPr>
        <w:tc>
          <w:tcPr>
            <w:tcW w:w="2148" w:type="dxa"/>
          </w:tcPr>
          <w:p w:rsidR="00AF2C4F" w:rsidRPr="0010536E" w:rsidRDefault="00AF2C4F" w:rsidP="00AF2C4F">
            <w:pPr>
              <w:ind w:left="57"/>
              <w:rPr>
                <w:sz w:val="28"/>
                <w:szCs w:val="28"/>
                <w:highlight w:val="yellow"/>
              </w:rPr>
            </w:pPr>
            <w:r>
              <w:rPr>
                <w:sz w:val="28"/>
                <w:szCs w:val="28"/>
              </w:rPr>
              <w:t>1.panta 2.punkta (a) apakšpunkts</w:t>
            </w:r>
          </w:p>
        </w:tc>
        <w:tc>
          <w:tcPr>
            <w:tcW w:w="1821" w:type="dxa"/>
          </w:tcPr>
          <w:p w:rsidR="00AF2C4F" w:rsidRPr="007C1C17" w:rsidRDefault="00AF2C4F" w:rsidP="00AF2C4F">
            <w:pPr>
              <w:rPr>
                <w:sz w:val="28"/>
                <w:szCs w:val="28"/>
                <w:highlight w:val="yellow"/>
              </w:rPr>
            </w:pPr>
            <w:r w:rsidRPr="00AF2C4F">
              <w:rPr>
                <w:spacing w:val="-2"/>
                <w:sz w:val="28"/>
                <w:szCs w:val="28"/>
              </w:rPr>
              <w:t>55.panta 1.daļa</w:t>
            </w:r>
          </w:p>
        </w:tc>
        <w:tc>
          <w:tcPr>
            <w:tcW w:w="2365" w:type="dxa"/>
          </w:tcPr>
          <w:p w:rsidR="00AF2C4F" w:rsidRPr="0010536E" w:rsidRDefault="00AF2C4F" w:rsidP="00AF2C4F">
            <w:pPr>
              <w:ind w:left="57"/>
              <w:rPr>
                <w:spacing w:val="-2"/>
                <w:sz w:val="28"/>
                <w:szCs w:val="28"/>
                <w:highlight w:val="yellow"/>
              </w:rPr>
            </w:pPr>
            <w:r w:rsidRPr="007C1C17">
              <w:rPr>
                <w:spacing w:val="-2"/>
                <w:sz w:val="28"/>
                <w:szCs w:val="28"/>
              </w:rPr>
              <w:t>Atbilst</w:t>
            </w:r>
          </w:p>
        </w:tc>
        <w:tc>
          <w:tcPr>
            <w:tcW w:w="2738" w:type="dxa"/>
          </w:tcPr>
          <w:p w:rsidR="00AF2C4F" w:rsidRPr="007C1C17" w:rsidRDefault="00AF2C4F" w:rsidP="00AF2C4F">
            <w:pPr>
              <w:ind w:left="57"/>
              <w:jc w:val="both"/>
              <w:rPr>
                <w:spacing w:val="-2"/>
                <w:sz w:val="28"/>
                <w:szCs w:val="28"/>
              </w:rPr>
            </w:pPr>
            <w:r>
              <w:rPr>
                <w:spacing w:val="-2"/>
                <w:sz w:val="28"/>
                <w:szCs w:val="28"/>
              </w:rPr>
              <w:t>Neparedz stingrākas prasības</w:t>
            </w:r>
          </w:p>
        </w:tc>
      </w:tr>
      <w:tr w:rsidR="00AF2C4F" w:rsidRPr="00C46301" w:rsidTr="007C1C17">
        <w:trPr>
          <w:trHeight w:val="851"/>
        </w:trPr>
        <w:tc>
          <w:tcPr>
            <w:tcW w:w="2148" w:type="dxa"/>
          </w:tcPr>
          <w:p w:rsidR="00AF2C4F" w:rsidRDefault="00AF2C4F" w:rsidP="00282CD6">
            <w:pPr>
              <w:ind w:left="57"/>
              <w:rPr>
                <w:sz w:val="28"/>
                <w:szCs w:val="28"/>
              </w:rPr>
            </w:pPr>
            <w:r>
              <w:rPr>
                <w:sz w:val="28"/>
                <w:szCs w:val="28"/>
              </w:rPr>
              <w:t>1.panta 2.punkta (</w:t>
            </w:r>
            <w:r w:rsidR="00282CD6">
              <w:rPr>
                <w:sz w:val="28"/>
                <w:szCs w:val="28"/>
              </w:rPr>
              <w:t>b</w:t>
            </w:r>
            <w:r>
              <w:rPr>
                <w:sz w:val="28"/>
                <w:szCs w:val="28"/>
              </w:rPr>
              <w:t>) apakšpunkts</w:t>
            </w:r>
          </w:p>
        </w:tc>
        <w:tc>
          <w:tcPr>
            <w:tcW w:w="1821" w:type="dxa"/>
          </w:tcPr>
          <w:p w:rsidR="00AF2C4F" w:rsidRDefault="005965DB" w:rsidP="00AF2C4F">
            <w:pPr>
              <w:rPr>
                <w:spacing w:val="-2"/>
                <w:sz w:val="28"/>
                <w:szCs w:val="28"/>
              </w:rPr>
            </w:pPr>
            <w:r w:rsidRPr="005965DB">
              <w:rPr>
                <w:spacing w:val="-2"/>
                <w:sz w:val="28"/>
                <w:szCs w:val="28"/>
              </w:rPr>
              <w:t>55.panta 2.daļa un 2.</w:t>
            </w:r>
            <w:r w:rsidRPr="005965DB">
              <w:rPr>
                <w:spacing w:val="-2"/>
                <w:sz w:val="28"/>
                <w:szCs w:val="28"/>
                <w:vertAlign w:val="superscript"/>
              </w:rPr>
              <w:t>1</w:t>
            </w:r>
            <w:r w:rsidRPr="005965DB">
              <w:rPr>
                <w:spacing w:val="-2"/>
                <w:sz w:val="28"/>
                <w:szCs w:val="28"/>
              </w:rPr>
              <w:t xml:space="preserve"> daļa</w:t>
            </w:r>
          </w:p>
        </w:tc>
        <w:tc>
          <w:tcPr>
            <w:tcW w:w="2365" w:type="dxa"/>
          </w:tcPr>
          <w:p w:rsidR="00AF2C4F" w:rsidRPr="007C1C17" w:rsidRDefault="007C4F71" w:rsidP="00AF2C4F">
            <w:pPr>
              <w:ind w:left="57"/>
              <w:rPr>
                <w:spacing w:val="-2"/>
                <w:sz w:val="28"/>
                <w:szCs w:val="28"/>
              </w:rPr>
            </w:pPr>
            <w:r w:rsidRPr="007C1C17">
              <w:rPr>
                <w:spacing w:val="-2"/>
                <w:sz w:val="28"/>
                <w:szCs w:val="28"/>
              </w:rPr>
              <w:t>Atbilst</w:t>
            </w:r>
          </w:p>
        </w:tc>
        <w:tc>
          <w:tcPr>
            <w:tcW w:w="2738" w:type="dxa"/>
          </w:tcPr>
          <w:p w:rsidR="00AF2C4F" w:rsidRDefault="007C4F71" w:rsidP="00AF2C4F">
            <w:pPr>
              <w:ind w:left="57"/>
              <w:jc w:val="both"/>
              <w:rPr>
                <w:spacing w:val="-2"/>
                <w:sz w:val="28"/>
                <w:szCs w:val="28"/>
              </w:rPr>
            </w:pPr>
            <w:r>
              <w:rPr>
                <w:spacing w:val="-2"/>
                <w:sz w:val="28"/>
                <w:szCs w:val="28"/>
              </w:rPr>
              <w:t>Neparedz stingrākas prasības</w:t>
            </w:r>
          </w:p>
        </w:tc>
      </w:tr>
      <w:tr w:rsidR="00AF2C4F" w:rsidRPr="00C46301" w:rsidTr="007C1C17">
        <w:trPr>
          <w:trHeight w:val="851"/>
        </w:trPr>
        <w:tc>
          <w:tcPr>
            <w:tcW w:w="2148" w:type="dxa"/>
          </w:tcPr>
          <w:p w:rsidR="00AF2C4F" w:rsidRDefault="005965DB" w:rsidP="00F0606E">
            <w:pPr>
              <w:ind w:left="57"/>
              <w:rPr>
                <w:sz w:val="28"/>
                <w:szCs w:val="28"/>
              </w:rPr>
            </w:pPr>
            <w:r>
              <w:rPr>
                <w:sz w:val="28"/>
                <w:szCs w:val="28"/>
              </w:rPr>
              <w:t>1.panta 2.punkta (c)</w:t>
            </w:r>
            <w:r w:rsidR="00F0606E">
              <w:rPr>
                <w:sz w:val="28"/>
                <w:szCs w:val="28"/>
              </w:rPr>
              <w:t xml:space="preserve"> </w:t>
            </w:r>
            <w:r>
              <w:rPr>
                <w:sz w:val="28"/>
                <w:szCs w:val="28"/>
              </w:rPr>
              <w:t>apakšpunkts</w:t>
            </w:r>
          </w:p>
        </w:tc>
        <w:tc>
          <w:tcPr>
            <w:tcW w:w="1821" w:type="dxa"/>
          </w:tcPr>
          <w:p w:rsidR="00AF2C4F" w:rsidRDefault="00F0606E" w:rsidP="00F0606E">
            <w:pPr>
              <w:rPr>
                <w:spacing w:val="-2"/>
                <w:sz w:val="28"/>
                <w:szCs w:val="28"/>
              </w:rPr>
            </w:pPr>
            <w:r>
              <w:rPr>
                <w:spacing w:val="-2"/>
                <w:sz w:val="28"/>
                <w:szCs w:val="28"/>
              </w:rPr>
              <w:t xml:space="preserve">48.panta 9., 10., </w:t>
            </w:r>
            <w:r w:rsidRPr="00F0606E">
              <w:rPr>
                <w:spacing w:val="-2"/>
                <w:sz w:val="28"/>
                <w:szCs w:val="28"/>
              </w:rPr>
              <w:t>11.</w:t>
            </w:r>
            <w:r>
              <w:rPr>
                <w:spacing w:val="-2"/>
                <w:sz w:val="28"/>
                <w:szCs w:val="28"/>
              </w:rPr>
              <w:t>, 12., 13., 14. un 15.</w:t>
            </w:r>
            <w:r w:rsidRPr="00F0606E">
              <w:rPr>
                <w:spacing w:val="-2"/>
                <w:sz w:val="28"/>
                <w:szCs w:val="28"/>
              </w:rPr>
              <w:t>daļa</w:t>
            </w:r>
          </w:p>
        </w:tc>
        <w:tc>
          <w:tcPr>
            <w:tcW w:w="2365" w:type="dxa"/>
          </w:tcPr>
          <w:p w:rsidR="00AF2C4F" w:rsidRPr="007C1C17" w:rsidRDefault="007C4F71" w:rsidP="00AF2C4F">
            <w:pPr>
              <w:ind w:left="57"/>
              <w:rPr>
                <w:spacing w:val="-2"/>
                <w:sz w:val="28"/>
                <w:szCs w:val="28"/>
              </w:rPr>
            </w:pPr>
            <w:r w:rsidRPr="007C1C17">
              <w:rPr>
                <w:spacing w:val="-2"/>
                <w:sz w:val="28"/>
                <w:szCs w:val="28"/>
              </w:rPr>
              <w:t>Atbilst</w:t>
            </w:r>
          </w:p>
        </w:tc>
        <w:tc>
          <w:tcPr>
            <w:tcW w:w="2738" w:type="dxa"/>
          </w:tcPr>
          <w:p w:rsidR="00AF2C4F" w:rsidRDefault="007C4F71" w:rsidP="00AF2C4F">
            <w:pPr>
              <w:ind w:left="57"/>
              <w:jc w:val="both"/>
              <w:rPr>
                <w:spacing w:val="-2"/>
                <w:sz w:val="28"/>
                <w:szCs w:val="28"/>
              </w:rPr>
            </w:pPr>
            <w:r>
              <w:rPr>
                <w:spacing w:val="-2"/>
                <w:sz w:val="28"/>
                <w:szCs w:val="28"/>
              </w:rPr>
              <w:t>Neparedz stingrākas prasības</w:t>
            </w:r>
          </w:p>
        </w:tc>
      </w:tr>
      <w:tr w:rsidR="00AF2C4F" w:rsidRPr="00C46301" w:rsidTr="007C1C17">
        <w:trPr>
          <w:trHeight w:val="851"/>
        </w:trPr>
        <w:tc>
          <w:tcPr>
            <w:tcW w:w="2148" w:type="dxa"/>
          </w:tcPr>
          <w:p w:rsidR="00AF2C4F" w:rsidRDefault="00F0606E" w:rsidP="00F0606E">
            <w:pPr>
              <w:ind w:left="57"/>
              <w:rPr>
                <w:sz w:val="28"/>
                <w:szCs w:val="28"/>
              </w:rPr>
            </w:pPr>
            <w:r>
              <w:rPr>
                <w:sz w:val="28"/>
                <w:szCs w:val="28"/>
              </w:rPr>
              <w:t>1.panta 3.punkts</w:t>
            </w:r>
          </w:p>
        </w:tc>
        <w:tc>
          <w:tcPr>
            <w:tcW w:w="1821" w:type="dxa"/>
          </w:tcPr>
          <w:p w:rsidR="00AF2C4F" w:rsidRDefault="008A1BBC" w:rsidP="00AF2C4F">
            <w:pPr>
              <w:rPr>
                <w:spacing w:val="-2"/>
                <w:sz w:val="28"/>
                <w:szCs w:val="28"/>
              </w:rPr>
            </w:pPr>
            <w:r>
              <w:rPr>
                <w:spacing w:val="-2"/>
                <w:sz w:val="28"/>
                <w:szCs w:val="28"/>
              </w:rPr>
              <w:t>Pārejas noteikumu 2.punkts</w:t>
            </w:r>
          </w:p>
        </w:tc>
        <w:tc>
          <w:tcPr>
            <w:tcW w:w="2365" w:type="dxa"/>
          </w:tcPr>
          <w:p w:rsidR="00AF2C4F" w:rsidRPr="007C1C17" w:rsidRDefault="007C4F71" w:rsidP="00AF2C4F">
            <w:pPr>
              <w:ind w:left="57"/>
              <w:rPr>
                <w:spacing w:val="-2"/>
                <w:sz w:val="28"/>
                <w:szCs w:val="28"/>
              </w:rPr>
            </w:pPr>
            <w:r w:rsidRPr="007C1C17">
              <w:rPr>
                <w:spacing w:val="-2"/>
                <w:sz w:val="28"/>
                <w:szCs w:val="28"/>
              </w:rPr>
              <w:t>Atbilst</w:t>
            </w:r>
          </w:p>
        </w:tc>
        <w:tc>
          <w:tcPr>
            <w:tcW w:w="2738" w:type="dxa"/>
          </w:tcPr>
          <w:p w:rsidR="00AF2C4F" w:rsidRDefault="007C4F71" w:rsidP="00AF2C4F">
            <w:pPr>
              <w:ind w:left="57"/>
              <w:jc w:val="both"/>
              <w:rPr>
                <w:spacing w:val="-2"/>
                <w:sz w:val="28"/>
                <w:szCs w:val="28"/>
              </w:rPr>
            </w:pPr>
            <w:r>
              <w:rPr>
                <w:spacing w:val="-2"/>
                <w:sz w:val="28"/>
                <w:szCs w:val="28"/>
              </w:rPr>
              <w:t>Neparedz stingrākas prasības</w:t>
            </w:r>
          </w:p>
        </w:tc>
      </w:tr>
      <w:tr w:rsidR="00AF2C4F" w:rsidRPr="00C46301" w:rsidTr="007C1C17">
        <w:trPr>
          <w:trHeight w:val="851"/>
        </w:trPr>
        <w:tc>
          <w:tcPr>
            <w:tcW w:w="2148" w:type="dxa"/>
          </w:tcPr>
          <w:p w:rsidR="00AF2C4F" w:rsidRDefault="008A1BBC" w:rsidP="008A1BBC">
            <w:pPr>
              <w:ind w:left="57"/>
              <w:rPr>
                <w:sz w:val="28"/>
                <w:szCs w:val="28"/>
              </w:rPr>
            </w:pPr>
            <w:r>
              <w:rPr>
                <w:sz w:val="28"/>
                <w:szCs w:val="28"/>
              </w:rPr>
              <w:t>1.panta 4.punkts</w:t>
            </w:r>
          </w:p>
        </w:tc>
        <w:tc>
          <w:tcPr>
            <w:tcW w:w="1821" w:type="dxa"/>
          </w:tcPr>
          <w:p w:rsidR="00AF2C4F" w:rsidRDefault="008A1BBC" w:rsidP="00AF2C4F">
            <w:pPr>
              <w:rPr>
                <w:spacing w:val="-2"/>
                <w:sz w:val="28"/>
                <w:szCs w:val="28"/>
              </w:rPr>
            </w:pPr>
            <w:r>
              <w:rPr>
                <w:spacing w:val="-2"/>
                <w:sz w:val="28"/>
                <w:szCs w:val="28"/>
              </w:rPr>
              <w:t>Pārejas noteikumu 12.punkts</w:t>
            </w:r>
          </w:p>
        </w:tc>
        <w:tc>
          <w:tcPr>
            <w:tcW w:w="2365" w:type="dxa"/>
          </w:tcPr>
          <w:p w:rsidR="00AF2C4F" w:rsidRPr="007C1C17" w:rsidRDefault="007C4F71" w:rsidP="00AF2C4F">
            <w:pPr>
              <w:ind w:left="57"/>
              <w:rPr>
                <w:spacing w:val="-2"/>
                <w:sz w:val="28"/>
                <w:szCs w:val="28"/>
              </w:rPr>
            </w:pPr>
            <w:r w:rsidRPr="007C1C17">
              <w:rPr>
                <w:spacing w:val="-2"/>
                <w:sz w:val="28"/>
                <w:szCs w:val="28"/>
              </w:rPr>
              <w:t>Atbilst</w:t>
            </w:r>
          </w:p>
        </w:tc>
        <w:tc>
          <w:tcPr>
            <w:tcW w:w="2738" w:type="dxa"/>
          </w:tcPr>
          <w:p w:rsidR="00AF2C4F" w:rsidRDefault="007C4F71" w:rsidP="00AF2C4F">
            <w:pPr>
              <w:ind w:left="57"/>
              <w:jc w:val="both"/>
              <w:rPr>
                <w:spacing w:val="-2"/>
                <w:sz w:val="28"/>
                <w:szCs w:val="28"/>
              </w:rPr>
            </w:pPr>
            <w:r>
              <w:rPr>
                <w:spacing w:val="-2"/>
                <w:sz w:val="28"/>
                <w:szCs w:val="28"/>
              </w:rPr>
              <w:t>Neparedz stingrākas prasības</w:t>
            </w:r>
          </w:p>
        </w:tc>
      </w:tr>
      <w:tr w:rsidR="00AF2C4F" w:rsidRPr="00BA3C4F" w:rsidTr="007C1C17">
        <w:trPr>
          <w:trHeight w:val="579"/>
        </w:trPr>
        <w:tc>
          <w:tcPr>
            <w:tcW w:w="2148" w:type="dxa"/>
          </w:tcPr>
          <w:p w:rsidR="00AF2C4F" w:rsidRPr="0010536E" w:rsidRDefault="00AF2C4F" w:rsidP="00AF2C4F">
            <w:pPr>
              <w:ind w:left="57"/>
              <w:rPr>
                <w:sz w:val="28"/>
                <w:szCs w:val="28"/>
              </w:rPr>
            </w:pPr>
            <w:r w:rsidRPr="0010536E">
              <w:rPr>
                <w:sz w:val="28"/>
                <w:szCs w:val="28"/>
              </w:rPr>
              <w:t>Cita informācija</w:t>
            </w:r>
          </w:p>
        </w:tc>
        <w:tc>
          <w:tcPr>
            <w:tcW w:w="6924" w:type="dxa"/>
            <w:gridSpan w:val="3"/>
          </w:tcPr>
          <w:p w:rsidR="00AF2C4F" w:rsidRPr="0010536E" w:rsidRDefault="00AF2C4F" w:rsidP="00AF2C4F">
            <w:pPr>
              <w:ind w:left="57"/>
              <w:rPr>
                <w:sz w:val="28"/>
                <w:szCs w:val="28"/>
              </w:rPr>
            </w:pPr>
            <w:r w:rsidRPr="0010536E">
              <w:rPr>
                <w:sz w:val="28"/>
                <w:szCs w:val="28"/>
              </w:rPr>
              <w:t>Nav</w:t>
            </w:r>
          </w:p>
        </w:tc>
      </w:tr>
    </w:tbl>
    <w:p w:rsidR="0010536E" w:rsidRDefault="0010536E" w:rsidP="006542F8">
      <w:pPr>
        <w:pStyle w:val="naislab"/>
        <w:tabs>
          <w:tab w:val="left" w:pos="3686"/>
        </w:tabs>
        <w:spacing w:before="0" w:after="0"/>
        <w:jc w:val="left"/>
        <w:outlineLvl w:val="0"/>
        <w:rPr>
          <w:b/>
          <w:color w:val="auto"/>
          <w:sz w:val="28"/>
          <w:szCs w:val="28"/>
        </w:rPr>
      </w:pPr>
    </w:p>
    <w:tbl>
      <w:tblPr>
        <w:tblpPr w:leftFromText="181" w:rightFromText="181" w:vertAnchor="text" w:horzAnchor="margin"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9072"/>
      </w:tblGrid>
      <w:tr w:rsidR="008167DF" w:rsidRPr="00194421" w:rsidTr="008167DF">
        <w:trPr>
          <w:trHeight w:val="20"/>
        </w:trPr>
        <w:tc>
          <w:tcPr>
            <w:tcW w:w="10206" w:type="dxa"/>
            <w:vAlign w:val="center"/>
          </w:tcPr>
          <w:p w:rsidR="008167DF" w:rsidRPr="008167DF" w:rsidRDefault="008167DF" w:rsidP="008167DF">
            <w:pPr>
              <w:ind w:left="57"/>
              <w:jc w:val="center"/>
              <w:rPr>
                <w:b/>
                <w:sz w:val="28"/>
                <w:szCs w:val="28"/>
              </w:rPr>
            </w:pPr>
            <w:r w:rsidRPr="008167DF">
              <w:rPr>
                <w:b/>
                <w:sz w:val="28"/>
                <w:szCs w:val="28"/>
              </w:rPr>
              <w:t>2.tabula</w:t>
            </w:r>
          </w:p>
          <w:p w:rsidR="008167DF" w:rsidRPr="008167DF" w:rsidRDefault="008167DF" w:rsidP="008167DF">
            <w:pPr>
              <w:ind w:left="57"/>
              <w:jc w:val="center"/>
              <w:rPr>
                <w:b/>
                <w:sz w:val="28"/>
                <w:szCs w:val="28"/>
              </w:rPr>
            </w:pPr>
            <w:r w:rsidRPr="008167DF">
              <w:rPr>
                <w:b/>
                <w:sz w:val="28"/>
                <w:szCs w:val="28"/>
              </w:rPr>
              <w:t>Ar tiesību akta projektu izpildītās vai uzņemtās saistības, kas izriet no starptautiskajiem tiesību aktiem vai starptautiskas institūcijas vai organizācijas dokumentiem.</w:t>
            </w:r>
          </w:p>
          <w:p w:rsidR="008167DF" w:rsidRPr="008167DF" w:rsidRDefault="008167DF" w:rsidP="008167DF">
            <w:pPr>
              <w:ind w:left="57"/>
              <w:jc w:val="center"/>
              <w:rPr>
                <w:b/>
                <w:sz w:val="28"/>
                <w:szCs w:val="28"/>
              </w:rPr>
            </w:pPr>
            <w:r w:rsidRPr="008167DF">
              <w:rPr>
                <w:b/>
                <w:sz w:val="28"/>
                <w:szCs w:val="28"/>
              </w:rPr>
              <w:t>Pasākumi šo saistību izpildei</w:t>
            </w:r>
          </w:p>
        </w:tc>
      </w:tr>
      <w:tr w:rsidR="008167DF" w:rsidRPr="00194421" w:rsidTr="008167DF">
        <w:trPr>
          <w:trHeight w:val="20"/>
        </w:trPr>
        <w:tc>
          <w:tcPr>
            <w:tcW w:w="10206" w:type="dxa"/>
            <w:vAlign w:val="center"/>
          </w:tcPr>
          <w:p w:rsidR="008167DF" w:rsidRPr="008167DF" w:rsidRDefault="008167DF" w:rsidP="008167DF">
            <w:pPr>
              <w:ind w:left="57"/>
              <w:jc w:val="center"/>
              <w:rPr>
                <w:sz w:val="28"/>
                <w:szCs w:val="28"/>
              </w:rPr>
            </w:pPr>
            <w:r w:rsidRPr="008167DF">
              <w:rPr>
                <w:sz w:val="28"/>
                <w:szCs w:val="28"/>
              </w:rPr>
              <w:t>Projekts šo jomu neskar</w:t>
            </w:r>
          </w:p>
        </w:tc>
      </w:tr>
    </w:tbl>
    <w:p w:rsidR="008167DF" w:rsidRDefault="008167DF" w:rsidP="006542F8">
      <w:pPr>
        <w:pStyle w:val="naislab"/>
        <w:tabs>
          <w:tab w:val="left" w:pos="3686"/>
        </w:tabs>
        <w:spacing w:before="0" w:after="0"/>
        <w:jc w:val="left"/>
        <w:outlineLvl w:val="0"/>
        <w:rPr>
          <w:b/>
          <w:color w:val="auto"/>
          <w:sz w:val="28"/>
          <w:szCs w:val="28"/>
        </w:rPr>
      </w:pPr>
    </w:p>
    <w:tbl>
      <w:tblPr>
        <w:tblpPr w:leftFromText="181" w:rightFromText="181" w:vertAnchor="text" w:horzAnchor="margin" w:tblpXSpec="center" w:tblpY="148"/>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2"/>
        <w:gridCol w:w="2667"/>
        <w:gridCol w:w="5703"/>
      </w:tblGrid>
      <w:tr w:rsidR="007D74E9" w:rsidRPr="00C47236" w:rsidTr="001B5199">
        <w:tc>
          <w:tcPr>
            <w:tcW w:w="5000" w:type="pct"/>
            <w:gridSpan w:val="3"/>
          </w:tcPr>
          <w:p w:rsidR="007D74E9" w:rsidRPr="007D74E9" w:rsidRDefault="007D74E9" w:rsidP="001B5199">
            <w:pPr>
              <w:pStyle w:val="naisnod"/>
              <w:spacing w:before="0" w:after="0"/>
              <w:ind w:left="57" w:right="57"/>
              <w:rPr>
                <w:sz w:val="28"/>
                <w:szCs w:val="28"/>
              </w:rPr>
            </w:pPr>
            <w:r w:rsidRPr="007D74E9">
              <w:rPr>
                <w:sz w:val="28"/>
                <w:szCs w:val="28"/>
              </w:rPr>
              <w:t>VI.</w:t>
            </w:r>
            <w:r>
              <w:rPr>
                <w:sz w:val="28"/>
                <w:szCs w:val="28"/>
              </w:rPr>
              <w:t> </w:t>
            </w:r>
            <w:r w:rsidRPr="007D74E9">
              <w:rPr>
                <w:sz w:val="28"/>
                <w:szCs w:val="28"/>
              </w:rPr>
              <w:t>Sabiedrības līdzdalība un šīs līdzdalības rezultāti</w:t>
            </w:r>
          </w:p>
        </w:tc>
      </w:tr>
      <w:tr w:rsidR="007D74E9" w:rsidRPr="00C47236" w:rsidTr="001B5199">
        <w:trPr>
          <w:trHeight w:val="553"/>
        </w:trPr>
        <w:tc>
          <w:tcPr>
            <w:tcW w:w="387" w:type="pct"/>
          </w:tcPr>
          <w:p w:rsidR="007D74E9" w:rsidRPr="007D74E9" w:rsidRDefault="007D74E9" w:rsidP="001B5199">
            <w:pPr>
              <w:pStyle w:val="naisnod"/>
              <w:spacing w:before="0" w:after="0"/>
              <w:ind w:left="57" w:right="57"/>
              <w:jc w:val="left"/>
              <w:rPr>
                <w:b w:val="0"/>
                <w:sz w:val="28"/>
                <w:szCs w:val="28"/>
              </w:rPr>
            </w:pPr>
            <w:r w:rsidRPr="007D74E9">
              <w:rPr>
                <w:b w:val="0"/>
                <w:sz w:val="28"/>
                <w:szCs w:val="28"/>
              </w:rPr>
              <w:lastRenderedPageBreak/>
              <w:t>1.</w:t>
            </w:r>
          </w:p>
        </w:tc>
        <w:tc>
          <w:tcPr>
            <w:tcW w:w="1470" w:type="pct"/>
          </w:tcPr>
          <w:p w:rsidR="007D74E9" w:rsidRPr="007D74E9" w:rsidRDefault="007D74E9" w:rsidP="001B5199">
            <w:pPr>
              <w:pStyle w:val="naiskr"/>
              <w:tabs>
                <w:tab w:val="left" w:pos="170"/>
              </w:tabs>
              <w:spacing w:before="0" w:after="0"/>
              <w:ind w:left="57" w:right="57"/>
              <w:rPr>
                <w:sz w:val="28"/>
                <w:szCs w:val="28"/>
              </w:rPr>
            </w:pPr>
            <w:r w:rsidRPr="007D74E9">
              <w:rPr>
                <w:sz w:val="28"/>
                <w:szCs w:val="28"/>
              </w:rPr>
              <w:t>Sabiedrības informēšana par projekta izstrādes uzsākšanu</w:t>
            </w:r>
          </w:p>
        </w:tc>
        <w:tc>
          <w:tcPr>
            <w:tcW w:w="3143" w:type="pct"/>
          </w:tcPr>
          <w:p w:rsidR="007D74E9" w:rsidRDefault="00224616" w:rsidP="001B5199">
            <w:pPr>
              <w:pStyle w:val="naiskr"/>
              <w:spacing w:before="0" w:after="0"/>
              <w:ind w:right="57"/>
              <w:jc w:val="both"/>
              <w:rPr>
                <w:iCs/>
                <w:sz w:val="28"/>
                <w:szCs w:val="28"/>
              </w:rPr>
            </w:pPr>
            <w:r>
              <w:rPr>
                <w:iCs/>
                <w:sz w:val="28"/>
                <w:szCs w:val="28"/>
              </w:rPr>
              <w:t xml:space="preserve">Likumprojekta izstrādē vērtēti </w:t>
            </w:r>
            <w:r w:rsidRPr="00B339AC">
              <w:rPr>
                <w:iCs/>
                <w:sz w:val="28"/>
                <w:szCs w:val="28"/>
              </w:rPr>
              <w:t xml:space="preserve">ar kultūras ministra </w:t>
            </w:r>
            <w:r>
              <w:rPr>
                <w:iCs/>
                <w:sz w:val="28"/>
                <w:szCs w:val="28"/>
              </w:rPr>
              <w:t>2011</w:t>
            </w:r>
            <w:r w:rsidRPr="003275C6">
              <w:rPr>
                <w:iCs/>
                <w:sz w:val="28"/>
                <w:szCs w:val="28"/>
              </w:rPr>
              <w:t xml:space="preserve">.gada </w:t>
            </w:r>
            <w:r>
              <w:rPr>
                <w:iCs/>
                <w:sz w:val="28"/>
                <w:szCs w:val="28"/>
              </w:rPr>
              <w:t>31</w:t>
            </w:r>
            <w:r w:rsidRPr="003275C6">
              <w:rPr>
                <w:iCs/>
                <w:sz w:val="28"/>
                <w:szCs w:val="28"/>
              </w:rPr>
              <w:t>.</w:t>
            </w:r>
            <w:r>
              <w:rPr>
                <w:iCs/>
                <w:sz w:val="28"/>
                <w:szCs w:val="28"/>
              </w:rPr>
              <w:t>marta</w:t>
            </w:r>
            <w:r w:rsidRPr="003275C6">
              <w:rPr>
                <w:iCs/>
                <w:sz w:val="28"/>
                <w:szCs w:val="28"/>
              </w:rPr>
              <w:t xml:space="preserve"> rīkojumu Nr.</w:t>
            </w:r>
            <w:r>
              <w:rPr>
                <w:iCs/>
                <w:sz w:val="28"/>
                <w:szCs w:val="28"/>
              </w:rPr>
              <w:t>6-1-92</w:t>
            </w:r>
            <w:r w:rsidRPr="003275C6">
              <w:rPr>
                <w:iCs/>
                <w:sz w:val="28"/>
                <w:szCs w:val="28"/>
              </w:rPr>
              <w:t xml:space="preserve"> </w:t>
            </w:r>
            <w:r w:rsidRPr="00B339AC">
              <w:rPr>
                <w:iCs/>
                <w:sz w:val="28"/>
                <w:szCs w:val="28"/>
              </w:rPr>
              <w:t>izveidotā</w:t>
            </w:r>
            <w:r>
              <w:rPr>
                <w:iCs/>
                <w:sz w:val="28"/>
                <w:szCs w:val="28"/>
              </w:rPr>
              <w:t>s</w:t>
            </w:r>
            <w:r w:rsidRPr="00B339AC">
              <w:rPr>
                <w:iCs/>
                <w:sz w:val="28"/>
                <w:szCs w:val="28"/>
              </w:rPr>
              <w:t xml:space="preserve"> darba grupa</w:t>
            </w:r>
            <w:r>
              <w:rPr>
                <w:iCs/>
                <w:sz w:val="28"/>
                <w:szCs w:val="28"/>
              </w:rPr>
              <w:t>s</w:t>
            </w:r>
            <w:r w:rsidRPr="00B339AC">
              <w:rPr>
                <w:iCs/>
                <w:sz w:val="28"/>
                <w:szCs w:val="28"/>
              </w:rPr>
              <w:t xml:space="preserve"> </w:t>
            </w:r>
            <w:r>
              <w:rPr>
                <w:iCs/>
                <w:sz w:val="28"/>
                <w:szCs w:val="28"/>
              </w:rPr>
              <w:t xml:space="preserve">Autortiesību likuma izvērtēšanai un nepieciešamo grozījumu izstrādei (turpmāk – darba grupa) dalībnieku viedokļi. </w:t>
            </w:r>
          </w:p>
          <w:p w:rsidR="00224616" w:rsidRDefault="00224616" w:rsidP="00224616">
            <w:pPr>
              <w:pStyle w:val="naiskr"/>
              <w:spacing w:before="0" w:after="0"/>
              <w:ind w:right="57"/>
              <w:jc w:val="both"/>
              <w:rPr>
                <w:iCs/>
                <w:sz w:val="28"/>
                <w:szCs w:val="28"/>
              </w:rPr>
            </w:pPr>
          </w:p>
          <w:p w:rsidR="00E823A1" w:rsidRPr="00E823A1" w:rsidRDefault="00224616" w:rsidP="00221B13">
            <w:pPr>
              <w:pStyle w:val="naiskr"/>
              <w:spacing w:before="0" w:after="0"/>
              <w:ind w:right="57"/>
              <w:jc w:val="both"/>
              <w:rPr>
                <w:iCs/>
                <w:sz w:val="28"/>
                <w:szCs w:val="28"/>
              </w:rPr>
            </w:pPr>
            <w:r>
              <w:rPr>
                <w:iCs/>
                <w:sz w:val="28"/>
                <w:szCs w:val="28"/>
              </w:rPr>
              <w:t xml:space="preserve">Likumprojekts un tā anotācija darba grupai nosūtīts </w:t>
            </w:r>
            <w:r w:rsidR="002656C9">
              <w:rPr>
                <w:iCs/>
                <w:sz w:val="28"/>
                <w:szCs w:val="28"/>
              </w:rPr>
              <w:t xml:space="preserve">elektroniski </w:t>
            </w:r>
            <w:r>
              <w:rPr>
                <w:iCs/>
                <w:sz w:val="28"/>
                <w:szCs w:val="28"/>
              </w:rPr>
              <w:t xml:space="preserve">2013.gada </w:t>
            </w:r>
            <w:r w:rsidR="002A62EC">
              <w:rPr>
                <w:iCs/>
                <w:sz w:val="28"/>
                <w:szCs w:val="28"/>
              </w:rPr>
              <w:t>28</w:t>
            </w:r>
            <w:r>
              <w:rPr>
                <w:iCs/>
                <w:sz w:val="28"/>
                <w:szCs w:val="28"/>
              </w:rPr>
              <w:t xml:space="preserve">.augustā un skatīts darba grupas 2013.gada </w:t>
            </w:r>
            <w:r w:rsidR="002A62EC">
              <w:rPr>
                <w:iCs/>
                <w:sz w:val="28"/>
                <w:szCs w:val="28"/>
              </w:rPr>
              <w:t>3</w:t>
            </w:r>
            <w:r>
              <w:rPr>
                <w:iCs/>
                <w:sz w:val="28"/>
                <w:szCs w:val="28"/>
              </w:rPr>
              <w:t>.</w:t>
            </w:r>
            <w:r w:rsidR="002A62EC">
              <w:rPr>
                <w:iCs/>
                <w:sz w:val="28"/>
                <w:szCs w:val="28"/>
              </w:rPr>
              <w:t>septembra</w:t>
            </w:r>
            <w:r>
              <w:rPr>
                <w:iCs/>
                <w:sz w:val="28"/>
                <w:szCs w:val="28"/>
              </w:rPr>
              <w:t xml:space="preserve"> sanāksmē.</w:t>
            </w:r>
          </w:p>
        </w:tc>
      </w:tr>
      <w:tr w:rsidR="007D74E9" w:rsidRPr="00C47236" w:rsidTr="001B5199">
        <w:trPr>
          <w:trHeight w:val="339"/>
        </w:trPr>
        <w:tc>
          <w:tcPr>
            <w:tcW w:w="387" w:type="pct"/>
          </w:tcPr>
          <w:p w:rsidR="007D74E9" w:rsidRPr="007D74E9" w:rsidRDefault="007D74E9" w:rsidP="001B5199">
            <w:pPr>
              <w:pStyle w:val="naisnod"/>
              <w:spacing w:before="0" w:after="0"/>
              <w:ind w:left="57" w:right="57"/>
              <w:jc w:val="left"/>
              <w:rPr>
                <w:b w:val="0"/>
                <w:sz w:val="28"/>
                <w:szCs w:val="28"/>
              </w:rPr>
            </w:pPr>
            <w:r w:rsidRPr="007D74E9">
              <w:rPr>
                <w:b w:val="0"/>
                <w:sz w:val="28"/>
                <w:szCs w:val="28"/>
              </w:rPr>
              <w:t>2.</w:t>
            </w:r>
          </w:p>
        </w:tc>
        <w:tc>
          <w:tcPr>
            <w:tcW w:w="1470" w:type="pct"/>
          </w:tcPr>
          <w:p w:rsidR="007D74E9" w:rsidRPr="007D74E9" w:rsidRDefault="007D74E9" w:rsidP="001B5199">
            <w:pPr>
              <w:pStyle w:val="naiskr"/>
              <w:spacing w:before="0" w:after="0"/>
              <w:ind w:left="57" w:right="57"/>
              <w:rPr>
                <w:sz w:val="28"/>
                <w:szCs w:val="28"/>
              </w:rPr>
            </w:pPr>
            <w:r w:rsidRPr="007D74E9">
              <w:rPr>
                <w:sz w:val="28"/>
                <w:szCs w:val="28"/>
              </w:rPr>
              <w:t xml:space="preserve">Sabiedrības līdzdalība projekta izstrādē </w:t>
            </w:r>
          </w:p>
        </w:tc>
        <w:tc>
          <w:tcPr>
            <w:tcW w:w="3143" w:type="pct"/>
          </w:tcPr>
          <w:p w:rsidR="00A33E9B" w:rsidRPr="00B339AC" w:rsidRDefault="00A33E9B" w:rsidP="00A33E9B">
            <w:pPr>
              <w:pStyle w:val="naiskr"/>
              <w:spacing w:before="0" w:after="0"/>
              <w:ind w:left="57" w:right="57"/>
              <w:jc w:val="both"/>
              <w:rPr>
                <w:sz w:val="28"/>
                <w:szCs w:val="28"/>
              </w:rPr>
            </w:pPr>
            <w:r w:rsidRPr="00B339AC">
              <w:rPr>
                <w:sz w:val="28"/>
                <w:szCs w:val="28"/>
              </w:rPr>
              <w:t xml:space="preserve">Darba grupā </w:t>
            </w:r>
            <w:r>
              <w:rPr>
                <w:sz w:val="28"/>
                <w:szCs w:val="28"/>
              </w:rPr>
              <w:t>piedalās</w:t>
            </w:r>
            <w:r w:rsidRPr="00B339AC">
              <w:rPr>
                <w:sz w:val="28"/>
                <w:szCs w:val="28"/>
              </w:rPr>
              <w:t>:</w:t>
            </w:r>
          </w:p>
          <w:p w:rsidR="00A33E9B" w:rsidRDefault="00A33E9B" w:rsidP="00A33E9B">
            <w:pPr>
              <w:pStyle w:val="naiskr"/>
              <w:numPr>
                <w:ilvl w:val="0"/>
                <w:numId w:val="1"/>
              </w:numPr>
              <w:suppressAutoHyphens w:val="0"/>
              <w:spacing w:before="0" w:after="0"/>
              <w:ind w:right="57"/>
              <w:jc w:val="both"/>
              <w:rPr>
                <w:sz w:val="28"/>
                <w:szCs w:val="28"/>
              </w:rPr>
            </w:pPr>
            <w:r>
              <w:rPr>
                <w:sz w:val="28"/>
                <w:szCs w:val="28"/>
              </w:rPr>
              <w:t>Kultūras ministrijas pārstāvji;</w:t>
            </w:r>
          </w:p>
          <w:p w:rsidR="00A33E9B" w:rsidRDefault="00A33E9B" w:rsidP="00A33E9B">
            <w:pPr>
              <w:pStyle w:val="naiskr"/>
              <w:numPr>
                <w:ilvl w:val="0"/>
                <w:numId w:val="1"/>
              </w:numPr>
              <w:suppressAutoHyphens w:val="0"/>
              <w:spacing w:before="0" w:after="0"/>
              <w:ind w:right="57"/>
              <w:jc w:val="both"/>
              <w:rPr>
                <w:sz w:val="28"/>
                <w:szCs w:val="28"/>
              </w:rPr>
            </w:pPr>
            <w:r w:rsidRPr="00D33374">
              <w:rPr>
                <w:sz w:val="28"/>
                <w:szCs w:val="28"/>
              </w:rPr>
              <w:t>Ekonomikas ministrija</w:t>
            </w:r>
            <w:r>
              <w:rPr>
                <w:sz w:val="28"/>
                <w:szCs w:val="28"/>
              </w:rPr>
              <w:t>s pārstāvis;</w:t>
            </w:r>
          </w:p>
          <w:p w:rsidR="000B3354" w:rsidRDefault="000B3354" w:rsidP="00A33E9B">
            <w:pPr>
              <w:pStyle w:val="naiskr"/>
              <w:numPr>
                <w:ilvl w:val="0"/>
                <w:numId w:val="1"/>
              </w:numPr>
              <w:suppressAutoHyphens w:val="0"/>
              <w:spacing w:before="0" w:after="0"/>
              <w:ind w:right="57"/>
              <w:jc w:val="both"/>
              <w:rPr>
                <w:sz w:val="28"/>
                <w:szCs w:val="28"/>
              </w:rPr>
            </w:pPr>
            <w:r>
              <w:rPr>
                <w:sz w:val="28"/>
                <w:szCs w:val="28"/>
              </w:rPr>
              <w:t>Ģenerālprokuratūras pārstāvis;</w:t>
            </w:r>
          </w:p>
          <w:p w:rsidR="00A33E9B" w:rsidRDefault="00A305EC" w:rsidP="00A33E9B">
            <w:pPr>
              <w:pStyle w:val="naiskr"/>
              <w:numPr>
                <w:ilvl w:val="0"/>
                <w:numId w:val="1"/>
              </w:numPr>
              <w:suppressAutoHyphens w:val="0"/>
              <w:spacing w:before="0" w:after="0"/>
              <w:ind w:right="57"/>
              <w:jc w:val="both"/>
              <w:rPr>
                <w:sz w:val="28"/>
                <w:szCs w:val="28"/>
              </w:rPr>
            </w:pPr>
            <w:r>
              <w:rPr>
                <w:sz w:val="28"/>
                <w:szCs w:val="28"/>
              </w:rPr>
              <w:t>biedrības „</w:t>
            </w:r>
            <w:r w:rsidRPr="00A305EC">
              <w:rPr>
                <w:sz w:val="28"/>
                <w:szCs w:val="28"/>
              </w:rPr>
              <w:t>Autortiesību un komunicēšanās konsultāciju aģentūra</w:t>
            </w:r>
            <w:r>
              <w:rPr>
                <w:sz w:val="28"/>
                <w:szCs w:val="28"/>
              </w:rPr>
              <w:t xml:space="preserve"> </w:t>
            </w:r>
            <w:r w:rsidRPr="00A305EC">
              <w:rPr>
                <w:sz w:val="28"/>
                <w:szCs w:val="28"/>
              </w:rPr>
              <w:t>/ Latvijas Autoru apvienība</w:t>
            </w:r>
            <w:r>
              <w:rPr>
                <w:sz w:val="28"/>
                <w:szCs w:val="28"/>
              </w:rPr>
              <w:t>” (</w:t>
            </w:r>
            <w:r w:rsidR="00A33E9B">
              <w:rPr>
                <w:sz w:val="28"/>
                <w:szCs w:val="28"/>
              </w:rPr>
              <w:t>AKKA/LAA</w:t>
            </w:r>
            <w:r>
              <w:rPr>
                <w:sz w:val="28"/>
                <w:szCs w:val="28"/>
              </w:rPr>
              <w:t>)</w:t>
            </w:r>
            <w:r w:rsidR="00A33E9B">
              <w:rPr>
                <w:sz w:val="28"/>
                <w:szCs w:val="28"/>
              </w:rPr>
              <w:t xml:space="preserve"> pārstāvis;</w:t>
            </w:r>
          </w:p>
          <w:p w:rsidR="00A33E9B" w:rsidRDefault="00AC2D99" w:rsidP="00A33E9B">
            <w:pPr>
              <w:pStyle w:val="naiskr"/>
              <w:numPr>
                <w:ilvl w:val="0"/>
                <w:numId w:val="1"/>
              </w:numPr>
              <w:suppressAutoHyphens w:val="0"/>
              <w:spacing w:before="0" w:after="0"/>
              <w:ind w:right="57"/>
              <w:jc w:val="both"/>
              <w:rPr>
                <w:sz w:val="28"/>
                <w:szCs w:val="28"/>
              </w:rPr>
            </w:pPr>
            <w:r>
              <w:rPr>
                <w:sz w:val="28"/>
                <w:szCs w:val="28"/>
              </w:rPr>
              <w:t>b</w:t>
            </w:r>
            <w:r w:rsidRPr="00AC2D99">
              <w:rPr>
                <w:sz w:val="28"/>
                <w:szCs w:val="28"/>
              </w:rPr>
              <w:t>iedrība</w:t>
            </w:r>
            <w:r>
              <w:rPr>
                <w:sz w:val="28"/>
                <w:szCs w:val="28"/>
              </w:rPr>
              <w:t>s</w:t>
            </w:r>
            <w:r w:rsidRPr="00AC2D99">
              <w:rPr>
                <w:sz w:val="28"/>
                <w:szCs w:val="28"/>
              </w:rPr>
              <w:t xml:space="preserve"> „Latvijas Izpildītāju un producentu apvienība</w:t>
            </w:r>
            <w:r>
              <w:rPr>
                <w:sz w:val="28"/>
                <w:szCs w:val="28"/>
              </w:rPr>
              <w:t xml:space="preserve">” </w:t>
            </w:r>
            <w:r w:rsidR="00A33E9B">
              <w:rPr>
                <w:sz w:val="28"/>
                <w:szCs w:val="28"/>
              </w:rPr>
              <w:t>pārstāvis;</w:t>
            </w:r>
          </w:p>
          <w:p w:rsidR="000B3354" w:rsidRDefault="000B3354" w:rsidP="00A33E9B">
            <w:pPr>
              <w:pStyle w:val="naiskr"/>
              <w:numPr>
                <w:ilvl w:val="0"/>
                <w:numId w:val="1"/>
              </w:numPr>
              <w:suppressAutoHyphens w:val="0"/>
              <w:spacing w:before="0" w:after="0"/>
              <w:ind w:right="57"/>
              <w:jc w:val="both"/>
              <w:rPr>
                <w:sz w:val="28"/>
                <w:szCs w:val="28"/>
              </w:rPr>
            </w:pPr>
            <w:r>
              <w:rPr>
                <w:sz w:val="28"/>
                <w:szCs w:val="28"/>
              </w:rPr>
              <w:t>Latvijas Komponistu savienības pārstāvis;</w:t>
            </w:r>
          </w:p>
          <w:p w:rsidR="000B3354" w:rsidRDefault="000B3354" w:rsidP="00A33E9B">
            <w:pPr>
              <w:pStyle w:val="naiskr"/>
              <w:numPr>
                <w:ilvl w:val="0"/>
                <w:numId w:val="1"/>
              </w:numPr>
              <w:suppressAutoHyphens w:val="0"/>
              <w:spacing w:before="0" w:after="0"/>
              <w:ind w:right="57"/>
              <w:jc w:val="both"/>
              <w:rPr>
                <w:sz w:val="28"/>
                <w:szCs w:val="28"/>
              </w:rPr>
            </w:pPr>
            <w:r>
              <w:rPr>
                <w:sz w:val="28"/>
                <w:szCs w:val="28"/>
              </w:rPr>
              <w:t>Nacionālās elektronisko plašsaziņas līdzekļu padomes pārstāvis;</w:t>
            </w:r>
          </w:p>
          <w:p w:rsidR="000B3354" w:rsidRDefault="000B3354" w:rsidP="00A33E9B">
            <w:pPr>
              <w:pStyle w:val="naiskr"/>
              <w:numPr>
                <w:ilvl w:val="0"/>
                <w:numId w:val="1"/>
              </w:numPr>
              <w:suppressAutoHyphens w:val="0"/>
              <w:spacing w:before="0" w:after="0"/>
              <w:ind w:right="57"/>
              <w:jc w:val="both"/>
              <w:rPr>
                <w:sz w:val="28"/>
                <w:szCs w:val="28"/>
              </w:rPr>
            </w:pPr>
            <w:r>
              <w:rPr>
                <w:sz w:val="28"/>
                <w:szCs w:val="28"/>
              </w:rPr>
              <w:t>Latvijas Tirdzniecības un rūpniecības kameras pārstāvis;</w:t>
            </w:r>
          </w:p>
          <w:p w:rsidR="000B3354" w:rsidRDefault="000B3354" w:rsidP="00A33E9B">
            <w:pPr>
              <w:pStyle w:val="naiskr"/>
              <w:numPr>
                <w:ilvl w:val="0"/>
                <w:numId w:val="1"/>
              </w:numPr>
              <w:suppressAutoHyphens w:val="0"/>
              <w:spacing w:before="0" w:after="0"/>
              <w:ind w:right="57"/>
              <w:jc w:val="both"/>
              <w:rPr>
                <w:sz w:val="28"/>
                <w:szCs w:val="28"/>
              </w:rPr>
            </w:pPr>
            <w:r>
              <w:rPr>
                <w:sz w:val="28"/>
                <w:szCs w:val="28"/>
              </w:rPr>
              <w:t>Latvijas Tirgotāju asociācijas pārstāvis;</w:t>
            </w:r>
          </w:p>
          <w:p w:rsidR="000B3354" w:rsidRDefault="008E5DF1" w:rsidP="00A33E9B">
            <w:pPr>
              <w:pStyle w:val="naiskr"/>
              <w:numPr>
                <w:ilvl w:val="0"/>
                <w:numId w:val="1"/>
              </w:numPr>
              <w:suppressAutoHyphens w:val="0"/>
              <w:spacing w:before="0" w:after="0"/>
              <w:ind w:right="57"/>
              <w:jc w:val="both"/>
              <w:rPr>
                <w:sz w:val="28"/>
                <w:szCs w:val="28"/>
              </w:rPr>
            </w:pPr>
            <w:r w:rsidRPr="00D33374">
              <w:rPr>
                <w:sz w:val="28"/>
                <w:szCs w:val="28"/>
              </w:rPr>
              <w:t>Latvijas Elektrotehnikas un elektronikas rūpniecības asociācija</w:t>
            </w:r>
            <w:r>
              <w:rPr>
                <w:sz w:val="28"/>
                <w:szCs w:val="28"/>
              </w:rPr>
              <w:t>s pārstāvis;</w:t>
            </w:r>
          </w:p>
          <w:p w:rsidR="008E5DF1" w:rsidRDefault="008E5DF1" w:rsidP="00A33E9B">
            <w:pPr>
              <w:pStyle w:val="naiskr"/>
              <w:numPr>
                <w:ilvl w:val="0"/>
                <w:numId w:val="1"/>
              </w:numPr>
              <w:suppressAutoHyphens w:val="0"/>
              <w:spacing w:before="0" w:after="0"/>
              <w:ind w:right="57"/>
              <w:jc w:val="both"/>
              <w:rPr>
                <w:sz w:val="28"/>
                <w:szCs w:val="28"/>
              </w:rPr>
            </w:pPr>
            <w:r w:rsidRPr="00D33374">
              <w:rPr>
                <w:sz w:val="28"/>
                <w:szCs w:val="28"/>
              </w:rPr>
              <w:t>Latvijas Informācijas un komunikācijas tehnoloģijas asociācija</w:t>
            </w:r>
            <w:r>
              <w:rPr>
                <w:sz w:val="28"/>
                <w:szCs w:val="28"/>
              </w:rPr>
              <w:t>s pārstāvis;</w:t>
            </w:r>
          </w:p>
          <w:p w:rsidR="008E5DF1" w:rsidRDefault="008E5DF1" w:rsidP="00A33E9B">
            <w:pPr>
              <w:pStyle w:val="naiskr"/>
              <w:numPr>
                <w:ilvl w:val="0"/>
                <w:numId w:val="1"/>
              </w:numPr>
              <w:suppressAutoHyphens w:val="0"/>
              <w:spacing w:before="0" w:after="0"/>
              <w:ind w:right="57"/>
              <w:jc w:val="both"/>
              <w:rPr>
                <w:sz w:val="28"/>
                <w:szCs w:val="28"/>
              </w:rPr>
            </w:pPr>
            <w:r>
              <w:rPr>
                <w:sz w:val="28"/>
                <w:szCs w:val="28"/>
              </w:rPr>
              <w:t>Latvijas Viesnīcu un restorānu asociācijas pārstāvis;</w:t>
            </w:r>
          </w:p>
          <w:p w:rsidR="008E5DF1" w:rsidRDefault="008E5DF1" w:rsidP="00A33E9B">
            <w:pPr>
              <w:pStyle w:val="naiskr"/>
              <w:numPr>
                <w:ilvl w:val="0"/>
                <w:numId w:val="1"/>
              </w:numPr>
              <w:suppressAutoHyphens w:val="0"/>
              <w:spacing w:before="0" w:after="0"/>
              <w:ind w:right="57"/>
              <w:jc w:val="both"/>
              <w:rPr>
                <w:sz w:val="28"/>
                <w:szCs w:val="28"/>
              </w:rPr>
            </w:pPr>
            <w:r w:rsidRPr="008E5DF1">
              <w:rPr>
                <w:sz w:val="28"/>
                <w:szCs w:val="28"/>
              </w:rPr>
              <w:t>Latvijas Profesionālo aktieru apvienības pārstāvis</w:t>
            </w:r>
            <w:r>
              <w:rPr>
                <w:sz w:val="28"/>
                <w:szCs w:val="28"/>
              </w:rPr>
              <w:t>;</w:t>
            </w:r>
          </w:p>
          <w:p w:rsidR="008E5DF1" w:rsidRDefault="008E5DF1" w:rsidP="00A33E9B">
            <w:pPr>
              <w:pStyle w:val="naiskr"/>
              <w:numPr>
                <w:ilvl w:val="0"/>
                <w:numId w:val="1"/>
              </w:numPr>
              <w:suppressAutoHyphens w:val="0"/>
              <w:spacing w:before="0" w:after="0"/>
              <w:ind w:right="57"/>
              <w:jc w:val="both"/>
              <w:rPr>
                <w:sz w:val="28"/>
                <w:szCs w:val="28"/>
              </w:rPr>
            </w:pPr>
            <w:r>
              <w:rPr>
                <w:sz w:val="28"/>
                <w:szCs w:val="28"/>
              </w:rPr>
              <w:t>Latvijas Mākslinieku savienības pārstāvis;</w:t>
            </w:r>
          </w:p>
          <w:p w:rsidR="008E5DF1" w:rsidRDefault="008E5DF1" w:rsidP="00A33E9B">
            <w:pPr>
              <w:pStyle w:val="naiskr"/>
              <w:numPr>
                <w:ilvl w:val="0"/>
                <w:numId w:val="1"/>
              </w:numPr>
              <w:suppressAutoHyphens w:val="0"/>
              <w:spacing w:before="0" w:after="0"/>
              <w:ind w:right="57"/>
              <w:jc w:val="both"/>
              <w:rPr>
                <w:sz w:val="28"/>
                <w:szCs w:val="28"/>
              </w:rPr>
            </w:pPr>
            <w:r>
              <w:rPr>
                <w:sz w:val="28"/>
                <w:szCs w:val="28"/>
              </w:rPr>
              <w:t>Latvijas Rakstnieku savienības pārstāvis;</w:t>
            </w:r>
          </w:p>
          <w:p w:rsidR="008E5DF1" w:rsidRDefault="008E5DF1" w:rsidP="00A33E9B">
            <w:pPr>
              <w:pStyle w:val="naiskr"/>
              <w:numPr>
                <w:ilvl w:val="0"/>
                <w:numId w:val="1"/>
              </w:numPr>
              <w:suppressAutoHyphens w:val="0"/>
              <w:spacing w:before="0" w:after="0"/>
              <w:ind w:right="57"/>
              <w:jc w:val="both"/>
              <w:rPr>
                <w:sz w:val="28"/>
                <w:szCs w:val="28"/>
              </w:rPr>
            </w:pPr>
            <w:r>
              <w:rPr>
                <w:sz w:val="28"/>
                <w:szCs w:val="28"/>
              </w:rPr>
              <w:t>Tieslietu ministrijas pārstāvis;</w:t>
            </w:r>
          </w:p>
          <w:p w:rsidR="008E5DF1" w:rsidRDefault="008E5DF1" w:rsidP="00A33E9B">
            <w:pPr>
              <w:pStyle w:val="naiskr"/>
              <w:numPr>
                <w:ilvl w:val="0"/>
                <w:numId w:val="1"/>
              </w:numPr>
              <w:suppressAutoHyphens w:val="0"/>
              <w:spacing w:before="0" w:after="0"/>
              <w:ind w:right="57"/>
              <w:jc w:val="both"/>
              <w:rPr>
                <w:sz w:val="28"/>
                <w:szCs w:val="28"/>
              </w:rPr>
            </w:pPr>
            <w:r>
              <w:rPr>
                <w:sz w:val="28"/>
                <w:szCs w:val="28"/>
              </w:rPr>
              <w:t>Latvijas Pārtikas tirgotāju asociācijas pārstāvis;</w:t>
            </w:r>
          </w:p>
          <w:p w:rsidR="00A33E9B" w:rsidRDefault="00A33E9B" w:rsidP="00A33E9B">
            <w:pPr>
              <w:pStyle w:val="naiskr"/>
              <w:numPr>
                <w:ilvl w:val="0"/>
                <w:numId w:val="1"/>
              </w:numPr>
              <w:suppressAutoHyphens w:val="0"/>
              <w:spacing w:before="0" w:after="0"/>
              <w:ind w:right="57"/>
              <w:jc w:val="both"/>
              <w:rPr>
                <w:sz w:val="28"/>
                <w:szCs w:val="28"/>
              </w:rPr>
            </w:pPr>
            <w:r w:rsidRPr="00D33374">
              <w:rPr>
                <w:sz w:val="28"/>
                <w:szCs w:val="28"/>
              </w:rPr>
              <w:t>Latvijas Kinoproducentu asociācija</w:t>
            </w:r>
            <w:r>
              <w:rPr>
                <w:sz w:val="28"/>
                <w:szCs w:val="28"/>
              </w:rPr>
              <w:t>s pārstāvis;</w:t>
            </w:r>
          </w:p>
          <w:p w:rsidR="008E5DF1" w:rsidRDefault="008E5DF1" w:rsidP="00A33E9B">
            <w:pPr>
              <w:pStyle w:val="naiskr"/>
              <w:numPr>
                <w:ilvl w:val="0"/>
                <w:numId w:val="1"/>
              </w:numPr>
              <w:suppressAutoHyphens w:val="0"/>
              <w:spacing w:before="0" w:after="0"/>
              <w:ind w:right="57"/>
              <w:jc w:val="both"/>
              <w:rPr>
                <w:sz w:val="28"/>
                <w:szCs w:val="28"/>
              </w:rPr>
            </w:pPr>
            <w:r>
              <w:rPr>
                <w:sz w:val="28"/>
                <w:szCs w:val="28"/>
              </w:rPr>
              <w:t>Latvijas Raidorganizāciju asociācijas pārstāvis;</w:t>
            </w:r>
          </w:p>
          <w:p w:rsidR="008E5DF1" w:rsidRDefault="008E5DF1" w:rsidP="00A33E9B">
            <w:pPr>
              <w:pStyle w:val="naiskr"/>
              <w:numPr>
                <w:ilvl w:val="0"/>
                <w:numId w:val="1"/>
              </w:numPr>
              <w:suppressAutoHyphens w:val="0"/>
              <w:spacing w:before="0" w:after="0"/>
              <w:ind w:right="57"/>
              <w:jc w:val="both"/>
              <w:rPr>
                <w:sz w:val="28"/>
                <w:szCs w:val="28"/>
              </w:rPr>
            </w:pPr>
            <w:r>
              <w:rPr>
                <w:sz w:val="28"/>
                <w:szCs w:val="28"/>
              </w:rPr>
              <w:t>Latvijas Darba devēju konfederācijas pārstāvis;</w:t>
            </w:r>
          </w:p>
          <w:p w:rsidR="008E5DF1" w:rsidRDefault="008E5DF1" w:rsidP="00A33E9B">
            <w:pPr>
              <w:pStyle w:val="naiskr"/>
              <w:numPr>
                <w:ilvl w:val="0"/>
                <w:numId w:val="1"/>
              </w:numPr>
              <w:suppressAutoHyphens w:val="0"/>
              <w:spacing w:before="0" w:after="0"/>
              <w:ind w:right="57"/>
              <w:jc w:val="both"/>
              <w:rPr>
                <w:sz w:val="28"/>
                <w:szCs w:val="28"/>
              </w:rPr>
            </w:pPr>
            <w:r>
              <w:rPr>
                <w:sz w:val="28"/>
                <w:szCs w:val="28"/>
              </w:rPr>
              <w:lastRenderedPageBreak/>
              <w:t>Mag. iur., Freiburgas Universitātes Juridiskās fakultātes doktorante Magda Papēde;</w:t>
            </w:r>
          </w:p>
          <w:p w:rsidR="00A33E9B" w:rsidRDefault="008E5DF1" w:rsidP="00A33E9B">
            <w:pPr>
              <w:pStyle w:val="naiskr"/>
              <w:numPr>
                <w:ilvl w:val="0"/>
                <w:numId w:val="1"/>
              </w:numPr>
              <w:suppressAutoHyphens w:val="0"/>
              <w:spacing w:before="0" w:after="0"/>
              <w:ind w:right="57"/>
              <w:jc w:val="both"/>
              <w:rPr>
                <w:sz w:val="28"/>
                <w:szCs w:val="28"/>
              </w:rPr>
            </w:pPr>
            <w:r w:rsidRPr="008E5DF1">
              <w:rPr>
                <w:sz w:val="28"/>
                <w:szCs w:val="28"/>
              </w:rPr>
              <w:t>Augstākās tiesas Ci</w:t>
            </w:r>
            <w:r>
              <w:rPr>
                <w:sz w:val="28"/>
                <w:szCs w:val="28"/>
              </w:rPr>
              <w:t>villietu tiesu palātas tiesnese Dr.iur. Zane Pētersone</w:t>
            </w:r>
            <w:r w:rsidR="00A33E9B">
              <w:rPr>
                <w:sz w:val="28"/>
                <w:szCs w:val="28"/>
              </w:rPr>
              <w:t>;</w:t>
            </w:r>
          </w:p>
          <w:p w:rsidR="008E5DF1" w:rsidRDefault="008E5DF1" w:rsidP="00A33E9B">
            <w:pPr>
              <w:pStyle w:val="naiskr"/>
              <w:numPr>
                <w:ilvl w:val="0"/>
                <w:numId w:val="1"/>
              </w:numPr>
              <w:suppressAutoHyphens w:val="0"/>
              <w:spacing w:before="0" w:after="0"/>
              <w:ind w:right="57"/>
              <w:jc w:val="both"/>
              <w:rPr>
                <w:sz w:val="28"/>
                <w:szCs w:val="28"/>
              </w:rPr>
            </w:pPr>
            <w:r>
              <w:rPr>
                <w:sz w:val="28"/>
                <w:szCs w:val="28"/>
              </w:rPr>
              <w:t>Latvijas Radošo savienību padomes pārstāve;</w:t>
            </w:r>
          </w:p>
          <w:p w:rsidR="00A33E9B" w:rsidRDefault="00A33E9B" w:rsidP="00A33E9B">
            <w:pPr>
              <w:pStyle w:val="naiskr"/>
              <w:numPr>
                <w:ilvl w:val="0"/>
                <w:numId w:val="1"/>
              </w:numPr>
              <w:suppressAutoHyphens w:val="0"/>
              <w:spacing w:before="0" w:after="0"/>
              <w:ind w:right="57"/>
              <w:jc w:val="both"/>
              <w:rPr>
                <w:sz w:val="28"/>
                <w:szCs w:val="28"/>
              </w:rPr>
            </w:pPr>
            <w:r w:rsidRPr="00D33374">
              <w:rPr>
                <w:sz w:val="28"/>
                <w:szCs w:val="28"/>
              </w:rPr>
              <w:t>Latvijas Datortehnoloģiju asociācija</w:t>
            </w:r>
            <w:r>
              <w:rPr>
                <w:sz w:val="28"/>
                <w:szCs w:val="28"/>
              </w:rPr>
              <w:t>s pārstāvis;</w:t>
            </w:r>
          </w:p>
          <w:p w:rsidR="00AD748D" w:rsidRPr="00AD748D" w:rsidRDefault="008E5DF1" w:rsidP="00AD748D">
            <w:pPr>
              <w:pStyle w:val="naiskr"/>
              <w:numPr>
                <w:ilvl w:val="0"/>
                <w:numId w:val="1"/>
              </w:numPr>
              <w:suppressAutoHyphens w:val="0"/>
              <w:spacing w:before="0" w:after="0"/>
              <w:ind w:right="57"/>
              <w:jc w:val="both"/>
              <w:rPr>
                <w:sz w:val="28"/>
                <w:szCs w:val="28"/>
              </w:rPr>
            </w:pPr>
            <w:r>
              <w:rPr>
                <w:sz w:val="28"/>
                <w:szCs w:val="28"/>
              </w:rPr>
              <w:t>Latvijas Nacionālās bibliotēkas pārstāvis</w:t>
            </w:r>
            <w:r w:rsidR="00A33E9B" w:rsidRPr="00A33E9B">
              <w:rPr>
                <w:sz w:val="28"/>
                <w:szCs w:val="28"/>
              </w:rPr>
              <w:t>.</w:t>
            </w:r>
          </w:p>
        </w:tc>
      </w:tr>
      <w:tr w:rsidR="007D74E9" w:rsidRPr="00C47236" w:rsidTr="001B5199">
        <w:trPr>
          <w:trHeight w:val="375"/>
        </w:trPr>
        <w:tc>
          <w:tcPr>
            <w:tcW w:w="387" w:type="pct"/>
          </w:tcPr>
          <w:p w:rsidR="007D74E9" w:rsidRPr="007D74E9" w:rsidRDefault="007D74E9" w:rsidP="001B5199">
            <w:pPr>
              <w:pStyle w:val="naisnod"/>
              <w:spacing w:before="0" w:after="0"/>
              <w:ind w:left="57" w:right="57"/>
              <w:jc w:val="left"/>
              <w:rPr>
                <w:b w:val="0"/>
                <w:sz w:val="28"/>
                <w:szCs w:val="28"/>
              </w:rPr>
            </w:pPr>
            <w:r w:rsidRPr="007D74E9">
              <w:rPr>
                <w:b w:val="0"/>
                <w:sz w:val="28"/>
                <w:szCs w:val="28"/>
              </w:rPr>
              <w:lastRenderedPageBreak/>
              <w:t>3.</w:t>
            </w:r>
          </w:p>
        </w:tc>
        <w:tc>
          <w:tcPr>
            <w:tcW w:w="1470" w:type="pct"/>
          </w:tcPr>
          <w:p w:rsidR="007D74E9" w:rsidRPr="007D74E9" w:rsidRDefault="007D74E9" w:rsidP="001B5199">
            <w:pPr>
              <w:pStyle w:val="naiskr"/>
              <w:spacing w:before="0" w:after="0"/>
              <w:ind w:left="57" w:right="57"/>
              <w:rPr>
                <w:sz w:val="28"/>
                <w:szCs w:val="28"/>
              </w:rPr>
            </w:pPr>
            <w:r w:rsidRPr="007D74E9">
              <w:rPr>
                <w:sz w:val="28"/>
                <w:szCs w:val="28"/>
              </w:rPr>
              <w:t xml:space="preserve">Sabiedrības līdzdalības rezultāti </w:t>
            </w:r>
          </w:p>
        </w:tc>
        <w:tc>
          <w:tcPr>
            <w:tcW w:w="3143" w:type="pct"/>
          </w:tcPr>
          <w:p w:rsidR="00A376F5" w:rsidRPr="00A376F5" w:rsidRDefault="00A376F5" w:rsidP="00A376F5">
            <w:pPr>
              <w:pStyle w:val="ParastaisWeb1"/>
              <w:spacing w:before="0" w:beforeAutospacing="0" w:after="120" w:afterAutospacing="0"/>
              <w:jc w:val="both"/>
              <w:rPr>
                <w:rFonts w:ascii="Times New Roman" w:hAnsi="Times New Roman"/>
                <w:sz w:val="28"/>
                <w:szCs w:val="28"/>
                <w:lang w:val="lv-LV"/>
              </w:rPr>
            </w:pPr>
            <w:r w:rsidRPr="00A376F5">
              <w:rPr>
                <w:rFonts w:ascii="Times New Roman" w:hAnsi="Times New Roman"/>
                <w:sz w:val="28"/>
                <w:szCs w:val="28"/>
                <w:lang w:val="lv-LV"/>
              </w:rPr>
              <w:t xml:space="preserve">Likumprojekts izvērtēts Autortiesību likuma darba grupas 2013.gada 3.septembra sanāksmē. </w:t>
            </w:r>
          </w:p>
          <w:p w:rsidR="00A376F5" w:rsidRPr="00A376F5" w:rsidRDefault="00A376F5" w:rsidP="00A376F5">
            <w:pPr>
              <w:pStyle w:val="ParastaisWeb1"/>
              <w:spacing w:before="0" w:beforeAutospacing="0" w:after="120" w:afterAutospacing="0"/>
              <w:jc w:val="both"/>
              <w:rPr>
                <w:rFonts w:ascii="Times New Roman" w:hAnsi="Times New Roman"/>
                <w:sz w:val="28"/>
                <w:szCs w:val="28"/>
                <w:lang w:val="lv-LV"/>
              </w:rPr>
            </w:pPr>
            <w:r w:rsidRPr="00A376F5">
              <w:rPr>
                <w:rFonts w:ascii="Times New Roman" w:hAnsi="Times New Roman"/>
                <w:sz w:val="28"/>
                <w:szCs w:val="28"/>
                <w:lang w:val="lv-LV"/>
              </w:rPr>
              <w:t>Par likumprojektu saņemta AKKA/LAA 2013.gada 16.septembra vēstule Nr.2/5-180, kurā AKKA/LAA sniedz viedokli, ka Direktīvas prasības attiecībā uz muzikālo darbu aizsardzības termiņu nav jāpārņem Autortiesību likumā, jo minētais likums jau atbilst Direktīvas regulējumam. AKKA/LAA viedoklis ņemts vērā.</w:t>
            </w:r>
          </w:p>
          <w:p w:rsidR="007D74E9" w:rsidRPr="007D74E9" w:rsidRDefault="00A376F5" w:rsidP="00A376F5">
            <w:pPr>
              <w:pStyle w:val="ParastaisWeb1"/>
              <w:spacing w:before="0" w:beforeAutospacing="0" w:after="120" w:afterAutospacing="0"/>
              <w:jc w:val="both"/>
              <w:rPr>
                <w:rFonts w:ascii="Times New Roman" w:hAnsi="Times New Roman"/>
                <w:sz w:val="28"/>
                <w:szCs w:val="28"/>
                <w:lang w:val="lv-LV"/>
              </w:rPr>
            </w:pPr>
            <w:r w:rsidRPr="00A376F5">
              <w:rPr>
                <w:rFonts w:ascii="Times New Roman" w:hAnsi="Times New Roman"/>
                <w:sz w:val="28"/>
                <w:szCs w:val="28"/>
                <w:lang w:val="lv-LV"/>
              </w:rPr>
              <w:t>Citu darba grupas dalībnieku iebildumi vai priekšlikumi par likumprojektu nav saņemti.</w:t>
            </w:r>
          </w:p>
        </w:tc>
      </w:tr>
      <w:tr w:rsidR="007D74E9" w:rsidRPr="00C47236" w:rsidTr="001B5199">
        <w:trPr>
          <w:trHeight w:val="397"/>
        </w:trPr>
        <w:tc>
          <w:tcPr>
            <w:tcW w:w="387" w:type="pct"/>
          </w:tcPr>
          <w:p w:rsidR="007D74E9" w:rsidRPr="007D74E9" w:rsidRDefault="007D74E9" w:rsidP="001B5199">
            <w:pPr>
              <w:pStyle w:val="naisnod"/>
              <w:spacing w:before="0" w:after="0"/>
              <w:ind w:left="57" w:right="57"/>
              <w:jc w:val="left"/>
              <w:rPr>
                <w:b w:val="0"/>
                <w:sz w:val="28"/>
                <w:szCs w:val="28"/>
              </w:rPr>
            </w:pPr>
            <w:r w:rsidRPr="007D74E9">
              <w:rPr>
                <w:b w:val="0"/>
                <w:sz w:val="28"/>
                <w:szCs w:val="28"/>
              </w:rPr>
              <w:t>4.</w:t>
            </w:r>
          </w:p>
        </w:tc>
        <w:tc>
          <w:tcPr>
            <w:tcW w:w="1470" w:type="pct"/>
          </w:tcPr>
          <w:p w:rsidR="007D74E9" w:rsidRPr="007D74E9" w:rsidRDefault="007D74E9" w:rsidP="001B5199">
            <w:pPr>
              <w:pStyle w:val="naiskr"/>
              <w:spacing w:before="0" w:after="0"/>
              <w:ind w:left="57" w:right="57"/>
              <w:rPr>
                <w:sz w:val="28"/>
                <w:szCs w:val="28"/>
              </w:rPr>
            </w:pPr>
            <w:r w:rsidRPr="007D74E9">
              <w:rPr>
                <w:sz w:val="28"/>
                <w:szCs w:val="28"/>
              </w:rPr>
              <w:t>Saeimas un ekspertu līdzdalība</w:t>
            </w:r>
          </w:p>
        </w:tc>
        <w:tc>
          <w:tcPr>
            <w:tcW w:w="3143" w:type="pct"/>
          </w:tcPr>
          <w:p w:rsidR="007D74E9" w:rsidRPr="007D74E9" w:rsidRDefault="007D74E9" w:rsidP="001B5199">
            <w:pPr>
              <w:pStyle w:val="naiskr"/>
              <w:spacing w:before="0" w:after="0"/>
              <w:ind w:left="57" w:right="57"/>
              <w:jc w:val="both"/>
              <w:rPr>
                <w:sz w:val="28"/>
                <w:szCs w:val="28"/>
              </w:rPr>
            </w:pPr>
            <w:r w:rsidRPr="007D74E9">
              <w:rPr>
                <w:iCs/>
                <w:sz w:val="28"/>
                <w:szCs w:val="28"/>
              </w:rPr>
              <w:t>Projekts šo jomu neskar</w:t>
            </w:r>
          </w:p>
        </w:tc>
      </w:tr>
      <w:tr w:rsidR="007D74E9" w:rsidRPr="00C47236" w:rsidTr="001B5199">
        <w:trPr>
          <w:trHeight w:val="361"/>
        </w:trPr>
        <w:tc>
          <w:tcPr>
            <w:tcW w:w="387" w:type="pct"/>
          </w:tcPr>
          <w:p w:rsidR="007D74E9" w:rsidRPr="007D74E9" w:rsidRDefault="007D74E9" w:rsidP="001B5199">
            <w:pPr>
              <w:pStyle w:val="naisnod"/>
              <w:spacing w:before="0" w:after="0"/>
              <w:ind w:left="57" w:right="57"/>
              <w:jc w:val="left"/>
              <w:rPr>
                <w:b w:val="0"/>
                <w:sz w:val="28"/>
                <w:szCs w:val="28"/>
              </w:rPr>
            </w:pPr>
            <w:r w:rsidRPr="007D74E9">
              <w:rPr>
                <w:b w:val="0"/>
                <w:sz w:val="28"/>
                <w:szCs w:val="28"/>
              </w:rPr>
              <w:t>5.</w:t>
            </w:r>
          </w:p>
        </w:tc>
        <w:tc>
          <w:tcPr>
            <w:tcW w:w="1470" w:type="pct"/>
          </w:tcPr>
          <w:p w:rsidR="007D74E9" w:rsidRPr="007D74E9" w:rsidRDefault="007D74E9" w:rsidP="001B5199">
            <w:pPr>
              <w:pStyle w:val="naiskr"/>
              <w:spacing w:before="0" w:after="0"/>
              <w:ind w:left="57" w:right="57"/>
              <w:rPr>
                <w:sz w:val="28"/>
                <w:szCs w:val="28"/>
              </w:rPr>
            </w:pPr>
            <w:r w:rsidRPr="007D74E9">
              <w:rPr>
                <w:sz w:val="28"/>
                <w:szCs w:val="28"/>
              </w:rPr>
              <w:t>Cita informācija</w:t>
            </w:r>
          </w:p>
        </w:tc>
        <w:tc>
          <w:tcPr>
            <w:tcW w:w="3143" w:type="pct"/>
          </w:tcPr>
          <w:p w:rsidR="007D74E9" w:rsidRPr="007D74E9" w:rsidRDefault="007D74E9" w:rsidP="001B5199">
            <w:pPr>
              <w:pStyle w:val="naiskr"/>
              <w:spacing w:before="0" w:after="0"/>
              <w:ind w:left="57" w:right="57"/>
              <w:jc w:val="both"/>
              <w:rPr>
                <w:sz w:val="28"/>
                <w:szCs w:val="28"/>
              </w:rPr>
            </w:pPr>
            <w:r w:rsidRPr="007D74E9">
              <w:rPr>
                <w:iCs/>
                <w:sz w:val="28"/>
                <w:szCs w:val="28"/>
              </w:rPr>
              <w:t>Nav</w:t>
            </w:r>
          </w:p>
        </w:tc>
      </w:tr>
    </w:tbl>
    <w:p w:rsidR="0057558F" w:rsidRDefault="0057558F" w:rsidP="0057558F">
      <w:pPr>
        <w:pStyle w:val="naislab"/>
        <w:tabs>
          <w:tab w:val="left" w:pos="3686"/>
        </w:tabs>
        <w:spacing w:before="0" w:after="0"/>
        <w:jc w:val="center"/>
        <w:outlineLvl w:val="0"/>
        <w:rPr>
          <w:b/>
          <w:color w:val="auto"/>
          <w:sz w:val="28"/>
          <w:szCs w:val="28"/>
        </w:rPr>
      </w:pPr>
    </w:p>
    <w:tbl>
      <w:tblPr>
        <w:tblpPr w:leftFromText="181" w:rightFromText="181" w:vertAnchor="text" w:horzAnchor="margin" w:tblpXSpec="center" w:tblpY="14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72"/>
      </w:tblGrid>
      <w:tr w:rsidR="0057558F" w:rsidTr="001B5199">
        <w:tc>
          <w:tcPr>
            <w:tcW w:w="9786" w:type="dxa"/>
            <w:tcBorders>
              <w:top w:val="single" w:sz="4" w:space="0" w:color="auto"/>
              <w:left w:val="single" w:sz="4" w:space="0" w:color="auto"/>
              <w:bottom w:val="single" w:sz="4" w:space="0" w:color="auto"/>
              <w:right w:val="single" w:sz="4" w:space="0" w:color="auto"/>
            </w:tcBorders>
            <w:vAlign w:val="center"/>
            <w:hideMark/>
          </w:tcPr>
          <w:p w:rsidR="0057558F" w:rsidRDefault="00586330" w:rsidP="001B5199">
            <w:pPr>
              <w:pStyle w:val="naisnod"/>
              <w:spacing w:before="0" w:after="0"/>
              <w:rPr>
                <w:szCs w:val="28"/>
                <w:lang w:eastAsia="en-US"/>
              </w:rPr>
            </w:pPr>
            <w:r>
              <w:rPr>
                <w:sz w:val="28"/>
                <w:szCs w:val="28"/>
                <w:lang w:eastAsia="en-US"/>
              </w:rPr>
              <w:t>VII. </w:t>
            </w:r>
            <w:r w:rsidR="0057558F">
              <w:rPr>
                <w:sz w:val="28"/>
                <w:szCs w:val="28"/>
                <w:lang w:eastAsia="en-US"/>
              </w:rPr>
              <w:t>Tiesību akta projekta izpildes nodrošināšana un tās ietekme uz institūcijām</w:t>
            </w:r>
          </w:p>
        </w:tc>
      </w:tr>
      <w:tr w:rsidR="0057558F" w:rsidTr="001B5199">
        <w:trPr>
          <w:trHeight w:val="283"/>
        </w:trPr>
        <w:tc>
          <w:tcPr>
            <w:tcW w:w="9786" w:type="dxa"/>
            <w:tcBorders>
              <w:top w:val="single" w:sz="4" w:space="0" w:color="auto"/>
              <w:left w:val="single" w:sz="4" w:space="0" w:color="auto"/>
              <w:bottom w:val="single" w:sz="4" w:space="0" w:color="auto"/>
              <w:right w:val="single" w:sz="4" w:space="0" w:color="auto"/>
            </w:tcBorders>
          </w:tcPr>
          <w:p w:rsidR="0057558F" w:rsidRDefault="0057558F" w:rsidP="001B5199">
            <w:pPr>
              <w:tabs>
                <w:tab w:val="num" w:pos="0"/>
              </w:tabs>
              <w:ind w:firstLine="426"/>
              <w:jc w:val="center"/>
              <w:rPr>
                <w:szCs w:val="28"/>
              </w:rPr>
            </w:pPr>
            <w:r w:rsidRPr="00DD5FAA">
              <w:rPr>
                <w:sz w:val="28"/>
                <w:szCs w:val="28"/>
              </w:rPr>
              <w:t>Projekts šo jomu neskar</w:t>
            </w:r>
          </w:p>
        </w:tc>
      </w:tr>
    </w:tbl>
    <w:p w:rsidR="00AD0AC2" w:rsidRDefault="00AD0AC2" w:rsidP="00161F9F">
      <w:pPr>
        <w:jc w:val="both"/>
        <w:rPr>
          <w:sz w:val="28"/>
          <w:szCs w:val="28"/>
        </w:rPr>
      </w:pPr>
    </w:p>
    <w:p w:rsidR="00AF0303" w:rsidRDefault="00AF0303" w:rsidP="00161F9F">
      <w:pPr>
        <w:jc w:val="both"/>
        <w:rPr>
          <w:sz w:val="28"/>
          <w:szCs w:val="28"/>
        </w:rPr>
      </w:pPr>
    </w:p>
    <w:p w:rsidR="008B7611" w:rsidRDefault="00E00070" w:rsidP="00AD6DF1">
      <w:pPr>
        <w:tabs>
          <w:tab w:val="left" w:pos="-3686"/>
        </w:tabs>
        <w:jc w:val="both"/>
        <w:rPr>
          <w:sz w:val="28"/>
          <w:szCs w:val="28"/>
        </w:rPr>
      </w:pPr>
      <w:r>
        <w:rPr>
          <w:sz w:val="28"/>
          <w:szCs w:val="28"/>
        </w:rPr>
        <w:t>K</w:t>
      </w:r>
      <w:r w:rsidRPr="00361D46">
        <w:rPr>
          <w:sz w:val="28"/>
          <w:szCs w:val="28"/>
        </w:rPr>
        <w:t xml:space="preserve">ultūras ministra </w:t>
      </w:r>
      <w:proofErr w:type="spellStart"/>
      <w:r w:rsidRPr="00361D46">
        <w:rPr>
          <w:sz w:val="28"/>
          <w:szCs w:val="28"/>
        </w:rPr>
        <w:t>p.i</w:t>
      </w:r>
      <w:proofErr w:type="spellEnd"/>
      <w:r w:rsidRPr="00361D46">
        <w:rPr>
          <w:sz w:val="28"/>
          <w:szCs w:val="28"/>
        </w:rPr>
        <w:t xml:space="preserve">. </w:t>
      </w:r>
    </w:p>
    <w:p w:rsidR="00000423" w:rsidRDefault="00E00070" w:rsidP="00AD6DF1">
      <w:pPr>
        <w:tabs>
          <w:tab w:val="left" w:pos="-3686"/>
        </w:tabs>
        <w:jc w:val="both"/>
        <w:rPr>
          <w:sz w:val="28"/>
          <w:szCs w:val="28"/>
        </w:rPr>
      </w:pPr>
      <w:r w:rsidRPr="00361D46">
        <w:rPr>
          <w:sz w:val="28"/>
          <w:szCs w:val="28"/>
        </w:rPr>
        <w:t>tieslietu ministrs</w:t>
      </w:r>
      <w:r>
        <w:rPr>
          <w:sz w:val="28"/>
          <w:szCs w:val="28"/>
        </w:rPr>
        <w:tab/>
      </w:r>
      <w:r>
        <w:rPr>
          <w:sz w:val="28"/>
          <w:szCs w:val="28"/>
        </w:rPr>
        <w:tab/>
      </w:r>
      <w:r>
        <w:rPr>
          <w:sz w:val="28"/>
          <w:szCs w:val="28"/>
        </w:rPr>
        <w:tab/>
      </w:r>
      <w:r w:rsidR="008B7611">
        <w:rPr>
          <w:sz w:val="28"/>
          <w:szCs w:val="28"/>
        </w:rPr>
        <w:tab/>
      </w:r>
      <w:r w:rsidR="008B7611">
        <w:rPr>
          <w:sz w:val="28"/>
          <w:szCs w:val="28"/>
        </w:rPr>
        <w:tab/>
      </w:r>
      <w:r w:rsidR="008B7611">
        <w:rPr>
          <w:sz w:val="28"/>
          <w:szCs w:val="28"/>
        </w:rPr>
        <w:tab/>
      </w:r>
      <w:r w:rsidR="008B7611">
        <w:rPr>
          <w:sz w:val="28"/>
          <w:szCs w:val="28"/>
        </w:rPr>
        <w:tab/>
      </w:r>
      <w:proofErr w:type="spellStart"/>
      <w:r w:rsidR="008B7611">
        <w:rPr>
          <w:sz w:val="28"/>
          <w:szCs w:val="28"/>
        </w:rPr>
        <w:t>J.</w:t>
      </w:r>
      <w:r w:rsidRPr="00361D46">
        <w:rPr>
          <w:sz w:val="28"/>
          <w:szCs w:val="28"/>
        </w:rPr>
        <w:t>Bordāns</w:t>
      </w:r>
      <w:proofErr w:type="spellEnd"/>
      <w:r w:rsidDel="00E00070">
        <w:rPr>
          <w:sz w:val="28"/>
          <w:szCs w:val="28"/>
        </w:rPr>
        <w:t xml:space="preserve"> </w:t>
      </w:r>
      <w:r w:rsidR="00AD6DF1">
        <w:rPr>
          <w:sz w:val="28"/>
          <w:szCs w:val="28"/>
        </w:rPr>
        <w:tab/>
      </w:r>
      <w:r w:rsidR="00AD6DF1">
        <w:rPr>
          <w:sz w:val="28"/>
          <w:szCs w:val="28"/>
        </w:rPr>
        <w:tab/>
      </w:r>
      <w:r w:rsidR="00AD6DF1">
        <w:rPr>
          <w:sz w:val="28"/>
          <w:szCs w:val="28"/>
        </w:rPr>
        <w:tab/>
      </w:r>
      <w:r w:rsidR="00AD6DF1">
        <w:rPr>
          <w:sz w:val="28"/>
          <w:szCs w:val="28"/>
        </w:rPr>
        <w:tab/>
      </w:r>
      <w:r w:rsidR="00AD6DF1">
        <w:rPr>
          <w:sz w:val="28"/>
          <w:szCs w:val="28"/>
        </w:rPr>
        <w:tab/>
      </w:r>
      <w:r w:rsidR="00AD6DF1">
        <w:rPr>
          <w:sz w:val="28"/>
          <w:szCs w:val="28"/>
        </w:rPr>
        <w:tab/>
      </w:r>
    </w:p>
    <w:p w:rsidR="00AD6DF1" w:rsidRDefault="00AD6DF1" w:rsidP="00AD6DF1">
      <w:pPr>
        <w:pStyle w:val="naisf"/>
        <w:spacing w:before="0" w:after="0"/>
        <w:ind w:firstLine="0"/>
        <w:rPr>
          <w:sz w:val="28"/>
          <w:szCs w:val="28"/>
        </w:rPr>
      </w:pPr>
      <w:r>
        <w:rPr>
          <w:sz w:val="28"/>
          <w:szCs w:val="28"/>
        </w:rPr>
        <w:t>Vīza</w:t>
      </w:r>
      <w:r w:rsidRPr="00E21779">
        <w:rPr>
          <w:sz w:val="28"/>
          <w:szCs w:val="28"/>
        </w:rPr>
        <w:t>:</w:t>
      </w:r>
      <w:r>
        <w:rPr>
          <w:sz w:val="28"/>
          <w:szCs w:val="28"/>
        </w:rPr>
        <w:t xml:space="preserve"> Valsts sekretārs</w:t>
      </w:r>
      <w:r>
        <w:rPr>
          <w:sz w:val="28"/>
          <w:szCs w:val="28"/>
        </w:rPr>
        <w:tab/>
      </w:r>
      <w:r>
        <w:rPr>
          <w:sz w:val="28"/>
          <w:szCs w:val="28"/>
        </w:rPr>
        <w:tab/>
      </w:r>
      <w:r>
        <w:rPr>
          <w:sz w:val="28"/>
          <w:szCs w:val="28"/>
        </w:rPr>
        <w:tab/>
      </w:r>
      <w:r>
        <w:rPr>
          <w:sz w:val="28"/>
          <w:szCs w:val="28"/>
        </w:rPr>
        <w:tab/>
      </w:r>
      <w:r>
        <w:rPr>
          <w:sz w:val="28"/>
          <w:szCs w:val="28"/>
        </w:rPr>
        <w:tab/>
      </w:r>
      <w:r w:rsidR="00E00070">
        <w:rPr>
          <w:sz w:val="28"/>
          <w:szCs w:val="28"/>
        </w:rPr>
        <w:tab/>
      </w:r>
      <w:r>
        <w:rPr>
          <w:sz w:val="28"/>
          <w:szCs w:val="28"/>
        </w:rPr>
        <w:t>G.Puķītis</w:t>
      </w:r>
    </w:p>
    <w:p w:rsidR="00AF0303" w:rsidRPr="00AD6DF1" w:rsidRDefault="00AF0303" w:rsidP="00AF0303">
      <w:pPr>
        <w:pStyle w:val="naisf"/>
        <w:spacing w:before="0" w:after="0"/>
        <w:ind w:firstLine="0"/>
        <w:rPr>
          <w:b/>
          <w:color w:val="000000"/>
          <w:sz w:val="28"/>
          <w:szCs w:val="28"/>
        </w:rPr>
      </w:pPr>
    </w:p>
    <w:p w:rsidR="00034E00" w:rsidRPr="00AF0303" w:rsidRDefault="00034E00" w:rsidP="00161F9F">
      <w:pPr>
        <w:rPr>
          <w:sz w:val="28"/>
          <w:szCs w:val="28"/>
        </w:rPr>
      </w:pPr>
    </w:p>
    <w:p w:rsidR="00E37606" w:rsidRPr="00A75789" w:rsidRDefault="00AF2D67" w:rsidP="00161F9F">
      <w:pPr>
        <w:rPr>
          <w:sz w:val="20"/>
          <w:szCs w:val="20"/>
        </w:rPr>
      </w:pPr>
      <w:r w:rsidRPr="00A75789">
        <w:rPr>
          <w:sz w:val="20"/>
          <w:szCs w:val="20"/>
        </w:rPr>
        <w:fldChar w:fldCharType="begin"/>
      </w:r>
      <w:r w:rsidR="00E37606" w:rsidRPr="00A75789">
        <w:rPr>
          <w:sz w:val="20"/>
          <w:szCs w:val="20"/>
        </w:rPr>
        <w:instrText xml:space="preserve"> DATE  \@ "yyyy.MM.dd. H:mm"  \* MERGEFORMAT </w:instrText>
      </w:r>
      <w:r w:rsidRPr="00A75789">
        <w:rPr>
          <w:sz w:val="20"/>
          <w:szCs w:val="20"/>
        </w:rPr>
        <w:fldChar w:fldCharType="separate"/>
      </w:r>
      <w:r w:rsidR="008B7611">
        <w:rPr>
          <w:noProof/>
          <w:sz w:val="20"/>
          <w:szCs w:val="20"/>
        </w:rPr>
        <w:t>2013.10.03. 14:24</w:t>
      </w:r>
      <w:r w:rsidRPr="00A75789">
        <w:rPr>
          <w:sz w:val="20"/>
          <w:szCs w:val="20"/>
        </w:rPr>
        <w:fldChar w:fldCharType="end"/>
      </w:r>
    </w:p>
    <w:p w:rsidR="00E37606" w:rsidRPr="00A75789" w:rsidRDefault="008B7611" w:rsidP="00161F9F">
      <w:pPr>
        <w:pStyle w:val="Galvene"/>
        <w:rPr>
          <w:sz w:val="20"/>
          <w:szCs w:val="20"/>
        </w:rPr>
      </w:pPr>
      <w:r>
        <w:rPr>
          <w:sz w:val="20"/>
          <w:szCs w:val="20"/>
        </w:rPr>
        <w:t>2445</w:t>
      </w:r>
    </w:p>
    <w:p w:rsidR="00FD13DB" w:rsidRPr="00A75789" w:rsidRDefault="00451AD1" w:rsidP="00161F9F">
      <w:pPr>
        <w:pStyle w:val="Galvene"/>
        <w:rPr>
          <w:sz w:val="20"/>
          <w:szCs w:val="20"/>
        </w:rPr>
      </w:pPr>
      <w:r w:rsidRPr="00A75789">
        <w:rPr>
          <w:sz w:val="20"/>
          <w:szCs w:val="20"/>
        </w:rPr>
        <w:t>R.Gulbis</w:t>
      </w:r>
    </w:p>
    <w:p w:rsidR="00FD13DB" w:rsidRPr="00A75789" w:rsidRDefault="00451AD1" w:rsidP="00161F9F">
      <w:pPr>
        <w:pStyle w:val="Galvene"/>
        <w:rPr>
          <w:sz w:val="20"/>
          <w:szCs w:val="20"/>
        </w:rPr>
      </w:pPr>
      <w:r w:rsidRPr="00A75789">
        <w:rPr>
          <w:sz w:val="20"/>
          <w:szCs w:val="20"/>
        </w:rPr>
        <w:t>67330211</w:t>
      </w:r>
      <w:r w:rsidR="00B55179" w:rsidRPr="00A75789">
        <w:rPr>
          <w:sz w:val="20"/>
          <w:szCs w:val="20"/>
        </w:rPr>
        <w:t xml:space="preserve">, </w:t>
      </w:r>
      <w:hyperlink r:id="rId8" w:history="1">
        <w:r w:rsidR="00000423" w:rsidRPr="00A75789">
          <w:rPr>
            <w:rStyle w:val="Hipersaite"/>
            <w:sz w:val="20"/>
            <w:szCs w:val="20"/>
          </w:rPr>
          <w:t>Rihards.Gulbis@km.gov.lv</w:t>
        </w:r>
      </w:hyperlink>
      <w:r w:rsidR="00000423" w:rsidRPr="00A75789">
        <w:rPr>
          <w:sz w:val="20"/>
          <w:szCs w:val="20"/>
        </w:rPr>
        <w:t xml:space="preserve"> </w:t>
      </w:r>
      <w:r w:rsidR="00FD13DB" w:rsidRPr="00A75789">
        <w:rPr>
          <w:sz w:val="20"/>
          <w:szCs w:val="20"/>
        </w:rPr>
        <w:t xml:space="preserve"> </w:t>
      </w:r>
    </w:p>
    <w:p w:rsidR="00054B9C" w:rsidRPr="00101F7F" w:rsidRDefault="00054B9C" w:rsidP="00054B9C">
      <w:pPr>
        <w:pStyle w:val="naisf"/>
        <w:spacing w:before="0" w:after="0"/>
        <w:ind w:firstLine="0"/>
        <w:rPr>
          <w:sz w:val="20"/>
          <w:szCs w:val="20"/>
        </w:rPr>
      </w:pPr>
      <w:bookmarkStart w:id="4" w:name="OLE_LINK4"/>
      <w:r w:rsidRPr="00101F7F">
        <w:rPr>
          <w:sz w:val="20"/>
          <w:szCs w:val="20"/>
        </w:rPr>
        <w:t>I.Tomsone</w:t>
      </w:r>
    </w:p>
    <w:p w:rsidR="00054B9C" w:rsidRPr="00101F7F" w:rsidRDefault="00054B9C" w:rsidP="00054B9C">
      <w:pPr>
        <w:pStyle w:val="naisf"/>
        <w:spacing w:before="0" w:after="0"/>
        <w:ind w:firstLine="0"/>
        <w:rPr>
          <w:sz w:val="20"/>
          <w:szCs w:val="20"/>
        </w:rPr>
      </w:pPr>
      <w:r w:rsidRPr="00101F7F">
        <w:rPr>
          <w:sz w:val="20"/>
          <w:szCs w:val="20"/>
        </w:rPr>
        <w:t xml:space="preserve">67330240, </w:t>
      </w:r>
      <w:hyperlink r:id="rId9" w:history="1">
        <w:r w:rsidRPr="00886FBF">
          <w:rPr>
            <w:rStyle w:val="Hipersaite"/>
            <w:sz w:val="20"/>
            <w:szCs w:val="20"/>
          </w:rPr>
          <w:t>Ilona.Tomsone@km.gov.lv</w:t>
        </w:r>
      </w:hyperlink>
      <w:r>
        <w:rPr>
          <w:sz w:val="20"/>
          <w:szCs w:val="20"/>
        </w:rPr>
        <w:t xml:space="preserve"> </w:t>
      </w:r>
      <w:bookmarkEnd w:id="4"/>
    </w:p>
    <w:p w:rsidR="00E37606" w:rsidRDefault="00E37606" w:rsidP="00161F9F">
      <w:pPr>
        <w:pStyle w:val="Galvene"/>
        <w:rPr>
          <w:sz w:val="22"/>
          <w:szCs w:val="22"/>
        </w:rPr>
      </w:pPr>
    </w:p>
    <w:sectPr w:rsidR="00E37606" w:rsidSect="008167DF">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1A1" w:rsidRDefault="005E11A1" w:rsidP="00FC6606">
      <w:r>
        <w:separator/>
      </w:r>
    </w:p>
  </w:endnote>
  <w:endnote w:type="continuationSeparator" w:id="0">
    <w:p w:rsidR="005E11A1" w:rsidRDefault="005E11A1" w:rsidP="00FC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A1" w:rsidRPr="008B7611" w:rsidRDefault="005E11A1" w:rsidP="00AF0303">
    <w:pPr>
      <w:jc w:val="both"/>
      <w:rPr>
        <w:sz w:val="22"/>
        <w:szCs w:val="22"/>
      </w:rPr>
    </w:pPr>
    <w:r w:rsidRPr="008B7611">
      <w:rPr>
        <w:sz w:val="22"/>
        <w:szCs w:val="22"/>
      </w:rPr>
      <w:t>KMAnot_</w:t>
    </w:r>
    <w:r w:rsidR="00112FBA" w:rsidRPr="008B7611">
      <w:rPr>
        <w:sz w:val="22"/>
        <w:szCs w:val="22"/>
      </w:rPr>
      <w:t>03</w:t>
    </w:r>
    <w:r w:rsidR="00A577EA" w:rsidRPr="008B7611">
      <w:rPr>
        <w:sz w:val="22"/>
        <w:szCs w:val="22"/>
      </w:rPr>
      <w:t>10</w:t>
    </w:r>
    <w:r w:rsidRPr="008B7611">
      <w:rPr>
        <w:sz w:val="22"/>
        <w:szCs w:val="22"/>
      </w:rPr>
      <w:t>13_ALgroz_IzpildTermPag; Likumprojekta „Grozījumi Autortiesību likumā”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A1" w:rsidRPr="008B7611" w:rsidRDefault="005E11A1" w:rsidP="004B7922">
    <w:pPr>
      <w:jc w:val="both"/>
      <w:rPr>
        <w:sz w:val="22"/>
        <w:szCs w:val="22"/>
      </w:rPr>
    </w:pPr>
    <w:r w:rsidRPr="008B7611">
      <w:rPr>
        <w:sz w:val="22"/>
        <w:szCs w:val="22"/>
      </w:rPr>
      <w:t>KMAnot_</w:t>
    </w:r>
    <w:r w:rsidR="00112FBA" w:rsidRPr="008B7611">
      <w:rPr>
        <w:sz w:val="22"/>
        <w:szCs w:val="22"/>
      </w:rPr>
      <w:t>03</w:t>
    </w:r>
    <w:r w:rsidR="00A577EA" w:rsidRPr="008B7611">
      <w:rPr>
        <w:sz w:val="22"/>
        <w:szCs w:val="22"/>
      </w:rPr>
      <w:t>10</w:t>
    </w:r>
    <w:r w:rsidRPr="008B7611">
      <w:rPr>
        <w:sz w:val="22"/>
        <w:szCs w:val="22"/>
      </w:rPr>
      <w:t>13_ALgroz_IzpildTermPag; Likumprojekta „Grozījumi Autortiesību likumā”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1A1" w:rsidRDefault="005E11A1" w:rsidP="00FC6606">
      <w:r>
        <w:separator/>
      </w:r>
    </w:p>
  </w:footnote>
  <w:footnote w:type="continuationSeparator" w:id="0">
    <w:p w:rsidR="005E11A1" w:rsidRDefault="005E11A1" w:rsidP="00FC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A1" w:rsidRDefault="00AF2D67" w:rsidP="005A725B">
    <w:pPr>
      <w:pStyle w:val="Galvene"/>
      <w:framePr w:wrap="around" w:vAnchor="text" w:hAnchor="margin" w:xAlign="center" w:y="1"/>
      <w:rPr>
        <w:rStyle w:val="Lappusesnumurs"/>
      </w:rPr>
    </w:pPr>
    <w:r>
      <w:rPr>
        <w:rStyle w:val="Lappusesnumurs"/>
      </w:rPr>
      <w:fldChar w:fldCharType="begin"/>
    </w:r>
    <w:r w:rsidR="005E11A1">
      <w:rPr>
        <w:rStyle w:val="Lappusesnumurs"/>
      </w:rPr>
      <w:instrText xml:space="preserve">PAGE  </w:instrText>
    </w:r>
    <w:r>
      <w:rPr>
        <w:rStyle w:val="Lappusesnumurs"/>
      </w:rPr>
      <w:fldChar w:fldCharType="end"/>
    </w:r>
  </w:p>
  <w:p w:rsidR="005E11A1" w:rsidRDefault="005E11A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A1" w:rsidRPr="000A2E70" w:rsidRDefault="00AF2D67" w:rsidP="005A725B">
    <w:pPr>
      <w:pStyle w:val="Galvene"/>
      <w:framePr w:wrap="around" w:vAnchor="text" w:hAnchor="margin" w:xAlign="center" w:y="1"/>
      <w:rPr>
        <w:rStyle w:val="Lappusesnumurs"/>
        <w:sz w:val="22"/>
        <w:szCs w:val="22"/>
      </w:rPr>
    </w:pPr>
    <w:r w:rsidRPr="000A2E70">
      <w:rPr>
        <w:rStyle w:val="Lappusesnumurs"/>
        <w:sz w:val="22"/>
        <w:szCs w:val="22"/>
      </w:rPr>
      <w:fldChar w:fldCharType="begin"/>
    </w:r>
    <w:r w:rsidR="005E11A1" w:rsidRPr="000A2E70">
      <w:rPr>
        <w:rStyle w:val="Lappusesnumurs"/>
        <w:sz w:val="22"/>
        <w:szCs w:val="22"/>
      </w:rPr>
      <w:instrText xml:space="preserve">PAGE  </w:instrText>
    </w:r>
    <w:r w:rsidRPr="000A2E70">
      <w:rPr>
        <w:rStyle w:val="Lappusesnumurs"/>
        <w:sz w:val="22"/>
        <w:szCs w:val="22"/>
      </w:rPr>
      <w:fldChar w:fldCharType="separate"/>
    </w:r>
    <w:r w:rsidR="008B7611">
      <w:rPr>
        <w:rStyle w:val="Lappusesnumurs"/>
        <w:noProof/>
        <w:sz w:val="22"/>
        <w:szCs w:val="22"/>
      </w:rPr>
      <w:t>11</w:t>
    </w:r>
    <w:r w:rsidRPr="000A2E70">
      <w:rPr>
        <w:rStyle w:val="Lappusesnumurs"/>
        <w:sz w:val="22"/>
        <w:szCs w:val="22"/>
      </w:rPr>
      <w:fldChar w:fldCharType="end"/>
    </w:r>
  </w:p>
  <w:p w:rsidR="005E11A1" w:rsidRDefault="005E11A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D18"/>
    <w:multiLevelType w:val="hybridMultilevel"/>
    <w:tmpl w:val="9EA0CA9E"/>
    <w:lvl w:ilvl="0" w:tplc="727A220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7606"/>
    <w:rsid w:val="00000423"/>
    <w:rsid w:val="00010A32"/>
    <w:rsid w:val="00012979"/>
    <w:rsid w:val="000167D7"/>
    <w:rsid w:val="00023B84"/>
    <w:rsid w:val="00034E00"/>
    <w:rsid w:val="000368D1"/>
    <w:rsid w:val="00043744"/>
    <w:rsid w:val="00050DA9"/>
    <w:rsid w:val="00054B9C"/>
    <w:rsid w:val="000834CE"/>
    <w:rsid w:val="000849DE"/>
    <w:rsid w:val="000A2E70"/>
    <w:rsid w:val="000B1C58"/>
    <w:rsid w:val="000B3354"/>
    <w:rsid w:val="000B4642"/>
    <w:rsid w:val="000D35D9"/>
    <w:rsid w:val="000D4DB6"/>
    <w:rsid w:val="000E0A5C"/>
    <w:rsid w:val="0010536E"/>
    <w:rsid w:val="00112FBA"/>
    <w:rsid w:val="00114E01"/>
    <w:rsid w:val="00126040"/>
    <w:rsid w:val="00134D32"/>
    <w:rsid w:val="00141F11"/>
    <w:rsid w:val="001570EE"/>
    <w:rsid w:val="00161F9F"/>
    <w:rsid w:val="0016537D"/>
    <w:rsid w:val="00166830"/>
    <w:rsid w:val="00172B2E"/>
    <w:rsid w:val="00174DA1"/>
    <w:rsid w:val="00177C82"/>
    <w:rsid w:val="00184436"/>
    <w:rsid w:val="00191923"/>
    <w:rsid w:val="001950AE"/>
    <w:rsid w:val="001A2DB4"/>
    <w:rsid w:val="001B5199"/>
    <w:rsid w:val="001C3949"/>
    <w:rsid w:val="001C742C"/>
    <w:rsid w:val="001D274E"/>
    <w:rsid w:val="001F0DD7"/>
    <w:rsid w:val="001F1908"/>
    <w:rsid w:val="001F2FE4"/>
    <w:rsid w:val="001F6736"/>
    <w:rsid w:val="00206262"/>
    <w:rsid w:val="00221B13"/>
    <w:rsid w:val="00224616"/>
    <w:rsid w:val="002367E9"/>
    <w:rsid w:val="002656C9"/>
    <w:rsid w:val="00273D0E"/>
    <w:rsid w:val="00282CD6"/>
    <w:rsid w:val="00291EA9"/>
    <w:rsid w:val="002A3772"/>
    <w:rsid w:val="002A6276"/>
    <w:rsid w:val="002A62EC"/>
    <w:rsid w:val="002A6847"/>
    <w:rsid w:val="002B29CC"/>
    <w:rsid w:val="002C4F2B"/>
    <w:rsid w:val="002C6428"/>
    <w:rsid w:val="002D41BC"/>
    <w:rsid w:val="002F6BA3"/>
    <w:rsid w:val="0034303D"/>
    <w:rsid w:val="00345C8B"/>
    <w:rsid w:val="003609AB"/>
    <w:rsid w:val="00365590"/>
    <w:rsid w:val="00387944"/>
    <w:rsid w:val="0039340A"/>
    <w:rsid w:val="00397BB0"/>
    <w:rsid w:val="003A38AD"/>
    <w:rsid w:val="003A5496"/>
    <w:rsid w:val="003C5B59"/>
    <w:rsid w:val="003D01D3"/>
    <w:rsid w:val="003D2800"/>
    <w:rsid w:val="003D5296"/>
    <w:rsid w:val="003F1E11"/>
    <w:rsid w:val="003F3AAF"/>
    <w:rsid w:val="00410AB5"/>
    <w:rsid w:val="004130F0"/>
    <w:rsid w:val="004456D6"/>
    <w:rsid w:val="00451AD1"/>
    <w:rsid w:val="00461784"/>
    <w:rsid w:val="004872F4"/>
    <w:rsid w:val="0049339F"/>
    <w:rsid w:val="004B00F2"/>
    <w:rsid w:val="004B5EC7"/>
    <w:rsid w:val="004B7922"/>
    <w:rsid w:val="004C66B0"/>
    <w:rsid w:val="004E5C20"/>
    <w:rsid w:val="004F3F48"/>
    <w:rsid w:val="00505E37"/>
    <w:rsid w:val="00511228"/>
    <w:rsid w:val="00546064"/>
    <w:rsid w:val="00554AA6"/>
    <w:rsid w:val="0056155C"/>
    <w:rsid w:val="0057558F"/>
    <w:rsid w:val="00577579"/>
    <w:rsid w:val="00580977"/>
    <w:rsid w:val="00586330"/>
    <w:rsid w:val="005965DB"/>
    <w:rsid w:val="00597D6F"/>
    <w:rsid w:val="005A35B1"/>
    <w:rsid w:val="005A6205"/>
    <w:rsid w:val="005A725B"/>
    <w:rsid w:val="005B7989"/>
    <w:rsid w:val="005D2A64"/>
    <w:rsid w:val="005E11A1"/>
    <w:rsid w:val="005E4F15"/>
    <w:rsid w:val="005F2481"/>
    <w:rsid w:val="0062437C"/>
    <w:rsid w:val="00625FEA"/>
    <w:rsid w:val="00637F0C"/>
    <w:rsid w:val="006450E5"/>
    <w:rsid w:val="006542F8"/>
    <w:rsid w:val="006654F5"/>
    <w:rsid w:val="00673210"/>
    <w:rsid w:val="006747F6"/>
    <w:rsid w:val="00674DD9"/>
    <w:rsid w:val="00680315"/>
    <w:rsid w:val="00683F09"/>
    <w:rsid w:val="0068481A"/>
    <w:rsid w:val="00693EAD"/>
    <w:rsid w:val="006B32F7"/>
    <w:rsid w:val="006B49A6"/>
    <w:rsid w:val="006D10C1"/>
    <w:rsid w:val="006D359F"/>
    <w:rsid w:val="006D5501"/>
    <w:rsid w:val="006E1200"/>
    <w:rsid w:val="00722512"/>
    <w:rsid w:val="0072262B"/>
    <w:rsid w:val="0073400C"/>
    <w:rsid w:val="0073549F"/>
    <w:rsid w:val="007450C2"/>
    <w:rsid w:val="00745639"/>
    <w:rsid w:val="00784F77"/>
    <w:rsid w:val="00793F40"/>
    <w:rsid w:val="007A4208"/>
    <w:rsid w:val="007A4E3A"/>
    <w:rsid w:val="007A6C9B"/>
    <w:rsid w:val="007C1C17"/>
    <w:rsid w:val="007C42BC"/>
    <w:rsid w:val="007C4F71"/>
    <w:rsid w:val="007D3829"/>
    <w:rsid w:val="007D4A97"/>
    <w:rsid w:val="007D74E9"/>
    <w:rsid w:val="007D77BA"/>
    <w:rsid w:val="007F3A1D"/>
    <w:rsid w:val="00807A17"/>
    <w:rsid w:val="008167DF"/>
    <w:rsid w:val="00822078"/>
    <w:rsid w:val="0082422E"/>
    <w:rsid w:val="00836F6E"/>
    <w:rsid w:val="00840902"/>
    <w:rsid w:val="00852DD8"/>
    <w:rsid w:val="00854020"/>
    <w:rsid w:val="0086120B"/>
    <w:rsid w:val="0086552C"/>
    <w:rsid w:val="00866BF5"/>
    <w:rsid w:val="00876047"/>
    <w:rsid w:val="00884BCE"/>
    <w:rsid w:val="00892410"/>
    <w:rsid w:val="008A1BBC"/>
    <w:rsid w:val="008A5BB0"/>
    <w:rsid w:val="008A7664"/>
    <w:rsid w:val="008B45D5"/>
    <w:rsid w:val="008B7611"/>
    <w:rsid w:val="008C0626"/>
    <w:rsid w:val="008C2B8D"/>
    <w:rsid w:val="008C4447"/>
    <w:rsid w:val="008D4D62"/>
    <w:rsid w:val="008D6794"/>
    <w:rsid w:val="008D73EE"/>
    <w:rsid w:val="008E5DF1"/>
    <w:rsid w:val="008E7AC4"/>
    <w:rsid w:val="0090104E"/>
    <w:rsid w:val="00901DC1"/>
    <w:rsid w:val="00902D8B"/>
    <w:rsid w:val="009148BC"/>
    <w:rsid w:val="00932F2D"/>
    <w:rsid w:val="009348C0"/>
    <w:rsid w:val="009404B0"/>
    <w:rsid w:val="009439A6"/>
    <w:rsid w:val="009534CE"/>
    <w:rsid w:val="00965CDE"/>
    <w:rsid w:val="00974745"/>
    <w:rsid w:val="00974909"/>
    <w:rsid w:val="0099462D"/>
    <w:rsid w:val="00994670"/>
    <w:rsid w:val="009A0504"/>
    <w:rsid w:val="009B39D2"/>
    <w:rsid w:val="009C6278"/>
    <w:rsid w:val="009C7013"/>
    <w:rsid w:val="009E740D"/>
    <w:rsid w:val="009F08F3"/>
    <w:rsid w:val="009F3914"/>
    <w:rsid w:val="009F5464"/>
    <w:rsid w:val="009F6FDB"/>
    <w:rsid w:val="00A14C39"/>
    <w:rsid w:val="00A15FAC"/>
    <w:rsid w:val="00A23503"/>
    <w:rsid w:val="00A2684B"/>
    <w:rsid w:val="00A305EC"/>
    <w:rsid w:val="00A33E9B"/>
    <w:rsid w:val="00A35219"/>
    <w:rsid w:val="00A376F5"/>
    <w:rsid w:val="00A577EA"/>
    <w:rsid w:val="00A67134"/>
    <w:rsid w:val="00A72546"/>
    <w:rsid w:val="00A73522"/>
    <w:rsid w:val="00A75789"/>
    <w:rsid w:val="00AA148D"/>
    <w:rsid w:val="00AA26C4"/>
    <w:rsid w:val="00AA58BB"/>
    <w:rsid w:val="00AB1AD2"/>
    <w:rsid w:val="00AC2D99"/>
    <w:rsid w:val="00AC5178"/>
    <w:rsid w:val="00AC52FA"/>
    <w:rsid w:val="00AD0AC2"/>
    <w:rsid w:val="00AD6DF1"/>
    <w:rsid w:val="00AD748D"/>
    <w:rsid w:val="00AE239E"/>
    <w:rsid w:val="00AE558E"/>
    <w:rsid w:val="00AF0303"/>
    <w:rsid w:val="00AF1C1E"/>
    <w:rsid w:val="00AF2C4F"/>
    <w:rsid w:val="00AF2D67"/>
    <w:rsid w:val="00B05143"/>
    <w:rsid w:val="00B30551"/>
    <w:rsid w:val="00B31A59"/>
    <w:rsid w:val="00B462D1"/>
    <w:rsid w:val="00B47B74"/>
    <w:rsid w:val="00B51130"/>
    <w:rsid w:val="00B51E1B"/>
    <w:rsid w:val="00B5274B"/>
    <w:rsid w:val="00B55179"/>
    <w:rsid w:val="00B673F9"/>
    <w:rsid w:val="00B732FF"/>
    <w:rsid w:val="00B73D25"/>
    <w:rsid w:val="00B7461E"/>
    <w:rsid w:val="00B813CF"/>
    <w:rsid w:val="00BA67E7"/>
    <w:rsid w:val="00BB36D4"/>
    <w:rsid w:val="00BB4AC1"/>
    <w:rsid w:val="00BB7146"/>
    <w:rsid w:val="00BC1841"/>
    <w:rsid w:val="00BC34C4"/>
    <w:rsid w:val="00BD7C81"/>
    <w:rsid w:val="00BD7F31"/>
    <w:rsid w:val="00BF2D88"/>
    <w:rsid w:val="00C120AC"/>
    <w:rsid w:val="00C160E8"/>
    <w:rsid w:val="00C345F2"/>
    <w:rsid w:val="00C3648D"/>
    <w:rsid w:val="00C4246F"/>
    <w:rsid w:val="00C536FE"/>
    <w:rsid w:val="00C55925"/>
    <w:rsid w:val="00C824A9"/>
    <w:rsid w:val="00C84009"/>
    <w:rsid w:val="00C9476A"/>
    <w:rsid w:val="00CA5D8F"/>
    <w:rsid w:val="00CB4BB8"/>
    <w:rsid w:val="00CC2CD6"/>
    <w:rsid w:val="00CF0D9D"/>
    <w:rsid w:val="00CF48AA"/>
    <w:rsid w:val="00D3227C"/>
    <w:rsid w:val="00D35683"/>
    <w:rsid w:val="00D357C2"/>
    <w:rsid w:val="00D445E0"/>
    <w:rsid w:val="00D53696"/>
    <w:rsid w:val="00D550B3"/>
    <w:rsid w:val="00D609D0"/>
    <w:rsid w:val="00D818DB"/>
    <w:rsid w:val="00DD2B94"/>
    <w:rsid w:val="00DD62F0"/>
    <w:rsid w:val="00DE5400"/>
    <w:rsid w:val="00DF33D4"/>
    <w:rsid w:val="00DF5576"/>
    <w:rsid w:val="00E00070"/>
    <w:rsid w:val="00E05AC6"/>
    <w:rsid w:val="00E31829"/>
    <w:rsid w:val="00E33A4E"/>
    <w:rsid w:val="00E37606"/>
    <w:rsid w:val="00E37F47"/>
    <w:rsid w:val="00E47E71"/>
    <w:rsid w:val="00E527BC"/>
    <w:rsid w:val="00E53CCB"/>
    <w:rsid w:val="00E54C2A"/>
    <w:rsid w:val="00E823A1"/>
    <w:rsid w:val="00EA1322"/>
    <w:rsid w:val="00EB09CF"/>
    <w:rsid w:val="00EB4A14"/>
    <w:rsid w:val="00EC448B"/>
    <w:rsid w:val="00EC5AF0"/>
    <w:rsid w:val="00ED3BDE"/>
    <w:rsid w:val="00EE0080"/>
    <w:rsid w:val="00EE551A"/>
    <w:rsid w:val="00F0606E"/>
    <w:rsid w:val="00F1638D"/>
    <w:rsid w:val="00F20AF3"/>
    <w:rsid w:val="00F23F5D"/>
    <w:rsid w:val="00F27ECC"/>
    <w:rsid w:val="00F50715"/>
    <w:rsid w:val="00F50EC0"/>
    <w:rsid w:val="00F81A16"/>
    <w:rsid w:val="00F91D1C"/>
    <w:rsid w:val="00F94883"/>
    <w:rsid w:val="00F94B7E"/>
    <w:rsid w:val="00FA1CDD"/>
    <w:rsid w:val="00FC6606"/>
    <w:rsid w:val="00FD13DB"/>
    <w:rsid w:val="00FD1DCD"/>
    <w:rsid w:val="00FD58E7"/>
    <w:rsid w:val="00FD60CC"/>
    <w:rsid w:val="00FD7FA9"/>
    <w:rsid w:val="00FE42E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rsid w:val="00E37606"/>
    <w:pPr>
      <w:tabs>
        <w:tab w:val="center" w:pos="4153"/>
        <w:tab w:val="right" w:pos="8306"/>
      </w:tabs>
    </w:pPr>
    <w:rPr>
      <w:lang w:eastAsia="lv-LV"/>
    </w:rPr>
  </w:style>
  <w:style w:type="character" w:customStyle="1" w:styleId="GalveneRakstz">
    <w:name w:val="Galvene Rakstz."/>
    <w:basedOn w:val="Noklusjumarindkopasfonts"/>
    <w:link w:val="Galvene"/>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customStyle="1" w:styleId="naislab">
    <w:name w:val="naislab"/>
    <w:basedOn w:val="Parastais"/>
    <w:rsid w:val="00161F9F"/>
    <w:pPr>
      <w:spacing w:before="75" w:after="75"/>
      <w:jc w:val="right"/>
    </w:pPr>
    <w:rPr>
      <w:color w:val="0D0D0D"/>
      <w:lang w:eastAsia="lv-LV"/>
    </w:rPr>
  </w:style>
  <w:style w:type="paragraph" w:customStyle="1" w:styleId="ParastaisWeb1">
    <w:name w:val="Parastais (Web)1"/>
    <w:basedOn w:val="Parastais"/>
    <w:next w:val="ParastaisWeb"/>
    <w:uiPriority w:val="99"/>
    <w:rsid w:val="007D74E9"/>
    <w:pPr>
      <w:spacing w:before="100" w:beforeAutospacing="1" w:after="100" w:afterAutospacing="1"/>
    </w:pPr>
    <w:rPr>
      <w:rFonts w:ascii="Verdana" w:hAnsi="Verdana"/>
      <w:sz w:val="18"/>
      <w:szCs w:val="18"/>
      <w:lang w:val="en-GB" w:eastAsia="en-GB"/>
    </w:rPr>
  </w:style>
  <w:style w:type="paragraph" w:styleId="ParastaisWeb">
    <w:name w:val="Normal (Web)"/>
    <w:basedOn w:val="Parastais"/>
    <w:uiPriority w:val="99"/>
    <w:semiHidden/>
    <w:unhideWhenUsed/>
    <w:rsid w:val="007D74E9"/>
  </w:style>
  <w:style w:type="character" w:styleId="Komentraatsauce">
    <w:name w:val="annotation reference"/>
    <w:basedOn w:val="Noklusjumarindkopasfonts"/>
    <w:uiPriority w:val="99"/>
    <w:semiHidden/>
    <w:unhideWhenUsed/>
    <w:rsid w:val="001A2DB4"/>
    <w:rPr>
      <w:sz w:val="16"/>
      <w:szCs w:val="16"/>
    </w:rPr>
  </w:style>
  <w:style w:type="paragraph" w:styleId="Komentrateksts">
    <w:name w:val="annotation text"/>
    <w:basedOn w:val="Parastais"/>
    <w:link w:val="KomentratekstsRakstz"/>
    <w:uiPriority w:val="99"/>
    <w:semiHidden/>
    <w:unhideWhenUsed/>
    <w:rsid w:val="001A2DB4"/>
    <w:rPr>
      <w:sz w:val="20"/>
      <w:szCs w:val="20"/>
    </w:rPr>
  </w:style>
  <w:style w:type="character" w:customStyle="1" w:styleId="KomentratekstsRakstz">
    <w:name w:val="Komentāra teksts Rakstz."/>
    <w:basedOn w:val="Noklusjumarindkopasfonts"/>
    <w:link w:val="Komentrateksts"/>
    <w:uiPriority w:val="99"/>
    <w:semiHidden/>
    <w:rsid w:val="001A2DB4"/>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1A2DB4"/>
    <w:rPr>
      <w:b/>
      <w:bCs/>
    </w:rPr>
  </w:style>
  <w:style w:type="character" w:customStyle="1" w:styleId="KomentratmaRakstz">
    <w:name w:val="Komentāra tēma Rakstz."/>
    <w:basedOn w:val="KomentratekstsRakstz"/>
    <w:link w:val="Komentratma"/>
    <w:uiPriority w:val="99"/>
    <w:semiHidden/>
    <w:rsid w:val="001A2DB4"/>
    <w:rPr>
      <w:rFonts w:ascii="Times New Roman" w:eastAsia="Times New Roman" w:hAnsi="Times New Roman" w:cs="Times New Roman"/>
      <w:b/>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06"/>
    <w:pPr>
      <w:spacing w:after="0" w:line="240" w:lineRule="auto"/>
    </w:pPr>
    <w:rPr>
      <w:rFonts w:ascii="Times New Roman" w:eastAsia="Times New Roman" w:hAnsi="Times New Roman" w:cs="Times New Roman"/>
      <w:sz w:val="24"/>
      <w:szCs w:val="24"/>
      <w:lang w:val="lv-LV"/>
    </w:rPr>
  </w:style>
  <w:style w:type="paragraph" w:styleId="Heading2">
    <w:name w:val="heading 2"/>
    <w:basedOn w:val="Normal"/>
    <w:next w:val="Normal"/>
    <w:link w:val="Heading2Char"/>
    <w:uiPriority w:val="9"/>
    <w:unhideWhenUsed/>
    <w:qFormat/>
    <w:rsid w:val="00C345F2"/>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606"/>
    <w:pPr>
      <w:jc w:val="center"/>
    </w:pPr>
    <w:rPr>
      <w:b/>
      <w:bCs/>
      <w:sz w:val="28"/>
    </w:rPr>
  </w:style>
  <w:style w:type="character" w:customStyle="1" w:styleId="BodyTextChar">
    <w:name w:val="Body Text Char"/>
    <w:basedOn w:val="DefaultParagraphFont"/>
    <w:link w:val="BodyText"/>
    <w:rsid w:val="00E37606"/>
    <w:rPr>
      <w:rFonts w:ascii="Times New Roman" w:eastAsia="Times New Roman" w:hAnsi="Times New Roman" w:cs="Times New Roman"/>
      <w:b/>
      <w:bCs/>
      <w:sz w:val="28"/>
      <w:szCs w:val="24"/>
      <w:lang w:val="lv-LV"/>
    </w:rPr>
  </w:style>
  <w:style w:type="paragraph" w:customStyle="1" w:styleId="naisf">
    <w:name w:val="naisf"/>
    <w:basedOn w:val="Normal"/>
    <w:rsid w:val="00E37606"/>
    <w:pPr>
      <w:spacing w:before="75" w:after="75"/>
      <w:ind w:firstLine="375"/>
      <w:jc w:val="both"/>
    </w:pPr>
    <w:rPr>
      <w:lang w:eastAsia="lv-LV"/>
    </w:rPr>
  </w:style>
  <w:style w:type="paragraph" w:styleId="Header">
    <w:name w:val="header"/>
    <w:basedOn w:val="Normal"/>
    <w:link w:val="HeaderChar"/>
    <w:rsid w:val="00E37606"/>
    <w:pPr>
      <w:tabs>
        <w:tab w:val="center" w:pos="4153"/>
        <w:tab w:val="right" w:pos="8306"/>
      </w:tabs>
    </w:pPr>
    <w:rPr>
      <w:lang w:eastAsia="lv-LV"/>
    </w:rPr>
  </w:style>
  <w:style w:type="character" w:customStyle="1" w:styleId="HeaderChar">
    <w:name w:val="Header Char"/>
    <w:basedOn w:val="DefaultParagraphFont"/>
    <w:link w:val="Header"/>
    <w:rsid w:val="00E37606"/>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E37606"/>
    <w:pPr>
      <w:tabs>
        <w:tab w:val="center" w:pos="4153"/>
        <w:tab w:val="right" w:pos="8306"/>
      </w:tabs>
    </w:pPr>
    <w:rPr>
      <w:lang w:eastAsia="lv-LV"/>
    </w:rPr>
  </w:style>
  <w:style w:type="character" w:customStyle="1" w:styleId="FooterChar">
    <w:name w:val="Footer Char"/>
    <w:basedOn w:val="DefaultParagraphFont"/>
    <w:link w:val="Footer"/>
    <w:uiPriority w:val="99"/>
    <w:rsid w:val="00E37606"/>
    <w:rPr>
      <w:rFonts w:ascii="Times New Roman" w:eastAsia="Times New Roman" w:hAnsi="Times New Roman" w:cs="Times New Roman"/>
      <w:sz w:val="24"/>
      <w:szCs w:val="24"/>
      <w:lang w:val="lv-LV" w:eastAsia="lv-LV"/>
    </w:rPr>
  </w:style>
  <w:style w:type="character" w:styleId="PageNumber">
    <w:name w:val="page number"/>
    <w:basedOn w:val="DefaultParagraphFont"/>
    <w:rsid w:val="00E37606"/>
  </w:style>
  <w:style w:type="paragraph" w:customStyle="1" w:styleId="tv213">
    <w:name w:val="tv213"/>
    <w:basedOn w:val="Normal"/>
    <w:rsid w:val="00E37606"/>
    <w:pPr>
      <w:spacing w:before="100" w:beforeAutospacing="1" w:after="100" w:afterAutospacing="1"/>
    </w:pPr>
    <w:rPr>
      <w:lang w:eastAsia="lv-LV"/>
    </w:rPr>
  </w:style>
  <w:style w:type="character" w:styleId="Hyperlink">
    <w:name w:val="Hyperlink"/>
    <w:basedOn w:val="DefaultParagraphFont"/>
    <w:uiPriority w:val="99"/>
    <w:rsid w:val="00E37606"/>
    <w:rPr>
      <w:rFonts w:cs="Times New Roman"/>
      <w:color w:val="0000FF"/>
      <w:u w:val="single"/>
    </w:rPr>
  </w:style>
  <w:style w:type="paragraph" w:customStyle="1" w:styleId="naisnod">
    <w:name w:val="naisnod"/>
    <w:basedOn w:val="Normal"/>
    <w:rsid w:val="00E37606"/>
    <w:pPr>
      <w:suppressAutoHyphens/>
      <w:spacing w:before="150" w:after="150"/>
      <w:jc w:val="center"/>
    </w:pPr>
    <w:rPr>
      <w:b/>
      <w:bCs/>
      <w:lang w:eastAsia="ar-SA"/>
    </w:rPr>
  </w:style>
  <w:style w:type="paragraph" w:customStyle="1" w:styleId="naiskr">
    <w:name w:val="naiskr"/>
    <w:basedOn w:val="Normal"/>
    <w:rsid w:val="00E37606"/>
    <w:pPr>
      <w:suppressAutoHyphens/>
      <w:spacing w:before="75" w:after="75"/>
    </w:pPr>
    <w:rPr>
      <w:lang w:eastAsia="ar-SA"/>
    </w:rPr>
  </w:style>
  <w:style w:type="paragraph" w:styleId="BalloonText">
    <w:name w:val="Balloon Text"/>
    <w:basedOn w:val="Normal"/>
    <w:link w:val="BalloonTextChar"/>
    <w:uiPriority w:val="99"/>
    <w:semiHidden/>
    <w:unhideWhenUsed/>
    <w:rsid w:val="00E37606"/>
    <w:rPr>
      <w:rFonts w:ascii="Tahoma" w:hAnsi="Tahoma" w:cs="Tahoma"/>
      <w:sz w:val="16"/>
      <w:szCs w:val="16"/>
    </w:rPr>
  </w:style>
  <w:style w:type="character" w:customStyle="1" w:styleId="BalloonTextChar">
    <w:name w:val="Balloon Text Char"/>
    <w:basedOn w:val="DefaultParagraphFont"/>
    <w:link w:val="BalloonText"/>
    <w:uiPriority w:val="99"/>
    <w:semiHidden/>
    <w:rsid w:val="00E37606"/>
    <w:rPr>
      <w:rFonts w:ascii="Tahoma" w:eastAsia="Times New Roman" w:hAnsi="Tahoma" w:cs="Tahoma"/>
      <w:sz w:val="16"/>
      <w:szCs w:val="16"/>
      <w:lang w:val="lv-LV"/>
    </w:rPr>
  </w:style>
  <w:style w:type="character" w:customStyle="1" w:styleId="Heading2Char">
    <w:name w:val="Heading 2 Char"/>
    <w:basedOn w:val="DefaultParagraphFont"/>
    <w:link w:val="Heading2"/>
    <w:uiPriority w:val="9"/>
    <w:rsid w:val="00C345F2"/>
    <w:rPr>
      <w:rFonts w:ascii="Cambria" w:eastAsia="Times New Roman" w:hAnsi="Cambria" w:cs="Times New Roman"/>
      <w:b/>
      <w:bCs/>
      <w:color w:val="4F81BD"/>
      <w:sz w:val="26"/>
      <w:szCs w:val="26"/>
      <w:lang w:val="lv-LV"/>
    </w:rPr>
  </w:style>
  <w:style w:type="paragraph" w:styleId="FootnoteText">
    <w:name w:val="footnote text"/>
    <w:basedOn w:val="Normal"/>
    <w:link w:val="FootnoteTextChar"/>
    <w:unhideWhenUsed/>
    <w:rsid w:val="00C345F2"/>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C345F2"/>
    <w:rPr>
      <w:rFonts w:ascii="Calibri" w:eastAsia="Calibri" w:hAnsi="Calibri" w:cs="Times New Roman"/>
      <w:sz w:val="20"/>
      <w:szCs w:val="20"/>
      <w:lang w:val="lv-LV"/>
    </w:rPr>
  </w:style>
  <w:style w:type="character" w:styleId="FootnoteReference">
    <w:name w:val="footnote reference"/>
    <w:uiPriority w:val="99"/>
    <w:semiHidden/>
    <w:unhideWhenUsed/>
    <w:rsid w:val="00C345F2"/>
    <w:rPr>
      <w:vertAlign w:val="superscript"/>
    </w:rPr>
  </w:style>
  <w:style w:type="paragraph" w:customStyle="1" w:styleId="naislab">
    <w:name w:val="naislab"/>
    <w:basedOn w:val="Normal"/>
    <w:rsid w:val="00161F9F"/>
    <w:pPr>
      <w:spacing w:before="75" w:after="75"/>
      <w:jc w:val="right"/>
    </w:pPr>
    <w:rPr>
      <w:color w:val="0D0D0D"/>
      <w:lang w:eastAsia="lv-LV"/>
    </w:rPr>
  </w:style>
</w:styles>
</file>

<file path=word/webSettings.xml><?xml version="1.0" encoding="utf-8"?>
<w:webSettings xmlns:r="http://schemas.openxmlformats.org/officeDocument/2006/relationships" xmlns:w="http://schemas.openxmlformats.org/wordprocessingml/2006/main">
  <w:divs>
    <w:div w:id="102105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hards.Gulbis@k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ona.Tomsone@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B9D9A-48B9-4950-83FB-2032B103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12</Pages>
  <Words>12700</Words>
  <Characters>7239</Characters>
  <Application>Microsoft Office Word</Application>
  <DocSecurity>0</DocSecurity>
  <Lines>60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Autortiesību likumā” sākotnējās ietekmes novērtējuma ziņojums (anotācija)</vt:lpstr>
      <vt:lpstr>Likumprojekta „Grozījumi Autortiesību likumā” sākotnējās ietekmes novērtējuma ziņojums (anotācija)</vt:lpstr>
    </vt:vector>
  </TitlesOfParts>
  <Manager>G.Puķītis</Manager>
  <Company>LR Kultūras Ministrija</Company>
  <LinksUpToDate>false</LinksUpToDate>
  <CharactersWithSpaces>19900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Autortiesību likumā” sākotnējās ietekmes novērtējuma ziņojums (anotācija)</dc:title>
  <dc:subject>KMAnot_031013_ALgroz_IzpildTermPag</dc:subject>
  <dc:creator>Rihards Gulbis, Ilona Tomsone</dc:creator>
  <cp:keywords>Autortiesības</cp:keywords>
  <dc:description>R.Gulbis, Rihards.Gulbis@km.gov.lv; tālr.: 67330211; fakss: 67330293 
I.Tomsone, Ilona.Tomsone@km.gov.lv; tālr.: 67330240; fakss: 67330293</dc:description>
  <cp:lastModifiedBy>inesed</cp:lastModifiedBy>
  <cp:revision>107</cp:revision>
  <cp:lastPrinted>2013-08-08T05:50:00Z</cp:lastPrinted>
  <dcterms:created xsi:type="dcterms:W3CDTF">2013-09-21T06:56:00Z</dcterms:created>
  <dcterms:modified xsi:type="dcterms:W3CDTF">2013-10-03T11:25:00Z</dcterms:modified>
  <cp:category>Likumprojekta anotācija</cp:category>
</cp:coreProperties>
</file>