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2A" w:rsidRPr="00933E07" w:rsidRDefault="0079482A" w:rsidP="00933E07">
      <w:pPr>
        <w:outlineLvl w:val="0"/>
        <w:rPr>
          <w:b/>
          <w:sz w:val="28"/>
          <w:szCs w:val="28"/>
        </w:rPr>
      </w:pPr>
      <w:bookmarkStart w:id="0" w:name="OLE_LINK3"/>
      <w:bookmarkStart w:id="1" w:name="OLE_LINK4"/>
    </w:p>
    <w:p w:rsidR="007F0224" w:rsidRPr="0098064B" w:rsidRDefault="007F0224" w:rsidP="00933E07">
      <w:pPr>
        <w:jc w:val="center"/>
        <w:outlineLvl w:val="0"/>
        <w:rPr>
          <w:b/>
          <w:sz w:val="28"/>
          <w:szCs w:val="28"/>
        </w:rPr>
      </w:pPr>
      <w:r w:rsidRPr="0098064B">
        <w:rPr>
          <w:b/>
          <w:sz w:val="28"/>
          <w:szCs w:val="28"/>
        </w:rPr>
        <w:t>Ministru kabineta rīkojuma projekta</w:t>
      </w:r>
    </w:p>
    <w:p w:rsidR="00E2556C" w:rsidRPr="0098064B" w:rsidRDefault="007F0224" w:rsidP="00933E07">
      <w:pPr>
        <w:jc w:val="center"/>
        <w:rPr>
          <w:b/>
          <w:sz w:val="28"/>
          <w:szCs w:val="28"/>
        </w:rPr>
      </w:pPr>
      <w:r w:rsidRPr="0098064B">
        <w:rPr>
          <w:b/>
          <w:sz w:val="28"/>
          <w:szCs w:val="28"/>
        </w:rPr>
        <w:t xml:space="preserve">„Par finanšu līdzekļu piešķiršanu no valsts budžeta programmas </w:t>
      </w:r>
    </w:p>
    <w:p w:rsidR="00AD1E34" w:rsidRPr="0098064B" w:rsidRDefault="007F0224" w:rsidP="00933E07">
      <w:pPr>
        <w:jc w:val="center"/>
        <w:rPr>
          <w:b/>
          <w:sz w:val="28"/>
          <w:szCs w:val="28"/>
        </w:rPr>
      </w:pPr>
      <w:r w:rsidRPr="0098064B">
        <w:rPr>
          <w:b/>
          <w:sz w:val="28"/>
          <w:szCs w:val="28"/>
        </w:rPr>
        <w:t xml:space="preserve">„Līdzekļi neparedzētiem gadījumiem”” sākotnējās ietekmes novērtējuma </w:t>
      </w:r>
    </w:p>
    <w:p w:rsidR="00AD1E34" w:rsidRPr="0098064B" w:rsidRDefault="007F0224" w:rsidP="000075C2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98064B">
          <w:rPr>
            <w:b/>
            <w:sz w:val="28"/>
            <w:szCs w:val="28"/>
          </w:rPr>
          <w:t>ziņojums</w:t>
        </w:r>
      </w:smartTag>
      <w:r w:rsidRPr="0098064B">
        <w:rPr>
          <w:b/>
          <w:sz w:val="28"/>
          <w:szCs w:val="28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2"/>
        <w:gridCol w:w="2891"/>
        <w:gridCol w:w="5558"/>
      </w:tblGrid>
      <w:tr w:rsidR="00852042" w:rsidRPr="0098064B" w:rsidTr="00E2556C">
        <w:tc>
          <w:tcPr>
            <w:tcW w:w="5000" w:type="pct"/>
            <w:gridSpan w:val="3"/>
            <w:vAlign w:val="center"/>
          </w:tcPr>
          <w:p w:rsidR="00852042" w:rsidRPr="0098064B" w:rsidRDefault="00852042" w:rsidP="00933E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</w:t>
            </w:r>
            <w:r w:rsidR="000941C5" w:rsidRPr="0098064B">
              <w:rPr>
                <w:sz w:val="28"/>
                <w:szCs w:val="28"/>
              </w:rPr>
              <w:t>.</w:t>
            </w:r>
            <w:r w:rsidRPr="0098064B">
              <w:rPr>
                <w:sz w:val="28"/>
                <w:szCs w:val="28"/>
              </w:rPr>
              <w:t xml:space="preserve"> Tiesību akta </w:t>
            </w:r>
            <w:r w:rsidR="002E3FF4" w:rsidRPr="0098064B">
              <w:rPr>
                <w:sz w:val="28"/>
                <w:szCs w:val="28"/>
              </w:rPr>
              <w:t xml:space="preserve">projekta </w:t>
            </w:r>
            <w:r w:rsidRPr="0098064B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98064B" w:rsidTr="00E2556C">
        <w:trPr>
          <w:trHeight w:val="415"/>
        </w:trPr>
        <w:tc>
          <w:tcPr>
            <w:tcW w:w="348" w:type="pct"/>
          </w:tcPr>
          <w:p w:rsidR="00262E2B" w:rsidRPr="0098064B" w:rsidRDefault="00262E2B" w:rsidP="00933E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1.</w:t>
            </w:r>
          </w:p>
        </w:tc>
        <w:tc>
          <w:tcPr>
            <w:tcW w:w="1592" w:type="pct"/>
          </w:tcPr>
          <w:p w:rsidR="00262E2B" w:rsidRPr="0098064B" w:rsidRDefault="002D7F54" w:rsidP="00933E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Pamatojums</w:t>
            </w:r>
          </w:p>
        </w:tc>
        <w:tc>
          <w:tcPr>
            <w:tcW w:w="3059" w:type="pct"/>
          </w:tcPr>
          <w:p w:rsidR="00262E2B" w:rsidRPr="0098064B" w:rsidRDefault="00E21307" w:rsidP="00AA107D">
            <w:pPr>
              <w:jc w:val="both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      Ministru kabineta rīkojuma projekts „</w:t>
            </w:r>
            <w:r w:rsidRPr="0098064B">
              <w:rPr>
                <w:iCs/>
                <w:noProof/>
                <w:sz w:val="28"/>
                <w:szCs w:val="28"/>
              </w:rPr>
              <w:t xml:space="preserve">Par finanšu līdzekļu piešķiršanu no valsts budžeta programmas „Līdzekļi neparedzētiem gadījumiem”” </w:t>
            </w:r>
            <w:r w:rsidRPr="0098064B">
              <w:rPr>
                <w:sz w:val="28"/>
                <w:szCs w:val="28"/>
              </w:rPr>
              <w:t>(turpmāk – rīkojuma projekts) izstrādāts</w:t>
            </w:r>
            <w:r w:rsidR="00AA107D">
              <w:rPr>
                <w:sz w:val="28"/>
                <w:szCs w:val="28"/>
              </w:rPr>
              <w:t xml:space="preserve"> </w:t>
            </w:r>
            <w:r w:rsidRPr="0098064B">
              <w:rPr>
                <w:color w:val="000000"/>
                <w:sz w:val="28"/>
                <w:szCs w:val="28"/>
              </w:rPr>
              <w:t>saskaņā ar Ministru kabineta 2009.gada 22.decembra noteikumiem Nr. 1644 „Kārtība, kādā pieprasa un izlieto budžeta programmas „Līdzekļi neparedzētiem gadījumiem”</w:t>
            </w:r>
            <w:r w:rsidR="00AA107D">
              <w:rPr>
                <w:color w:val="000000"/>
                <w:sz w:val="28"/>
                <w:szCs w:val="28"/>
              </w:rPr>
              <w:t xml:space="preserve"> 3.punktu</w:t>
            </w:r>
            <w:r w:rsidRPr="0098064B">
              <w:rPr>
                <w:color w:val="000000"/>
                <w:sz w:val="28"/>
                <w:szCs w:val="28"/>
              </w:rPr>
              <w:t>.</w:t>
            </w:r>
          </w:p>
        </w:tc>
      </w:tr>
      <w:tr w:rsidR="00262E2B" w:rsidRPr="0098064B" w:rsidTr="00E2556C">
        <w:trPr>
          <w:trHeight w:val="472"/>
        </w:trPr>
        <w:tc>
          <w:tcPr>
            <w:tcW w:w="348" w:type="pct"/>
          </w:tcPr>
          <w:p w:rsidR="00262E2B" w:rsidRPr="0098064B" w:rsidRDefault="00262E2B" w:rsidP="00933E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2.</w:t>
            </w:r>
          </w:p>
        </w:tc>
        <w:tc>
          <w:tcPr>
            <w:tcW w:w="1592" w:type="pct"/>
          </w:tcPr>
          <w:p w:rsidR="00262E2B" w:rsidRPr="0098064B" w:rsidRDefault="00262E2B" w:rsidP="00933E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Pašreizējā situācija</w:t>
            </w:r>
            <w:r w:rsidR="001F5CD6" w:rsidRPr="0098064B">
              <w:rPr>
                <w:sz w:val="28"/>
                <w:szCs w:val="28"/>
              </w:rPr>
              <w:t xml:space="preserve"> un problēmas</w:t>
            </w:r>
          </w:p>
        </w:tc>
        <w:tc>
          <w:tcPr>
            <w:tcW w:w="3059" w:type="pct"/>
          </w:tcPr>
          <w:p w:rsidR="00A70BF6" w:rsidRDefault="00CC2A1B" w:rsidP="00933E07">
            <w:pPr>
              <w:pStyle w:val="naisf"/>
              <w:ind w:firstLine="72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Kultūras ministrija ir </w:t>
            </w:r>
            <w:r w:rsidR="003F04A6">
              <w:rPr>
                <w:sz w:val="28"/>
                <w:szCs w:val="28"/>
              </w:rPr>
              <w:t xml:space="preserve">saņēmusi </w:t>
            </w:r>
            <w:r w:rsidRPr="0098064B">
              <w:rPr>
                <w:sz w:val="28"/>
                <w:szCs w:val="28"/>
              </w:rPr>
              <w:t xml:space="preserve"> informāc</w:t>
            </w:r>
            <w:r w:rsidR="00792D79" w:rsidRPr="0098064B">
              <w:rPr>
                <w:sz w:val="28"/>
                <w:szCs w:val="28"/>
              </w:rPr>
              <w:t xml:space="preserve">iju par </w:t>
            </w:r>
            <w:r w:rsidR="0007695D">
              <w:rPr>
                <w:sz w:val="28"/>
                <w:szCs w:val="28"/>
              </w:rPr>
              <w:t xml:space="preserve">to, ka </w:t>
            </w:r>
            <w:r w:rsidR="00A70BF6">
              <w:rPr>
                <w:sz w:val="28"/>
                <w:szCs w:val="28"/>
              </w:rPr>
              <w:t xml:space="preserve">2013.gada jūlijā </w:t>
            </w:r>
            <w:r w:rsidR="0007695D">
              <w:rPr>
                <w:sz w:val="28"/>
                <w:szCs w:val="28"/>
              </w:rPr>
              <w:t xml:space="preserve">starptautiskais </w:t>
            </w:r>
            <w:r w:rsidR="0007695D" w:rsidRPr="003F04A6">
              <w:rPr>
                <w:sz w:val="28"/>
                <w:szCs w:val="28"/>
              </w:rPr>
              <w:t>Šl</w:t>
            </w:r>
            <w:r w:rsidR="006F2457">
              <w:rPr>
                <w:sz w:val="28"/>
                <w:szCs w:val="28"/>
              </w:rPr>
              <w:t>ēs</w:t>
            </w:r>
            <w:r w:rsidR="0007695D" w:rsidRPr="003F04A6">
              <w:rPr>
                <w:sz w:val="28"/>
                <w:szCs w:val="28"/>
              </w:rPr>
              <w:t>vigas-Holšteinas</w:t>
            </w:r>
            <w:r w:rsidR="0007695D">
              <w:rPr>
                <w:sz w:val="28"/>
                <w:szCs w:val="28"/>
              </w:rPr>
              <w:t xml:space="preserve"> </w:t>
            </w:r>
            <w:r w:rsidR="0007695D" w:rsidRPr="003F04A6">
              <w:rPr>
                <w:sz w:val="28"/>
                <w:szCs w:val="28"/>
              </w:rPr>
              <w:t>mūzikas festivāl</w:t>
            </w:r>
            <w:r w:rsidR="0007695D">
              <w:rPr>
                <w:sz w:val="28"/>
                <w:szCs w:val="28"/>
              </w:rPr>
              <w:t>s</w:t>
            </w:r>
            <w:r w:rsidR="0007695D" w:rsidRPr="003F04A6">
              <w:rPr>
                <w:sz w:val="28"/>
                <w:szCs w:val="28"/>
              </w:rPr>
              <w:t xml:space="preserve"> Vācijā</w:t>
            </w:r>
            <w:r w:rsidR="0007695D">
              <w:rPr>
                <w:sz w:val="28"/>
                <w:szCs w:val="28"/>
              </w:rPr>
              <w:t xml:space="preserve"> vērsīs lielu uzmanību Baltijas valstu kultūras bagātībām. </w:t>
            </w:r>
            <w:r w:rsidR="00617C91" w:rsidRPr="003F04A6">
              <w:rPr>
                <w:sz w:val="28"/>
                <w:szCs w:val="28"/>
              </w:rPr>
              <w:t xml:space="preserve"> </w:t>
            </w:r>
            <w:r w:rsidR="00617C91">
              <w:rPr>
                <w:sz w:val="28"/>
                <w:szCs w:val="28"/>
              </w:rPr>
              <w:t>L</w:t>
            </w:r>
            <w:r w:rsidR="00617C91" w:rsidRPr="003F04A6">
              <w:rPr>
                <w:sz w:val="28"/>
                <w:szCs w:val="28"/>
              </w:rPr>
              <w:t xml:space="preserve">ai </w:t>
            </w:r>
            <w:r w:rsidR="00617C91">
              <w:rPr>
                <w:sz w:val="28"/>
                <w:szCs w:val="28"/>
              </w:rPr>
              <w:t>segtu izdevumus, kas saistīti ar</w:t>
            </w:r>
            <w:r w:rsidR="00617C91" w:rsidRPr="003F04A6">
              <w:rPr>
                <w:sz w:val="28"/>
                <w:szCs w:val="28"/>
              </w:rPr>
              <w:t xml:space="preserve"> Latvijas mūziķu </w:t>
            </w:r>
            <w:r w:rsidR="00617C91">
              <w:rPr>
                <w:sz w:val="28"/>
                <w:szCs w:val="28"/>
              </w:rPr>
              <w:t xml:space="preserve">dalības nodrošināšanu </w:t>
            </w:r>
            <w:r w:rsidR="0007695D">
              <w:rPr>
                <w:sz w:val="28"/>
                <w:szCs w:val="28"/>
              </w:rPr>
              <w:t>vienā no nozīmīgākajiem un prestižākajiem mūzikas festivāliem Eiropā</w:t>
            </w:r>
            <w:r w:rsidR="009A0C8E">
              <w:rPr>
                <w:sz w:val="28"/>
                <w:szCs w:val="28"/>
              </w:rPr>
              <w:t>,</w:t>
            </w:r>
            <w:r w:rsidR="00A70BF6">
              <w:rPr>
                <w:sz w:val="28"/>
                <w:szCs w:val="28"/>
              </w:rPr>
              <w:t xml:space="preserve"> ir nepieciešams papildu finansējums 35</w:t>
            </w:r>
            <w:r w:rsidR="00AA107D">
              <w:rPr>
                <w:sz w:val="28"/>
                <w:szCs w:val="28"/>
              </w:rPr>
              <w:t xml:space="preserve"> </w:t>
            </w:r>
            <w:r w:rsidR="00A70BF6">
              <w:rPr>
                <w:sz w:val="28"/>
                <w:szCs w:val="28"/>
              </w:rPr>
              <w:t>1</w:t>
            </w:r>
            <w:r w:rsidR="001D5502">
              <w:rPr>
                <w:sz w:val="28"/>
                <w:szCs w:val="28"/>
              </w:rPr>
              <w:t xml:space="preserve">50 latu </w:t>
            </w:r>
            <w:r w:rsidR="009A0C8E">
              <w:rPr>
                <w:sz w:val="28"/>
                <w:szCs w:val="28"/>
              </w:rPr>
              <w:t xml:space="preserve">apmērā. Finansējums nodrošinātu </w:t>
            </w:r>
            <w:r w:rsidR="00A70BF6">
              <w:rPr>
                <w:sz w:val="28"/>
                <w:szCs w:val="28"/>
              </w:rPr>
              <w:t>valsts kamerorķestra „Sinfonietta Rīga”</w:t>
            </w:r>
            <w:r w:rsidR="00AB11BA">
              <w:rPr>
                <w:sz w:val="28"/>
                <w:szCs w:val="28"/>
              </w:rPr>
              <w:t xml:space="preserve"> un Latvijas kamermūzikas ansambļu</w:t>
            </w:r>
            <w:r w:rsidR="001D5502">
              <w:rPr>
                <w:sz w:val="28"/>
                <w:szCs w:val="28"/>
              </w:rPr>
              <w:t xml:space="preserve"> dalību </w:t>
            </w:r>
            <w:r w:rsidR="00A70BF6">
              <w:rPr>
                <w:sz w:val="28"/>
                <w:szCs w:val="28"/>
              </w:rPr>
              <w:t>šajā festivālā.</w:t>
            </w:r>
          </w:p>
          <w:p w:rsidR="00852F92" w:rsidRDefault="00852F92" w:rsidP="00933E07">
            <w:pPr>
              <w:pStyle w:val="naisf"/>
              <w:ind w:firstLine="720"/>
              <w:rPr>
                <w:sz w:val="28"/>
                <w:szCs w:val="28"/>
              </w:rPr>
            </w:pPr>
            <w:r w:rsidRPr="00852F92">
              <w:rPr>
                <w:sz w:val="28"/>
                <w:szCs w:val="28"/>
              </w:rPr>
              <w:t xml:space="preserve">Pamatojoties uz Kultūras ministrijas </w:t>
            </w:r>
            <w:r w:rsidR="00A11462">
              <w:rPr>
                <w:sz w:val="28"/>
                <w:szCs w:val="28"/>
              </w:rPr>
              <w:t xml:space="preserve">2011.gada 22.decembra </w:t>
            </w:r>
            <w:r w:rsidRPr="00852F92">
              <w:rPr>
                <w:sz w:val="28"/>
                <w:szCs w:val="28"/>
              </w:rPr>
              <w:t>līgum</w:t>
            </w:r>
            <w:r w:rsidR="00A11462">
              <w:rPr>
                <w:sz w:val="28"/>
                <w:szCs w:val="28"/>
              </w:rPr>
              <w:t>u</w:t>
            </w:r>
            <w:r w:rsidRPr="00852F92">
              <w:rPr>
                <w:sz w:val="28"/>
                <w:szCs w:val="28"/>
              </w:rPr>
              <w:t xml:space="preserve"> Nr.6-10-13 „Par valsts deleģētu kultūras funkciju un uzdevumu veikšanu”, valsts sabiedrība ar ierobežotu atbildību „Latvijas Koncerti” veic valsts deleģētas kultūras funkcijas un īsteno valsts kultūrpolitiku mūzikas nozarē</w:t>
            </w:r>
            <w:r w:rsidR="009A0C8E">
              <w:rPr>
                <w:sz w:val="28"/>
                <w:szCs w:val="28"/>
              </w:rPr>
              <w:t>,</w:t>
            </w:r>
            <w:r w:rsidRPr="00852F92">
              <w:rPr>
                <w:sz w:val="28"/>
                <w:szCs w:val="28"/>
              </w:rPr>
              <w:t xml:space="preserve"> popularizējot Latvijas mūzikas mākslas sasniegumus ārvalstīs, iesaistoties starptautisko festivālu apritē un sadarbojoties ar starptautiskajām mūzikas organizācijām.</w:t>
            </w:r>
          </w:p>
          <w:p w:rsidR="009A0C8E" w:rsidRDefault="001D5502" w:rsidP="00933E07">
            <w:pPr>
              <w:pStyle w:val="naisf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Līdzekļu piešķīrums nodrošinātu mākslinieku honorārus, tehniskos izdevumus, kas saistīti ar mūziķu un mūzikas instrumentu transportēšanu uz Vāciju, publicitātes materiālus </w:t>
            </w:r>
            <w:r>
              <w:rPr>
                <w:sz w:val="28"/>
                <w:szCs w:val="28"/>
              </w:rPr>
              <w:lastRenderedPageBreak/>
              <w:t xml:space="preserve">par Latvijas mūziķiem, kā arī visu </w:t>
            </w:r>
            <w:r w:rsidR="004C2265">
              <w:rPr>
                <w:sz w:val="28"/>
                <w:szCs w:val="28"/>
              </w:rPr>
              <w:t xml:space="preserve">iepriekš </w:t>
            </w:r>
            <w:r>
              <w:rPr>
                <w:sz w:val="28"/>
                <w:szCs w:val="28"/>
              </w:rPr>
              <w:t>minēto darbību administrēšanu.</w:t>
            </w:r>
          </w:p>
          <w:p w:rsidR="003A66D1" w:rsidRDefault="009B0FF5" w:rsidP="00933E07">
            <w:pPr>
              <w:pStyle w:val="naisf"/>
              <w:ind w:firstLine="72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Šl</w:t>
            </w:r>
            <w:r w:rsidR="006F2457">
              <w:rPr>
                <w:sz w:val="28"/>
                <w:szCs w:val="28"/>
              </w:rPr>
              <w:t>ēs</w:t>
            </w:r>
            <w:r>
              <w:rPr>
                <w:sz w:val="28"/>
                <w:szCs w:val="28"/>
              </w:rPr>
              <w:t>vigas-Holšteinas mūzikas festivālam ir plašs skanējums Vācijā un Eiropā</w:t>
            </w:r>
            <w:r w:rsidR="00933E07" w:rsidRPr="0098064B">
              <w:rPr>
                <w:iCs/>
                <w:sz w:val="28"/>
                <w:szCs w:val="28"/>
              </w:rPr>
              <w:t xml:space="preserve">. </w:t>
            </w:r>
            <w:r w:rsidR="009A0C8E">
              <w:rPr>
                <w:iCs/>
                <w:sz w:val="28"/>
                <w:szCs w:val="28"/>
              </w:rPr>
              <w:t xml:space="preserve">2013.gada festivāla atklāšanā paredzēta </w:t>
            </w:r>
            <w:r w:rsidR="00852F92">
              <w:rPr>
                <w:iCs/>
                <w:sz w:val="28"/>
                <w:szCs w:val="28"/>
              </w:rPr>
              <w:t xml:space="preserve">Triju Baltijas valstu Ministru prezidentu vizīte, </w:t>
            </w:r>
            <w:r w:rsidR="009A0C8E">
              <w:rPr>
                <w:iCs/>
                <w:sz w:val="28"/>
                <w:szCs w:val="28"/>
              </w:rPr>
              <w:t xml:space="preserve">kas </w:t>
            </w:r>
            <w:r w:rsidR="00852F92">
              <w:rPr>
                <w:iCs/>
                <w:sz w:val="28"/>
                <w:szCs w:val="28"/>
              </w:rPr>
              <w:t xml:space="preserve">kļūtu par </w:t>
            </w:r>
            <w:r>
              <w:rPr>
                <w:iCs/>
                <w:sz w:val="28"/>
                <w:szCs w:val="28"/>
              </w:rPr>
              <w:t>ievērojumu politisk</w:t>
            </w:r>
            <w:r w:rsidR="00A11462">
              <w:rPr>
                <w:iCs/>
                <w:sz w:val="28"/>
                <w:szCs w:val="28"/>
              </w:rPr>
              <w:t>u</w:t>
            </w:r>
            <w:r>
              <w:rPr>
                <w:iCs/>
                <w:sz w:val="28"/>
                <w:szCs w:val="28"/>
              </w:rPr>
              <w:t xml:space="preserve"> notikumu Vācijā.</w:t>
            </w:r>
            <w:r w:rsidR="0039316C">
              <w:rPr>
                <w:iCs/>
                <w:sz w:val="28"/>
                <w:szCs w:val="28"/>
              </w:rPr>
              <w:t xml:space="preserve"> </w:t>
            </w:r>
          </w:p>
          <w:p w:rsidR="00933E07" w:rsidRPr="0098064B" w:rsidRDefault="0039316C" w:rsidP="00933E07">
            <w:pPr>
              <w:pStyle w:val="naisf"/>
              <w:ind w:firstLine="7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Ņemot vērā iepriekš </w:t>
            </w:r>
            <w:r w:rsidR="00933E07" w:rsidRPr="0098064B">
              <w:rPr>
                <w:iCs/>
                <w:sz w:val="28"/>
                <w:szCs w:val="28"/>
              </w:rPr>
              <w:t>minēto, līdzekļu piešķiršana</w:t>
            </w:r>
            <w:r w:rsidR="009B0FF5">
              <w:rPr>
                <w:iCs/>
                <w:sz w:val="28"/>
                <w:szCs w:val="28"/>
              </w:rPr>
              <w:t xml:space="preserve"> 35</w:t>
            </w:r>
            <w:r w:rsidR="00AA107D">
              <w:rPr>
                <w:iCs/>
                <w:sz w:val="28"/>
                <w:szCs w:val="28"/>
              </w:rPr>
              <w:t xml:space="preserve"> </w:t>
            </w:r>
            <w:r w:rsidR="009B0FF5">
              <w:rPr>
                <w:iCs/>
                <w:sz w:val="28"/>
                <w:szCs w:val="28"/>
              </w:rPr>
              <w:t xml:space="preserve">150 </w:t>
            </w:r>
            <w:r w:rsidR="000A3956" w:rsidRPr="0098064B">
              <w:rPr>
                <w:iCs/>
                <w:sz w:val="28"/>
                <w:szCs w:val="28"/>
              </w:rPr>
              <w:t xml:space="preserve">latu apmērā </w:t>
            </w:r>
            <w:r w:rsidR="00933E07" w:rsidRPr="0098064B">
              <w:rPr>
                <w:iCs/>
                <w:sz w:val="28"/>
                <w:szCs w:val="28"/>
              </w:rPr>
              <w:t>minētajam mērķim ir valstiski nozīmīga.</w:t>
            </w:r>
          </w:p>
          <w:p w:rsidR="00B47C62" w:rsidRPr="0098064B" w:rsidRDefault="00933E07" w:rsidP="00617C91">
            <w:pPr>
              <w:pStyle w:val="naisf"/>
              <w:ind w:firstLine="72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Kultūras ministrija, pamatojoties uz Ministru kabineta 2009.gada 22.decembra noteikumu Nr.1644 ”Kārtība, kādā pieprasa un izlieto budžeta programmas „Līdzekļi neparedzētiem gadījumiem” līdzekļus” 3.punktu, kas nosaka, ka līdzekļus piešķir va</w:t>
            </w:r>
            <w:r w:rsidR="00617C91">
              <w:rPr>
                <w:sz w:val="28"/>
                <w:szCs w:val="28"/>
              </w:rPr>
              <w:t xml:space="preserve">lsts pamatbudžeta apropriācijās </w:t>
            </w:r>
            <w:r w:rsidRPr="0098064B">
              <w:rPr>
                <w:sz w:val="28"/>
                <w:szCs w:val="28"/>
              </w:rPr>
              <w:t>valstiski īpaši nozīmīgiem pasākumiem, ir izstrādājusi Ministru kabineta rīkojuma projektu „Par finanšu līdzekļu piešķirša</w:t>
            </w:r>
            <w:r w:rsidR="001605AB">
              <w:rPr>
                <w:sz w:val="28"/>
                <w:szCs w:val="28"/>
              </w:rPr>
              <w:t xml:space="preserve">nu no valsts budžeta programmas </w:t>
            </w:r>
            <w:r w:rsidRPr="0098064B">
              <w:rPr>
                <w:sz w:val="28"/>
                <w:szCs w:val="28"/>
              </w:rPr>
              <w:t>„Līdzekļi neparedzētiem gadījumiem.””</w:t>
            </w:r>
          </w:p>
        </w:tc>
      </w:tr>
      <w:tr w:rsidR="00262E2B" w:rsidRPr="0098064B" w:rsidTr="009D7AAD">
        <w:trPr>
          <w:trHeight w:val="448"/>
        </w:trPr>
        <w:tc>
          <w:tcPr>
            <w:tcW w:w="348" w:type="pct"/>
            <w:shd w:val="clear" w:color="auto" w:fill="auto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2" w:type="pct"/>
            <w:shd w:val="clear" w:color="auto" w:fill="auto"/>
          </w:tcPr>
          <w:p w:rsidR="00262E2B" w:rsidRPr="0098064B" w:rsidRDefault="00420870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S</w:t>
            </w:r>
            <w:r w:rsidR="000B69CF" w:rsidRPr="0098064B">
              <w:rPr>
                <w:sz w:val="28"/>
                <w:szCs w:val="28"/>
              </w:rPr>
              <w:t xml:space="preserve">aistītie </w:t>
            </w:r>
            <w:r w:rsidR="001A6AE4" w:rsidRPr="0098064B">
              <w:rPr>
                <w:sz w:val="28"/>
                <w:szCs w:val="28"/>
              </w:rPr>
              <w:t>politikas ietekmes novērtējumi</w:t>
            </w:r>
            <w:r w:rsidR="00CB0247" w:rsidRPr="0098064B">
              <w:rPr>
                <w:sz w:val="28"/>
                <w:szCs w:val="28"/>
              </w:rPr>
              <w:t xml:space="preserve"> un</w:t>
            </w:r>
            <w:r w:rsidR="001A6AE4" w:rsidRPr="0098064B">
              <w:rPr>
                <w:sz w:val="28"/>
                <w:szCs w:val="28"/>
              </w:rPr>
              <w:t xml:space="preserve"> </w:t>
            </w:r>
            <w:r w:rsidR="000B69CF" w:rsidRPr="0098064B">
              <w:rPr>
                <w:sz w:val="28"/>
                <w:szCs w:val="28"/>
              </w:rPr>
              <w:t>pētījumi</w:t>
            </w:r>
          </w:p>
        </w:tc>
        <w:tc>
          <w:tcPr>
            <w:tcW w:w="3059" w:type="pct"/>
            <w:shd w:val="clear" w:color="auto" w:fill="auto"/>
          </w:tcPr>
          <w:p w:rsidR="00D20FF4" w:rsidRPr="0098064B" w:rsidRDefault="00BA6308" w:rsidP="00BA6308">
            <w:pPr>
              <w:pStyle w:val="Vresteksts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Rīkojuma projekts šo jomu neskar.</w:t>
            </w:r>
          </w:p>
        </w:tc>
      </w:tr>
      <w:tr w:rsidR="00262E2B" w:rsidRPr="0098064B" w:rsidTr="00E2556C">
        <w:trPr>
          <w:trHeight w:val="384"/>
        </w:trPr>
        <w:tc>
          <w:tcPr>
            <w:tcW w:w="348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4.</w:t>
            </w:r>
          </w:p>
        </w:tc>
        <w:tc>
          <w:tcPr>
            <w:tcW w:w="1592" w:type="pct"/>
          </w:tcPr>
          <w:p w:rsidR="00262E2B" w:rsidRPr="0098064B" w:rsidRDefault="000C790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Tiesiskā r</w:t>
            </w:r>
            <w:r w:rsidR="00400032" w:rsidRPr="0098064B">
              <w:rPr>
                <w:sz w:val="28"/>
                <w:szCs w:val="28"/>
              </w:rPr>
              <w:t xml:space="preserve">egulējuma </w:t>
            </w:r>
            <w:r w:rsidR="00262E2B" w:rsidRPr="0098064B">
              <w:rPr>
                <w:sz w:val="28"/>
                <w:szCs w:val="28"/>
              </w:rPr>
              <w:t>mērķis un būtība</w:t>
            </w:r>
          </w:p>
        </w:tc>
        <w:tc>
          <w:tcPr>
            <w:tcW w:w="3059" w:type="pct"/>
          </w:tcPr>
          <w:p w:rsidR="00262E2B" w:rsidRPr="0098064B" w:rsidRDefault="009D7AAD" w:rsidP="006F245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8064B">
              <w:rPr>
                <w:color w:val="000000"/>
                <w:sz w:val="28"/>
                <w:szCs w:val="28"/>
              </w:rPr>
              <w:t xml:space="preserve">Rīkojuma projekts </w:t>
            </w:r>
            <w:r w:rsidRPr="0098064B">
              <w:rPr>
                <w:sz w:val="28"/>
                <w:szCs w:val="28"/>
              </w:rPr>
              <w:t xml:space="preserve">paredz </w:t>
            </w:r>
            <w:r w:rsidRPr="0098064B">
              <w:rPr>
                <w:color w:val="000000"/>
                <w:sz w:val="28"/>
                <w:szCs w:val="28"/>
              </w:rPr>
              <w:t>uzdevumu</w:t>
            </w:r>
            <w:r w:rsidRPr="0098064B">
              <w:rPr>
                <w:sz w:val="28"/>
                <w:szCs w:val="28"/>
              </w:rPr>
              <w:t xml:space="preserve"> Finanšu ministrijai no valsts pamatbudžeta programmas 02.00.00 "Līdzekļi neparedzētiem gadījumiem" piešķirt Kultūras ministrijai </w:t>
            </w:r>
            <w:r w:rsidR="009B0FF5">
              <w:rPr>
                <w:color w:val="000000"/>
                <w:sz w:val="28"/>
                <w:szCs w:val="28"/>
              </w:rPr>
              <w:t>35 150</w:t>
            </w:r>
            <w:r w:rsidR="00A11462">
              <w:rPr>
                <w:sz w:val="28"/>
                <w:szCs w:val="28"/>
              </w:rPr>
              <w:t xml:space="preserve"> latus</w:t>
            </w:r>
            <w:r w:rsidR="00617C91">
              <w:rPr>
                <w:sz w:val="28"/>
                <w:szCs w:val="28"/>
              </w:rPr>
              <w:t xml:space="preserve"> pārskaitīšanai valsts sabiedrībai ar ierobežotu atbildību „Latvijas Koncerti”,</w:t>
            </w:r>
            <w:r w:rsidR="00A11462">
              <w:rPr>
                <w:sz w:val="28"/>
                <w:szCs w:val="28"/>
              </w:rPr>
              <w:t xml:space="preserve"> </w:t>
            </w:r>
            <w:r w:rsidR="00A11462" w:rsidRPr="003F04A6">
              <w:rPr>
                <w:sz w:val="28"/>
                <w:szCs w:val="28"/>
              </w:rPr>
              <w:t xml:space="preserve">lai </w:t>
            </w:r>
            <w:r w:rsidR="00617C91">
              <w:rPr>
                <w:sz w:val="28"/>
                <w:szCs w:val="28"/>
              </w:rPr>
              <w:t>segtu izdevumus, kas saistīti ar</w:t>
            </w:r>
            <w:r w:rsidR="00A11462" w:rsidRPr="003F04A6">
              <w:rPr>
                <w:sz w:val="28"/>
                <w:szCs w:val="28"/>
              </w:rPr>
              <w:t xml:space="preserve"> Latvijas mūziķu </w:t>
            </w:r>
            <w:r w:rsidR="00A11462">
              <w:rPr>
                <w:sz w:val="28"/>
                <w:szCs w:val="28"/>
              </w:rPr>
              <w:t>dalīb</w:t>
            </w:r>
            <w:r w:rsidR="00617C91">
              <w:rPr>
                <w:sz w:val="28"/>
                <w:szCs w:val="28"/>
              </w:rPr>
              <w:t>as nodrošināšanu</w:t>
            </w:r>
            <w:r w:rsidR="00A11462">
              <w:rPr>
                <w:sz w:val="28"/>
                <w:szCs w:val="28"/>
              </w:rPr>
              <w:t xml:space="preserve"> </w:t>
            </w:r>
            <w:r w:rsidR="00A11462" w:rsidRPr="003F04A6">
              <w:rPr>
                <w:sz w:val="28"/>
                <w:szCs w:val="28"/>
              </w:rPr>
              <w:t>starptautiskajā Šl</w:t>
            </w:r>
            <w:r w:rsidR="006F2457">
              <w:rPr>
                <w:sz w:val="28"/>
                <w:szCs w:val="28"/>
              </w:rPr>
              <w:t>ēs</w:t>
            </w:r>
            <w:r w:rsidR="00A11462" w:rsidRPr="003F04A6">
              <w:rPr>
                <w:sz w:val="28"/>
                <w:szCs w:val="28"/>
              </w:rPr>
              <w:t>vigas-Holšteinas mūzikas festivālā Vācijā</w:t>
            </w:r>
            <w:r w:rsidR="00933E07" w:rsidRPr="0098064B">
              <w:rPr>
                <w:sz w:val="28"/>
                <w:szCs w:val="28"/>
              </w:rPr>
              <w:t xml:space="preserve">. </w:t>
            </w:r>
            <w:r w:rsidRPr="0098064B">
              <w:rPr>
                <w:bCs/>
                <w:sz w:val="28"/>
                <w:szCs w:val="28"/>
              </w:rPr>
              <w:t xml:space="preserve"> </w:t>
            </w:r>
            <w:r w:rsidRPr="009806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62E2B" w:rsidRPr="0098064B" w:rsidTr="00E2556C">
        <w:trPr>
          <w:trHeight w:val="476"/>
        </w:trPr>
        <w:tc>
          <w:tcPr>
            <w:tcW w:w="348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5.</w:t>
            </w:r>
          </w:p>
        </w:tc>
        <w:tc>
          <w:tcPr>
            <w:tcW w:w="1592" w:type="pct"/>
          </w:tcPr>
          <w:p w:rsidR="00262E2B" w:rsidRPr="0098064B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Projekta i</w:t>
            </w:r>
            <w:r w:rsidR="00262E2B" w:rsidRPr="0098064B">
              <w:rPr>
                <w:sz w:val="28"/>
                <w:szCs w:val="28"/>
              </w:rPr>
              <w:t>zstrād</w:t>
            </w:r>
            <w:r w:rsidR="00420870" w:rsidRPr="0098064B">
              <w:rPr>
                <w:sz w:val="28"/>
                <w:szCs w:val="28"/>
              </w:rPr>
              <w:t xml:space="preserve">ē </w:t>
            </w:r>
            <w:r w:rsidR="00262E2B" w:rsidRPr="0098064B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3059" w:type="pct"/>
          </w:tcPr>
          <w:p w:rsidR="00262E2B" w:rsidRPr="0098064B" w:rsidRDefault="00BA6308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Rīkojuma projekts šo jomu neskar.</w:t>
            </w:r>
          </w:p>
        </w:tc>
      </w:tr>
      <w:tr w:rsidR="00262E2B" w:rsidRPr="0098064B" w:rsidTr="00043D65">
        <w:trPr>
          <w:trHeight w:val="976"/>
        </w:trPr>
        <w:tc>
          <w:tcPr>
            <w:tcW w:w="348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6.</w:t>
            </w:r>
          </w:p>
        </w:tc>
        <w:tc>
          <w:tcPr>
            <w:tcW w:w="1592" w:type="pct"/>
          </w:tcPr>
          <w:p w:rsidR="00262E2B" w:rsidRPr="0098064B" w:rsidRDefault="00BB7C94" w:rsidP="006C4607">
            <w:pPr>
              <w:pStyle w:val="naiskr"/>
              <w:spacing w:before="0" w:after="0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Iemesli, kādēļ netika nodrošināta </w:t>
            </w:r>
            <w:r w:rsidR="00262E2B" w:rsidRPr="0098064B">
              <w:rPr>
                <w:sz w:val="28"/>
                <w:szCs w:val="28"/>
              </w:rPr>
              <w:t xml:space="preserve">sabiedrības </w:t>
            </w:r>
            <w:r w:rsidRPr="0098064B">
              <w:rPr>
                <w:sz w:val="28"/>
                <w:szCs w:val="28"/>
              </w:rPr>
              <w:t>līdzdalība</w:t>
            </w:r>
          </w:p>
        </w:tc>
        <w:tc>
          <w:tcPr>
            <w:tcW w:w="3059" w:type="pct"/>
          </w:tcPr>
          <w:p w:rsidR="000F215D" w:rsidRDefault="00BB1850">
            <w:pPr>
              <w:pStyle w:val="Vresteksts"/>
              <w:jc w:val="both"/>
              <w:rPr>
                <w:b/>
                <w:bCs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Sabiedrības līdzdalība netika nodrošināta, jo rīkojuma projekts neskar sabiedrības intereses.</w:t>
            </w:r>
          </w:p>
        </w:tc>
      </w:tr>
      <w:tr w:rsidR="00262E2B" w:rsidRPr="0098064B" w:rsidTr="00E2556C">
        <w:tc>
          <w:tcPr>
            <w:tcW w:w="348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7.</w:t>
            </w:r>
          </w:p>
        </w:tc>
        <w:tc>
          <w:tcPr>
            <w:tcW w:w="1592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Cita informācija</w:t>
            </w:r>
          </w:p>
        </w:tc>
        <w:tc>
          <w:tcPr>
            <w:tcW w:w="3059" w:type="pct"/>
          </w:tcPr>
          <w:p w:rsidR="00262E2B" w:rsidRPr="0098064B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Nav</w:t>
            </w:r>
          </w:p>
        </w:tc>
      </w:tr>
    </w:tbl>
    <w:p w:rsidR="004617ED" w:rsidRPr="0098064B" w:rsidRDefault="004617ED" w:rsidP="00EA2A60">
      <w:pPr>
        <w:jc w:val="both"/>
        <w:rPr>
          <w:color w:val="000000"/>
          <w:sz w:val="28"/>
          <w:szCs w:val="28"/>
        </w:rPr>
      </w:pPr>
    </w:p>
    <w:p w:rsidR="00AD1E34" w:rsidRPr="0098064B" w:rsidRDefault="00AD1E34" w:rsidP="00EA2A60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1"/>
        <w:gridCol w:w="1196"/>
        <w:gridCol w:w="1305"/>
        <w:gridCol w:w="1305"/>
        <w:gridCol w:w="1305"/>
        <w:gridCol w:w="1305"/>
      </w:tblGrid>
      <w:tr w:rsidR="00124F12" w:rsidRPr="0098064B" w:rsidTr="00CC4263">
        <w:trPr>
          <w:trHeight w:val="652"/>
          <w:jc w:val="center"/>
        </w:trPr>
        <w:tc>
          <w:tcPr>
            <w:tcW w:w="5000" w:type="pct"/>
            <w:gridSpan w:val="6"/>
          </w:tcPr>
          <w:p w:rsidR="00124F12" w:rsidRPr="0098064B" w:rsidRDefault="00124F12" w:rsidP="006C4607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lastRenderedPageBreak/>
              <w:br w:type="page"/>
              <w:t>III</w:t>
            </w:r>
            <w:r w:rsidR="000941C5" w:rsidRPr="0098064B">
              <w:rPr>
                <w:sz w:val="28"/>
                <w:szCs w:val="28"/>
              </w:rPr>
              <w:t>.</w:t>
            </w:r>
            <w:r w:rsidRPr="0098064B">
              <w:rPr>
                <w:sz w:val="28"/>
                <w:szCs w:val="28"/>
              </w:rPr>
              <w:t xml:space="preserve"> Tiesību akta projekta ietekme uz valsts budžetu un pašvaldību budžetiem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  <w:vMerge w:val="restart"/>
            <w:vAlign w:val="center"/>
          </w:tcPr>
          <w:p w:rsidR="00124F12" w:rsidRPr="0098064B" w:rsidRDefault="00124F12" w:rsidP="0034795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1347" w:type="pct"/>
            <w:gridSpan w:val="2"/>
            <w:vMerge w:val="restart"/>
            <w:vAlign w:val="center"/>
          </w:tcPr>
          <w:p w:rsidR="00124F12" w:rsidRPr="0098064B" w:rsidRDefault="004503BE" w:rsidP="006C4607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2012</w:t>
            </w:r>
            <w:r w:rsidR="00797BEF" w:rsidRPr="0098064B">
              <w:rPr>
                <w:b/>
                <w:sz w:val="28"/>
                <w:szCs w:val="28"/>
              </w:rPr>
              <w:t>.</w:t>
            </w:r>
            <w:r w:rsidR="00124F12" w:rsidRPr="0098064B">
              <w:rPr>
                <w:b/>
                <w:sz w:val="28"/>
                <w:szCs w:val="28"/>
              </w:rPr>
              <w:t>gads</w:t>
            </w:r>
          </w:p>
        </w:tc>
        <w:tc>
          <w:tcPr>
            <w:tcW w:w="2108" w:type="pct"/>
            <w:gridSpan w:val="3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Turpmākie trīs gadi</w:t>
            </w:r>
            <w:r w:rsidR="009E12D7" w:rsidRPr="0098064B">
              <w:rPr>
                <w:sz w:val="28"/>
                <w:szCs w:val="28"/>
              </w:rPr>
              <w:t xml:space="preserve">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="009E12D7" w:rsidRPr="0098064B">
                <w:rPr>
                  <w:sz w:val="28"/>
                  <w:szCs w:val="28"/>
                </w:rPr>
                <w:t>. latu</w:t>
              </w:r>
            </w:smartTag>
            <w:r w:rsidR="009E12D7" w:rsidRPr="0098064B">
              <w:rPr>
                <w:sz w:val="28"/>
                <w:szCs w:val="28"/>
              </w:rPr>
              <w:t>)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98064B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vMerge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124F12" w:rsidRPr="0098064B" w:rsidRDefault="00797BEF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b/>
                <w:bCs/>
                <w:sz w:val="28"/>
                <w:szCs w:val="28"/>
              </w:rPr>
              <w:t>20</w:t>
            </w:r>
            <w:r w:rsidR="00124F12" w:rsidRPr="0098064B">
              <w:rPr>
                <w:b/>
                <w:bCs/>
                <w:sz w:val="28"/>
                <w:szCs w:val="28"/>
              </w:rPr>
              <w:t>1</w:t>
            </w:r>
            <w:r w:rsidR="004503BE" w:rsidRPr="0098064B">
              <w:rPr>
                <w:b/>
                <w:bCs/>
                <w:sz w:val="28"/>
                <w:szCs w:val="28"/>
              </w:rPr>
              <w:t>3</w:t>
            </w:r>
            <w:r w:rsidRPr="0098064B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703" w:type="pct"/>
            <w:vAlign w:val="center"/>
          </w:tcPr>
          <w:p w:rsidR="00124F12" w:rsidRPr="0098064B" w:rsidRDefault="004503BE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b/>
                <w:bCs/>
                <w:sz w:val="28"/>
                <w:szCs w:val="28"/>
              </w:rPr>
              <w:t>2014</w:t>
            </w:r>
            <w:r w:rsidR="00797BEF" w:rsidRPr="0098064B">
              <w:rPr>
                <w:b/>
                <w:bCs/>
                <w:sz w:val="28"/>
                <w:szCs w:val="28"/>
              </w:rPr>
              <w:t>.g.</w:t>
            </w:r>
          </w:p>
        </w:tc>
        <w:tc>
          <w:tcPr>
            <w:tcW w:w="703" w:type="pct"/>
            <w:vAlign w:val="center"/>
          </w:tcPr>
          <w:p w:rsidR="00124F12" w:rsidRPr="0098064B" w:rsidRDefault="004503BE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b/>
                <w:bCs/>
                <w:sz w:val="28"/>
                <w:szCs w:val="28"/>
              </w:rPr>
              <w:t>2015</w:t>
            </w:r>
            <w:r w:rsidR="00797BEF" w:rsidRPr="0098064B">
              <w:rPr>
                <w:b/>
                <w:bCs/>
                <w:sz w:val="28"/>
                <w:szCs w:val="28"/>
              </w:rPr>
              <w:t>.g.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  <w:vMerge/>
            <w:vAlign w:val="center"/>
          </w:tcPr>
          <w:p w:rsidR="00124F12" w:rsidRPr="0098064B" w:rsidRDefault="00124F12" w:rsidP="0034795A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Izmaiņas kārtējā gadā</w:t>
            </w:r>
            <w:r w:rsidR="009E12D7" w:rsidRPr="0098064B">
              <w:rPr>
                <w:sz w:val="28"/>
                <w:szCs w:val="28"/>
              </w:rPr>
              <w:t>,</w:t>
            </w:r>
            <w:r w:rsidRPr="0098064B">
              <w:rPr>
                <w:sz w:val="28"/>
                <w:szCs w:val="28"/>
              </w:rPr>
              <w:t xml:space="preserve"> salīdzinot ar budžetu kārtējam gadam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Izmaiņas</w:t>
            </w:r>
            <w:r w:rsidR="00182C18" w:rsidRPr="0098064B">
              <w:rPr>
                <w:sz w:val="28"/>
                <w:szCs w:val="28"/>
              </w:rPr>
              <w:t>,</w:t>
            </w:r>
            <w:r w:rsidR="00797BEF" w:rsidRPr="0098064B">
              <w:rPr>
                <w:sz w:val="28"/>
                <w:szCs w:val="28"/>
              </w:rPr>
              <w:t xml:space="preserve"> salīdzinot ar kārtējo (</w:t>
            </w:r>
            <w:r w:rsidR="00851705" w:rsidRPr="0098064B">
              <w:rPr>
                <w:sz w:val="28"/>
                <w:szCs w:val="28"/>
              </w:rPr>
              <w:t>2012</w:t>
            </w:r>
            <w:r w:rsidRPr="0098064B">
              <w:rPr>
                <w:sz w:val="28"/>
                <w:szCs w:val="28"/>
              </w:rPr>
              <w:t>) gadu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Izmaiņas</w:t>
            </w:r>
            <w:r w:rsidR="00182C18" w:rsidRPr="0098064B">
              <w:rPr>
                <w:sz w:val="28"/>
                <w:szCs w:val="28"/>
              </w:rPr>
              <w:t>,</w:t>
            </w:r>
            <w:r w:rsidRPr="0098064B">
              <w:rPr>
                <w:sz w:val="28"/>
                <w:szCs w:val="28"/>
              </w:rPr>
              <w:t xml:space="preserve"> salīdzinot </w:t>
            </w:r>
            <w:r w:rsidR="00851705" w:rsidRPr="0098064B">
              <w:rPr>
                <w:sz w:val="28"/>
                <w:szCs w:val="28"/>
              </w:rPr>
              <w:t>ar kārtējo (2012</w:t>
            </w:r>
            <w:r w:rsidRPr="0098064B">
              <w:rPr>
                <w:sz w:val="28"/>
                <w:szCs w:val="28"/>
              </w:rPr>
              <w:t>) gadu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797BE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Izmaiņas</w:t>
            </w:r>
            <w:r w:rsidR="00182C18" w:rsidRPr="0098064B">
              <w:rPr>
                <w:sz w:val="28"/>
                <w:szCs w:val="28"/>
              </w:rPr>
              <w:t>,</w:t>
            </w:r>
            <w:r w:rsidRPr="0098064B">
              <w:rPr>
                <w:sz w:val="28"/>
                <w:szCs w:val="28"/>
              </w:rPr>
              <w:t xml:space="preserve"> salīdzinot ar kārtējo (</w:t>
            </w:r>
            <w:r w:rsidR="00851705" w:rsidRPr="0098064B">
              <w:rPr>
                <w:sz w:val="28"/>
                <w:szCs w:val="28"/>
              </w:rPr>
              <w:t>2012</w:t>
            </w:r>
            <w:r w:rsidRPr="0098064B">
              <w:rPr>
                <w:sz w:val="28"/>
                <w:szCs w:val="28"/>
              </w:rPr>
              <w:t>) gadu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  <w:vAlign w:val="center"/>
          </w:tcPr>
          <w:p w:rsidR="00124F12" w:rsidRPr="0098064B" w:rsidRDefault="00124F12" w:rsidP="0034795A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4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3" w:type="pct"/>
            <w:vAlign w:val="center"/>
          </w:tcPr>
          <w:p w:rsidR="00124F12" w:rsidRPr="0098064B" w:rsidRDefault="00124F12" w:rsidP="006C4607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98064B">
              <w:rPr>
                <w:bCs/>
                <w:sz w:val="28"/>
                <w:szCs w:val="28"/>
              </w:rPr>
              <w:t>6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</w:tcPr>
          <w:p w:rsidR="00124F12" w:rsidRPr="0098064B" w:rsidRDefault="00124F12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1. Budžeta ieņēmumi:</w:t>
            </w:r>
          </w:p>
        </w:tc>
        <w:tc>
          <w:tcPr>
            <w:tcW w:w="644" w:type="pct"/>
          </w:tcPr>
          <w:p w:rsidR="00124F12" w:rsidRPr="0098064B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1.1. valsts pamatbudžets, tai skaitā ieņēmumi no maksas pakalpo-jumiem un citi pašu ieņēmumi</w:t>
            </w:r>
          </w:p>
        </w:tc>
        <w:tc>
          <w:tcPr>
            <w:tcW w:w="644" w:type="pct"/>
          </w:tcPr>
          <w:p w:rsidR="005A53B8" w:rsidRPr="0098064B" w:rsidRDefault="005A53B8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5A53B8" w:rsidRPr="0098064B" w:rsidRDefault="00C5019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6C4607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  <w:p w:rsidR="00CA24B4" w:rsidRPr="0098064B" w:rsidRDefault="00CA24B4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98064B" w:rsidTr="00CC4263">
        <w:trPr>
          <w:trHeight w:val="657"/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644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644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</w:tcPr>
          <w:p w:rsidR="00124F12" w:rsidRPr="0098064B" w:rsidRDefault="00124F12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2. Budžeta izdevumi:</w:t>
            </w:r>
          </w:p>
        </w:tc>
        <w:tc>
          <w:tcPr>
            <w:tcW w:w="644" w:type="pct"/>
          </w:tcPr>
          <w:p w:rsidR="00124F12" w:rsidRPr="0098064B" w:rsidRDefault="00C50194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617C91" w:rsidP="00617C91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98064B" w:rsidRPr="009806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124F12" w:rsidRPr="0098064B" w:rsidRDefault="00CA24B4" w:rsidP="00CA24B4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trHeight w:val="414"/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644" w:type="pct"/>
          </w:tcPr>
          <w:p w:rsidR="00CA24B4" w:rsidRPr="0098064B" w:rsidRDefault="00C5019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A24B4" w:rsidRPr="0098064B" w:rsidRDefault="00617C91" w:rsidP="00E6278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9806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pct"/>
          </w:tcPr>
          <w:p w:rsidR="00CA24B4" w:rsidRPr="0098064B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A24B4" w:rsidRPr="0098064B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</w:tcPr>
          <w:p w:rsidR="00CA24B4" w:rsidRPr="0098064B" w:rsidRDefault="00DD2BEA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  <w:p w:rsidR="00CA24B4" w:rsidRPr="0098064B" w:rsidRDefault="00CA24B4" w:rsidP="00AE1FDB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644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644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98064B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CA24B4" w:rsidRPr="0098064B" w:rsidRDefault="00065314" w:rsidP="00DB4D26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-</w:t>
            </w:r>
            <w:r w:rsidR="00617C91">
              <w:rPr>
                <w:b/>
                <w:sz w:val="28"/>
                <w:szCs w:val="28"/>
              </w:rPr>
              <w:t>35</w:t>
            </w:r>
            <w:r w:rsidR="00617C91" w:rsidRPr="0098064B">
              <w:rPr>
                <w:b/>
                <w:sz w:val="28"/>
                <w:szCs w:val="28"/>
              </w:rPr>
              <w:t>,</w:t>
            </w:r>
            <w:r w:rsidR="00617C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pct"/>
            <w:vAlign w:val="center"/>
          </w:tcPr>
          <w:p w:rsidR="00CA24B4" w:rsidRPr="0098064B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A34A8" w:rsidP="00DB4D26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AA107D">
              <w:rPr>
                <w:b/>
                <w:sz w:val="28"/>
                <w:szCs w:val="28"/>
              </w:rPr>
              <w:t>-</w:t>
            </w:r>
            <w:r w:rsidR="00617C91">
              <w:rPr>
                <w:b/>
                <w:sz w:val="28"/>
                <w:szCs w:val="28"/>
              </w:rPr>
              <w:t>35</w:t>
            </w:r>
            <w:r w:rsidR="00617C91" w:rsidRPr="0098064B">
              <w:rPr>
                <w:b/>
                <w:sz w:val="28"/>
                <w:szCs w:val="28"/>
              </w:rPr>
              <w:t>,</w:t>
            </w:r>
            <w:r w:rsidR="00617C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5C795B" w:rsidRPr="0098064B" w:rsidTr="00CC4263">
        <w:trPr>
          <w:jc w:val="center"/>
        </w:trPr>
        <w:tc>
          <w:tcPr>
            <w:tcW w:w="1546" w:type="pct"/>
            <w:vMerge w:val="restart"/>
          </w:tcPr>
          <w:p w:rsidR="005C795B" w:rsidRDefault="005C795B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4. Finanšu līdzekļi pap</w:t>
            </w:r>
            <w:r w:rsidR="0034795A" w:rsidRPr="0098064B">
              <w:rPr>
                <w:sz w:val="28"/>
                <w:szCs w:val="28"/>
              </w:rPr>
              <w:t>ildu izde</w:t>
            </w:r>
            <w:r w:rsidR="0034795A" w:rsidRPr="0098064B">
              <w:rPr>
                <w:sz w:val="28"/>
                <w:szCs w:val="28"/>
              </w:rPr>
              <w:softHyphen/>
              <w:t xml:space="preserve">vumu </w:t>
            </w:r>
            <w:r w:rsidRPr="0098064B">
              <w:rPr>
                <w:sz w:val="28"/>
                <w:szCs w:val="28"/>
              </w:rPr>
              <w:t>finansēšanai (kompensējošu izdevumu samazinājumu norāda ar "+" zīmi)</w:t>
            </w:r>
          </w:p>
          <w:p w:rsidR="00AB11BA" w:rsidRPr="0098064B" w:rsidRDefault="00AB11BA" w:rsidP="0034795A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Merge w:val="restart"/>
            <w:vAlign w:val="center"/>
          </w:tcPr>
          <w:p w:rsidR="005C795B" w:rsidRPr="0098064B" w:rsidRDefault="005C795B" w:rsidP="00C472EA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  <w:vMerge w:val="restart"/>
            <w:vAlign w:val="center"/>
          </w:tcPr>
          <w:p w:rsidR="005C795B" w:rsidRPr="0098064B" w:rsidRDefault="00617C91" w:rsidP="00DB4D26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Pr="0098064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DD2BE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5C795B" w:rsidRPr="0098064B" w:rsidTr="00CC4263">
        <w:trPr>
          <w:jc w:val="center"/>
        </w:trPr>
        <w:tc>
          <w:tcPr>
            <w:tcW w:w="1546" w:type="pct"/>
            <w:vMerge/>
          </w:tcPr>
          <w:p w:rsidR="005C795B" w:rsidRPr="0098064B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C795B" w:rsidRPr="0098064B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Merge/>
            <w:vAlign w:val="center"/>
          </w:tcPr>
          <w:p w:rsidR="005C795B" w:rsidRPr="0098064B" w:rsidRDefault="005C795B" w:rsidP="005A53B8">
            <w:pPr>
              <w:pStyle w:val="nais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5C795B" w:rsidRPr="0098064B" w:rsidTr="00CC4263">
        <w:trPr>
          <w:jc w:val="center"/>
        </w:trPr>
        <w:tc>
          <w:tcPr>
            <w:tcW w:w="1546" w:type="pct"/>
            <w:vMerge/>
          </w:tcPr>
          <w:p w:rsidR="005C795B" w:rsidRPr="0098064B" w:rsidRDefault="005C795B" w:rsidP="0034795A">
            <w:pPr>
              <w:rPr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C795B" w:rsidRPr="0098064B" w:rsidRDefault="005C795B" w:rsidP="006C4607">
            <w:pPr>
              <w:pStyle w:val="Galvene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Merge/>
            <w:vAlign w:val="center"/>
          </w:tcPr>
          <w:p w:rsidR="005C795B" w:rsidRPr="0098064B" w:rsidRDefault="005C795B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5C795B" w:rsidRPr="0098064B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lastRenderedPageBreak/>
              <w:t>5. Precizēta finansiālā ietekme:</w:t>
            </w:r>
          </w:p>
        </w:tc>
        <w:tc>
          <w:tcPr>
            <w:tcW w:w="644" w:type="pct"/>
            <w:vMerge w:val="restart"/>
            <w:vAlign w:val="center"/>
          </w:tcPr>
          <w:p w:rsidR="00CA24B4" w:rsidRPr="0098064B" w:rsidRDefault="00CA24B4" w:rsidP="004617ED">
            <w:pPr>
              <w:pStyle w:val="Galvene"/>
              <w:jc w:val="center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  <w:vAlign w:val="center"/>
          </w:tcPr>
          <w:p w:rsidR="00CA24B4" w:rsidRPr="0098064B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Galvene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644" w:type="pct"/>
            <w:vMerge/>
            <w:vAlign w:val="center"/>
          </w:tcPr>
          <w:p w:rsidR="00CA24B4" w:rsidRPr="0098064B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5C795B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la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644" w:type="pct"/>
            <w:vMerge/>
            <w:vAlign w:val="center"/>
          </w:tcPr>
          <w:p w:rsidR="00CA24B4" w:rsidRPr="0098064B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CA24B4" w:rsidRPr="0098064B" w:rsidTr="00CC4263">
        <w:trPr>
          <w:jc w:val="center"/>
        </w:trPr>
        <w:tc>
          <w:tcPr>
            <w:tcW w:w="1546" w:type="pct"/>
          </w:tcPr>
          <w:p w:rsidR="00CA24B4" w:rsidRPr="0098064B" w:rsidRDefault="00CA24B4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644" w:type="pct"/>
            <w:vMerge/>
            <w:vAlign w:val="center"/>
          </w:tcPr>
          <w:p w:rsidR="00CA24B4" w:rsidRPr="0098064B" w:rsidRDefault="00CA24B4" w:rsidP="006C4607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  <w:vAlign w:val="center"/>
          </w:tcPr>
          <w:p w:rsidR="00CA24B4" w:rsidRPr="0098064B" w:rsidRDefault="00DD2BEA" w:rsidP="005A53B8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0</w:t>
            </w:r>
          </w:p>
        </w:tc>
      </w:tr>
      <w:tr w:rsidR="0095334F" w:rsidRPr="0098064B" w:rsidTr="00CC4263">
        <w:trPr>
          <w:jc w:val="center"/>
        </w:trPr>
        <w:tc>
          <w:tcPr>
            <w:tcW w:w="1546" w:type="pct"/>
          </w:tcPr>
          <w:p w:rsidR="0095334F" w:rsidRPr="0098064B" w:rsidRDefault="0095334F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6.</w:t>
            </w:r>
            <w:r w:rsidR="00F5139D" w:rsidRPr="0098064B">
              <w:rPr>
                <w:sz w:val="28"/>
                <w:szCs w:val="28"/>
              </w:rPr>
              <w:t> </w:t>
            </w:r>
            <w:r w:rsidRPr="0098064B">
              <w:rPr>
                <w:sz w:val="28"/>
                <w:szCs w:val="28"/>
              </w:rPr>
              <w:t>Detalizēts ieņēmumu un izdevu</w:t>
            </w:r>
            <w:r w:rsidR="009E12D7" w:rsidRPr="0098064B">
              <w:rPr>
                <w:sz w:val="28"/>
                <w:szCs w:val="28"/>
              </w:rPr>
              <w:softHyphen/>
            </w:r>
            <w:r w:rsidRPr="0098064B">
              <w:rPr>
                <w:sz w:val="28"/>
                <w:szCs w:val="28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454" w:type="pct"/>
            <w:gridSpan w:val="5"/>
            <w:vMerge w:val="restart"/>
          </w:tcPr>
          <w:p w:rsidR="008458A6" w:rsidRPr="0098064B" w:rsidRDefault="00521595" w:rsidP="004C2265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Kultūras ministrijas </w:t>
            </w:r>
            <w:r w:rsidR="004C2265">
              <w:rPr>
                <w:sz w:val="28"/>
                <w:szCs w:val="28"/>
              </w:rPr>
              <w:t xml:space="preserve">pārziņā </w:t>
            </w:r>
            <w:r w:rsidR="00A11462">
              <w:rPr>
                <w:sz w:val="28"/>
                <w:szCs w:val="28"/>
              </w:rPr>
              <w:t>esošajai v</w:t>
            </w:r>
            <w:r w:rsidR="00A11462" w:rsidRPr="004B33E7">
              <w:rPr>
                <w:sz w:val="28"/>
                <w:szCs w:val="28"/>
              </w:rPr>
              <w:t>alsts sabiedrība</w:t>
            </w:r>
            <w:r w:rsidR="00A11462">
              <w:rPr>
                <w:sz w:val="28"/>
                <w:szCs w:val="28"/>
              </w:rPr>
              <w:t>i</w:t>
            </w:r>
            <w:r w:rsidR="00A11462" w:rsidRPr="004B33E7">
              <w:rPr>
                <w:sz w:val="28"/>
                <w:szCs w:val="28"/>
              </w:rPr>
              <w:t xml:space="preserve"> ar ierobežotu atbildību “Latvijas </w:t>
            </w:r>
            <w:r w:rsidR="00A11462">
              <w:rPr>
                <w:sz w:val="28"/>
                <w:szCs w:val="28"/>
              </w:rPr>
              <w:t>Koncerti</w:t>
            </w:r>
            <w:r w:rsidR="00A11462" w:rsidRPr="004B33E7">
              <w:rPr>
                <w:sz w:val="28"/>
                <w:szCs w:val="28"/>
              </w:rPr>
              <w:t>”</w:t>
            </w:r>
            <w:r w:rsidR="00A11462">
              <w:rPr>
                <w:sz w:val="28"/>
                <w:szCs w:val="28"/>
              </w:rPr>
              <w:t xml:space="preserve"> </w:t>
            </w:r>
            <w:r w:rsidRPr="0098064B">
              <w:rPr>
                <w:sz w:val="28"/>
                <w:szCs w:val="28"/>
              </w:rPr>
              <w:t xml:space="preserve">nepieciešami Ls </w:t>
            </w:r>
            <w:r w:rsidR="00A11462">
              <w:rPr>
                <w:color w:val="000000"/>
                <w:sz w:val="28"/>
                <w:szCs w:val="28"/>
              </w:rPr>
              <w:t>35 150</w:t>
            </w:r>
            <w:r w:rsidRPr="0098064B">
              <w:rPr>
                <w:sz w:val="28"/>
                <w:szCs w:val="28"/>
              </w:rPr>
              <w:t xml:space="preserve">. Detalizēts izdevumu aprēķins sniegts rīkojuma projektam pievienotajā informācijā. </w:t>
            </w:r>
          </w:p>
        </w:tc>
      </w:tr>
      <w:tr w:rsidR="0095334F" w:rsidRPr="0098064B" w:rsidTr="00CC4263">
        <w:trPr>
          <w:jc w:val="center"/>
        </w:trPr>
        <w:tc>
          <w:tcPr>
            <w:tcW w:w="1546" w:type="pct"/>
          </w:tcPr>
          <w:p w:rsidR="0095334F" w:rsidRPr="0098064B" w:rsidRDefault="0095334F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6.1.</w:t>
            </w:r>
            <w:r w:rsidR="00F5139D" w:rsidRPr="0098064B">
              <w:rPr>
                <w:sz w:val="28"/>
                <w:szCs w:val="28"/>
              </w:rPr>
              <w:t> </w:t>
            </w:r>
            <w:r w:rsidR="00D00059" w:rsidRPr="0098064B">
              <w:rPr>
                <w:sz w:val="28"/>
                <w:szCs w:val="28"/>
              </w:rPr>
              <w:t>d</w:t>
            </w:r>
            <w:r w:rsidRPr="0098064B">
              <w:rPr>
                <w:sz w:val="28"/>
                <w:szCs w:val="28"/>
              </w:rPr>
              <w:t>etalizēts ieņēmumu aprēķins</w:t>
            </w:r>
          </w:p>
        </w:tc>
        <w:tc>
          <w:tcPr>
            <w:tcW w:w="3454" w:type="pct"/>
            <w:gridSpan w:val="5"/>
            <w:vMerge/>
          </w:tcPr>
          <w:p w:rsidR="0095334F" w:rsidRPr="0098064B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95334F" w:rsidRPr="0098064B" w:rsidTr="00CC4263">
        <w:trPr>
          <w:jc w:val="center"/>
        </w:trPr>
        <w:tc>
          <w:tcPr>
            <w:tcW w:w="1546" w:type="pct"/>
          </w:tcPr>
          <w:p w:rsidR="0095334F" w:rsidRPr="0098064B" w:rsidRDefault="0095334F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 xml:space="preserve">6.2. </w:t>
            </w:r>
            <w:r w:rsidR="00D00059" w:rsidRPr="0098064B">
              <w:rPr>
                <w:sz w:val="28"/>
                <w:szCs w:val="28"/>
              </w:rPr>
              <w:t>d</w:t>
            </w:r>
            <w:r w:rsidRPr="0098064B">
              <w:rPr>
                <w:sz w:val="28"/>
                <w:szCs w:val="28"/>
              </w:rPr>
              <w:t>etalizēts izdevumu aprēķins</w:t>
            </w:r>
          </w:p>
        </w:tc>
        <w:tc>
          <w:tcPr>
            <w:tcW w:w="3454" w:type="pct"/>
            <w:gridSpan w:val="5"/>
            <w:vMerge/>
          </w:tcPr>
          <w:p w:rsidR="0095334F" w:rsidRPr="0098064B" w:rsidRDefault="0095334F" w:rsidP="006C4607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124F12" w:rsidRPr="0098064B" w:rsidTr="00CC4263">
        <w:trPr>
          <w:jc w:val="center"/>
        </w:trPr>
        <w:tc>
          <w:tcPr>
            <w:tcW w:w="1546" w:type="pct"/>
          </w:tcPr>
          <w:p w:rsidR="00124F12" w:rsidRPr="0098064B" w:rsidRDefault="00124F12" w:rsidP="0034795A">
            <w:pPr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7. Cita informācija</w:t>
            </w:r>
          </w:p>
        </w:tc>
        <w:tc>
          <w:tcPr>
            <w:tcW w:w="3454" w:type="pct"/>
            <w:gridSpan w:val="5"/>
          </w:tcPr>
          <w:p w:rsidR="00124F12" w:rsidRPr="0098064B" w:rsidRDefault="0052105F" w:rsidP="00AB11B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Izdevumus sedz no valsts budžeta programmas 02.00.00 „Līdzekļi neparedzētiem gadījumiem”. Atbilstoši Ministru kabineta 2009.gada 22.decembra noteikumiem Nr.1644 „Kārtība, kādā pieprasa un izlieto budžeta programmas „Līdzekļi neparedzētiem gadījumiem” līdzekļus”.</w:t>
            </w:r>
          </w:p>
        </w:tc>
      </w:tr>
    </w:tbl>
    <w:p w:rsidR="002C7F41" w:rsidRPr="0098064B" w:rsidRDefault="002C7F41" w:rsidP="00473CEF">
      <w:pPr>
        <w:pStyle w:val="naisf"/>
        <w:spacing w:before="0" w:after="0"/>
        <w:ind w:firstLine="0"/>
        <w:rPr>
          <w:sz w:val="28"/>
          <w:szCs w:val="28"/>
        </w:rPr>
      </w:pPr>
    </w:p>
    <w:p w:rsidR="00214FA9" w:rsidRPr="0098064B" w:rsidRDefault="00214FA9" w:rsidP="00214FA9">
      <w:pPr>
        <w:spacing w:before="75" w:after="75"/>
        <w:outlineLvl w:val="0"/>
        <w:rPr>
          <w:i/>
          <w:iCs/>
          <w:sz w:val="28"/>
          <w:szCs w:val="28"/>
        </w:rPr>
      </w:pPr>
      <w:r w:rsidRPr="0098064B">
        <w:rPr>
          <w:i/>
          <w:iCs/>
          <w:sz w:val="28"/>
          <w:szCs w:val="28"/>
        </w:rPr>
        <w:t xml:space="preserve">Anotācijas II, IV, V un VI sadaļa – projekts šīs jomas neskar. </w:t>
      </w:r>
    </w:p>
    <w:p w:rsidR="00AD1E34" w:rsidRPr="0098064B" w:rsidRDefault="00AD1E34" w:rsidP="00473CEF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5"/>
        <w:gridCol w:w="3983"/>
        <w:gridCol w:w="4689"/>
      </w:tblGrid>
      <w:tr w:rsidR="0023436E" w:rsidRPr="0098064B" w:rsidTr="00E2556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VII</w:t>
            </w:r>
            <w:r w:rsidR="000941C5" w:rsidRPr="0098064B">
              <w:rPr>
                <w:sz w:val="28"/>
                <w:szCs w:val="28"/>
              </w:rPr>
              <w:t>.</w:t>
            </w:r>
            <w:r w:rsidRPr="0098064B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23436E" w:rsidRPr="0098064B" w:rsidTr="00E2556C">
        <w:trPr>
          <w:trHeight w:val="427"/>
        </w:trPr>
        <w:tc>
          <w:tcPr>
            <w:tcW w:w="249" w:type="pct"/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82" w:type="pct"/>
          </w:tcPr>
          <w:p w:rsidR="0023436E" w:rsidRPr="0098064B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</w:t>
            </w:r>
            <w:r w:rsidR="0023436E" w:rsidRPr="0098064B">
              <w:rPr>
                <w:sz w:val="28"/>
                <w:szCs w:val="28"/>
              </w:rPr>
              <w:t xml:space="preserve">rojekta izpildē iesaistītās institūcijas </w:t>
            </w:r>
          </w:p>
        </w:tc>
        <w:tc>
          <w:tcPr>
            <w:tcW w:w="2569" w:type="pct"/>
          </w:tcPr>
          <w:p w:rsidR="0023436E" w:rsidRPr="0098064B" w:rsidRDefault="00CE4665" w:rsidP="005D6031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color w:val="000000"/>
                <w:sz w:val="28"/>
                <w:szCs w:val="28"/>
              </w:rPr>
              <w:t xml:space="preserve">Kultūras </w:t>
            </w:r>
            <w:r w:rsidR="00C50194" w:rsidRPr="0098064B">
              <w:rPr>
                <w:b w:val="0"/>
                <w:color w:val="000000"/>
                <w:sz w:val="28"/>
                <w:szCs w:val="28"/>
              </w:rPr>
              <w:t xml:space="preserve">ministrija un </w:t>
            </w:r>
            <w:r w:rsidR="00046D14" w:rsidRPr="0098064B">
              <w:rPr>
                <w:b w:val="0"/>
                <w:color w:val="000000"/>
                <w:sz w:val="28"/>
                <w:szCs w:val="28"/>
              </w:rPr>
              <w:t>Finanšu ministrija</w:t>
            </w:r>
            <w:r w:rsidR="005D6031" w:rsidRPr="0098064B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23436E" w:rsidRPr="0098064B" w:rsidTr="00E2556C">
        <w:trPr>
          <w:trHeight w:val="463"/>
        </w:trPr>
        <w:tc>
          <w:tcPr>
            <w:tcW w:w="249" w:type="pct"/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82" w:type="pct"/>
          </w:tcPr>
          <w:p w:rsidR="0023436E" w:rsidRPr="0098064B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Projekta i</w:t>
            </w:r>
            <w:r w:rsidR="0023436E" w:rsidRPr="0098064B">
              <w:rPr>
                <w:sz w:val="28"/>
                <w:szCs w:val="28"/>
              </w:rPr>
              <w:t xml:space="preserve">zpildes ietekme uz pārvaldes funkcijām </w:t>
            </w:r>
          </w:p>
        </w:tc>
        <w:tc>
          <w:tcPr>
            <w:tcW w:w="2569" w:type="pct"/>
          </w:tcPr>
          <w:p w:rsidR="008059B5" w:rsidRPr="0098064B" w:rsidRDefault="008059B5" w:rsidP="008059B5">
            <w:pPr>
              <w:pStyle w:val="Pamattekstaatkpe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Netiek paplašinātas esošo institūciju funkcijas.</w:t>
            </w:r>
          </w:p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3436E" w:rsidRPr="0098064B" w:rsidTr="00E2556C">
        <w:trPr>
          <w:trHeight w:val="725"/>
        </w:trPr>
        <w:tc>
          <w:tcPr>
            <w:tcW w:w="249" w:type="pct"/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82" w:type="pct"/>
          </w:tcPr>
          <w:p w:rsidR="0023436E" w:rsidRPr="0098064B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Projekta iz</w:t>
            </w:r>
            <w:r w:rsidR="0023436E" w:rsidRPr="0098064B">
              <w:rPr>
                <w:sz w:val="28"/>
                <w:szCs w:val="28"/>
              </w:rPr>
              <w:t>pildes ietekme uz pārvaldes institucionālo struktūru.</w:t>
            </w:r>
          </w:p>
          <w:p w:rsidR="0023436E" w:rsidRPr="0098064B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2569" w:type="pct"/>
          </w:tcPr>
          <w:p w:rsidR="0023436E" w:rsidRPr="0098064B" w:rsidRDefault="008059B5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Jaunas valsts institūcijas netiek radītas.</w:t>
            </w:r>
          </w:p>
        </w:tc>
      </w:tr>
      <w:tr w:rsidR="0023436E" w:rsidRPr="0098064B" w:rsidTr="00E2556C">
        <w:trPr>
          <w:trHeight w:val="780"/>
        </w:trPr>
        <w:tc>
          <w:tcPr>
            <w:tcW w:w="249" w:type="pct"/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82" w:type="pct"/>
          </w:tcPr>
          <w:p w:rsidR="0023436E" w:rsidRPr="0098064B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Projekta i</w:t>
            </w:r>
            <w:r w:rsidR="0023436E" w:rsidRPr="0098064B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98064B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2569" w:type="pct"/>
          </w:tcPr>
          <w:p w:rsidR="0023436E" w:rsidRPr="0098064B" w:rsidRDefault="008D4DE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23436E" w:rsidRPr="0098064B" w:rsidTr="00E2556C">
        <w:trPr>
          <w:trHeight w:val="703"/>
        </w:trPr>
        <w:tc>
          <w:tcPr>
            <w:tcW w:w="249" w:type="pct"/>
          </w:tcPr>
          <w:p w:rsidR="0023436E" w:rsidRPr="0098064B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82" w:type="pct"/>
          </w:tcPr>
          <w:p w:rsidR="0023436E" w:rsidRPr="0098064B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Projekta i</w:t>
            </w:r>
            <w:r w:rsidR="0023436E" w:rsidRPr="0098064B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98064B" w:rsidRDefault="0023436E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2569" w:type="pct"/>
          </w:tcPr>
          <w:p w:rsidR="0023436E" w:rsidRPr="0098064B" w:rsidRDefault="008D4DEC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8064B">
              <w:rPr>
                <w:b w:val="0"/>
                <w:sz w:val="28"/>
                <w:szCs w:val="28"/>
              </w:rPr>
              <w:t>Rīkojuma projekts šo jomu neskar.</w:t>
            </w:r>
          </w:p>
        </w:tc>
      </w:tr>
      <w:tr w:rsidR="0023436E" w:rsidRPr="0098064B" w:rsidTr="00E2556C">
        <w:trPr>
          <w:trHeight w:val="476"/>
        </w:trPr>
        <w:tc>
          <w:tcPr>
            <w:tcW w:w="249" w:type="pct"/>
          </w:tcPr>
          <w:p w:rsidR="0023436E" w:rsidRPr="0098064B" w:rsidRDefault="00F63DA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6</w:t>
            </w:r>
            <w:r w:rsidR="0023436E" w:rsidRPr="0098064B">
              <w:rPr>
                <w:sz w:val="28"/>
                <w:szCs w:val="28"/>
              </w:rPr>
              <w:t>.</w:t>
            </w:r>
          </w:p>
        </w:tc>
        <w:tc>
          <w:tcPr>
            <w:tcW w:w="2182" w:type="pct"/>
          </w:tcPr>
          <w:p w:rsidR="0023436E" w:rsidRPr="0098064B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Cita informācija</w:t>
            </w:r>
          </w:p>
        </w:tc>
        <w:tc>
          <w:tcPr>
            <w:tcW w:w="2569" w:type="pct"/>
          </w:tcPr>
          <w:p w:rsidR="0023436E" w:rsidRPr="0098064B" w:rsidRDefault="00794411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98064B">
              <w:rPr>
                <w:sz w:val="28"/>
                <w:szCs w:val="28"/>
              </w:rPr>
              <w:t>Nav</w:t>
            </w:r>
          </w:p>
        </w:tc>
      </w:tr>
    </w:tbl>
    <w:p w:rsidR="00214FA9" w:rsidRPr="0098064B" w:rsidRDefault="00214FA9" w:rsidP="00065314">
      <w:pPr>
        <w:ind w:firstLine="426"/>
        <w:rPr>
          <w:sz w:val="28"/>
          <w:szCs w:val="28"/>
        </w:rPr>
      </w:pPr>
    </w:p>
    <w:p w:rsidR="00B17C99" w:rsidRPr="0098064B" w:rsidRDefault="00B17C99" w:rsidP="0077033B">
      <w:pPr>
        <w:rPr>
          <w:sz w:val="28"/>
          <w:szCs w:val="28"/>
        </w:rPr>
      </w:pPr>
    </w:p>
    <w:p w:rsidR="00446C27" w:rsidRPr="0098064B" w:rsidRDefault="00446C27" w:rsidP="00214FA9">
      <w:pPr>
        <w:ind w:firstLine="426"/>
        <w:rPr>
          <w:sz w:val="28"/>
          <w:szCs w:val="28"/>
        </w:rPr>
      </w:pPr>
      <w:r w:rsidRPr="0098064B">
        <w:rPr>
          <w:sz w:val="28"/>
          <w:szCs w:val="28"/>
        </w:rPr>
        <w:t>K</w:t>
      </w:r>
      <w:r w:rsidR="00E55F9E" w:rsidRPr="0098064B">
        <w:rPr>
          <w:sz w:val="28"/>
          <w:szCs w:val="28"/>
        </w:rPr>
        <w:t>ultūras ministre</w:t>
      </w:r>
      <w:r w:rsidR="00E55F9E" w:rsidRPr="0098064B">
        <w:rPr>
          <w:sz w:val="28"/>
          <w:szCs w:val="28"/>
        </w:rPr>
        <w:tab/>
      </w:r>
      <w:r w:rsidR="00E55F9E" w:rsidRPr="0098064B">
        <w:rPr>
          <w:sz w:val="28"/>
          <w:szCs w:val="28"/>
        </w:rPr>
        <w:tab/>
      </w:r>
      <w:r w:rsidR="00E55F9E" w:rsidRPr="0098064B">
        <w:rPr>
          <w:sz w:val="28"/>
          <w:szCs w:val="28"/>
        </w:rPr>
        <w:tab/>
      </w:r>
      <w:r w:rsidR="00E55F9E" w:rsidRPr="0098064B">
        <w:rPr>
          <w:sz w:val="28"/>
          <w:szCs w:val="28"/>
        </w:rPr>
        <w:tab/>
      </w:r>
      <w:r w:rsidR="00E55F9E" w:rsidRPr="0098064B">
        <w:rPr>
          <w:sz w:val="28"/>
          <w:szCs w:val="28"/>
        </w:rPr>
        <w:tab/>
      </w:r>
      <w:r w:rsidR="00E55F9E" w:rsidRPr="0098064B">
        <w:rPr>
          <w:sz w:val="28"/>
          <w:szCs w:val="28"/>
        </w:rPr>
        <w:tab/>
      </w:r>
      <w:r w:rsidR="00214FA9" w:rsidRPr="0098064B">
        <w:rPr>
          <w:sz w:val="28"/>
          <w:szCs w:val="28"/>
        </w:rPr>
        <w:t xml:space="preserve">Ž. Jaunzeme – </w:t>
      </w:r>
      <w:r w:rsidR="00E55F9E" w:rsidRPr="0098064B">
        <w:rPr>
          <w:sz w:val="28"/>
          <w:szCs w:val="28"/>
        </w:rPr>
        <w:t>Grende</w:t>
      </w:r>
    </w:p>
    <w:p w:rsidR="00446C27" w:rsidRDefault="00446C27" w:rsidP="00446C27">
      <w:pPr>
        <w:rPr>
          <w:sz w:val="28"/>
          <w:szCs w:val="28"/>
        </w:rPr>
      </w:pPr>
    </w:p>
    <w:p w:rsidR="00BD447A" w:rsidRPr="0098064B" w:rsidRDefault="008C697B" w:rsidP="000075C2">
      <w:pPr>
        <w:ind w:firstLine="426"/>
        <w:rPr>
          <w:sz w:val="28"/>
          <w:szCs w:val="28"/>
        </w:rPr>
      </w:pPr>
      <w:r w:rsidRPr="0098064B">
        <w:rPr>
          <w:sz w:val="28"/>
          <w:szCs w:val="28"/>
        </w:rPr>
        <w:t>Vīza: Valsts sekretār</w:t>
      </w:r>
      <w:r w:rsidR="00BD447A" w:rsidRPr="0098064B">
        <w:rPr>
          <w:sz w:val="28"/>
          <w:szCs w:val="28"/>
        </w:rPr>
        <w:t>s</w:t>
      </w:r>
      <w:r w:rsidR="00446C27" w:rsidRPr="0098064B">
        <w:rPr>
          <w:sz w:val="28"/>
          <w:szCs w:val="28"/>
        </w:rPr>
        <w:tab/>
      </w:r>
      <w:r w:rsidR="00446C27" w:rsidRPr="0098064B">
        <w:rPr>
          <w:sz w:val="28"/>
          <w:szCs w:val="28"/>
        </w:rPr>
        <w:tab/>
      </w:r>
      <w:r w:rsidR="00446C27" w:rsidRPr="0098064B">
        <w:rPr>
          <w:sz w:val="28"/>
          <w:szCs w:val="28"/>
        </w:rPr>
        <w:tab/>
      </w:r>
      <w:r w:rsidR="00065314" w:rsidRPr="0098064B">
        <w:rPr>
          <w:sz w:val="28"/>
          <w:szCs w:val="28"/>
        </w:rPr>
        <w:tab/>
      </w:r>
      <w:r w:rsidR="00065314" w:rsidRPr="0098064B">
        <w:rPr>
          <w:sz w:val="28"/>
          <w:szCs w:val="28"/>
        </w:rPr>
        <w:tab/>
      </w:r>
      <w:r w:rsidR="00E2556C" w:rsidRPr="0098064B">
        <w:rPr>
          <w:sz w:val="28"/>
          <w:szCs w:val="28"/>
        </w:rPr>
        <w:t xml:space="preserve"> </w:t>
      </w:r>
      <w:r w:rsidR="00BD447A" w:rsidRPr="0098064B">
        <w:rPr>
          <w:sz w:val="28"/>
          <w:szCs w:val="28"/>
        </w:rPr>
        <w:tab/>
      </w:r>
      <w:r w:rsidR="00BD447A" w:rsidRPr="0098064B">
        <w:rPr>
          <w:sz w:val="28"/>
          <w:szCs w:val="28"/>
        </w:rPr>
        <w:tab/>
      </w:r>
      <w:bookmarkStart w:id="2" w:name="OLE_LINK1"/>
      <w:bookmarkStart w:id="3" w:name="OLE_LINK2"/>
      <w:r w:rsidR="004C2265">
        <w:rPr>
          <w:sz w:val="28"/>
          <w:szCs w:val="28"/>
        </w:rPr>
        <w:tab/>
      </w:r>
      <w:r w:rsidR="00BD447A" w:rsidRPr="0098064B">
        <w:rPr>
          <w:sz w:val="28"/>
          <w:szCs w:val="28"/>
        </w:rPr>
        <w:t>G.Puķītis</w:t>
      </w:r>
    </w:p>
    <w:p w:rsidR="000075C2" w:rsidRPr="0098064B" w:rsidRDefault="000075C2" w:rsidP="00B069D7">
      <w:pPr>
        <w:pStyle w:val="Galvene"/>
        <w:tabs>
          <w:tab w:val="left" w:pos="720"/>
        </w:tabs>
        <w:rPr>
          <w:sz w:val="22"/>
          <w:szCs w:val="22"/>
        </w:rPr>
      </w:pPr>
    </w:p>
    <w:p w:rsidR="00617C91" w:rsidRDefault="00617C91" w:rsidP="00B069D7">
      <w:pPr>
        <w:pStyle w:val="Galvene"/>
        <w:tabs>
          <w:tab w:val="left" w:pos="720"/>
        </w:tabs>
        <w:rPr>
          <w:sz w:val="22"/>
          <w:szCs w:val="22"/>
        </w:rPr>
      </w:pPr>
    </w:p>
    <w:p w:rsidR="004C2265" w:rsidRDefault="004C2265" w:rsidP="00B069D7">
      <w:pPr>
        <w:pStyle w:val="Galvene"/>
        <w:tabs>
          <w:tab w:val="left" w:pos="720"/>
        </w:tabs>
        <w:rPr>
          <w:sz w:val="22"/>
          <w:szCs w:val="22"/>
        </w:rPr>
      </w:pPr>
    </w:p>
    <w:p w:rsidR="004C2265" w:rsidRDefault="004C2265" w:rsidP="00B069D7">
      <w:pPr>
        <w:pStyle w:val="Galvene"/>
        <w:tabs>
          <w:tab w:val="left" w:pos="720"/>
        </w:tabs>
        <w:rPr>
          <w:sz w:val="22"/>
          <w:szCs w:val="22"/>
        </w:rPr>
      </w:pPr>
    </w:p>
    <w:p w:rsidR="00617C91" w:rsidRDefault="00617C91" w:rsidP="00B069D7">
      <w:pPr>
        <w:pStyle w:val="Galvene"/>
        <w:tabs>
          <w:tab w:val="left" w:pos="720"/>
        </w:tabs>
        <w:rPr>
          <w:sz w:val="22"/>
          <w:szCs w:val="22"/>
        </w:rPr>
      </w:pPr>
    </w:p>
    <w:p w:rsidR="00B069D7" w:rsidRPr="0098064B" w:rsidRDefault="00726F0A" w:rsidP="00B069D7">
      <w:pPr>
        <w:pStyle w:val="Galvene"/>
        <w:tabs>
          <w:tab w:val="left" w:pos="720"/>
        </w:tabs>
        <w:rPr>
          <w:sz w:val="22"/>
          <w:szCs w:val="22"/>
        </w:rPr>
      </w:pPr>
      <w:r w:rsidRPr="0098064B">
        <w:rPr>
          <w:sz w:val="22"/>
          <w:szCs w:val="22"/>
        </w:rPr>
        <w:fldChar w:fldCharType="begin"/>
      </w:r>
      <w:r w:rsidR="00B069D7" w:rsidRPr="0098064B">
        <w:rPr>
          <w:sz w:val="22"/>
          <w:szCs w:val="22"/>
        </w:rPr>
        <w:instrText xml:space="preserve"> DATE  \@ "yyyy.MM.dd. H:mm"  \* MERGEFORMAT </w:instrText>
      </w:r>
      <w:r w:rsidRPr="0098064B">
        <w:rPr>
          <w:sz w:val="22"/>
          <w:szCs w:val="22"/>
        </w:rPr>
        <w:fldChar w:fldCharType="separate"/>
      </w:r>
      <w:r w:rsidR="006F2457">
        <w:rPr>
          <w:noProof/>
          <w:sz w:val="22"/>
          <w:szCs w:val="22"/>
        </w:rPr>
        <w:t>2012.12.06. 12:41</w:t>
      </w:r>
      <w:r w:rsidRPr="0098064B">
        <w:rPr>
          <w:sz w:val="22"/>
          <w:szCs w:val="22"/>
        </w:rPr>
        <w:fldChar w:fldCharType="end"/>
      </w:r>
    </w:p>
    <w:p w:rsidR="00B069D7" w:rsidRPr="0098064B" w:rsidRDefault="00A11462" w:rsidP="00B069D7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AB11BA">
        <w:rPr>
          <w:sz w:val="22"/>
          <w:szCs w:val="22"/>
        </w:rPr>
        <w:t>10</w:t>
      </w:r>
      <w:r w:rsidR="00B069D7" w:rsidRPr="0098064B">
        <w:rPr>
          <w:sz w:val="22"/>
          <w:szCs w:val="22"/>
        </w:rPr>
        <w:tab/>
      </w:r>
    </w:p>
    <w:bookmarkEnd w:id="2"/>
    <w:bookmarkEnd w:id="3"/>
    <w:p w:rsidR="00214FA9" w:rsidRPr="0098064B" w:rsidRDefault="00A11462" w:rsidP="00214FA9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214FA9" w:rsidRPr="0098064B">
        <w:rPr>
          <w:sz w:val="22"/>
          <w:szCs w:val="22"/>
        </w:rPr>
        <w:t>.</w:t>
      </w:r>
      <w:r>
        <w:rPr>
          <w:sz w:val="22"/>
          <w:szCs w:val="22"/>
        </w:rPr>
        <w:t>Ļipuncovs</w:t>
      </w:r>
    </w:p>
    <w:p w:rsidR="00214FA9" w:rsidRPr="0098064B" w:rsidRDefault="00E946E7" w:rsidP="00214FA9">
      <w:pPr>
        <w:rPr>
          <w:sz w:val="22"/>
          <w:szCs w:val="22"/>
        </w:rPr>
      </w:pPr>
      <w:r w:rsidRPr="0098064B">
        <w:rPr>
          <w:sz w:val="22"/>
          <w:szCs w:val="22"/>
        </w:rPr>
        <w:t>Tālr. 673302</w:t>
      </w:r>
      <w:r w:rsidR="00A11462">
        <w:rPr>
          <w:sz w:val="22"/>
          <w:szCs w:val="22"/>
        </w:rPr>
        <w:t>20</w:t>
      </w:r>
      <w:r w:rsidR="00214FA9" w:rsidRPr="0098064B">
        <w:rPr>
          <w:sz w:val="22"/>
          <w:szCs w:val="22"/>
        </w:rPr>
        <w:t>; fakss 6733029</w:t>
      </w:r>
      <w:r w:rsidR="00144FB0">
        <w:rPr>
          <w:sz w:val="22"/>
          <w:szCs w:val="22"/>
        </w:rPr>
        <w:t>8</w:t>
      </w:r>
    </w:p>
    <w:p w:rsidR="000D20AB" w:rsidRPr="000075C2" w:rsidRDefault="00726F0A" w:rsidP="000075C2">
      <w:pPr>
        <w:tabs>
          <w:tab w:val="left" w:pos="7425"/>
        </w:tabs>
        <w:rPr>
          <w:sz w:val="22"/>
          <w:szCs w:val="22"/>
        </w:rPr>
      </w:pPr>
      <w:hyperlink r:id="rId8" w:history="1">
        <w:r w:rsidR="00A11462">
          <w:rPr>
            <w:rStyle w:val="Hipersaite"/>
            <w:sz w:val="22"/>
            <w:szCs w:val="22"/>
          </w:rPr>
          <w:t>Juris.Lipuncovs</w:t>
        </w:r>
        <w:r w:rsidR="00A65476" w:rsidRPr="002A6E40">
          <w:rPr>
            <w:rStyle w:val="Hipersaite"/>
            <w:sz w:val="22"/>
            <w:szCs w:val="22"/>
          </w:rPr>
          <w:t>@km.gov.lv</w:t>
        </w:r>
      </w:hyperlink>
      <w:r w:rsidR="00214FA9" w:rsidRPr="0097297B">
        <w:tab/>
      </w:r>
    </w:p>
    <w:sectPr w:rsidR="000D20AB" w:rsidRPr="000075C2" w:rsidSect="004C226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4B" w:rsidRDefault="00C55C4B">
      <w:r>
        <w:separator/>
      </w:r>
    </w:p>
  </w:endnote>
  <w:endnote w:type="continuationSeparator" w:id="0">
    <w:p w:rsidR="00C55C4B" w:rsidRDefault="00C5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4B" w:rsidRDefault="00726F0A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C55C4B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6F2457">
      <w:rPr>
        <w:noProof/>
        <w:sz w:val="22"/>
        <w:szCs w:val="22"/>
      </w:rPr>
      <w:t>KMAnot_061212_SH</w:t>
    </w:r>
    <w:r w:rsidRPr="00E2556C">
      <w:rPr>
        <w:sz w:val="22"/>
        <w:szCs w:val="22"/>
      </w:rPr>
      <w:fldChar w:fldCharType="end"/>
    </w:r>
    <w:fldSimple w:instr=" DOCPROPERTY  Title  \* MERGEFORMAT ">
      <w:r w:rsidR="006F2457" w:rsidRPr="006F2457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  <w:p w:rsidR="00C55C4B" w:rsidRPr="00E2556C" w:rsidRDefault="00C55C4B" w:rsidP="00E2556C">
    <w:pPr>
      <w:pStyle w:val="Kjene"/>
      <w:jc w:val="both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4B" w:rsidRPr="00E2556C" w:rsidRDefault="00726F0A" w:rsidP="00E2556C">
    <w:pPr>
      <w:pStyle w:val="Kjene"/>
      <w:jc w:val="both"/>
      <w:rPr>
        <w:sz w:val="22"/>
        <w:szCs w:val="22"/>
      </w:rPr>
    </w:pPr>
    <w:r w:rsidRPr="00E2556C">
      <w:rPr>
        <w:sz w:val="22"/>
        <w:szCs w:val="22"/>
      </w:rPr>
      <w:fldChar w:fldCharType="begin"/>
    </w:r>
    <w:r w:rsidR="00C55C4B" w:rsidRPr="00E2556C">
      <w:rPr>
        <w:sz w:val="22"/>
        <w:szCs w:val="22"/>
      </w:rPr>
      <w:instrText xml:space="preserve"> FILENAME </w:instrText>
    </w:r>
    <w:r w:rsidRPr="00E2556C">
      <w:rPr>
        <w:sz w:val="22"/>
        <w:szCs w:val="22"/>
      </w:rPr>
      <w:fldChar w:fldCharType="separate"/>
    </w:r>
    <w:r w:rsidR="006F2457">
      <w:rPr>
        <w:noProof/>
        <w:sz w:val="22"/>
        <w:szCs w:val="22"/>
      </w:rPr>
      <w:t>KMAnot_061212_SH</w:t>
    </w:r>
    <w:r w:rsidRPr="00E2556C">
      <w:rPr>
        <w:sz w:val="22"/>
        <w:szCs w:val="22"/>
      </w:rPr>
      <w:fldChar w:fldCharType="end"/>
    </w:r>
    <w:fldSimple w:instr=" DOCPROPERTY  Title  \* MERGEFORMAT ">
      <w:r w:rsidR="006F2457" w:rsidRPr="006F2457">
        <w:rPr>
          <w:sz w:val="22"/>
          <w:szCs w:val="22"/>
        </w:rPr>
        <w:t>;  Ministru kabineta rīkojuma projekta "Par finanšu līdzekļu piešķiršanu no valsts budžeta programmas "Līdzekļi neparedzētiem gadījumiem"" sākotnējās ietekmes novērtējuma ziņojums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4B" w:rsidRDefault="00C55C4B">
      <w:r>
        <w:separator/>
      </w:r>
    </w:p>
  </w:footnote>
  <w:footnote w:type="continuationSeparator" w:id="0">
    <w:p w:rsidR="00C55C4B" w:rsidRDefault="00C55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4B" w:rsidRDefault="00726F0A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55C4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55C4B" w:rsidRDefault="00C55C4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4B" w:rsidRPr="00E2556C" w:rsidRDefault="00726F0A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2556C">
      <w:rPr>
        <w:rStyle w:val="Lappusesnumurs"/>
        <w:sz w:val="22"/>
        <w:szCs w:val="22"/>
      </w:rPr>
      <w:fldChar w:fldCharType="begin"/>
    </w:r>
    <w:r w:rsidR="00C55C4B" w:rsidRPr="00E2556C">
      <w:rPr>
        <w:rStyle w:val="Lappusesnumurs"/>
        <w:sz w:val="22"/>
        <w:szCs w:val="22"/>
      </w:rPr>
      <w:instrText xml:space="preserve">PAGE  </w:instrText>
    </w:r>
    <w:r w:rsidRPr="00E2556C">
      <w:rPr>
        <w:rStyle w:val="Lappusesnumurs"/>
        <w:sz w:val="22"/>
        <w:szCs w:val="22"/>
      </w:rPr>
      <w:fldChar w:fldCharType="separate"/>
    </w:r>
    <w:r w:rsidR="006F2457">
      <w:rPr>
        <w:rStyle w:val="Lappusesnumurs"/>
        <w:noProof/>
        <w:sz w:val="22"/>
        <w:szCs w:val="22"/>
      </w:rPr>
      <w:t>5</w:t>
    </w:r>
    <w:r w:rsidRPr="00E2556C">
      <w:rPr>
        <w:rStyle w:val="Lappusesnumurs"/>
        <w:sz w:val="22"/>
        <w:szCs w:val="22"/>
      </w:rPr>
      <w:fldChar w:fldCharType="end"/>
    </w:r>
  </w:p>
  <w:p w:rsidR="00C55C4B" w:rsidRDefault="00C55C4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49"/>
    <w:rsid w:val="000075C2"/>
    <w:rsid w:val="00011D24"/>
    <w:rsid w:val="00013FF4"/>
    <w:rsid w:val="00020FE1"/>
    <w:rsid w:val="00022E13"/>
    <w:rsid w:val="00027D88"/>
    <w:rsid w:val="00032388"/>
    <w:rsid w:val="00034C8A"/>
    <w:rsid w:val="00035CE2"/>
    <w:rsid w:val="00037FD3"/>
    <w:rsid w:val="00043D65"/>
    <w:rsid w:val="000459AF"/>
    <w:rsid w:val="00046D14"/>
    <w:rsid w:val="000508F8"/>
    <w:rsid w:val="0005553B"/>
    <w:rsid w:val="000604D2"/>
    <w:rsid w:val="00065314"/>
    <w:rsid w:val="00067517"/>
    <w:rsid w:val="00071885"/>
    <w:rsid w:val="0007695D"/>
    <w:rsid w:val="0009005E"/>
    <w:rsid w:val="00090B3A"/>
    <w:rsid w:val="000937C6"/>
    <w:rsid w:val="000941C5"/>
    <w:rsid w:val="000A26EC"/>
    <w:rsid w:val="000A3956"/>
    <w:rsid w:val="000A4853"/>
    <w:rsid w:val="000A6451"/>
    <w:rsid w:val="000B064E"/>
    <w:rsid w:val="000B69CF"/>
    <w:rsid w:val="000C169B"/>
    <w:rsid w:val="000C790C"/>
    <w:rsid w:val="000D04C8"/>
    <w:rsid w:val="000D1A41"/>
    <w:rsid w:val="000D20AB"/>
    <w:rsid w:val="000E01B7"/>
    <w:rsid w:val="000E4C63"/>
    <w:rsid w:val="000F061D"/>
    <w:rsid w:val="000F215D"/>
    <w:rsid w:val="000F4794"/>
    <w:rsid w:val="000F5D2A"/>
    <w:rsid w:val="00100399"/>
    <w:rsid w:val="00101947"/>
    <w:rsid w:val="001059C3"/>
    <w:rsid w:val="00107CE8"/>
    <w:rsid w:val="00111B91"/>
    <w:rsid w:val="001121C1"/>
    <w:rsid w:val="00113D2D"/>
    <w:rsid w:val="00114464"/>
    <w:rsid w:val="00124F12"/>
    <w:rsid w:val="00127FA9"/>
    <w:rsid w:val="0013052A"/>
    <w:rsid w:val="00142EB5"/>
    <w:rsid w:val="00143088"/>
    <w:rsid w:val="00144E3A"/>
    <w:rsid w:val="00144FB0"/>
    <w:rsid w:val="0015060C"/>
    <w:rsid w:val="001554B6"/>
    <w:rsid w:val="0016018A"/>
    <w:rsid w:val="001605AB"/>
    <w:rsid w:val="00161F0E"/>
    <w:rsid w:val="001646D8"/>
    <w:rsid w:val="00164F6E"/>
    <w:rsid w:val="001655C6"/>
    <w:rsid w:val="00170E2A"/>
    <w:rsid w:val="00177394"/>
    <w:rsid w:val="00182C18"/>
    <w:rsid w:val="0018328E"/>
    <w:rsid w:val="00183CC2"/>
    <w:rsid w:val="001866EE"/>
    <w:rsid w:val="00187DFA"/>
    <w:rsid w:val="001900E4"/>
    <w:rsid w:val="00190F88"/>
    <w:rsid w:val="0019339A"/>
    <w:rsid w:val="0019670B"/>
    <w:rsid w:val="001A4066"/>
    <w:rsid w:val="001A6581"/>
    <w:rsid w:val="001A6AE4"/>
    <w:rsid w:val="001A7FE4"/>
    <w:rsid w:val="001B01FD"/>
    <w:rsid w:val="001B3421"/>
    <w:rsid w:val="001B4A71"/>
    <w:rsid w:val="001D5502"/>
    <w:rsid w:val="001D5B54"/>
    <w:rsid w:val="001D5BA3"/>
    <w:rsid w:val="001E1DBF"/>
    <w:rsid w:val="001E2689"/>
    <w:rsid w:val="001E4639"/>
    <w:rsid w:val="001E4A7D"/>
    <w:rsid w:val="001F0440"/>
    <w:rsid w:val="001F39A2"/>
    <w:rsid w:val="001F4209"/>
    <w:rsid w:val="001F43A8"/>
    <w:rsid w:val="001F5CD6"/>
    <w:rsid w:val="0020042B"/>
    <w:rsid w:val="0021263D"/>
    <w:rsid w:val="00213F0C"/>
    <w:rsid w:val="00214094"/>
    <w:rsid w:val="00214FA9"/>
    <w:rsid w:val="0021592D"/>
    <w:rsid w:val="00222D76"/>
    <w:rsid w:val="00223EB1"/>
    <w:rsid w:val="00231344"/>
    <w:rsid w:val="0023436E"/>
    <w:rsid w:val="002347C0"/>
    <w:rsid w:val="00241A6C"/>
    <w:rsid w:val="00242D2B"/>
    <w:rsid w:val="0024308C"/>
    <w:rsid w:val="00250D16"/>
    <w:rsid w:val="00253797"/>
    <w:rsid w:val="00261703"/>
    <w:rsid w:val="00262E2B"/>
    <w:rsid w:val="00264968"/>
    <w:rsid w:val="002676A6"/>
    <w:rsid w:val="00270429"/>
    <w:rsid w:val="002723E9"/>
    <w:rsid w:val="00277929"/>
    <w:rsid w:val="00277AD3"/>
    <w:rsid w:val="00283B82"/>
    <w:rsid w:val="002846E9"/>
    <w:rsid w:val="00284C34"/>
    <w:rsid w:val="0029066C"/>
    <w:rsid w:val="002B08D1"/>
    <w:rsid w:val="002B469C"/>
    <w:rsid w:val="002B50DB"/>
    <w:rsid w:val="002C0532"/>
    <w:rsid w:val="002C12AB"/>
    <w:rsid w:val="002C59E1"/>
    <w:rsid w:val="002C7CAC"/>
    <w:rsid w:val="002C7E7D"/>
    <w:rsid w:val="002C7F41"/>
    <w:rsid w:val="002D1AAF"/>
    <w:rsid w:val="002D3306"/>
    <w:rsid w:val="002D47B8"/>
    <w:rsid w:val="002D48AA"/>
    <w:rsid w:val="002D7BAA"/>
    <w:rsid w:val="002D7F54"/>
    <w:rsid w:val="002E394B"/>
    <w:rsid w:val="002E3FF4"/>
    <w:rsid w:val="002F3BE4"/>
    <w:rsid w:val="002F78C8"/>
    <w:rsid w:val="00301CF3"/>
    <w:rsid w:val="00305CD4"/>
    <w:rsid w:val="00313BDE"/>
    <w:rsid w:val="003155F1"/>
    <w:rsid w:val="0032715C"/>
    <w:rsid w:val="00337CA5"/>
    <w:rsid w:val="003404D1"/>
    <w:rsid w:val="00342952"/>
    <w:rsid w:val="00344E26"/>
    <w:rsid w:val="0034795A"/>
    <w:rsid w:val="00347B01"/>
    <w:rsid w:val="00362478"/>
    <w:rsid w:val="00365E7F"/>
    <w:rsid w:val="00373121"/>
    <w:rsid w:val="00375B25"/>
    <w:rsid w:val="0037756E"/>
    <w:rsid w:val="0038132C"/>
    <w:rsid w:val="00390AAA"/>
    <w:rsid w:val="0039316C"/>
    <w:rsid w:val="00396542"/>
    <w:rsid w:val="0039685B"/>
    <w:rsid w:val="003A31A6"/>
    <w:rsid w:val="003A43BB"/>
    <w:rsid w:val="003A66D1"/>
    <w:rsid w:val="003A7F0C"/>
    <w:rsid w:val="003A7F79"/>
    <w:rsid w:val="003B2124"/>
    <w:rsid w:val="003B513C"/>
    <w:rsid w:val="003B6404"/>
    <w:rsid w:val="003C3568"/>
    <w:rsid w:val="003C449B"/>
    <w:rsid w:val="003C7874"/>
    <w:rsid w:val="003D21FF"/>
    <w:rsid w:val="003D3B4A"/>
    <w:rsid w:val="003E3966"/>
    <w:rsid w:val="003F0112"/>
    <w:rsid w:val="003F04A6"/>
    <w:rsid w:val="003F071A"/>
    <w:rsid w:val="003F1137"/>
    <w:rsid w:val="003F160B"/>
    <w:rsid w:val="003F55BC"/>
    <w:rsid w:val="00400032"/>
    <w:rsid w:val="004004CD"/>
    <w:rsid w:val="00400B5B"/>
    <w:rsid w:val="00405A00"/>
    <w:rsid w:val="004070D7"/>
    <w:rsid w:val="004162B2"/>
    <w:rsid w:val="00416575"/>
    <w:rsid w:val="00416904"/>
    <w:rsid w:val="00420870"/>
    <w:rsid w:val="00422063"/>
    <w:rsid w:val="00432D0C"/>
    <w:rsid w:val="0043791B"/>
    <w:rsid w:val="00441483"/>
    <w:rsid w:val="00441BCB"/>
    <w:rsid w:val="00446C27"/>
    <w:rsid w:val="004503BE"/>
    <w:rsid w:val="0045176A"/>
    <w:rsid w:val="00456332"/>
    <w:rsid w:val="004617ED"/>
    <w:rsid w:val="00461826"/>
    <w:rsid w:val="00461B3C"/>
    <w:rsid w:val="004639C3"/>
    <w:rsid w:val="00473CEF"/>
    <w:rsid w:val="00477559"/>
    <w:rsid w:val="004800F9"/>
    <w:rsid w:val="0049134A"/>
    <w:rsid w:val="0049261C"/>
    <w:rsid w:val="004948A3"/>
    <w:rsid w:val="004A18FC"/>
    <w:rsid w:val="004A58CB"/>
    <w:rsid w:val="004B1795"/>
    <w:rsid w:val="004B56DD"/>
    <w:rsid w:val="004C020F"/>
    <w:rsid w:val="004C1AFD"/>
    <w:rsid w:val="004C2265"/>
    <w:rsid w:val="004C558B"/>
    <w:rsid w:val="004D04DE"/>
    <w:rsid w:val="004E6641"/>
    <w:rsid w:val="004F117E"/>
    <w:rsid w:val="004F1F88"/>
    <w:rsid w:val="004F5F1B"/>
    <w:rsid w:val="00501A67"/>
    <w:rsid w:val="00502374"/>
    <w:rsid w:val="0050584F"/>
    <w:rsid w:val="005060A1"/>
    <w:rsid w:val="00511843"/>
    <w:rsid w:val="00516072"/>
    <w:rsid w:val="0052105F"/>
    <w:rsid w:val="00521595"/>
    <w:rsid w:val="0052452B"/>
    <w:rsid w:val="005256C1"/>
    <w:rsid w:val="00526327"/>
    <w:rsid w:val="005332EC"/>
    <w:rsid w:val="00534418"/>
    <w:rsid w:val="005353AB"/>
    <w:rsid w:val="00543EA7"/>
    <w:rsid w:val="00544B71"/>
    <w:rsid w:val="005468F1"/>
    <w:rsid w:val="005560BC"/>
    <w:rsid w:val="005573BE"/>
    <w:rsid w:val="00560AA5"/>
    <w:rsid w:val="00572700"/>
    <w:rsid w:val="00577AC1"/>
    <w:rsid w:val="00580468"/>
    <w:rsid w:val="00581BBE"/>
    <w:rsid w:val="00582231"/>
    <w:rsid w:val="0058310B"/>
    <w:rsid w:val="0058603B"/>
    <w:rsid w:val="0059431B"/>
    <w:rsid w:val="005947C5"/>
    <w:rsid w:val="00594B6F"/>
    <w:rsid w:val="005A39CC"/>
    <w:rsid w:val="005A3B94"/>
    <w:rsid w:val="005A4EE7"/>
    <w:rsid w:val="005A53B8"/>
    <w:rsid w:val="005B0F41"/>
    <w:rsid w:val="005B4730"/>
    <w:rsid w:val="005C62AD"/>
    <w:rsid w:val="005C7000"/>
    <w:rsid w:val="005C795B"/>
    <w:rsid w:val="005D4A6E"/>
    <w:rsid w:val="005D6031"/>
    <w:rsid w:val="005D7A15"/>
    <w:rsid w:val="005E05D7"/>
    <w:rsid w:val="005E1FE5"/>
    <w:rsid w:val="005E29B4"/>
    <w:rsid w:val="005E3DB8"/>
    <w:rsid w:val="005E41E7"/>
    <w:rsid w:val="005E450F"/>
    <w:rsid w:val="005F267D"/>
    <w:rsid w:val="00603FAD"/>
    <w:rsid w:val="00617C91"/>
    <w:rsid w:val="00621650"/>
    <w:rsid w:val="0062298A"/>
    <w:rsid w:val="00626514"/>
    <w:rsid w:val="00626589"/>
    <w:rsid w:val="006305BC"/>
    <w:rsid w:val="006339A0"/>
    <w:rsid w:val="006413A8"/>
    <w:rsid w:val="00642E56"/>
    <w:rsid w:val="00651E00"/>
    <w:rsid w:val="0066452B"/>
    <w:rsid w:val="00666385"/>
    <w:rsid w:val="006715E9"/>
    <w:rsid w:val="00674572"/>
    <w:rsid w:val="00675CC7"/>
    <w:rsid w:val="0068434B"/>
    <w:rsid w:val="00687763"/>
    <w:rsid w:val="00692B0D"/>
    <w:rsid w:val="0069360D"/>
    <w:rsid w:val="00693E0E"/>
    <w:rsid w:val="00697C6E"/>
    <w:rsid w:val="006A1AE3"/>
    <w:rsid w:val="006A6E7E"/>
    <w:rsid w:val="006B6A79"/>
    <w:rsid w:val="006B7527"/>
    <w:rsid w:val="006C30E1"/>
    <w:rsid w:val="006C4607"/>
    <w:rsid w:val="006D0181"/>
    <w:rsid w:val="006D48F1"/>
    <w:rsid w:val="006E42C0"/>
    <w:rsid w:val="006E6A7B"/>
    <w:rsid w:val="006F2457"/>
    <w:rsid w:val="006F45BE"/>
    <w:rsid w:val="007004FC"/>
    <w:rsid w:val="0070221E"/>
    <w:rsid w:val="00704267"/>
    <w:rsid w:val="00706670"/>
    <w:rsid w:val="00711F59"/>
    <w:rsid w:val="0072417C"/>
    <w:rsid w:val="00726F0A"/>
    <w:rsid w:val="00727043"/>
    <w:rsid w:val="007338FC"/>
    <w:rsid w:val="00734450"/>
    <w:rsid w:val="0074171F"/>
    <w:rsid w:val="00745F67"/>
    <w:rsid w:val="0075039E"/>
    <w:rsid w:val="00752D9D"/>
    <w:rsid w:val="00754784"/>
    <w:rsid w:val="00757C6E"/>
    <w:rsid w:val="00762BDA"/>
    <w:rsid w:val="007701DE"/>
    <w:rsid w:val="0077033B"/>
    <w:rsid w:val="00774021"/>
    <w:rsid w:val="007805FD"/>
    <w:rsid w:val="00784422"/>
    <w:rsid w:val="00787D46"/>
    <w:rsid w:val="00792D79"/>
    <w:rsid w:val="00794411"/>
    <w:rsid w:val="0079482A"/>
    <w:rsid w:val="0079527F"/>
    <w:rsid w:val="00797BEF"/>
    <w:rsid w:val="007A5E80"/>
    <w:rsid w:val="007B3B54"/>
    <w:rsid w:val="007B3FA0"/>
    <w:rsid w:val="007C07D9"/>
    <w:rsid w:val="007C0F2C"/>
    <w:rsid w:val="007C23D5"/>
    <w:rsid w:val="007C2BCC"/>
    <w:rsid w:val="007C4EF0"/>
    <w:rsid w:val="007C6348"/>
    <w:rsid w:val="007D099D"/>
    <w:rsid w:val="007E2664"/>
    <w:rsid w:val="007E3ABF"/>
    <w:rsid w:val="007E5BFA"/>
    <w:rsid w:val="007E6689"/>
    <w:rsid w:val="007E731C"/>
    <w:rsid w:val="007F0224"/>
    <w:rsid w:val="007F0A03"/>
    <w:rsid w:val="00802A27"/>
    <w:rsid w:val="008059B5"/>
    <w:rsid w:val="00810040"/>
    <w:rsid w:val="00811DD4"/>
    <w:rsid w:val="008137B6"/>
    <w:rsid w:val="00814DFD"/>
    <w:rsid w:val="0082023A"/>
    <w:rsid w:val="00821A7A"/>
    <w:rsid w:val="008225EE"/>
    <w:rsid w:val="008253F8"/>
    <w:rsid w:val="0082626E"/>
    <w:rsid w:val="00831438"/>
    <w:rsid w:val="008325E4"/>
    <w:rsid w:val="00832720"/>
    <w:rsid w:val="00832A2B"/>
    <w:rsid w:val="00843277"/>
    <w:rsid w:val="00845811"/>
    <w:rsid w:val="008458A6"/>
    <w:rsid w:val="00846994"/>
    <w:rsid w:val="00850451"/>
    <w:rsid w:val="00851705"/>
    <w:rsid w:val="00852042"/>
    <w:rsid w:val="00852F92"/>
    <w:rsid w:val="008534C9"/>
    <w:rsid w:val="00853665"/>
    <w:rsid w:val="0085599D"/>
    <w:rsid w:val="0087328C"/>
    <w:rsid w:val="00873C8E"/>
    <w:rsid w:val="0087510C"/>
    <w:rsid w:val="008843CE"/>
    <w:rsid w:val="00885CEA"/>
    <w:rsid w:val="008968D2"/>
    <w:rsid w:val="0089738E"/>
    <w:rsid w:val="008A10CB"/>
    <w:rsid w:val="008A32FF"/>
    <w:rsid w:val="008B3C09"/>
    <w:rsid w:val="008B5FDB"/>
    <w:rsid w:val="008C50F4"/>
    <w:rsid w:val="008C5649"/>
    <w:rsid w:val="008C697B"/>
    <w:rsid w:val="008D4DEC"/>
    <w:rsid w:val="008D5E5E"/>
    <w:rsid w:val="008E44A2"/>
    <w:rsid w:val="008E50A8"/>
    <w:rsid w:val="008E697D"/>
    <w:rsid w:val="008E6FBE"/>
    <w:rsid w:val="00902B15"/>
    <w:rsid w:val="00903263"/>
    <w:rsid w:val="00906A21"/>
    <w:rsid w:val="009079C3"/>
    <w:rsid w:val="00910462"/>
    <w:rsid w:val="00910C41"/>
    <w:rsid w:val="009114CD"/>
    <w:rsid w:val="00915AB1"/>
    <w:rsid w:val="00915EAB"/>
    <w:rsid w:val="00917532"/>
    <w:rsid w:val="009202EE"/>
    <w:rsid w:val="009235BA"/>
    <w:rsid w:val="00924023"/>
    <w:rsid w:val="00924CE2"/>
    <w:rsid w:val="00925B9F"/>
    <w:rsid w:val="00927257"/>
    <w:rsid w:val="00931AED"/>
    <w:rsid w:val="00933E07"/>
    <w:rsid w:val="00934D4F"/>
    <w:rsid w:val="00941409"/>
    <w:rsid w:val="00944FAE"/>
    <w:rsid w:val="009476A3"/>
    <w:rsid w:val="009503E1"/>
    <w:rsid w:val="0095334F"/>
    <w:rsid w:val="009543EC"/>
    <w:rsid w:val="00965897"/>
    <w:rsid w:val="0096765C"/>
    <w:rsid w:val="009677ED"/>
    <w:rsid w:val="009727E4"/>
    <w:rsid w:val="0097297B"/>
    <w:rsid w:val="00974C45"/>
    <w:rsid w:val="0097584A"/>
    <w:rsid w:val="0098064B"/>
    <w:rsid w:val="0098141A"/>
    <w:rsid w:val="009934C5"/>
    <w:rsid w:val="00994C0F"/>
    <w:rsid w:val="009A0C8E"/>
    <w:rsid w:val="009A5A45"/>
    <w:rsid w:val="009A6361"/>
    <w:rsid w:val="009B0FF5"/>
    <w:rsid w:val="009B1BF6"/>
    <w:rsid w:val="009B22D7"/>
    <w:rsid w:val="009B2745"/>
    <w:rsid w:val="009B3244"/>
    <w:rsid w:val="009B59C9"/>
    <w:rsid w:val="009B72ED"/>
    <w:rsid w:val="009C20B6"/>
    <w:rsid w:val="009C53DB"/>
    <w:rsid w:val="009C5FF3"/>
    <w:rsid w:val="009C6DEB"/>
    <w:rsid w:val="009D6504"/>
    <w:rsid w:val="009D7AAD"/>
    <w:rsid w:val="009D7D50"/>
    <w:rsid w:val="009E12D7"/>
    <w:rsid w:val="009E661A"/>
    <w:rsid w:val="009F7769"/>
    <w:rsid w:val="00A06781"/>
    <w:rsid w:val="00A071B2"/>
    <w:rsid w:val="00A074C3"/>
    <w:rsid w:val="00A11462"/>
    <w:rsid w:val="00A1509C"/>
    <w:rsid w:val="00A16F4B"/>
    <w:rsid w:val="00A20B20"/>
    <w:rsid w:val="00A20F9C"/>
    <w:rsid w:val="00A249B9"/>
    <w:rsid w:val="00A34260"/>
    <w:rsid w:val="00A4190A"/>
    <w:rsid w:val="00A46D3C"/>
    <w:rsid w:val="00A5232E"/>
    <w:rsid w:val="00A609E7"/>
    <w:rsid w:val="00A65375"/>
    <w:rsid w:val="00A65476"/>
    <w:rsid w:val="00A70BF6"/>
    <w:rsid w:val="00A70CFD"/>
    <w:rsid w:val="00A70F16"/>
    <w:rsid w:val="00A714E9"/>
    <w:rsid w:val="00A72A0B"/>
    <w:rsid w:val="00A74E07"/>
    <w:rsid w:val="00A80518"/>
    <w:rsid w:val="00A81E42"/>
    <w:rsid w:val="00A864FE"/>
    <w:rsid w:val="00A86F41"/>
    <w:rsid w:val="00A87D04"/>
    <w:rsid w:val="00A950C5"/>
    <w:rsid w:val="00AA107D"/>
    <w:rsid w:val="00AA19F9"/>
    <w:rsid w:val="00AA1D25"/>
    <w:rsid w:val="00AA31BB"/>
    <w:rsid w:val="00AA5AA2"/>
    <w:rsid w:val="00AA5F5C"/>
    <w:rsid w:val="00AB11BA"/>
    <w:rsid w:val="00AB2B1A"/>
    <w:rsid w:val="00AB397F"/>
    <w:rsid w:val="00AB5832"/>
    <w:rsid w:val="00AC51F2"/>
    <w:rsid w:val="00AC7B48"/>
    <w:rsid w:val="00AD1E34"/>
    <w:rsid w:val="00AD3269"/>
    <w:rsid w:val="00AD62A1"/>
    <w:rsid w:val="00AD6528"/>
    <w:rsid w:val="00AE1FDB"/>
    <w:rsid w:val="00AE4599"/>
    <w:rsid w:val="00AE5066"/>
    <w:rsid w:val="00AE5E24"/>
    <w:rsid w:val="00AE61B7"/>
    <w:rsid w:val="00AE6CBA"/>
    <w:rsid w:val="00AE79AD"/>
    <w:rsid w:val="00AF35E4"/>
    <w:rsid w:val="00AF4F1F"/>
    <w:rsid w:val="00AF5CDE"/>
    <w:rsid w:val="00B069D7"/>
    <w:rsid w:val="00B07682"/>
    <w:rsid w:val="00B11A57"/>
    <w:rsid w:val="00B13208"/>
    <w:rsid w:val="00B171A4"/>
    <w:rsid w:val="00B17C99"/>
    <w:rsid w:val="00B211C3"/>
    <w:rsid w:val="00B2317D"/>
    <w:rsid w:val="00B23F47"/>
    <w:rsid w:val="00B2400B"/>
    <w:rsid w:val="00B244D1"/>
    <w:rsid w:val="00B25597"/>
    <w:rsid w:val="00B267B9"/>
    <w:rsid w:val="00B2698D"/>
    <w:rsid w:val="00B33E09"/>
    <w:rsid w:val="00B34D14"/>
    <w:rsid w:val="00B47C62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5CF"/>
    <w:rsid w:val="00B91B8D"/>
    <w:rsid w:val="00B9481A"/>
    <w:rsid w:val="00B94E90"/>
    <w:rsid w:val="00BA4296"/>
    <w:rsid w:val="00BA6308"/>
    <w:rsid w:val="00BA7FB2"/>
    <w:rsid w:val="00BB0A82"/>
    <w:rsid w:val="00BB1850"/>
    <w:rsid w:val="00BB405A"/>
    <w:rsid w:val="00BB7C94"/>
    <w:rsid w:val="00BC0A9D"/>
    <w:rsid w:val="00BD447A"/>
    <w:rsid w:val="00BE1B4A"/>
    <w:rsid w:val="00BE707A"/>
    <w:rsid w:val="00BF01DB"/>
    <w:rsid w:val="00BF37BD"/>
    <w:rsid w:val="00BF40ED"/>
    <w:rsid w:val="00BF5BC2"/>
    <w:rsid w:val="00C1133D"/>
    <w:rsid w:val="00C2127F"/>
    <w:rsid w:val="00C27A08"/>
    <w:rsid w:val="00C31312"/>
    <w:rsid w:val="00C31E36"/>
    <w:rsid w:val="00C326C6"/>
    <w:rsid w:val="00C35295"/>
    <w:rsid w:val="00C36ADD"/>
    <w:rsid w:val="00C36E74"/>
    <w:rsid w:val="00C401C7"/>
    <w:rsid w:val="00C40595"/>
    <w:rsid w:val="00C41621"/>
    <w:rsid w:val="00C41861"/>
    <w:rsid w:val="00C43476"/>
    <w:rsid w:val="00C449FA"/>
    <w:rsid w:val="00C472EA"/>
    <w:rsid w:val="00C50194"/>
    <w:rsid w:val="00C52F74"/>
    <w:rsid w:val="00C5384F"/>
    <w:rsid w:val="00C55C4B"/>
    <w:rsid w:val="00C55CF3"/>
    <w:rsid w:val="00C56964"/>
    <w:rsid w:val="00C627F0"/>
    <w:rsid w:val="00C656D5"/>
    <w:rsid w:val="00C67103"/>
    <w:rsid w:val="00C71BB9"/>
    <w:rsid w:val="00C90BBC"/>
    <w:rsid w:val="00C93F0D"/>
    <w:rsid w:val="00C94C28"/>
    <w:rsid w:val="00CA24B4"/>
    <w:rsid w:val="00CB0247"/>
    <w:rsid w:val="00CB3440"/>
    <w:rsid w:val="00CB47C7"/>
    <w:rsid w:val="00CC1692"/>
    <w:rsid w:val="00CC1E0A"/>
    <w:rsid w:val="00CC2A1B"/>
    <w:rsid w:val="00CC4263"/>
    <w:rsid w:val="00CC5236"/>
    <w:rsid w:val="00CD1346"/>
    <w:rsid w:val="00CD138B"/>
    <w:rsid w:val="00CD315E"/>
    <w:rsid w:val="00CD3E31"/>
    <w:rsid w:val="00CD74A3"/>
    <w:rsid w:val="00CE0527"/>
    <w:rsid w:val="00CE4665"/>
    <w:rsid w:val="00CE5B23"/>
    <w:rsid w:val="00CE5EF3"/>
    <w:rsid w:val="00CE671C"/>
    <w:rsid w:val="00CF0725"/>
    <w:rsid w:val="00CF70AD"/>
    <w:rsid w:val="00CF7729"/>
    <w:rsid w:val="00D00059"/>
    <w:rsid w:val="00D072A9"/>
    <w:rsid w:val="00D107FA"/>
    <w:rsid w:val="00D12275"/>
    <w:rsid w:val="00D126EF"/>
    <w:rsid w:val="00D12766"/>
    <w:rsid w:val="00D14869"/>
    <w:rsid w:val="00D17071"/>
    <w:rsid w:val="00D17D2C"/>
    <w:rsid w:val="00D20DC4"/>
    <w:rsid w:val="00D20FF4"/>
    <w:rsid w:val="00D2417D"/>
    <w:rsid w:val="00D24C1C"/>
    <w:rsid w:val="00D24D2C"/>
    <w:rsid w:val="00D256E8"/>
    <w:rsid w:val="00D35881"/>
    <w:rsid w:val="00D36317"/>
    <w:rsid w:val="00D4004D"/>
    <w:rsid w:val="00D54B10"/>
    <w:rsid w:val="00D54BCE"/>
    <w:rsid w:val="00D62374"/>
    <w:rsid w:val="00D65367"/>
    <w:rsid w:val="00D657D7"/>
    <w:rsid w:val="00D76C6A"/>
    <w:rsid w:val="00D82DB6"/>
    <w:rsid w:val="00D83B61"/>
    <w:rsid w:val="00D948BC"/>
    <w:rsid w:val="00DA34A8"/>
    <w:rsid w:val="00DA6846"/>
    <w:rsid w:val="00DA6AF4"/>
    <w:rsid w:val="00DA7DA5"/>
    <w:rsid w:val="00DB055F"/>
    <w:rsid w:val="00DB073B"/>
    <w:rsid w:val="00DB0BC2"/>
    <w:rsid w:val="00DB4D26"/>
    <w:rsid w:val="00DB7074"/>
    <w:rsid w:val="00DB78F0"/>
    <w:rsid w:val="00DC0CEA"/>
    <w:rsid w:val="00DC2E43"/>
    <w:rsid w:val="00DD095C"/>
    <w:rsid w:val="00DD1020"/>
    <w:rsid w:val="00DD1330"/>
    <w:rsid w:val="00DD2BEA"/>
    <w:rsid w:val="00DE0B83"/>
    <w:rsid w:val="00DE1A81"/>
    <w:rsid w:val="00DE1C13"/>
    <w:rsid w:val="00DE4E10"/>
    <w:rsid w:val="00DF2C9F"/>
    <w:rsid w:val="00E02ABF"/>
    <w:rsid w:val="00E07E54"/>
    <w:rsid w:val="00E14995"/>
    <w:rsid w:val="00E179CD"/>
    <w:rsid w:val="00E21307"/>
    <w:rsid w:val="00E23E8D"/>
    <w:rsid w:val="00E2556C"/>
    <w:rsid w:val="00E317CE"/>
    <w:rsid w:val="00E37F98"/>
    <w:rsid w:val="00E46559"/>
    <w:rsid w:val="00E503DC"/>
    <w:rsid w:val="00E55F9E"/>
    <w:rsid w:val="00E5736A"/>
    <w:rsid w:val="00E62786"/>
    <w:rsid w:val="00E6670C"/>
    <w:rsid w:val="00E776E8"/>
    <w:rsid w:val="00E9069A"/>
    <w:rsid w:val="00E92C1F"/>
    <w:rsid w:val="00E946E7"/>
    <w:rsid w:val="00E95D4B"/>
    <w:rsid w:val="00EA2A60"/>
    <w:rsid w:val="00EA3DAA"/>
    <w:rsid w:val="00EB199F"/>
    <w:rsid w:val="00EC23F7"/>
    <w:rsid w:val="00EC4BD8"/>
    <w:rsid w:val="00EC58D2"/>
    <w:rsid w:val="00EC63EB"/>
    <w:rsid w:val="00ED412F"/>
    <w:rsid w:val="00EF35C3"/>
    <w:rsid w:val="00EF36B2"/>
    <w:rsid w:val="00EF6727"/>
    <w:rsid w:val="00F1246B"/>
    <w:rsid w:val="00F12AF2"/>
    <w:rsid w:val="00F13273"/>
    <w:rsid w:val="00F201EC"/>
    <w:rsid w:val="00F208A9"/>
    <w:rsid w:val="00F2552A"/>
    <w:rsid w:val="00F30A4D"/>
    <w:rsid w:val="00F41D75"/>
    <w:rsid w:val="00F42BDA"/>
    <w:rsid w:val="00F45A52"/>
    <w:rsid w:val="00F45B3B"/>
    <w:rsid w:val="00F5139D"/>
    <w:rsid w:val="00F53ABD"/>
    <w:rsid w:val="00F55E53"/>
    <w:rsid w:val="00F613F1"/>
    <w:rsid w:val="00F63DAC"/>
    <w:rsid w:val="00F66191"/>
    <w:rsid w:val="00F7454F"/>
    <w:rsid w:val="00F77988"/>
    <w:rsid w:val="00F77F48"/>
    <w:rsid w:val="00F846C7"/>
    <w:rsid w:val="00F929BF"/>
    <w:rsid w:val="00F97C00"/>
    <w:rsid w:val="00FB2199"/>
    <w:rsid w:val="00FB30F1"/>
    <w:rsid w:val="00FB53E7"/>
    <w:rsid w:val="00FD2A8A"/>
    <w:rsid w:val="00FD4389"/>
    <w:rsid w:val="00FD78E1"/>
    <w:rsid w:val="00F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basedOn w:val="Noklusjumarindkopasfonts"/>
    <w:rsid w:val="008C5649"/>
    <w:rPr>
      <w:b/>
      <w:bCs/>
      <w:color w:val="333333"/>
    </w:rPr>
  </w:style>
  <w:style w:type="character" w:styleId="Komentraatsauce">
    <w:name w:val="annotation reference"/>
    <w:basedOn w:val="Noklusjumarindkopasfonts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aatkpe2">
    <w:name w:val="Body Text Indent 2"/>
    <w:basedOn w:val="Parastais"/>
    <w:link w:val="Pamattekstaatkpe2Rakstz"/>
    <w:rsid w:val="008059B5"/>
    <w:pPr>
      <w:spacing w:after="120" w:line="480" w:lineRule="auto"/>
      <w:ind w:left="283"/>
    </w:pPr>
    <w:rPr>
      <w:rFonts w:eastAsia="Calibri"/>
    </w:rPr>
  </w:style>
  <w:style w:type="character" w:customStyle="1" w:styleId="Pamattekstaatkpe2Rakstz">
    <w:name w:val="Pamatteksta atkāpe 2 Rakstz."/>
    <w:basedOn w:val="Noklusjumarindkopasfonts"/>
    <w:link w:val="Pamattekstaatkpe2"/>
    <w:rsid w:val="008059B5"/>
    <w:rPr>
      <w:rFonts w:eastAsia="Calibri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B069D7"/>
    <w:rPr>
      <w:sz w:val="24"/>
      <w:szCs w:val="24"/>
    </w:rPr>
  </w:style>
  <w:style w:type="paragraph" w:styleId="Pamatteksts2">
    <w:name w:val="Body Text 2"/>
    <w:basedOn w:val="Parastais"/>
    <w:link w:val="Pamatteksts2Rakstz"/>
    <w:rsid w:val="00E2130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E213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9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Bul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F9DC-C5D5-423B-9FCF-B2F6C48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810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;  Ministru kabineta rīkojuma projekta "Par finanšu līdzekļu piešķiršanu no valsts budžeta programmas "Līdzekļi neparedzētiem gadījumiem"" sākotnējās ietekmes novērtējuma ziņojums (anotācija)</vt:lpstr>
    </vt:vector>
  </TitlesOfParts>
  <Company>LR Kultūras Ministrija</Company>
  <LinksUpToDate>false</LinksUpToDate>
  <CharactersWithSpaces>6424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  Ministru kabineta rīkojuma projekta "Par finanšu līdzekļu piešķiršanu no valsts budžeta programmas "Līdzekļi neparedzētiem gadījumiem"" sākotnējās ietekmes novērtējuma ziņojums (anotācija)</dc:title>
  <dc:subject>Ministru kabineta rīkojuma projekta "Par finanšu līdzekļu piešķiršanu no valsts budžeta programmas "Līdzekļi neparedzētiem gadījumiem"" sākotnējās ietekmes novērtējuma ziņojums (anotācija)</dc:subject>
  <dc:creator>Arta Alberta</dc:creator>
  <dc:description>A.Alberta
67330257,
Arta.Alberta@km.gov.lv</dc:description>
  <cp:lastModifiedBy>Juris Ļipuncovs</cp:lastModifiedBy>
  <cp:revision>4</cp:revision>
  <cp:lastPrinted>2012-11-21T11:55:00Z</cp:lastPrinted>
  <dcterms:created xsi:type="dcterms:W3CDTF">2012-11-27T06:46:00Z</dcterms:created>
  <dcterms:modified xsi:type="dcterms:W3CDTF">2012-12-06T10:42:00Z</dcterms:modified>
</cp:coreProperties>
</file>