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D82A17" w:rsidRDefault="007F0224" w:rsidP="00564673">
      <w:pPr>
        <w:jc w:val="center"/>
        <w:outlineLvl w:val="0"/>
        <w:rPr>
          <w:b/>
        </w:rPr>
      </w:pPr>
      <w:bookmarkStart w:id="0" w:name="OLE_LINK3"/>
      <w:bookmarkStart w:id="1" w:name="OLE_LINK4"/>
      <w:bookmarkStart w:id="2" w:name="OLE_LINK11"/>
      <w:bookmarkStart w:id="3" w:name="OLE_LINK12"/>
      <w:bookmarkStart w:id="4" w:name="OLE_LINK5"/>
      <w:bookmarkStart w:id="5" w:name="OLE_LINK6"/>
      <w:r w:rsidRPr="00D82A17">
        <w:rPr>
          <w:b/>
        </w:rPr>
        <w:t>Ministru kabineta rīkojuma projekta</w:t>
      </w:r>
    </w:p>
    <w:p w:rsidR="00E2556C" w:rsidRPr="00D82A17" w:rsidRDefault="007F0224" w:rsidP="007F0224">
      <w:pPr>
        <w:jc w:val="center"/>
        <w:rPr>
          <w:b/>
        </w:rPr>
      </w:pPr>
      <w:r w:rsidRPr="00D82A17">
        <w:rPr>
          <w:b/>
        </w:rPr>
        <w:t xml:space="preserve">„Par finanšu līdzekļu piešķiršanu no valsts budžeta programmas </w:t>
      </w:r>
    </w:p>
    <w:p w:rsidR="00AD1E34" w:rsidRPr="00D82A17" w:rsidRDefault="007F0224" w:rsidP="00E2556C">
      <w:pPr>
        <w:jc w:val="center"/>
        <w:rPr>
          <w:b/>
        </w:rPr>
      </w:pPr>
      <w:r w:rsidRPr="00D82A17">
        <w:rPr>
          <w:b/>
        </w:rPr>
        <w:t xml:space="preserve">„Līdzekļi neparedzētiem gadījumiem”” sākotnējās ietekmes novērtējuma </w:t>
      </w:r>
    </w:p>
    <w:p w:rsidR="00FD4826" w:rsidRPr="00D82A17" w:rsidRDefault="007F0224" w:rsidP="00564673">
      <w:pPr>
        <w:jc w:val="center"/>
        <w:rPr>
          <w:b/>
        </w:rPr>
      </w:pPr>
      <w:r w:rsidRPr="00D82A17">
        <w:rPr>
          <w:b/>
        </w:rPr>
        <w:t>ziņojums (anotācija)</w:t>
      </w:r>
      <w:bookmarkEnd w:id="0"/>
      <w:bookmarkEnd w:id="1"/>
      <w:bookmarkEnd w:id="2"/>
      <w:bookmarkEnd w:id="3"/>
    </w:p>
    <w:tbl>
      <w:tblPr>
        <w:tblpPr w:leftFromText="180" w:rightFromText="180" w:vertAnchor="text" w:horzAnchor="margin" w:tblpXSpec="center" w:tblpY="149"/>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3"/>
        <w:gridCol w:w="2891"/>
        <w:gridCol w:w="5695"/>
      </w:tblGrid>
      <w:tr w:rsidR="00852042" w:rsidRPr="00D82A17" w:rsidTr="00864753">
        <w:trPr>
          <w:trHeight w:val="416"/>
        </w:trPr>
        <w:tc>
          <w:tcPr>
            <w:tcW w:w="5000" w:type="pct"/>
            <w:gridSpan w:val="3"/>
            <w:vAlign w:val="center"/>
          </w:tcPr>
          <w:bookmarkEnd w:id="4"/>
          <w:bookmarkEnd w:id="5"/>
          <w:p w:rsidR="00852042" w:rsidRPr="00D82A17" w:rsidRDefault="00852042" w:rsidP="006C4607">
            <w:pPr>
              <w:pStyle w:val="naisnod"/>
              <w:spacing w:before="0" w:after="0"/>
            </w:pPr>
            <w:r w:rsidRPr="00D82A17">
              <w:t>I</w:t>
            </w:r>
            <w:r w:rsidR="000941C5" w:rsidRPr="00D82A17">
              <w:t>.</w:t>
            </w:r>
            <w:r w:rsidRPr="00D82A17">
              <w:t xml:space="preserve"> Tiesību akta </w:t>
            </w:r>
            <w:r w:rsidR="002E3FF4" w:rsidRPr="00D82A17">
              <w:t xml:space="preserve">projekta </w:t>
            </w:r>
            <w:r w:rsidRPr="00D82A17">
              <w:t>izstrādes nepieciešamība</w:t>
            </w:r>
          </w:p>
        </w:tc>
      </w:tr>
      <w:tr w:rsidR="00262E2B" w:rsidRPr="00D82A17" w:rsidTr="002A5FBF">
        <w:trPr>
          <w:trHeight w:val="415"/>
        </w:trPr>
        <w:tc>
          <w:tcPr>
            <w:tcW w:w="343" w:type="pct"/>
          </w:tcPr>
          <w:p w:rsidR="00262E2B" w:rsidRPr="00D82A17" w:rsidRDefault="00262E2B" w:rsidP="006C4607">
            <w:pPr>
              <w:pStyle w:val="naiskr"/>
              <w:spacing w:before="0" w:after="0"/>
            </w:pPr>
            <w:r w:rsidRPr="00D82A17">
              <w:t>1.</w:t>
            </w:r>
          </w:p>
        </w:tc>
        <w:tc>
          <w:tcPr>
            <w:tcW w:w="1568" w:type="pct"/>
          </w:tcPr>
          <w:p w:rsidR="00262E2B" w:rsidRPr="00D82A17" w:rsidRDefault="002D7F54" w:rsidP="006C4607">
            <w:pPr>
              <w:pStyle w:val="naiskr"/>
              <w:spacing w:before="0" w:after="0"/>
              <w:ind w:hanging="10"/>
            </w:pPr>
            <w:r w:rsidRPr="00D82A17">
              <w:t>Pamatojums</w:t>
            </w:r>
          </w:p>
        </w:tc>
        <w:tc>
          <w:tcPr>
            <w:tcW w:w="3089" w:type="pct"/>
          </w:tcPr>
          <w:p w:rsidR="00262E2B" w:rsidRPr="00D82A17" w:rsidRDefault="00E2556C" w:rsidP="00CF6B77">
            <w:pPr>
              <w:pStyle w:val="naiskr"/>
              <w:spacing w:before="0" w:after="0"/>
              <w:ind w:firstLine="592"/>
              <w:jc w:val="both"/>
            </w:pPr>
            <w:r w:rsidRPr="00D82A17">
              <w:t xml:space="preserve">Ministru kabineta rīkojuma projekts „Par finanšu līdzekļu piešķiršanu no valsts budžeta programmas „Līdzekļi neparedzētiem gadījumiem”” (turpmāk – </w:t>
            </w:r>
            <w:r w:rsidR="00F26111">
              <w:t>r</w:t>
            </w:r>
            <w:r w:rsidRPr="00D82A17">
              <w:t>īkojuma projekts)</w:t>
            </w:r>
            <w:r w:rsidR="00065314" w:rsidRPr="00D82A17">
              <w:t xml:space="preserve"> </w:t>
            </w:r>
            <w:r w:rsidRPr="00D82A17">
              <w:t xml:space="preserve">izstrādāts </w:t>
            </w:r>
            <w:r w:rsidR="00CF6B77" w:rsidRPr="00CF6B77">
              <w:t xml:space="preserve">atbilstoši Ministru kabineta 2013.gada 26.marta </w:t>
            </w:r>
            <w:proofErr w:type="spellStart"/>
            <w:r w:rsidR="00CF6B77" w:rsidRPr="00CF6B77">
              <w:t>protokollēmuma</w:t>
            </w:r>
            <w:proofErr w:type="spellEnd"/>
            <w:r w:rsidR="00CF6B77" w:rsidRPr="00CF6B77">
              <w:t xml:space="preserve"> (Nr.16 18.§) 2.punktā dotajam uzdevumam Kultūras ministrijai noteiktajā kārtībā sagatavot un iesniegt Ministru kabinetā tiesību aktu projektu par līdzekļu piešķiršanu 300 000 latu apmērā 2013.gadā no valsts budžeta programmas 02.00.00 "Līdzekļi neparedzētiem gadījumiem", lai nodrošinātu valsts budžeta līdzfinansējumu ārvalstu filmu uzņemšanai Latvijā 2013.gadā</w:t>
            </w:r>
            <w:r w:rsidR="00CF6B77">
              <w:t xml:space="preserve"> un </w:t>
            </w:r>
            <w:r w:rsidRPr="00D82A17">
              <w:t>s</w:t>
            </w:r>
            <w:r w:rsidR="00114300" w:rsidRPr="00D82A17">
              <w:t>askaņā ar</w:t>
            </w:r>
            <w:r w:rsidR="00CF6B77">
              <w:t xml:space="preserve"> </w:t>
            </w:r>
            <w:r w:rsidR="00CF6B77" w:rsidRPr="00CF6B77">
              <w:t>Ministru kabineta 2009.gada 22.decembra noteikumu Nr.1644 „</w:t>
            </w:r>
            <w:r w:rsidR="00CF6B77" w:rsidRPr="00CF6B77">
              <w:rPr>
                <w:bCs/>
              </w:rPr>
              <w:t>Kārtība, kādā pieprasa un izlieto budžeta programmas "Līdzekļi neparedzētiem gadījumiem" līdzekļus</w:t>
            </w:r>
            <w:r w:rsidR="00CF6B77" w:rsidRPr="00CF6B77">
              <w:t>” 3.punktu.</w:t>
            </w:r>
          </w:p>
        </w:tc>
      </w:tr>
      <w:tr w:rsidR="00262E2B" w:rsidRPr="00D82A17" w:rsidTr="002A5FBF">
        <w:trPr>
          <w:trHeight w:val="472"/>
        </w:trPr>
        <w:tc>
          <w:tcPr>
            <w:tcW w:w="343" w:type="pct"/>
          </w:tcPr>
          <w:p w:rsidR="00262E2B" w:rsidRPr="00D82A17" w:rsidRDefault="00262E2B" w:rsidP="006C4607">
            <w:pPr>
              <w:pStyle w:val="naiskr"/>
              <w:spacing w:before="0" w:after="0"/>
            </w:pPr>
            <w:r w:rsidRPr="00D82A17">
              <w:t>2.</w:t>
            </w:r>
          </w:p>
        </w:tc>
        <w:tc>
          <w:tcPr>
            <w:tcW w:w="1568" w:type="pct"/>
          </w:tcPr>
          <w:p w:rsidR="00262E2B" w:rsidRPr="00D82A17" w:rsidRDefault="00262E2B" w:rsidP="006C4607">
            <w:pPr>
              <w:pStyle w:val="naiskr"/>
              <w:tabs>
                <w:tab w:val="left" w:pos="170"/>
              </w:tabs>
              <w:spacing w:before="0" w:after="0"/>
            </w:pPr>
            <w:r w:rsidRPr="00D82A17">
              <w:t>Pašreizējā situācija</w:t>
            </w:r>
            <w:r w:rsidR="001F5CD6" w:rsidRPr="00D82A17">
              <w:t xml:space="preserve"> un problēmas</w:t>
            </w:r>
          </w:p>
        </w:tc>
        <w:tc>
          <w:tcPr>
            <w:tcW w:w="3089" w:type="pct"/>
          </w:tcPr>
          <w:p w:rsidR="00862817" w:rsidRPr="00D82A17" w:rsidRDefault="00862817" w:rsidP="00CF6B77">
            <w:pPr>
              <w:pStyle w:val="naisf"/>
              <w:spacing w:before="0" w:after="0"/>
              <w:ind w:firstLine="592"/>
            </w:pPr>
            <w:r w:rsidRPr="00D82A17">
              <w:t xml:space="preserve">Ņemot vērā Filmu likuma 11.pantā noteikto </w:t>
            </w:r>
            <w:r w:rsidRPr="00F5516C">
              <w:t>deleģējumu,</w:t>
            </w:r>
            <w:r w:rsidRPr="00D82A17">
              <w:t xml:space="preserve"> Kultūras ministrija 2012.gadā izstrādāja Ministru kabineta noteikumu projektu „Valsts budžeta līdzfinansējuma piešķiršanas kārtība ārvalstu filmu uzņemšanai Latvijā”, kuru 2012.gada 29.maijā sēdē (prot. Nr.30 13.§, TA-827) atbalstīja Ministru kabinets, vienlaikus nosakot:</w:t>
            </w:r>
          </w:p>
          <w:p w:rsidR="00862817" w:rsidRPr="00D82A17" w:rsidRDefault="00862817" w:rsidP="00862817">
            <w:pPr>
              <w:pStyle w:val="naisf"/>
              <w:numPr>
                <w:ilvl w:val="0"/>
                <w:numId w:val="47"/>
              </w:numPr>
              <w:spacing w:before="0" w:after="0"/>
              <w:ind w:left="338" w:hanging="284"/>
            </w:pPr>
            <w:r w:rsidRPr="00D82A17">
              <w:t>Kultūras ministrijai saskaņot noteikumu projektu ar Eiropas Komisiju un pēc saskaņojuma saņemšanas iesniegt attiecīgu informāciju Valsts kancelejā;</w:t>
            </w:r>
          </w:p>
          <w:p w:rsidR="00862817" w:rsidRPr="00D82A17" w:rsidRDefault="00862817" w:rsidP="00862817">
            <w:pPr>
              <w:pStyle w:val="naisf"/>
              <w:numPr>
                <w:ilvl w:val="0"/>
                <w:numId w:val="47"/>
              </w:numPr>
              <w:spacing w:before="0" w:after="0"/>
              <w:ind w:left="338" w:hanging="284"/>
            </w:pPr>
            <w:r w:rsidRPr="00D82A17">
              <w:t>Valsts kancelejai pēc informācijas saņemšanas iekļaut noteikumu projektu tuvākās Ministru kabineta sēdes darba kārtībā;</w:t>
            </w:r>
          </w:p>
          <w:p w:rsidR="00862817" w:rsidRPr="00D82A17" w:rsidRDefault="00862817" w:rsidP="00862817">
            <w:pPr>
              <w:pStyle w:val="naisf"/>
              <w:numPr>
                <w:ilvl w:val="0"/>
                <w:numId w:val="47"/>
              </w:numPr>
              <w:spacing w:before="0" w:after="0"/>
              <w:ind w:left="338" w:hanging="284"/>
            </w:pPr>
            <w:r w:rsidRPr="00D82A17">
              <w:t>jautājumu par finansējuma piešķiršanu valsts budžeta līdzfinansējumam ārvalstu filmu uzņemšanai Latvijā izskatīt valsts budžeta projekta 2013.gadam sagatavošanas procesā.</w:t>
            </w:r>
          </w:p>
          <w:p w:rsidR="00862817" w:rsidRPr="00D82A17" w:rsidRDefault="00862817" w:rsidP="00862817">
            <w:pPr>
              <w:pStyle w:val="naisf"/>
              <w:spacing w:before="0" w:after="0"/>
              <w:ind w:firstLine="0"/>
            </w:pPr>
          </w:p>
          <w:p w:rsidR="00862817" w:rsidRPr="00D82A17" w:rsidRDefault="00862817" w:rsidP="00862817">
            <w:pPr>
              <w:pStyle w:val="naisf"/>
              <w:spacing w:before="0" w:after="0"/>
              <w:ind w:left="54" w:firstLine="0"/>
            </w:pPr>
            <w:r w:rsidRPr="00D82A17">
              <w:t>Kultūras ministrija sagatavoja un elektroniskajā sistēmā SANI (</w:t>
            </w:r>
            <w:proofErr w:type="spellStart"/>
            <w:r w:rsidRPr="00D82A17">
              <w:rPr>
                <w:i/>
              </w:rPr>
              <w:t>State</w:t>
            </w:r>
            <w:proofErr w:type="spellEnd"/>
            <w:r w:rsidRPr="00D82A17">
              <w:rPr>
                <w:i/>
              </w:rPr>
              <w:t xml:space="preserve"> </w:t>
            </w:r>
            <w:proofErr w:type="spellStart"/>
            <w:r w:rsidRPr="00D82A17">
              <w:rPr>
                <w:i/>
              </w:rPr>
              <w:t>Aid</w:t>
            </w:r>
            <w:proofErr w:type="spellEnd"/>
            <w:r w:rsidRPr="00D82A17">
              <w:rPr>
                <w:i/>
              </w:rPr>
              <w:t xml:space="preserve"> </w:t>
            </w:r>
            <w:proofErr w:type="spellStart"/>
            <w:r w:rsidRPr="00D82A17">
              <w:rPr>
                <w:i/>
              </w:rPr>
              <w:t>Notifications</w:t>
            </w:r>
            <w:proofErr w:type="spellEnd"/>
            <w:r w:rsidRPr="00D82A17">
              <w:rPr>
                <w:i/>
              </w:rPr>
              <w:t xml:space="preserve"> </w:t>
            </w:r>
            <w:proofErr w:type="spellStart"/>
            <w:r w:rsidRPr="00D82A17">
              <w:rPr>
                <w:i/>
              </w:rPr>
              <w:t>Interactive</w:t>
            </w:r>
            <w:proofErr w:type="spellEnd"/>
            <w:r w:rsidRPr="00D82A17">
              <w:t xml:space="preserve">) parakstīja paziņojumu Eiropas Komisijai par papildinājumiem 2008.gadā ar Eiropas Komisiju jau saskaņotajai Latvijas filmu nozares atbalsta shēmai Nr.N233/2008. </w:t>
            </w:r>
          </w:p>
          <w:p w:rsidR="00862817" w:rsidRPr="00D82A17" w:rsidRDefault="00862817" w:rsidP="00862817">
            <w:pPr>
              <w:pStyle w:val="naisf"/>
              <w:spacing w:before="0" w:after="0"/>
              <w:ind w:left="54" w:firstLine="0"/>
            </w:pPr>
          </w:p>
          <w:p w:rsidR="00862817" w:rsidRPr="00D82A17" w:rsidRDefault="00862817" w:rsidP="00862817">
            <w:pPr>
              <w:ind w:left="54"/>
              <w:jc w:val="both"/>
            </w:pPr>
            <w:r w:rsidRPr="00D82A17">
              <w:t xml:space="preserve">Eiropas Komisija 2013.gada 11.janvārī pieņēma lēmumu par Valsts atbalstu SA.35398 (2012/N) – Latvija (turpmāk – EK lēmums) par 2008.gada 16.jūlijā Eiropas Komisijas apstiprinātās Latvijas filmu atbalsta shēmas (Nr.N233/2008) pagarinājumu līdz 2018.gada </w:t>
            </w:r>
            <w:r w:rsidRPr="00D82A17">
              <w:lastRenderedPageBreak/>
              <w:t>31.decembrim, vienlaikus saskaņojot Latvijas paziņotās shēmas izmaiņas saistībā ar plānoto valsts budžeta līdzfinansējuma piešķiršanu ārvalstu filmu uzņemšanai Latvijā.</w:t>
            </w:r>
          </w:p>
          <w:p w:rsidR="00862817" w:rsidRPr="00D82A17" w:rsidRDefault="00862817" w:rsidP="00862817">
            <w:pPr>
              <w:ind w:left="54"/>
              <w:jc w:val="both"/>
            </w:pPr>
          </w:p>
          <w:p w:rsidR="009740C2" w:rsidRPr="00D82A17" w:rsidRDefault="009740C2" w:rsidP="00862817">
            <w:pPr>
              <w:ind w:left="54"/>
              <w:jc w:val="both"/>
            </w:pPr>
            <w:r w:rsidRPr="00D82A17">
              <w:t>Kultūras ministrija atbilstoši EK lēmumam precizēja Ministru kabineta noteikumu projektu „Valsts budžeta līdzfinansējuma piešķiršanas kārtība ārvalstu filmu uzņemšanai Latvijā” un pēc saskaņošanas ar Tieslietu ministriju un Finanšu ministriju 2013.gada 22.martā iesniedza izskatīšanai Ministru kabineta sēdē.</w:t>
            </w:r>
          </w:p>
          <w:p w:rsidR="009740C2" w:rsidRPr="00D82A17" w:rsidRDefault="009740C2" w:rsidP="00862817">
            <w:pPr>
              <w:ind w:left="54"/>
              <w:jc w:val="both"/>
            </w:pPr>
          </w:p>
          <w:p w:rsidR="00862817" w:rsidRPr="00D82A17" w:rsidRDefault="00862817" w:rsidP="00862817">
            <w:pPr>
              <w:jc w:val="both"/>
            </w:pPr>
            <w:r w:rsidRPr="00D82A17">
              <w:t xml:space="preserve">Saskaņā ar Ministru kabineta 2012.gada 29.maija sēdes </w:t>
            </w:r>
            <w:proofErr w:type="spellStart"/>
            <w:r w:rsidRPr="00D82A17">
              <w:t>protokollēmuma</w:t>
            </w:r>
            <w:proofErr w:type="spellEnd"/>
            <w:r w:rsidRPr="00D82A17">
              <w:t xml:space="preserve"> (prot. Nr.30 13.§) 4.punktu jautājumu par finansējuma piešķiršanu valsts budžeta līdzfinansējumam ārvalstu filmu uzņemšanai Latvijā bija paredzēts izskatīt valsts budžeta projekta 2013.gadam sagatavošanas procesā. Ņemot vērā to, ka Ministru kabineta noteikumu projekts „Valsts budžeta līdzfinansējuma piešķiršanas kārtība ārvalstu filmu uzņemšanai Latvijā” ar Eiropas Komisiju tika sa</w:t>
            </w:r>
            <w:r w:rsidR="009740C2" w:rsidRPr="00D82A17">
              <w:t xml:space="preserve">skaņots 2013.gada 11.janvārī, nebija </w:t>
            </w:r>
            <w:r w:rsidRPr="00D82A17">
              <w:t xml:space="preserve">iespējams izpildīt Ministru kabineta 2012.gada 29.maija sēdes protokola (prot. Nr.30 13.§) 4.punktā doto uzdevumu, </w:t>
            </w:r>
            <w:r w:rsidR="009740C2" w:rsidRPr="00D82A17">
              <w:t xml:space="preserve">līdz ar to </w:t>
            </w:r>
            <w:r w:rsidRPr="00D82A17">
              <w:t>Kultūras ministrija, lai risinātu jautājumu par finansējuma piešķiršanu valsts budžeta līdzfinansējumam ārvalstu filmu uzņemšana</w:t>
            </w:r>
            <w:r w:rsidR="009740C2" w:rsidRPr="00D82A17">
              <w:t xml:space="preserve">i Latvijā, </w:t>
            </w:r>
            <w:r w:rsidRPr="00D82A17">
              <w:t>sagatavoj</w:t>
            </w:r>
            <w:r w:rsidR="009740C2" w:rsidRPr="00D82A17">
              <w:t>a</w:t>
            </w:r>
            <w:r w:rsidRPr="00D82A17">
              <w:t xml:space="preserve"> un </w:t>
            </w:r>
            <w:r w:rsidR="009740C2" w:rsidRPr="00D82A17">
              <w:t>Ministru kabineta noteikumu projektam „Valsts budžeta līdzfinansējuma piešķiršanas kārtība ārvalstu filmu uzņemšanai Latvijā” pievienoja</w:t>
            </w:r>
            <w:r w:rsidRPr="00D82A17">
              <w:t xml:space="preserve"> Ministru kabineta sēdes </w:t>
            </w:r>
            <w:proofErr w:type="spellStart"/>
            <w:r w:rsidRPr="00D82A17">
              <w:t>protokollēmuma</w:t>
            </w:r>
            <w:proofErr w:type="spellEnd"/>
            <w:r w:rsidRPr="00D82A17">
              <w:t xml:space="preserve"> projektu. </w:t>
            </w:r>
          </w:p>
          <w:p w:rsidR="009740C2" w:rsidRPr="00D82A17" w:rsidRDefault="009740C2" w:rsidP="00862817">
            <w:pPr>
              <w:jc w:val="both"/>
            </w:pPr>
          </w:p>
          <w:p w:rsidR="009740C2" w:rsidRDefault="009740C2" w:rsidP="00862817">
            <w:pPr>
              <w:jc w:val="both"/>
            </w:pPr>
            <w:r w:rsidRPr="00D82A17">
              <w:t xml:space="preserve">Ministru kabinets 2013.gada 26.marta sēdē izskatīja un pieņēma Ministru kabineta noteikumus </w:t>
            </w:r>
            <w:r w:rsidR="00F15006" w:rsidRPr="00F15006">
              <w:t>Nr.</w:t>
            </w:r>
            <w:r w:rsidR="00EF48B3">
              <w:t>163</w:t>
            </w:r>
            <w:r w:rsidRPr="00D82A17">
              <w:t xml:space="preserve"> „Valsts budžeta līdzfinansējuma piešķiršanas kārtība ārvalstu filmu uzņemšanai</w:t>
            </w:r>
            <w:r w:rsidR="00CA2F29" w:rsidRPr="00D82A17">
              <w:t xml:space="preserve"> Latvijā”, kā arī </w:t>
            </w:r>
            <w:r w:rsidR="00CF6B77" w:rsidRPr="00CF6B77">
              <w:t xml:space="preserve">Ministru kabineta 2013.gada 26.marta </w:t>
            </w:r>
            <w:proofErr w:type="spellStart"/>
            <w:r w:rsidR="00CF6B77" w:rsidRPr="00CF6B77">
              <w:t>protokollēmuma</w:t>
            </w:r>
            <w:proofErr w:type="spellEnd"/>
            <w:r w:rsidR="00CF6B77" w:rsidRPr="00CF6B77">
              <w:t xml:space="preserve"> (Nr.16 18.§) 2.punktā</w:t>
            </w:r>
            <w:r w:rsidR="00CF6B77" w:rsidRPr="00D82A17">
              <w:t xml:space="preserve"> </w:t>
            </w:r>
            <w:r w:rsidR="00CA2F29" w:rsidRPr="00D82A17">
              <w:t>deva uzdevumu Kultūras ministrijai normatīvajos aktos noteiktajā kārtībā sagatavot un iesniegt Ministru kabinetā tiesību aktu projektu par līdzekļu piešķiršanu 300 000 latu apmērā 2013.gadā no valsts budžeta programmas 02.00.00 „Līdzekļi neparedzētiem gadījumiem”, lai nodrošinātu valsts budžeta līdzfinansējumu ārvalstu filmu uzņemšanai Latvijā 2013.gadā.</w:t>
            </w:r>
          </w:p>
          <w:p w:rsidR="001D02CD" w:rsidRPr="00D82A17" w:rsidRDefault="001D02CD" w:rsidP="00862817">
            <w:pPr>
              <w:jc w:val="both"/>
            </w:pPr>
          </w:p>
          <w:p w:rsidR="00B47C62" w:rsidRPr="00D82A17" w:rsidRDefault="002D2DBB" w:rsidP="00F5516C">
            <w:pPr>
              <w:jc w:val="both"/>
            </w:pPr>
            <w:r w:rsidRPr="00D82A17">
              <w:t>Ievērojot minēto, Kultūras m</w:t>
            </w:r>
            <w:r w:rsidR="00CD6F80" w:rsidRPr="00D82A17">
              <w:t xml:space="preserve">inistrija, </w:t>
            </w:r>
            <w:r w:rsidR="009813D7" w:rsidRPr="00D82A17">
              <w:t xml:space="preserve">pamatojoties uz </w:t>
            </w:r>
            <w:r w:rsidR="002A5FBF" w:rsidRPr="00D82A17">
              <w:t xml:space="preserve">Ministru kabineta </w:t>
            </w:r>
            <w:r w:rsidR="002A5FBF" w:rsidRPr="00CF6B77">
              <w:t xml:space="preserve">2013.gada 26.marta </w:t>
            </w:r>
            <w:proofErr w:type="spellStart"/>
            <w:r w:rsidR="002A5FBF" w:rsidRPr="00CF6B77">
              <w:t>protokollēmuma</w:t>
            </w:r>
            <w:proofErr w:type="spellEnd"/>
            <w:r w:rsidR="002A5FBF" w:rsidRPr="00CF6B77">
              <w:t xml:space="preserve"> (Nr.</w:t>
            </w:r>
            <w:r w:rsidR="00D82A17" w:rsidRPr="00CF6B77">
              <w:t>16</w:t>
            </w:r>
            <w:r w:rsidR="002A5FBF" w:rsidRPr="00CF6B77">
              <w:t xml:space="preserve"> </w:t>
            </w:r>
            <w:r w:rsidR="00F5516C" w:rsidRPr="00CF6B77">
              <w:t>18</w:t>
            </w:r>
            <w:r w:rsidR="002A5FBF" w:rsidRPr="00CF6B77">
              <w:t>.§) 2.punktā</w:t>
            </w:r>
            <w:r w:rsidR="002A5FBF" w:rsidRPr="00D82A17">
              <w:t xml:space="preserve"> doto uzdevumu</w:t>
            </w:r>
            <w:r w:rsidR="00F5516C">
              <w:t xml:space="preserve"> un</w:t>
            </w:r>
            <w:r w:rsidR="002A5FBF" w:rsidRPr="00D82A17">
              <w:t xml:space="preserve"> saskaņā ar </w:t>
            </w:r>
            <w:r w:rsidRPr="00D82A17">
              <w:t>Ministru kabineta 2009.gada</w:t>
            </w:r>
            <w:r w:rsidR="002A5FBF" w:rsidRPr="00D82A17">
              <w:t xml:space="preserve"> 22.decembra </w:t>
            </w:r>
            <w:r w:rsidR="00F5516C" w:rsidRPr="00D82A17">
              <w:t>noteikum</w:t>
            </w:r>
            <w:r w:rsidR="00F5516C">
              <w:t>u</w:t>
            </w:r>
            <w:r w:rsidR="00F5516C" w:rsidRPr="00D82A17">
              <w:t xml:space="preserve"> </w:t>
            </w:r>
            <w:r w:rsidR="00543DF9" w:rsidRPr="00D82A17">
              <w:t>Nr.1644 „</w:t>
            </w:r>
            <w:r w:rsidRPr="00D82A17">
              <w:t>Kārtība, kādā pieprasa un izlieto budžeta programmas „Līdzekļi nepar</w:t>
            </w:r>
            <w:r w:rsidR="002A5FBF" w:rsidRPr="00D82A17">
              <w:t xml:space="preserve">edzētiem gadījumiem” </w:t>
            </w:r>
            <w:r w:rsidR="002A5FBF" w:rsidRPr="00D82A17">
              <w:lastRenderedPageBreak/>
              <w:t>līdzekļus”</w:t>
            </w:r>
            <w:r w:rsidR="00F5516C">
              <w:t xml:space="preserve"> 3.punktu</w:t>
            </w:r>
            <w:r w:rsidRPr="00D82A17">
              <w:t xml:space="preserve">, </w:t>
            </w:r>
            <w:r w:rsidR="00F5516C">
              <w:t xml:space="preserve">lūdz piešķirt </w:t>
            </w:r>
            <w:r w:rsidR="00F5516C" w:rsidRPr="00F5516C">
              <w:t xml:space="preserve">finansējumu 300 000 latu apmērā, lai Nacionālais kino centrs </w:t>
            </w:r>
            <w:r w:rsidR="00C7770F" w:rsidRPr="00C7770F">
              <w:rPr>
                <w:rStyle w:val="spelle"/>
              </w:rPr>
              <w:t>nodrošinātu valsts budžeta līdzfinansējumu ārvalstu filmu uzņemšanai Latvijā 2013.gadā</w:t>
            </w:r>
            <w:r w:rsidR="00F5516C">
              <w:t>.</w:t>
            </w:r>
          </w:p>
        </w:tc>
      </w:tr>
      <w:tr w:rsidR="00262E2B" w:rsidRPr="00D82A17" w:rsidTr="002A5FBF">
        <w:trPr>
          <w:trHeight w:val="448"/>
        </w:trPr>
        <w:tc>
          <w:tcPr>
            <w:tcW w:w="343" w:type="pct"/>
          </w:tcPr>
          <w:p w:rsidR="00262E2B" w:rsidRPr="00D82A17" w:rsidRDefault="00262E2B" w:rsidP="006C4607">
            <w:pPr>
              <w:pStyle w:val="naiskr"/>
              <w:spacing w:before="0" w:after="0"/>
            </w:pPr>
            <w:r w:rsidRPr="00D82A17">
              <w:lastRenderedPageBreak/>
              <w:t>3.</w:t>
            </w:r>
          </w:p>
        </w:tc>
        <w:tc>
          <w:tcPr>
            <w:tcW w:w="1568" w:type="pct"/>
          </w:tcPr>
          <w:p w:rsidR="00262E2B" w:rsidRPr="00D82A17" w:rsidRDefault="00420870" w:rsidP="006C4607">
            <w:pPr>
              <w:pStyle w:val="naiskr"/>
              <w:spacing w:before="0" w:after="0"/>
            </w:pPr>
            <w:r w:rsidRPr="00D82A17">
              <w:t>S</w:t>
            </w:r>
            <w:r w:rsidR="000B69CF" w:rsidRPr="00D82A17">
              <w:t xml:space="preserve">aistītie </w:t>
            </w:r>
            <w:r w:rsidR="001A6AE4" w:rsidRPr="00D82A17">
              <w:t>politikas ietekmes novērtējumi</w:t>
            </w:r>
            <w:r w:rsidR="00CB0247" w:rsidRPr="00D82A17">
              <w:t xml:space="preserve"> un</w:t>
            </w:r>
            <w:r w:rsidR="001A6AE4" w:rsidRPr="00D82A17">
              <w:t xml:space="preserve"> </w:t>
            </w:r>
            <w:r w:rsidR="000B69CF" w:rsidRPr="00D82A17">
              <w:t>pētījumi</w:t>
            </w:r>
          </w:p>
        </w:tc>
        <w:tc>
          <w:tcPr>
            <w:tcW w:w="3089" w:type="pct"/>
          </w:tcPr>
          <w:p w:rsidR="00D20FF4" w:rsidRPr="00D82A17" w:rsidRDefault="00BA6308" w:rsidP="002A5FBF">
            <w:pPr>
              <w:pStyle w:val="Vresteksts"/>
              <w:ind w:right="145"/>
              <w:rPr>
                <w:sz w:val="24"/>
                <w:szCs w:val="24"/>
              </w:rPr>
            </w:pPr>
            <w:r w:rsidRPr="00D82A17">
              <w:rPr>
                <w:sz w:val="24"/>
                <w:szCs w:val="24"/>
              </w:rPr>
              <w:t>Rīkojuma projekts šo jomu neskar.</w:t>
            </w:r>
          </w:p>
        </w:tc>
      </w:tr>
      <w:tr w:rsidR="00262E2B" w:rsidRPr="00D82A17" w:rsidTr="002A5FBF">
        <w:trPr>
          <w:trHeight w:val="384"/>
        </w:trPr>
        <w:tc>
          <w:tcPr>
            <w:tcW w:w="343" w:type="pct"/>
          </w:tcPr>
          <w:p w:rsidR="00262E2B" w:rsidRPr="00D82A17" w:rsidRDefault="00262E2B" w:rsidP="006C4607">
            <w:pPr>
              <w:pStyle w:val="naiskr"/>
              <w:spacing w:before="0" w:after="0"/>
            </w:pPr>
            <w:r w:rsidRPr="00D82A17">
              <w:t>4.</w:t>
            </w:r>
          </w:p>
        </w:tc>
        <w:tc>
          <w:tcPr>
            <w:tcW w:w="1568" w:type="pct"/>
          </w:tcPr>
          <w:p w:rsidR="00262E2B" w:rsidRPr="00D82A17" w:rsidRDefault="000C790C" w:rsidP="006C4607">
            <w:pPr>
              <w:pStyle w:val="naiskr"/>
              <w:spacing w:before="0" w:after="0"/>
            </w:pPr>
            <w:r w:rsidRPr="00D82A17">
              <w:t>Tiesiskā r</w:t>
            </w:r>
            <w:r w:rsidR="00400032" w:rsidRPr="00D82A17">
              <w:t xml:space="preserve">egulējuma </w:t>
            </w:r>
            <w:r w:rsidR="00262E2B" w:rsidRPr="00D82A17">
              <w:t>mērķis un būtība</w:t>
            </w:r>
          </w:p>
        </w:tc>
        <w:tc>
          <w:tcPr>
            <w:tcW w:w="3089" w:type="pct"/>
          </w:tcPr>
          <w:p w:rsidR="00262E2B" w:rsidRPr="00D82A17" w:rsidRDefault="00AF792F" w:rsidP="00F5516C">
            <w:pPr>
              <w:pStyle w:val="Galvene"/>
              <w:tabs>
                <w:tab w:val="clear" w:pos="4153"/>
                <w:tab w:val="clear" w:pos="8306"/>
              </w:tabs>
              <w:jc w:val="both"/>
            </w:pPr>
            <w:r w:rsidRPr="00D82A17">
              <w:rPr>
                <w:color w:val="000000"/>
              </w:rPr>
              <w:t xml:space="preserve">Rīkojuma projekts </w:t>
            </w:r>
            <w:r w:rsidRPr="00D82A17">
              <w:t xml:space="preserve">paredz </w:t>
            </w:r>
            <w:r w:rsidRPr="00D82A17">
              <w:rPr>
                <w:color w:val="000000"/>
              </w:rPr>
              <w:t>uzdevumu</w:t>
            </w:r>
            <w:r w:rsidRPr="00D82A17">
              <w:t xml:space="preserve"> Finanšu ministrijai no valsts pamatbudžeta programmas 02.00.00 </w:t>
            </w:r>
            <w:r w:rsidR="00EE2BCD" w:rsidRPr="00D82A17">
              <w:t>„</w:t>
            </w:r>
            <w:r w:rsidRPr="00D82A17">
              <w:t xml:space="preserve">Līdzekļi neparedzētiem gadījumiem" piešķirt </w:t>
            </w:r>
            <w:r w:rsidR="00C7770F" w:rsidRPr="00C7770F">
              <w:t>Kultūras ministrijai (Nacionālajam kino centram)</w:t>
            </w:r>
            <w:r w:rsidR="00F5516C">
              <w:rPr>
                <w:sz w:val="28"/>
                <w:szCs w:val="28"/>
              </w:rPr>
              <w:t xml:space="preserve"> </w:t>
            </w:r>
            <w:r w:rsidR="00114300" w:rsidRPr="00D82A17">
              <w:t>300 000</w:t>
            </w:r>
            <w:r w:rsidR="00EE2BCD" w:rsidRPr="00D82A17">
              <w:t xml:space="preserve"> </w:t>
            </w:r>
            <w:r w:rsidRPr="00D82A17">
              <w:t>latu</w:t>
            </w:r>
            <w:r w:rsidR="00EE2BCD" w:rsidRPr="00D82A17">
              <w:t xml:space="preserve">, </w:t>
            </w:r>
            <w:r w:rsidR="00DE24E1" w:rsidRPr="00D82A17">
              <w:t xml:space="preserve">lai </w:t>
            </w:r>
            <w:r w:rsidR="00114300" w:rsidRPr="00D82A17">
              <w:t xml:space="preserve">nodrošinātu valsts budžeta līdzfinansējumu ārvalstu filmu uzņemšanai Latvijā 2013.gadā.  </w:t>
            </w:r>
          </w:p>
        </w:tc>
      </w:tr>
      <w:tr w:rsidR="00262E2B" w:rsidRPr="00D82A17" w:rsidTr="002A5FBF">
        <w:trPr>
          <w:trHeight w:val="476"/>
        </w:trPr>
        <w:tc>
          <w:tcPr>
            <w:tcW w:w="343" w:type="pct"/>
            <w:shd w:val="clear" w:color="auto" w:fill="auto"/>
          </w:tcPr>
          <w:p w:rsidR="00262E2B" w:rsidRPr="00D82A17" w:rsidRDefault="00262E2B" w:rsidP="006C4607">
            <w:pPr>
              <w:pStyle w:val="naiskr"/>
              <w:spacing w:before="0" w:after="0"/>
            </w:pPr>
            <w:r w:rsidRPr="00D82A17">
              <w:t>5.</w:t>
            </w:r>
          </w:p>
        </w:tc>
        <w:tc>
          <w:tcPr>
            <w:tcW w:w="1568" w:type="pct"/>
            <w:shd w:val="clear" w:color="auto" w:fill="auto"/>
          </w:tcPr>
          <w:p w:rsidR="00262E2B" w:rsidRPr="00D82A17" w:rsidRDefault="001A4066" w:rsidP="006C4607">
            <w:pPr>
              <w:pStyle w:val="naiskr"/>
              <w:spacing w:before="0" w:after="0"/>
            </w:pPr>
            <w:r w:rsidRPr="00D82A17">
              <w:t>Projekta i</w:t>
            </w:r>
            <w:r w:rsidR="00262E2B" w:rsidRPr="00D82A17">
              <w:t>zstrād</w:t>
            </w:r>
            <w:r w:rsidR="00420870" w:rsidRPr="00D82A17">
              <w:t xml:space="preserve">ē </w:t>
            </w:r>
            <w:r w:rsidR="00262E2B" w:rsidRPr="00D82A17">
              <w:t>iesaistītās institūcijas</w:t>
            </w:r>
          </w:p>
        </w:tc>
        <w:tc>
          <w:tcPr>
            <w:tcW w:w="3089" w:type="pct"/>
            <w:shd w:val="clear" w:color="auto" w:fill="auto"/>
          </w:tcPr>
          <w:p w:rsidR="000E7446" w:rsidRPr="00D82A17" w:rsidRDefault="00411E50" w:rsidP="002A5FBF">
            <w:pPr>
              <w:pStyle w:val="naiskr"/>
              <w:spacing w:before="0" w:after="0"/>
              <w:ind w:right="145"/>
              <w:jc w:val="both"/>
              <w:rPr>
                <w:b/>
                <w:bCs/>
              </w:rPr>
            </w:pPr>
            <w:r w:rsidRPr="00D82A17">
              <w:t xml:space="preserve">Kultūras ministrija un </w:t>
            </w:r>
            <w:r w:rsidR="002A5FBF" w:rsidRPr="00D82A17">
              <w:t>Nacionālais kino centrs</w:t>
            </w:r>
            <w:r w:rsidR="00CF6B77">
              <w:t>.</w:t>
            </w:r>
          </w:p>
        </w:tc>
      </w:tr>
      <w:tr w:rsidR="00262E2B" w:rsidRPr="00D82A17" w:rsidTr="002A5FBF">
        <w:trPr>
          <w:trHeight w:val="976"/>
        </w:trPr>
        <w:tc>
          <w:tcPr>
            <w:tcW w:w="343" w:type="pct"/>
            <w:shd w:val="clear" w:color="auto" w:fill="auto"/>
          </w:tcPr>
          <w:p w:rsidR="00262E2B" w:rsidRPr="00D82A17" w:rsidRDefault="00262E2B" w:rsidP="006C4607">
            <w:pPr>
              <w:pStyle w:val="naiskr"/>
              <w:spacing w:before="0" w:after="0"/>
            </w:pPr>
            <w:r w:rsidRPr="00D82A17">
              <w:t>6.</w:t>
            </w:r>
          </w:p>
        </w:tc>
        <w:tc>
          <w:tcPr>
            <w:tcW w:w="1568" w:type="pct"/>
            <w:shd w:val="clear" w:color="auto" w:fill="auto"/>
          </w:tcPr>
          <w:p w:rsidR="00262E2B" w:rsidRPr="00D82A17" w:rsidRDefault="00BB7C94" w:rsidP="006C4607">
            <w:pPr>
              <w:pStyle w:val="naiskr"/>
              <w:spacing w:before="0" w:after="0"/>
              <w:rPr>
                <w:i/>
              </w:rPr>
            </w:pPr>
            <w:r w:rsidRPr="00D82A17">
              <w:t xml:space="preserve">Iemesli, kādēļ netika nodrošināta </w:t>
            </w:r>
            <w:r w:rsidR="00262E2B" w:rsidRPr="00D82A17">
              <w:t xml:space="preserve">sabiedrības </w:t>
            </w:r>
            <w:r w:rsidRPr="00D82A17">
              <w:t>līdzdalība</w:t>
            </w:r>
          </w:p>
        </w:tc>
        <w:tc>
          <w:tcPr>
            <w:tcW w:w="3089" w:type="pct"/>
            <w:shd w:val="clear" w:color="auto" w:fill="auto"/>
          </w:tcPr>
          <w:p w:rsidR="006F28C9" w:rsidRPr="00D82A17" w:rsidRDefault="00BB1850" w:rsidP="002A5FBF">
            <w:pPr>
              <w:pStyle w:val="Vresteksts"/>
              <w:ind w:right="145"/>
              <w:jc w:val="both"/>
              <w:rPr>
                <w:b/>
                <w:bCs/>
                <w:sz w:val="24"/>
                <w:szCs w:val="24"/>
              </w:rPr>
            </w:pPr>
            <w:r w:rsidRPr="00D82A17">
              <w:rPr>
                <w:sz w:val="24"/>
                <w:szCs w:val="24"/>
              </w:rPr>
              <w:t xml:space="preserve">Sabiedrības līdzdalība netika nodrošināta, jo </w:t>
            </w:r>
            <w:r w:rsidR="00CF6B77">
              <w:rPr>
                <w:sz w:val="24"/>
                <w:szCs w:val="24"/>
              </w:rPr>
              <w:t>r</w:t>
            </w:r>
            <w:r w:rsidRPr="00D82A17">
              <w:rPr>
                <w:sz w:val="24"/>
                <w:szCs w:val="24"/>
              </w:rPr>
              <w:t>īkojuma projekts neskar sabiedrības intereses.</w:t>
            </w:r>
          </w:p>
        </w:tc>
      </w:tr>
      <w:tr w:rsidR="00262E2B" w:rsidRPr="00D82A17" w:rsidTr="00C47F19">
        <w:trPr>
          <w:trHeight w:val="447"/>
        </w:trPr>
        <w:tc>
          <w:tcPr>
            <w:tcW w:w="343" w:type="pct"/>
            <w:shd w:val="clear" w:color="auto" w:fill="auto"/>
          </w:tcPr>
          <w:p w:rsidR="00262E2B" w:rsidRPr="00D82A17" w:rsidRDefault="00262E2B" w:rsidP="006C4607">
            <w:pPr>
              <w:pStyle w:val="naiskr"/>
              <w:spacing w:before="0" w:after="0"/>
            </w:pPr>
            <w:r w:rsidRPr="00D82A17">
              <w:t>7.</w:t>
            </w:r>
          </w:p>
        </w:tc>
        <w:tc>
          <w:tcPr>
            <w:tcW w:w="1568" w:type="pct"/>
            <w:shd w:val="clear" w:color="auto" w:fill="auto"/>
          </w:tcPr>
          <w:p w:rsidR="00262E2B" w:rsidRPr="00D82A17" w:rsidRDefault="00262E2B" w:rsidP="006C4607">
            <w:pPr>
              <w:pStyle w:val="naiskr"/>
              <w:spacing w:before="0" w:after="0"/>
            </w:pPr>
            <w:r w:rsidRPr="00D82A17">
              <w:t>Cita informācija</w:t>
            </w:r>
          </w:p>
        </w:tc>
        <w:tc>
          <w:tcPr>
            <w:tcW w:w="3089" w:type="pct"/>
            <w:shd w:val="clear" w:color="auto" w:fill="auto"/>
          </w:tcPr>
          <w:p w:rsidR="00262E2B" w:rsidRPr="00D82A17" w:rsidRDefault="00262E2B" w:rsidP="002A5FBF">
            <w:pPr>
              <w:pStyle w:val="naiskr"/>
              <w:spacing w:before="0" w:after="0"/>
              <w:ind w:right="145"/>
            </w:pPr>
            <w:r w:rsidRPr="00D82A17">
              <w:t>Nav</w:t>
            </w:r>
          </w:p>
        </w:tc>
      </w:tr>
    </w:tbl>
    <w:p w:rsidR="00AD1E34" w:rsidRDefault="00AD1E34" w:rsidP="00EA2A60">
      <w:pPr>
        <w:jc w:val="both"/>
        <w:rPr>
          <w:color w:val="000000"/>
          <w:highlight w:val="yellow"/>
        </w:rPr>
      </w:pPr>
    </w:p>
    <w:p w:rsidR="00C47F19" w:rsidRPr="00D82A17" w:rsidRDefault="00C47F19" w:rsidP="00EA2A60">
      <w:pPr>
        <w:jc w:val="both"/>
        <w:rPr>
          <w:color w:val="00000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6"/>
        <w:gridCol w:w="1306"/>
        <w:gridCol w:w="1306"/>
        <w:gridCol w:w="1302"/>
      </w:tblGrid>
      <w:tr w:rsidR="00124F12" w:rsidRPr="00D82A17" w:rsidTr="00CC4263">
        <w:trPr>
          <w:trHeight w:val="652"/>
          <w:jc w:val="center"/>
        </w:trPr>
        <w:tc>
          <w:tcPr>
            <w:tcW w:w="5000" w:type="pct"/>
            <w:gridSpan w:val="6"/>
          </w:tcPr>
          <w:p w:rsidR="00124F12" w:rsidRPr="00D82A17" w:rsidRDefault="00124F12" w:rsidP="006C4607">
            <w:pPr>
              <w:pStyle w:val="naisnod"/>
              <w:spacing w:before="0" w:after="0"/>
              <w:rPr>
                <w:i/>
              </w:rPr>
            </w:pPr>
            <w:r w:rsidRPr="00D82A17">
              <w:br w:type="page"/>
              <w:t>III</w:t>
            </w:r>
            <w:r w:rsidR="000941C5" w:rsidRPr="00D82A17">
              <w:t>.</w:t>
            </w:r>
            <w:r w:rsidRPr="00D82A17">
              <w:t xml:space="preserve"> Tiesību akta projekta ietekme uz valsts budžetu un pašvaldību budžetiem</w:t>
            </w:r>
          </w:p>
        </w:tc>
      </w:tr>
      <w:tr w:rsidR="00124F12" w:rsidRPr="00D82A17" w:rsidTr="009813D7">
        <w:trPr>
          <w:jc w:val="center"/>
        </w:trPr>
        <w:tc>
          <w:tcPr>
            <w:tcW w:w="1546" w:type="pct"/>
            <w:vMerge w:val="restart"/>
            <w:vAlign w:val="center"/>
          </w:tcPr>
          <w:p w:rsidR="00124F12" w:rsidRPr="00D82A17" w:rsidRDefault="00124F12" w:rsidP="0034795A">
            <w:pPr>
              <w:pStyle w:val="naisf"/>
              <w:spacing w:before="0" w:after="0"/>
              <w:ind w:firstLine="0"/>
              <w:jc w:val="center"/>
              <w:rPr>
                <w:b/>
              </w:rPr>
            </w:pPr>
            <w:r w:rsidRPr="00D82A17">
              <w:rPr>
                <w:b/>
              </w:rPr>
              <w:t>Rādītāji</w:t>
            </w:r>
          </w:p>
        </w:tc>
        <w:tc>
          <w:tcPr>
            <w:tcW w:w="1347" w:type="pct"/>
            <w:gridSpan w:val="2"/>
            <w:vMerge w:val="restart"/>
            <w:vAlign w:val="center"/>
          </w:tcPr>
          <w:p w:rsidR="00124F12" w:rsidRPr="00D82A17" w:rsidRDefault="001D48D3" w:rsidP="006C4607">
            <w:pPr>
              <w:pStyle w:val="naisf"/>
              <w:spacing w:before="0" w:after="0"/>
              <w:ind w:firstLine="0"/>
              <w:jc w:val="center"/>
              <w:rPr>
                <w:b/>
              </w:rPr>
            </w:pPr>
            <w:r w:rsidRPr="00D82A17">
              <w:rPr>
                <w:b/>
              </w:rPr>
              <w:t>2013</w:t>
            </w:r>
            <w:r w:rsidR="00797BEF" w:rsidRPr="00D82A17">
              <w:rPr>
                <w:b/>
              </w:rPr>
              <w:t>.</w:t>
            </w:r>
            <w:r w:rsidR="00124F12" w:rsidRPr="00D82A17">
              <w:rPr>
                <w:b/>
              </w:rPr>
              <w:t>gads</w:t>
            </w:r>
          </w:p>
        </w:tc>
        <w:tc>
          <w:tcPr>
            <w:tcW w:w="2107" w:type="pct"/>
            <w:gridSpan w:val="3"/>
            <w:vAlign w:val="center"/>
          </w:tcPr>
          <w:p w:rsidR="00124F12" w:rsidRPr="00D82A17" w:rsidRDefault="00124F12" w:rsidP="006C4607">
            <w:pPr>
              <w:pStyle w:val="naisf"/>
              <w:spacing w:before="0" w:after="0"/>
              <w:ind w:firstLine="0"/>
              <w:jc w:val="center"/>
              <w:rPr>
                <w:b/>
                <w:i/>
              </w:rPr>
            </w:pPr>
            <w:r w:rsidRPr="00D82A17">
              <w:t>Turpmākie trīs gadi</w:t>
            </w:r>
            <w:r w:rsidR="009E12D7" w:rsidRPr="00D82A17">
              <w:t xml:space="preserve"> (tūkst. latu)</w:t>
            </w:r>
          </w:p>
        </w:tc>
      </w:tr>
      <w:tr w:rsidR="00124F12" w:rsidRPr="00D82A17" w:rsidTr="009813D7">
        <w:trPr>
          <w:jc w:val="center"/>
        </w:trPr>
        <w:tc>
          <w:tcPr>
            <w:tcW w:w="1546" w:type="pct"/>
            <w:vMerge/>
            <w:vAlign w:val="center"/>
          </w:tcPr>
          <w:p w:rsidR="00124F12" w:rsidRPr="00D82A17" w:rsidRDefault="00124F12" w:rsidP="0034795A">
            <w:pPr>
              <w:pStyle w:val="naisf"/>
              <w:spacing w:before="0" w:after="0"/>
              <w:ind w:firstLine="0"/>
              <w:jc w:val="left"/>
              <w:rPr>
                <w:b/>
                <w:i/>
              </w:rPr>
            </w:pPr>
          </w:p>
        </w:tc>
        <w:tc>
          <w:tcPr>
            <w:tcW w:w="1347" w:type="pct"/>
            <w:gridSpan w:val="2"/>
            <w:vMerge/>
            <w:vAlign w:val="center"/>
          </w:tcPr>
          <w:p w:rsidR="00124F12" w:rsidRPr="00D82A17" w:rsidRDefault="00124F12" w:rsidP="006C4607">
            <w:pPr>
              <w:pStyle w:val="naisf"/>
              <w:spacing w:before="0" w:after="0"/>
              <w:ind w:firstLine="0"/>
              <w:jc w:val="center"/>
              <w:rPr>
                <w:b/>
                <w:i/>
              </w:rPr>
            </w:pPr>
          </w:p>
        </w:tc>
        <w:tc>
          <w:tcPr>
            <w:tcW w:w="703" w:type="pct"/>
            <w:vAlign w:val="center"/>
          </w:tcPr>
          <w:p w:rsidR="00124F12" w:rsidRPr="00D82A17" w:rsidRDefault="00797BEF" w:rsidP="006C4607">
            <w:pPr>
              <w:pStyle w:val="naisf"/>
              <w:spacing w:before="0" w:after="0"/>
              <w:ind w:firstLine="0"/>
              <w:jc w:val="center"/>
              <w:rPr>
                <w:b/>
                <w:i/>
              </w:rPr>
            </w:pPr>
            <w:r w:rsidRPr="00D82A17">
              <w:rPr>
                <w:b/>
                <w:bCs/>
              </w:rPr>
              <w:t>20</w:t>
            </w:r>
            <w:r w:rsidR="00124F12" w:rsidRPr="00D82A17">
              <w:rPr>
                <w:b/>
                <w:bCs/>
              </w:rPr>
              <w:t>1</w:t>
            </w:r>
            <w:r w:rsidR="001D48D3" w:rsidRPr="00D82A17">
              <w:rPr>
                <w:b/>
                <w:bCs/>
              </w:rPr>
              <w:t>4</w:t>
            </w:r>
            <w:r w:rsidRPr="00D82A17">
              <w:rPr>
                <w:b/>
                <w:bCs/>
              </w:rPr>
              <w:t>.g.</w:t>
            </w:r>
          </w:p>
        </w:tc>
        <w:tc>
          <w:tcPr>
            <w:tcW w:w="703" w:type="pct"/>
            <w:vAlign w:val="center"/>
          </w:tcPr>
          <w:p w:rsidR="00124F12" w:rsidRPr="00D82A17" w:rsidRDefault="001D48D3" w:rsidP="006C4607">
            <w:pPr>
              <w:pStyle w:val="naisf"/>
              <w:spacing w:before="0" w:after="0"/>
              <w:ind w:firstLine="0"/>
              <w:jc w:val="center"/>
              <w:rPr>
                <w:b/>
                <w:i/>
              </w:rPr>
            </w:pPr>
            <w:r w:rsidRPr="00D82A17">
              <w:rPr>
                <w:b/>
                <w:bCs/>
              </w:rPr>
              <w:t>2015</w:t>
            </w:r>
            <w:r w:rsidR="00797BEF" w:rsidRPr="00D82A17">
              <w:rPr>
                <w:b/>
                <w:bCs/>
              </w:rPr>
              <w:t>.g.</w:t>
            </w:r>
          </w:p>
        </w:tc>
        <w:tc>
          <w:tcPr>
            <w:tcW w:w="701" w:type="pct"/>
            <w:vAlign w:val="center"/>
          </w:tcPr>
          <w:p w:rsidR="00124F12" w:rsidRPr="00D82A17" w:rsidRDefault="001D48D3" w:rsidP="006C4607">
            <w:pPr>
              <w:pStyle w:val="naisf"/>
              <w:spacing w:before="0" w:after="0"/>
              <w:ind w:firstLine="0"/>
              <w:jc w:val="center"/>
              <w:rPr>
                <w:b/>
                <w:i/>
              </w:rPr>
            </w:pPr>
            <w:r w:rsidRPr="00D82A17">
              <w:rPr>
                <w:b/>
                <w:bCs/>
              </w:rPr>
              <w:t>2016</w:t>
            </w:r>
            <w:r w:rsidR="00797BEF" w:rsidRPr="00D82A17">
              <w:rPr>
                <w:b/>
                <w:bCs/>
              </w:rPr>
              <w:t>.g.</w:t>
            </w:r>
          </w:p>
        </w:tc>
      </w:tr>
      <w:tr w:rsidR="00124F12" w:rsidRPr="00D82A17" w:rsidTr="009813D7">
        <w:trPr>
          <w:jc w:val="center"/>
        </w:trPr>
        <w:tc>
          <w:tcPr>
            <w:tcW w:w="1546" w:type="pct"/>
            <w:vMerge/>
            <w:vAlign w:val="center"/>
          </w:tcPr>
          <w:p w:rsidR="00124F12" w:rsidRPr="00D82A17" w:rsidRDefault="00124F12" w:rsidP="0034795A">
            <w:pPr>
              <w:pStyle w:val="naisf"/>
              <w:spacing w:before="0" w:after="0"/>
              <w:ind w:firstLine="0"/>
              <w:jc w:val="left"/>
              <w:rPr>
                <w:b/>
                <w:i/>
              </w:rPr>
            </w:pPr>
          </w:p>
        </w:tc>
        <w:tc>
          <w:tcPr>
            <w:tcW w:w="644" w:type="pct"/>
            <w:vAlign w:val="center"/>
          </w:tcPr>
          <w:p w:rsidR="00124F12" w:rsidRPr="00D82A17" w:rsidRDefault="00124F12" w:rsidP="006C4607">
            <w:pPr>
              <w:pStyle w:val="naisf"/>
              <w:spacing w:before="0" w:after="0"/>
              <w:ind w:firstLine="0"/>
              <w:jc w:val="center"/>
              <w:rPr>
                <w:b/>
                <w:i/>
              </w:rPr>
            </w:pPr>
            <w:r w:rsidRPr="00D82A17">
              <w:t>Saskaņā ar valsts budžetu kārtējam gadam</w:t>
            </w:r>
          </w:p>
        </w:tc>
        <w:tc>
          <w:tcPr>
            <w:tcW w:w="703" w:type="pct"/>
            <w:vAlign w:val="center"/>
          </w:tcPr>
          <w:p w:rsidR="00124F12" w:rsidRPr="00D82A17" w:rsidRDefault="00124F12" w:rsidP="006C4607">
            <w:pPr>
              <w:pStyle w:val="naisf"/>
              <w:spacing w:before="0" w:after="0"/>
              <w:ind w:firstLine="0"/>
              <w:jc w:val="center"/>
              <w:rPr>
                <w:b/>
                <w:i/>
              </w:rPr>
            </w:pPr>
            <w:r w:rsidRPr="00D82A17">
              <w:t>Izmaiņas kārtējā gadā</w:t>
            </w:r>
            <w:r w:rsidR="009E12D7" w:rsidRPr="00D82A17">
              <w:t>,</w:t>
            </w:r>
            <w:r w:rsidRPr="00D82A17">
              <w:t xml:space="preserve"> salīdzinot ar budžetu kārtējam gadam</w:t>
            </w:r>
          </w:p>
        </w:tc>
        <w:tc>
          <w:tcPr>
            <w:tcW w:w="703" w:type="pct"/>
            <w:vAlign w:val="center"/>
          </w:tcPr>
          <w:p w:rsidR="00124F12" w:rsidRPr="00D82A17" w:rsidRDefault="00124F12" w:rsidP="006C4607">
            <w:pPr>
              <w:pStyle w:val="naisf"/>
              <w:spacing w:before="0" w:after="0"/>
              <w:ind w:firstLine="0"/>
              <w:jc w:val="center"/>
              <w:rPr>
                <w:b/>
                <w:i/>
              </w:rPr>
            </w:pPr>
            <w:r w:rsidRPr="00D82A17">
              <w:t>Izmaiņas</w:t>
            </w:r>
            <w:r w:rsidR="00182C18" w:rsidRPr="00D82A17">
              <w:t>,</w:t>
            </w:r>
            <w:r w:rsidR="001D48D3" w:rsidRPr="00D82A17">
              <w:t xml:space="preserve"> salīdzinot ar kārtējo (2013</w:t>
            </w:r>
            <w:r w:rsidRPr="00D82A17">
              <w:t>) gadu</w:t>
            </w:r>
          </w:p>
        </w:tc>
        <w:tc>
          <w:tcPr>
            <w:tcW w:w="703" w:type="pct"/>
            <w:vAlign w:val="center"/>
          </w:tcPr>
          <w:p w:rsidR="00124F12" w:rsidRPr="00D82A17" w:rsidRDefault="00124F12" w:rsidP="006C4607">
            <w:pPr>
              <w:pStyle w:val="naisf"/>
              <w:spacing w:before="0" w:after="0"/>
              <w:ind w:firstLine="0"/>
              <w:jc w:val="center"/>
              <w:rPr>
                <w:b/>
                <w:i/>
              </w:rPr>
            </w:pPr>
            <w:r w:rsidRPr="00D82A17">
              <w:t>Izmaiņas</w:t>
            </w:r>
            <w:r w:rsidR="00182C18" w:rsidRPr="00D82A17">
              <w:t>,</w:t>
            </w:r>
            <w:r w:rsidRPr="00D82A17">
              <w:t xml:space="preserve"> salīdzinot </w:t>
            </w:r>
            <w:r w:rsidR="001D48D3" w:rsidRPr="00D82A17">
              <w:t>ar kārtējo (2013</w:t>
            </w:r>
            <w:r w:rsidRPr="00D82A17">
              <w:t>) gadu</w:t>
            </w:r>
          </w:p>
        </w:tc>
        <w:tc>
          <w:tcPr>
            <w:tcW w:w="701" w:type="pct"/>
            <w:vAlign w:val="center"/>
          </w:tcPr>
          <w:p w:rsidR="00124F12" w:rsidRPr="00D82A17" w:rsidRDefault="00124F12" w:rsidP="00797BEF">
            <w:pPr>
              <w:pStyle w:val="naisf"/>
              <w:spacing w:before="0" w:after="0"/>
              <w:ind w:firstLine="0"/>
              <w:jc w:val="center"/>
              <w:rPr>
                <w:b/>
                <w:i/>
              </w:rPr>
            </w:pPr>
            <w:r w:rsidRPr="00D82A17">
              <w:t>Izmaiņas</w:t>
            </w:r>
            <w:r w:rsidR="00182C18" w:rsidRPr="00D82A17">
              <w:t>,</w:t>
            </w:r>
            <w:r w:rsidRPr="00D82A17">
              <w:t xml:space="preserve"> salīdzinot ar kārtējo (</w:t>
            </w:r>
            <w:r w:rsidR="001D48D3" w:rsidRPr="00D82A17">
              <w:t>2013</w:t>
            </w:r>
            <w:r w:rsidRPr="00D82A17">
              <w:t>) gadu</w:t>
            </w:r>
          </w:p>
        </w:tc>
      </w:tr>
      <w:tr w:rsidR="00124F12" w:rsidRPr="00D82A17" w:rsidTr="009813D7">
        <w:trPr>
          <w:jc w:val="center"/>
        </w:trPr>
        <w:tc>
          <w:tcPr>
            <w:tcW w:w="1546" w:type="pct"/>
            <w:vAlign w:val="center"/>
          </w:tcPr>
          <w:p w:rsidR="00124F12" w:rsidRPr="00D82A17" w:rsidRDefault="00124F12" w:rsidP="0034795A">
            <w:pPr>
              <w:pStyle w:val="naisf"/>
              <w:spacing w:before="0" w:after="0"/>
              <w:ind w:firstLine="0"/>
              <w:jc w:val="center"/>
              <w:rPr>
                <w:bCs/>
              </w:rPr>
            </w:pPr>
            <w:r w:rsidRPr="00D82A17">
              <w:rPr>
                <w:bCs/>
              </w:rPr>
              <w:t>1</w:t>
            </w:r>
          </w:p>
        </w:tc>
        <w:tc>
          <w:tcPr>
            <w:tcW w:w="644" w:type="pct"/>
            <w:vAlign w:val="center"/>
          </w:tcPr>
          <w:p w:rsidR="00124F12" w:rsidRPr="00D82A17" w:rsidRDefault="00124F12" w:rsidP="006C4607">
            <w:pPr>
              <w:pStyle w:val="naisf"/>
              <w:spacing w:before="0" w:after="0"/>
              <w:ind w:firstLine="0"/>
              <w:jc w:val="center"/>
              <w:rPr>
                <w:bCs/>
              </w:rPr>
            </w:pPr>
            <w:r w:rsidRPr="00D82A17">
              <w:rPr>
                <w:bCs/>
              </w:rPr>
              <w:t>2</w:t>
            </w:r>
          </w:p>
        </w:tc>
        <w:tc>
          <w:tcPr>
            <w:tcW w:w="703" w:type="pct"/>
            <w:vAlign w:val="center"/>
          </w:tcPr>
          <w:p w:rsidR="00124F12" w:rsidRPr="00D82A17" w:rsidRDefault="00124F12" w:rsidP="006C4607">
            <w:pPr>
              <w:pStyle w:val="naisf"/>
              <w:spacing w:before="0" w:after="0"/>
              <w:ind w:firstLine="0"/>
              <w:jc w:val="center"/>
              <w:rPr>
                <w:bCs/>
              </w:rPr>
            </w:pPr>
            <w:r w:rsidRPr="00D82A17">
              <w:rPr>
                <w:bCs/>
              </w:rPr>
              <w:t>3</w:t>
            </w:r>
          </w:p>
        </w:tc>
        <w:tc>
          <w:tcPr>
            <w:tcW w:w="703" w:type="pct"/>
            <w:shd w:val="clear" w:color="auto" w:fill="auto"/>
            <w:vAlign w:val="center"/>
          </w:tcPr>
          <w:p w:rsidR="00124F12" w:rsidRPr="00D82A17" w:rsidRDefault="00124F12" w:rsidP="006C4607">
            <w:pPr>
              <w:pStyle w:val="naisf"/>
              <w:spacing w:before="0" w:after="0"/>
              <w:ind w:firstLine="0"/>
              <w:jc w:val="center"/>
              <w:rPr>
                <w:bCs/>
              </w:rPr>
            </w:pPr>
            <w:r w:rsidRPr="00D82A17">
              <w:rPr>
                <w:bCs/>
              </w:rPr>
              <w:t>4</w:t>
            </w:r>
          </w:p>
        </w:tc>
        <w:tc>
          <w:tcPr>
            <w:tcW w:w="703" w:type="pct"/>
            <w:shd w:val="clear" w:color="auto" w:fill="auto"/>
            <w:vAlign w:val="center"/>
          </w:tcPr>
          <w:p w:rsidR="00124F12" w:rsidRPr="00D82A17" w:rsidRDefault="00124F12" w:rsidP="006C4607">
            <w:pPr>
              <w:pStyle w:val="naisf"/>
              <w:spacing w:before="0" w:after="0"/>
              <w:ind w:firstLine="0"/>
              <w:jc w:val="center"/>
              <w:rPr>
                <w:bCs/>
              </w:rPr>
            </w:pPr>
            <w:r w:rsidRPr="00D82A17">
              <w:rPr>
                <w:bCs/>
              </w:rPr>
              <w:t>5</w:t>
            </w:r>
          </w:p>
        </w:tc>
        <w:tc>
          <w:tcPr>
            <w:tcW w:w="701" w:type="pct"/>
            <w:shd w:val="clear" w:color="auto" w:fill="auto"/>
            <w:vAlign w:val="center"/>
          </w:tcPr>
          <w:p w:rsidR="00124F12" w:rsidRPr="00D82A17" w:rsidRDefault="00124F12" w:rsidP="006C4607">
            <w:pPr>
              <w:pStyle w:val="naisf"/>
              <w:spacing w:before="0" w:after="0"/>
              <w:ind w:firstLine="0"/>
              <w:jc w:val="center"/>
              <w:rPr>
                <w:bCs/>
              </w:rPr>
            </w:pPr>
            <w:r w:rsidRPr="00D82A17">
              <w:rPr>
                <w:bCs/>
              </w:rPr>
              <w:t>6</w:t>
            </w:r>
          </w:p>
        </w:tc>
      </w:tr>
      <w:tr w:rsidR="00124F12" w:rsidRPr="00D82A17" w:rsidTr="009813D7">
        <w:trPr>
          <w:jc w:val="center"/>
        </w:trPr>
        <w:tc>
          <w:tcPr>
            <w:tcW w:w="1546" w:type="pct"/>
          </w:tcPr>
          <w:p w:rsidR="00124F12" w:rsidRPr="00D82A17" w:rsidRDefault="00124F12" w:rsidP="0034795A">
            <w:pPr>
              <w:pStyle w:val="naisf"/>
              <w:spacing w:before="0" w:after="0"/>
              <w:ind w:firstLine="0"/>
              <w:jc w:val="left"/>
              <w:rPr>
                <w:i/>
              </w:rPr>
            </w:pPr>
            <w:r w:rsidRPr="00D82A17">
              <w:t>1. Budžeta ieņēmumi:</w:t>
            </w:r>
          </w:p>
        </w:tc>
        <w:tc>
          <w:tcPr>
            <w:tcW w:w="644" w:type="pct"/>
          </w:tcPr>
          <w:p w:rsidR="00124F12" w:rsidRPr="00D82A17" w:rsidRDefault="00C50194" w:rsidP="005A53B8">
            <w:pPr>
              <w:pStyle w:val="naisf"/>
              <w:spacing w:before="0" w:after="0"/>
              <w:ind w:firstLine="0"/>
              <w:jc w:val="center"/>
              <w:rPr>
                <w:b/>
              </w:rPr>
            </w:pPr>
            <w:r w:rsidRPr="00D82A17">
              <w:rPr>
                <w:b/>
              </w:rPr>
              <w:t>0</w:t>
            </w:r>
          </w:p>
        </w:tc>
        <w:tc>
          <w:tcPr>
            <w:tcW w:w="703" w:type="pct"/>
          </w:tcPr>
          <w:p w:rsidR="00124F12" w:rsidRPr="00D82A17" w:rsidRDefault="00CA24B4" w:rsidP="00CA24B4">
            <w:pPr>
              <w:pStyle w:val="naisf"/>
              <w:spacing w:before="0" w:after="0"/>
              <w:ind w:firstLine="0"/>
              <w:jc w:val="center"/>
              <w:rPr>
                <w:b/>
              </w:rPr>
            </w:pPr>
            <w:r w:rsidRPr="00D82A17">
              <w:rPr>
                <w:b/>
              </w:rPr>
              <w:t>0</w:t>
            </w:r>
          </w:p>
        </w:tc>
        <w:tc>
          <w:tcPr>
            <w:tcW w:w="703" w:type="pct"/>
            <w:shd w:val="clear" w:color="auto" w:fill="auto"/>
          </w:tcPr>
          <w:p w:rsidR="00124F12" w:rsidRPr="00D82A17" w:rsidRDefault="00CA24B4" w:rsidP="00CA24B4">
            <w:pPr>
              <w:pStyle w:val="naisf"/>
              <w:spacing w:before="0" w:after="0"/>
              <w:ind w:firstLine="0"/>
              <w:jc w:val="center"/>
              <w:rPr>
                <w:b/>
              </w:rPr>
            </w:pPr>
            <w:r w:rsidRPr="00D82A17">
              <w:rPr>
                <w:b/>
              </w:rPr>
              <w:t>0</w:t>
            </w:r>
          </w:p>
        </w:tc>
        <w:tc>
          <w:tcPr>
            <w:tcW w:w="703" w:type="pct"/>
            <w:shd w:val="clear" w:color="auto" w:fill="auto"/>
          </w:tcPr>
          <w:p w:rsidR="00124F12" w:rsidRPr="00D82A17" w:rsidRDefault="00CA24B4" w:rsidP="00CA24B4">
            <w:pPr>
              <w:pStyle w:val="naisf"/>
              <w:spacing w:before="0" w:after="0"/>
              <w:ind w:firstLine="0"/>
              <w:jc w:val="center"/>
              <w:rPr>
                <w:b/>
              </w:rPr>
            </w:pPr>
            <w:r w:rsidRPr="00D82A17">
              <w:rPr>
                <w:b/>
              </w:rPr>
              <w:t>0</w:t>
            </w:r>
          </w:p>
        </w:tc>
        <w:tc>
          <w:tcPr>
            <w:tcW w:w="701" w:type="pct"/>
            <w:shd w:val="clear" w:color="auto" w:fill="auto"/>
          </w:tcPr>
          <w:p w:rsidR="00124F12" w:rsidRPr="00D82A17" w:rsidRDefault="00CA24B4" w:rsidP="00CA24B4">
            <w:pPr>
              <w:pStyle w:val="naisf"/>
              <w:spacing w:before="0" w:after="0"/>
              <w:ind w:firstLine="0"/>
              <w:jc w:val="center"/>
              <w:rPr>
                <w:b/>
              </w:rPr>
            </w:pPr>
            <w:r w:rsidRPr="00D82A17">
              <w:rPr>
                <w:b/>
              </w:rPr>
              <w:t>0</w:t>
            </w:r>
          </w:p>
        </w:tc>
      </w:tr>
      <w:tr w:rsidR="00CA24B4" w:rsidRPr="00D82A17" w:rsidTr="009813D7">
        <w:trPr>
          <w:jc w:val="center"/>
        </w:trPr>
        <w:tc>
          <w:tcPr>
            <w:tcW w:w="1546" w:type="pct"/>
          </w:tcPr>
          <w:p w:rsidR="00CA24B4" w:rsidRPr="00D82A17" w:rsidRDefault="00CA24B4" w:rsidP="0034795A">
            <w:pPr>
              <w:pStyle w:val="naisf"/>
              <w:spacing w:before="0" w:after="0"/>
              <w:ind w:firstLine="0"/>
              <w:jc w:val="left"/>
              <w:rPr>
                <w:i/>
              </w:rPr>
            </w:pPr>
            <w:r w:rsidRPr="00D82A17">
              <w:t>1.1. valsts pamatbudžets, tai skaitā ieņēmumi no maksas pakalpo-jumiem un citi pašu ieņēmumi</w:t>
            </w:r>
          </w:p>
        </w:tc>
        <w:tc>
          <w:tcPr>
            <w:tcW w:w="644" w:type="pct"/>
          </w:tcPr>
          <w:p w:rsidR="005A53B8" w:rsidRPr="00D82A17" w:rsidRDefault="00C50194" w:rsidP="00452F74">
            <w:pPr>
              <w:pStyle w:val="naisf"/>
              <w:spacing w:before="0" w:after="0"/>
              <w:ind w:firstLine="0"/>
              <w:jc w:val="center"/>
            </w:pPr>
            <w:r w:rsidRPr="00D82A17">
              <w:t>0</w:t>
            </w:r>
          </w:p>
          <w:p w:rsidR="00CA24B4" w:rsidRPr="00D82A17" w:rsidRDefault="00CA24B4" w:rsidP="00452F74">
            <w:pPr>
              <w:pStyle w:val="naisf"/>
              <w:spacing w:before="0" w:after="0"/>
              <w:ind w:firstLine="0"/>
              <w:jc w:val="center"/>
              <w:rPr>
                <w:b/>
              </w:rPr>
            </w:pPr>
          </w:p>
        </w:tc>
        <w:tc>
          <w:tcPr>
            <w:tcW w:w="703" w:type="pct"/>
          </w:tcPr>
          <w:p w:rsidR="00CA24B4" w:rsidRPr="00D82A17" w:rsidRDefault="00DD2BEA" w:rsidP="00452F74">
            <w:pPr>
              <w:pStyle w:val="naisf"/>
              <w:spacing w:before="0" w:after="0"/>
              <w:ind w:firstLine="0"/>
              <w:jc w:val="center"/>
            </w:pPr>
            <w:r w:rsidRPr="00D82A17">
              <w:t>0</w:t>
            </w:r>
          </w:p>
          <w:p w:rsidR="00CA24B4" w:rsidRPr="00D82A17" w:rsidRDefault="00CA24B4" w:rsidP="00452F74">
            <w:pPr>
              <w:pStyle w:val="naisf"/>
              <w:spacing w:before="0" w:after="0"/>
              <w:ind w:firstLine="0"/>
              <w:jc w:val="center"/>
            </w:pPr>
          </w:p>
          <w:p w:rsidR="00CA24B4" w:rsidRPr="00D82A17" w:rsidRDefault="00CA24B4" w:rsidP="00452F74">
            <w:pPr>
              <w:pStyle w:val="naisf"/>
              <w:spacing w:before="0" w:after="0"/>
              <w:ind w:firstLine="0"/>
              <w:jc w:val="center"/>
              <w:rPr>
                <w:b/>
              </w:rPr>
            </w:pPr>
          </w:p>
        </w:tc>
        <w:tc>
          <w:tcPr>
            <w:tcW w:w="703" w:type="pct"/>
            <w:shd w:val="clear" w:color="auto" w:fill="auto"/>
          </w:tcPr>
          <w:p w:rsidR="00CA24B4" w:rsidRPr="00D82A17" w:rsidRDefault="00DD2BEA" w:rsidP="00452F74">
            <w:pPr>
              <w:pStyle w:val="naisf"/>
              <w:spacing w:before="0" w:after="0"/>
              <w:ind w:firstLine="0"/>
              <w:jc w:val="center"/>
            </w:pPr>
            <w:r w:rsidRPr="00D82A17">
              <w:t>0</w:t>
            </w:r>
          </w:p>
          <w:p w:rsidR="00CA24B4" w:rsidRPr="00D82A17" w:rsidRDefault="00CA24B4" w:rsidP="00452F74">
            <w:pPr>
              <w:pStyle w:val="naisf"/>
              <w:spacing w:before="0" w:after="0"/>
              <w:ind w:firstLine="0"/>
              <w:jc w:val="center"/>
            </w:pPr>
          </w:p>
        </w:tc>
        <w:tc>
          <w:tcPr>
            <w:tcW w:w="703" w:type="pct"/>
            <w:shd w:val="clear" w:color="auto" w:fill="auto"/>
          </w:tcPr>
          <w:p w:rsidR="00CA24B4" w:rsidRPr="00D82A17" w:rsidRDefault="00DD2BEA" w:rsidP="00452F74">
            <w:pPr>
              <w:pStyle w:val="naisf"/>
              <w:spacing w:before="0" w:after="0"/>
              <w:ind w:firstLine="0"/>
              <w:jc w:val="center"/>
            </w:pPr>
            <w:r w:rsidRPr="00D82A17">
              <w:t>0</w:t>
            </w:r>
          </w:p>
          <w:p w:rsidR="00CA24B4" w:rsidRPr="00D82A17" w:rsidRDefault="00CA24B4" w:rsidP="00452F74">
            <w:pPr>
              <w:pStyle w:val="naisf"/>
              <w:spacing w:before="0" w:after="0"/>
              <w:ind w:firstLine="0"/>
              <w:jc w:val="center"/>
            </w:pPr>
          </w:p>
        </w:tc>
        <w:tc>
          <w:tcPr>
            <w:tcW w:w="701" w:type="pct"/>
            <w:shd w:val="clear" w:color="auto" w:fill="auto"/>
          </w:tcPr>
          <w:p w:rsidR="00CA24B4" w:rsidRPr="00D82A17" w:rsidRDefault="00DD2BEA" w:rsidP="00452F74">
            <w:pPr>
              <w:pStyle w:val="naisf"/>
              <w:spacing w:before="0" w:after="0"/>
              <w:ind w:firstLine="0"/>
              <w:jc w:val="center"/>
            </w:pPr>
            <w:r w:rsidRPr="00D82A17">
              <w:t>0</w:t>
            </w:r>
          </w:p>
          <w:p w:rsidR="00CA24B4" w:rsidRPr="00D82A17" w:rsidRDefault="00CA24B4" w:rsidP="00452F74">
            <w:pPr>
              <w:pStyle w:val="naisf"/>
              <w:spacing w:before="0" w:after="0"/>
              <w:ind w:firstLine="0"/>
              <w:jc w:val="center"/>
            </w:pPr>
          </w:p>
          <w:p w:rsidR="00CA24B4" w:rsidRPr="00D82A17" w:rsidRDefault="00CA24B4" w:rsidP="00452F74">
            <w:pPr>
              <w:pStyle w:val="naisf"/>
              <w:spacing w:before="0" w:after="0"/>
              <w:ind w:firstLine="0"/>
              <w:jc w:val="center"/>
            </w:pPr>
          </w:p>
        </w:tc>
      </w:tr>
      <w:tr w:rsidR="00CA24B4" w:rsidRPr="00D82A17" w:rsidTr="009813D7">
        <w:trPr>
          <w:trHeight w:val="657"/>
          <w:jc w:val="center"/>
        </w:trPr>
        <w:tc>
          <w:tcPr>
            <w:tcW w:w="1546" w:type="pct"/>
          </w:tcPr>
          <w:p w:rsidR="00CA24B4" w:rsidRPr="00D82A17" w:rsidRDefault="00CA24B4" w:rsidP="0034795A">
            <w:pPr>
              <w:pStyle w:val="naisf"/>
              <w:spacing w:before="0" w:after="0"/>
              <w:ind w:firstLine="0"/>
              <w:jc w:val="left"/>
              <w:rPr>
                <w:i/>
              </w:rPr>
            </w:pPr>
            <w:r w:rsidRPr="00D82A17">
              <w:t>1.2. valsts speciālais budžets</w:t>
            </w:r>
          </w:p>
        </w:tc>
        <w:tc>
          <w:tcPr>
            <w:tcW w:w="644" w:type="pct"/>
            <w:vAlign w:val="center"/>
          </w:tcPr>
          <w:p w:rsidR="00CA24B4" w:rsidRPr="00D82A17" w:rsidRDefault="00DD2BEA" w:rsidP="005A53B8">
            <w:pPr>
              <w:pStyle w:val="naisf"/>
              <w:spacing w:before="0" w:after="0"/>
              <w:ind w:firstLine="0"/>
              <w:jc w:val="center"/>
              <w:rPr>
                <w:b/>
              </w:rPr>
            </w:pPr>
            <w:r w:rsidRPr="00D82A17">
              <w:t>0</w:t>
            </w: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1"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r>
      <w:tr w:rsidR="00CA24B4" w:rsidRPr="00D82A17" w:rsidTr="009813D7">
        <w:trPr>
          <w:jc w:val="center"/>
        </w:trPr>
        <w:tc>
          <w:tcPr>
            <w:tcW w:w="1546" w:type="pct"/>
          </w:tcPr>
          <w:p w:rsidR="00CA24B4" w:rsidRPr="00D82A17" w:rsidRDefault="00CA24B4" w:rsidP="0034795A">
            <w:pPr>
              <w:pStyle w:val="naisf"/>
              <w:spacing w:before="0" w:after="0"/>
              <w:ind w:firstLine="0"/>
              <w:jc w:val="left"/>
              <w:rPr>
                <w:i/>
              </w:rPr>
            </w:pPr>
            <w:r w:rsidRPr="00D82A17">
              <w:t>1.3. pašvaldību budžets</w:t>
            </w:r>
          </w:p>
        </w:tc>
        <w:tc>
          <w:tcPr>
            <w:tcW w:w="644" w:type="pct"/>
            <w:vAlign w:val="center"/>
          </w:tcPr>
          <w:p w:rsidR="00CA24B4" w:rsidRPr="00D82A17" w:rsidRDefault="00DD2BEA" w:rsidP="005A53B8">
            <w:pPr>
              <w:pStyle w:val="naisf"/>
              <w:spacing w:before="0" w:after="0"/>
              <w:ind w:firstLine="0"/>
              <w:jc w:val="center"/>
              <w:rPr>
                <w:b/>
              </w:rPr>
            </w:pPr>
            <w:r w:rsidRPr="00D82A17">
              <w:t>0</w:t>
            </w: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1"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r>
      <w:tr w:rsidR="00124F12" w:rsidRPr="00D82A17" w:rsidTr="009813D7">
        <w:trPr>
          <w:jc w:val="center"/>
        </w:trPr>
        <w:tc>
          <w:tcPr>
            <w:tcW w:w="1546" w:type="pct"/>
          </w:tcPr>
          <w:p w:rsidR="00124F12" w:rsidRPr="00D82A17" w:rsidRDefault="00124F12" w:rsidP="0034795A">
            <w:r w:rsidRPr="00D82A17">
              <w:t>2. Budžeta izdevumi:</w:t>
            </w:r>
          </w:p>
        </w:tc>
        <w:tc>
          <w:tcPr>
            <w:tcW w:w="644" w:type="pct"/>
          </w:tcPr>
          <w:p w:rsidR="00124F12" w:rsidRPr="00D82A17" w:rsidRDefault="00C50194" w:rsidP="005A53B8">
            <w:pPr>
              <w:pStyle w:val="naisf"/>
              <w:spacing w:before="0" w:after="0"/>
              <w:ind w:firstLine="0"/>
              <w:jc w:val="center"/>
              <w:rPr>
                <w:b/>
              </w:rPr>
            </w:pPr>
            <w:r w:rsidRPr="00D82A17">
              <w:rPr>
                <w:b/>
              </w:rPr>
              <w:t>0</w:t>
            </w:r>
          </w:p>
        </w:tc>
        <w:tc>
          <w:tcPr>
            <w:tcW w:w="703" w:type="pct"/>
          </w:tcPr>
          <w:p w:rsidR="00124F12" w:rsidRPr="00D82A17" w:rsidRDefault="002A5FBF" w:rsidP="00B42C1E">
            <w:pPr>
              <w:pStyle w:val="naisf"/>
              <w:spacing w:before="0" w:after="0"/>
              <w:ind w:firstLine="0"/>
              <w:jc w:val="center"/>
              <w:rPr>
                <w:b/>
              </w:rPr>
            </w:pPr>
            <w:r w:rsidRPr="00D82A17">
              <w:rPr>
                <w:b/>
              </w:rPr>
              <w:t>300</w:t>
            </w:r>
            <w:r w:rsidR="00B93E47">
              <w:rPr>
                <w:b/>
              </w:rPr>
              <w:t>,0</w:t>
            </w:r>
          </w:p>
        </w:tc>
        <w:tc>
          <w:tcPr>
            <w:tcW w:w="703" w:type="pct"/>
            <w:shd w:val="clear" w:color="auto" w:fill="auto"/>
          </w:tcPr>
          <w:p w:rsidR="00124F12" w:rsidRPr="00D82A17" w:rsidRDefault="00CA24B4" w:rsidP="00CA24B4">
            <w:pPr>
              <w:pStyle w:val="naisf"/>
              <w:spacing w:before="0" w:after="0"/>
              <w:ind w:firstLine="0"/>
              <w:jc w:val="center"/>
              <w:rPr>
                <w:b/>
              </w:rPr>
            </w:pPr>
            <w:r w:rsidRPr="00D82A17">
              <w:rPr>
                <w:b/>
              </w:rPr>
              <w:t>0</w:t>
            </w:r>
          </w:p>
        </w:tc>
        <w:tc>
          <w:tcPr>
            <w:tcW w:w="703" w:type="pct"/>
            <w:shd w:val="clear" w:color="auto" w:fill="auto"/>
          </w:tcPr>
          <w:p w:rsidR="00124F12" w:rsidRPr="00D82A17" w:rsidRDefault="00CA24B4" w:rsidP="00CA24B4">
            <w:pPr>
              <w:pStyle w:val="naisf"/>
              <w:spacing w:before="0" w:after="0"/>
              <w:ind w:firstLine="0"/>
              <w:jc w:val="center"/>
              <w:rPr>
                <w:b/>
              </w:rPr>
            </w:pPr>
            <w:r w:rsidRPr="00D82A17">
              <w:rPr>
                <w:b/>
              </w:rPr>
              <w:t>0</w:t>
            </w:r>
          </w:p>
        </w:tc>
        <w:tc>
          <w:tcPr>
            <w:tcW w:w="701" w:type="pct"/>
            <w:shd w:val="clear" w:color="auto" w:fill="auto"/>
          </w:tcPr>
          <w:p w:rsidR="00124F12" w:rsidRPr="00D82A17" w:rsidRDefault="00CA24B4" w:rsidP="00CA24B4">
            <w:pPr>
              <w:pStyle w:val="naisf"/>
              <w:spacing w:before="0" w:after="0"/>
              <w:ind w:firstLine="0"/>
              <w:jc w:val="center"/>
              <w:rPr>
                <w:b/>
              </w:rPr>
            </w:pPr>
            <w:r w:rsidRPr="00D82A17">
              <w:rPr>
                <w:b/>
              </w:rPr>
              <w:t>0</w:t>
            </w:r>
          </w:p>
        </w:tc>
      </w:tr>
      <w:tr w:rsidR="00CA24B4" w:rsidRPr="00D82A17" w:rsidTr="009813D7">
        <w:trPr>
          <w:trHeight w:val="414"/>
          <w:jc w:val="center"/>
        </w:trPr>
        <w:tc>
          <w:tcPr>
            <w:tcW w:w="1546" w:type="pct"/>
          </w:tcPr>
          <w:p w:rsidR="00CA24B4" w:rsidRPr="00D82A17" w:rsidRDefault="00CA24B4" w:rsidP="0034795A">
            <w:r w:rsidRPr="00D82A17">
              <w:t>2.1. valsts pamatbudžets</w:t>
            </w:r>
          </w:p>
        </w:tc>
        <w:tc>
          <w:tcPr>
            <w:tcW w:w="644" w:type="pct"/>
          </w:tcPr>
          <w:p w:rsidR="00CA24B4" w:rsidRPr="00D82A17" w:rsidRDefault="00C50194" w:rsidP="00AE1FDB">
            <w:pPr>
              <w:pStyle w:val="naisf"/>
              <w:spacing w:before="0" w:after="0"/>
              <w:ind w:firstLine="0"/>
              <w:jc w:val="center"/>
            </w:pPr>
            <w:r w:rsidRPr="00D82A17">
              <w:t>0</w:t>
            </w:r>
          </w:p>
        </w:tc>
        <w:tc>
          <w:tcPr>
            <w:tcW w:w="703" w:type="pct"/>
          </w:tcPr>
          <w:p w:rsidR="00CA24B4" w:rsidRPr="00D82A17" w:rsidRDefault="002A5FBF" w:rsidP="00B42C1E">
            <w:pPr>
              <w:pStyle w:val="naisf"/>
              <w:spacing w:before="0" w:after="0"/>
              <w:ind w:firstLine="0"/>
              <w:jc w:val="center"/>
            </w:pPr>
            <w:r w:rsidRPr="00D82A17">
              <w:t>300</w:t>
            </w:r>
            <w:r w:rsidR="00B93E47">
              <w:t>,0</w:t>
            </w:r>
          </w:p>
        </w:tc>
        <w:tc>
          <w:tcPr>
            <w:tcW w:w="703" w:type="pct"/>
            <w:shd w:val="clear" w:color="auto" w:fill="auto"/>
          </w:tcPr>
          <w:p w:rsidR="00CA24B4" w:rsidRPr="00D82A17" w:rsidRDefault="00DD2BEA" w:rsidP="00AE1FDB">
            <w:pPr>
              <w:pStyle w:val="naisf"/>
              <w:spacing w:before="0" w:after="0"/>
              <w:ind w:firstLine="0"/>
              <w:jc w:val="center"/>
            </w:pPr>
            <w:r w:rsidRPr="00D82A17">
              <w:t>0</w:t>
            </w:r>
          </w:p>
          <w:p w:rsidR="00CA24B4" w:rsidRPr="00D82A17" w:rsidRDefault="00CA24B4" w:rsidP="00AE1FDB">
            <w:pPr>
              <w:pStyle w:val="naisf"/>
              <w:spacing w:before="0" w:after="0"/>
              <w:ind w:firstLine="0"/>
              <w:jc w:val="center"/>
            </w:pPr>
          </w:p>
        </w:tc>
        <w:tc>
          <w:tcPr>
            <w:tcW w:w="703" w:type="pct"/>
            <w:shd w:val="clear" w:color="auto" w:fill="auto"/>
          </w:tcPr>
          <w:p w:rsidR="00CA24B4" w:rsidRPr="00D82A17" w:rsidRDefault="00DD2BEA" w:rsidP="00AE1FDB">
            <w:pPr>
              <w:pStyle w:val="naisf"/>
              <w:spacing w:before="0" w:after="0"/>
              <w:ind w:firstLine="0"/>
              <w:jc w:val="center"/>
            </w:pPr>
            <w:r w:rsidRPr="00D82A17">
              <w:t>0</w:t>
            </w:r>
          </w:p>
          <w:p w:rsidR="00CA24B4" w:rsidRPr="00D82A17" w:rsidRDefault="00CA24B4" w:rsidP="00AE1FDB">
            <w:pPr>
              <w:pStyle w:val="naisf"/>
              <w:spacing w:before="0" w:after="0"/>
              <w:ind w:firstLine="0"/>
              <w:jc w:val="center"/>
            </w:pPr>
          </w:p>
        </w:tc>
        <w:tc>
          <w:tcPr>
            <w:tcW w:w="701" w:type="pct"/>
            <w:shd w:val="clear" w:color="auto" w:fill="auto"/>
          </w:tcPr>
          <w:p w:rsidR="00CA24B4" w:rsidRPr="00D82A17" w:rsidRDefault="00DD2BEA" w:rsidP="00AE1FDB">
            <w:pPr>
              <w:pStyle w:val="naisf"/>
              <w:spacing w:before="0" w:after="0"/>
              <w:ind w:firstLine="0"/>
              <w:jc w:val="center"/>
            </w:pPr>
            <w:r w:rsidRPr="00D82A17">
              <w:t>0</w:t>
            </w:r>
          </w:p>
          <w:p w:rsidR="00CA24B4" w:rsidRPr="00D82A17" w:rsidRDefault="00CA24B4" w:rsidP="00AE1FDB">
            <w:pPr>
              <w:pStyle w:val="naisf"/>
              <w:spacing w:before="0" w:after="0"/>
              <w:ind w:firstLine="0"/>
              <w:jc w:val="center"/>
            </w:pPr>
          </w:p>
        </w:tc>
      </w:tr>
      <w:tr w:rsidR="00CA24B4" w:rsidRPr="00D82A17" w:rsidTr="009813D7">
        <w:trPr>
          <w:jc w:val="center"/>
        </w:trPr>
        <w:tc>
          <w:tcPr>
            <w:tcW w:w="1546" w:type="pct"/>
          </w:tcPr>
          <w:p w:rsidR="00CA24B4" w:rsidRPr="00D82A17" w:rsidRDefault="00CA24B4" w:rsidP="0034795A">
            <w:r w:rsidRPr="00D82A17">
              <w:t>2.2. valsts speciālais budžets</w:t>
            </w:r>
          </w:p>
        </w:tc>
        <w:tc>
          <w:tcPr>
            <w:tcW w:w="644" w:type="pct"/>
            <w:vAlign w:val="center"/>
          </w:tcPr>
          <w:p w:rsidR="00CA24B4" w:rsidRPr="00D82A17" w:rsidRDefault="00DD2BEA" w:rsidP="005A53B8">
            <w:pPr>
              <w:pStyle w:val="naisf"/>
              <w:spacing w:before="0" w:after="0"/>
              <w:ind w:firstLine="0"/>
              <w:jc w:val="center"/>
              <w:rPr>
                <w:b/>
              </w:rPr>
            </w:pPr>
            <w:r w:rsidRPr="00D82A17">
              <w:t>0</w:t>
            </w: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1"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r>
      <w:tr w:rsidR="00CA24B4" w:rsidRPr="00D82A17" w:rsidTr="009813D7">
        <w:trPr>
          <w:jc w:val="center"/>
        </w:trPr>
        <w:tc>
          <w:tcPr>
            <w:tcW w:w="1546" w:type="pct"/>
          </w:tcPr>
          <w:p w:rsidR="00CA24B4" w:rsidRPr="00D82A17" w:rsidRDefault="00CA24B4" w:rsidP="0034795A">
            <w:r w:rsidRPr="00D82A17">
              <w:t xml:space="preserve">2.3. pašvaldību budžets </w:t>
            </w:r>
          </w:p>
        </w:tc>
        <w:tc>
          <w:tcPr>
            <w:tcW w:w="644" w:type="pct"/>
            <w:vAlign w:val="center"/>
          </w:tcPr>
          <w:p w:rsidR="00CA24B4" w:rsidRPr="00D82A17" w:rsidRDefault="00DD2BEA" w:rsidP="005A53B8">
            <w:pPr>
              <w:pStyle w:val="naisf"/>
              <w:spacing w:before="0" w:after="0"/>
              <w:ind w:firstLine="0"/>
              <w:jc w:val="center"/>
              <w:rPr>
                <w:b/>
              </w:rPr>
            </w:pPr>
            <w:r w:rsidRPr="00D82A17">
              <w:t>0</w:t>
            </w: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1"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r>
      <w:tr w:rsidR="00CA24B4" w:rsidRPr="00D82A17" w:rsidTr="009813D7">
        <w:trPr>
          <w:jc w:val="center"/>
        </w:trPr>
        <w:tc>
          <w:tcPr>
            <w:tcW w:w="1546" w:type="pct"/>
          </w:tcPr>
          <w:p w:rsidR="00CA24B4" w:rsidRPr="00D82A17" w:rsidRDefault="00CA24B4" w:rsidP="0034795A">
            <w:r w:rsidRPr="00D82A17">
              <w:t>3. Finansiālā ietekme:</w:t>
            </w:r>
          </w:p>
        </w:tc>
        <w:tc>
          <w:tcPr>
            <w:tcW w:w="644" w:type="pct"/>
            <w:shd w:val="clear" w:color="auto" w:fill="auto"/>
            <w:vAlign w:val="center"/>
          </w:tcPr>
          <w:p w:rsidR="00CA24B4" w:rsidRPr="00D82A17" w:rsidRDefault="005C795B" w:rsidP="005A53B8">
            <w:pPr>
              <w:pStyle w:val="naisf"/>
              <w:spacing w:before="0" w:after="0"/>
              <w:ind w:firstLine="0"/>
              <w:jc w:val="center"/>
              <w:rPr>
                <w:b/>
              </w:rPr>
            </w:pPr>
            <w:r w:rsidRPr="00D82A17">
              <w:rPr>
                <w:b/>
              </w:rPr>
              <w:t>0</w:t>
            </w:r>
          </w:p>
        </w:tc>
        <w:tc>
          <w:tcPr>
            <w:tcW w:w="703" w:type="pct"/>
          </w:tcPr>
          <w:p w:rsidR="00CA24B4" w:rsidRPr="00D82A17" w:rsidRDefault="00065314" w:rsidP="00B42C1E">
            <w:pPr>
              <w:pStyle w:val="naisf"/>
              <w:spacing w:before="0" w:after="0"/>
              <w:ind w:firstLine="0"/>
              <w:jc w:val="center"/>
              <w:rPr>
                <w:b/>
              </w:rPr>
            </w:pPr>
            <w:r w:rsidRPr="00D82A17">
              <w:rPr>
                <w:b/>
              </w:rPr>
              <w:t>-</w:t>
            </w:r>
            <w:r w:rsidR="002A5FBF" w:rsidRPr="00D82A17">
              <w:rPr>
                <w:b/>
              </w:rPr>
              <w:t>300</w:t>
            </w:r>
            <w:r w:rsidR="00B93E47">
              <w:rPr>
                <w:b/>
              </w:rPr>
              <w:t>,0</w:t>
            </w:r>
          </w:p>
        </w:tc>
        <w:tc>
          <w:tcPr>
            <w:tcW w:w="703" w:type="pct"/>
            <w:shd w:val="clear" w:color="auto" w:fill="auto"/>
            <w:vAlign w:val="center"/>
          </w:tcPr>
          <w:p w:rsidR="00CA24B4" w:rsidRPr="00D82A17" w:rsidRDefault="005C795B" w:rsidP="005A53B8">
            <w:pPr>
              <w:pStyle w:val="naisf"/>
              <w:spacing w:before="0" w:after="0"/>
              <w:ind w:firstLine="0"/>
              <w:jc w:val="center"/>
              <w:rPr>
                <w:b/>
              </w:rPr>
            </w:pPr>
            <w:r w:rsidRPr="00D82A17">
              <w:rPr>
                <w:b/>
              </w:rPr>
              <w:t>0</w:t>
            </w:r>
          </w:p>
        </w:tc>
        <w:tc>
          <w:tcPr>
            <w:tcW w:w="703" w:type="pct"/>
            <w:shd w:val="clear" w:color="auto" w:fill="auto"/>
            <w:vAlign w:val="center"/>
          </w:tcPr>
          <w:p w:rsidR="00CA24B4" w:rsidRPr="00D82A17" w:rsidRDefault="005C795B" w:rsidP="005A53B8">
            <w:pPr>
              <w:pStyle w:val="naisf"/>
              <w:spacing w:before="0" w:after="0"/>
              <w:ind w:firstLine="0"/>
              <w:jc w:val="center"/>
              <w:rPr>
                <w:b/>
              </w:rPr>
            </w:pPr>
            <w:r w:rsidRPr="00D82A17">
              <w:rPr>
                <w:b/>
              </w:rPr>
              <w:t>0</w:t>
            </w:r>
          </w:p>
        </w:tc>
        <w:tc>
          <w:tcPr>
            <w:tcW w:w="701" w:type="pct"/>
            <w:shd w:val="clear" w:color="auto" w:fill="auto"/>
            <w:vAlign w:val="center"/>
          </w:tcPr>
          <w:p w:rsidR="00CA24B4" w:rsidRPr="00D82A17" w:rsidRDefault="005C795B" w:rsidP="005A53B8">
            <w:pPr>
              <w:pStyle w:val="naisf"/>
              <w:spacing w:before="0" w:after="0"/>
              <w:ind w:firstLine="0"/>
              <w:jc w:val="center"/>
              <w:rPr>
                <w:b/>
              </w:rPr>
            </w:pPr>
            <w:r w:rsidRPr="00D82A17">
              <w:rPr>
                <w:b/>
              </w:rPr>
              <w:t>0</w:t>
            </w:r>
          </w:p>
        </w:tc>
      </w:tr>
      <w:tr w:rsidR="00CA24B4" w:rsidRPr="00D82A17" w:rsidTr="009813D7">
        <w:trPr>
          <w:jc w:val="center"/>
        </w:trPr>
        <w:tc>
          <w:tcPr>
            <w:tcW w:w="1546" w:type="pct"/>
          </w:tcPr>
          <w:p w:rsidR="00CA24B4" w:rsidRPr="00D82A17" w:rsidRDefault="00CA24B4" w:rsidP="0034795A">
            <w:r w:rsidRPr="00D82A17">
              <w:lastRenderedPageBreak/>
              <w:t>3.1. valsts pamatbudžets</w:t>
            </w:r>
          </w:p>
        </w:tc>
        <w:tc>
          <w:tcPr>
            <w:tcW w:w="644" w:type="pct"/>
            <w:shd w:val="clear" w:color="auto" w:fill="auto"/>
            <w:vAlign w:val="center"/>
          </w:tcPr>
          <w:p w:rsidR="00CA24B4" w:rsidRPr="00D82A17" w:rsidRDefault="00DD2BEA" w:rsidP="005A53B8">
            <w:pPr>
              <w:pStyle w:val="naisf"/>
              <w:spacing w:before="0" w:after="0"/>
              <w:ind w:firstLine="0"/>
              <w:jc w:val="center"/>
            </w:pPr>
            <w:r w:rsidRPr="00D82A17">
              <w:t>0</w:t>
            </w:r>
          </w:p>
        </w:tc>
        <w:tc>
          <w:tcPr>
            <w:tcW w:w="703" w:type="pct"/>
            <w:vAlign w:val="center"/>
          </w:tcPr>
          <w:p w:rsidR="00CA24B4" w:rsidRPr="00D82A17" w:rsidRDefault="00DA34A8" w:rsidP="00EE2BCD">
            <w:pPr>
              <w:pStyle w:val="naisf"/>
              <w:spacing w:before="0" w:after="0"/>
              <w:ind w:firstLine="0"/>
              <w:jc w:val="center"/>
              <w:rPr>
                <w:b/>
              </w:rPr>
            </w:pPr>
            <w:r w:rsidRPr="00D82A17">
              <w:t>-</w:t>
            </w:r>
            <w:r w:rsidR="002A5FBF" w:rsidRPr="00D82A17">
              <w:t>300</w:t>
            </w:r>
            <w:r w:rsidR="00B93E4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1"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r>
      <w:tr w:rsidR="00CA24B4" w:rsidRPr="00D82A17" w:rsidTr="009813D7">
        <w:trPr>
          <w:jc w:val="center"/>
        </w:trPr>
        <w:tc>
          <w:tcPr>
            <w:tcW w:w="1546" w:type="pct"/>
          </w:tcPr>
          <w:p w:rsidR="00CA24B4" w:rsidRPr="00D82A17" w:rsidRDefault="00CA24B4" w:rsidP="0034795A">
            <w:r w:rsidRPr="00D82A17">
              <w:t>3.2. speciālais budžets</w:t>
            </w:r>
          </w:p>
        </w:tc>
        <w:tc>
          <w:tcPr>
            <w:tcW w:w="644" w:type="pct"/>
            <w:shd w:val="clear" w:color="auto" w:fill="auto"/>
            <w:vAlign w:val="center"/>
          </w:tcPr>
          <w:p w:rsidR="00CA24B4" w:rsidRPr="00D82A17" w:rsidRDefault="00DD2BEA" w:rsidP="005A53B8">
            <w:pPr>
              <w:pStyle w:val="naisf"/>
              <w:spacing w:before="0" w:after="0"/>
              <w:ind w:firstLine="0"/>
              <w:jc w:val="center"/>
            </w:pPr>
            <w:r w:rsidRPr="00D82A17">
              <w:t>0</w:t>
            </w: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1"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r>
      <w:tr w:rsidR="00CA24B4" w:rsidRPr="00D82A17" w:rsidTr="009813D7">
        <w:trPr>
          <w:jc w:val="center"/>
        </w:trPr>
        <w:tc>
          <w:tcPr>
            <w:tcW w:w="1546" w:type="pct"/>
          </w:tcPr>
          <w:p w:rsidR="00CA24B4" w:rsidRPr="00D82A17" w:rsidRDefault="00CA24B4" w:rsidP="0034795A">
            <w:r w:rsidRPr="00D82A17">
              <w:t xml:space="preserve">3.3. pašvaldību budžets </w:t>
            </w:r>
          </w:p>
        </w:tc>
        <w:tc>
          <w:tcPr>
            <w:tcW w:w="644" w:type="pct"/>
            <w:shd w:val="clear" w:color="auto" w:fill="auto"/>
            <w:vAlign w:val="center"/>
          </w:tcPr>
          <w:p w:rsidR="00CA24B4" w:rsidRPr="00D82A17" w:rsidRDefault="00DD2BEA" w:rsidP="005A53B8">
            <w:pPr>
              <w:pStyle w:val="naisf"/>
              <w:spacing w:before="0" w:after="0"/>
              <w:ind w:firstLine="0"/>
              <w:jc w:val="center"/>
            </w:pPr>
            <w:r w:rsidRPr="00D82A17">
              <w:t>0</w:t>
            </w: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c>
          <w:tcPr>
            <w:tcW w:w="701" w:type="pct"/>
            <w:shd w:val="clear" w:color="auto" w:fill="auto"/>
            <w:vAlign w:val="center"/>
          </w:tcPr>
          <w:p w:rsidR="00CA24B4" w:rsidRPr="00D82A17" w:rsidRDefault="00DD2BEA" w:rsidP="005A53B8">
            <w:pPr>
              <w:pStyle w:val="naisf"/>
              <w:spacing w:before="0" w:after="0"/>
              <w:ind w:firstLine="0"/>
              <w:jc w:val="center"/>
              <w:rPr>
                <w:b/>
              </w:rPr>
            </w:pPr>
            <w:r w:rsidRPr="00D82A17">
              <w:t>0</w:t>
            </w:r>
          </w:p>
        </w:tc>
      </w:tr>
      <w:tr w:rsidR="005C795B" w:rsidRPr="00D82A17" w:rsidTr="009813D7">
        <w:trPr>
          <w:jc w:val="center"/>
        </w:trPr>
        <w:tc>
          <w:tcPr>
            <w:tcW w:w="1546" w:type="pct"/>
            <w:vMerge w:val="restart"/>
          </w:tcPr>
          <w:p w:rsidR="005C795B" w:rsidRPr="00D82A17" w:rsidRDefault="005C795B" w:rsidP="0034795A">
            <w:r w:rsidRPr="00D82A17">
              <w:t>4. Finanšu līdzekļi pap</w:t>
            </w:r>
            <w:r w:rsidR="0034795A" w:rsidRPr="00D82A17">
              <w:t>ildu izde</w:t>
            </w:r>
            <w:r w:rsidR="0034795A" w:rsidRPr="00D82A17">
              <w:softHyphen/>
              <w:t xml:space="preserve">vumu </w:t>
            </w:r>
            <w:r w:rsidRPr="00D82A17">
              <w:t>finansēšanai (kompensējošu izdevumu samazinājumu norāda ar "+" zīmi)</w:t>
            </w:r>
          </w:p>
        </w:tc>
        <w:tc>
          <w:tcPr>
            <w:tcW w:w="644" w:type="pct"/>
            <w:vMerge w:val="restart"/>
            <w:vAlign w:val="center"/>
          </w:tcPr>
          <w:p w:rsidR="005C795B" w:rsidRPr="00D82A17" w:rsidRDefault="005C795B" w:rsidP="00C472EA">
            <w:pPr>
              <w:pStyle w:val="naisf"/>
              <w:spacing w:before="0" w:after="0"/>
              <w:ind w:firstLine="0"/>
              <w:jc w:val="center"/>
            </w:pPr>
            <w:r w:rsidRPr="00D82A17">
              <w:t>X</w:t>
            </w:r>
          </w:p>
        </w:tc>
        <w:tc>
          <w:tcPr>
            <w:tcW w:w="703" w:type="pct"/>
            <w:vMerge w:val="restart"/>
            <w:vAlign w:val="center"/>
          </w:tcPr>
          <w:p w:rsidR="005C795B" w:rsidRPr="00D82A17" w:rsidRDefault="002A5FBF" w:rsidP="00B42C1E">
            <w:pPr>
              <w:pStyle w:val="naisf"/>
              <w:spacing w:before="0" w:after="0"/>
              <w:ind w:firstLine="0"/>
              <w:jc w:val="center"/>
              <w:rPr>
                <w:b/>
              </w:rPr>
            </w:pPr>
            <w:r w:rsidRPr="00D82A17">
              <w:rPr>
                <w:b/>
              </w:rPr>
              <w:t>300</w:t>
            </w:r>
            <w:r w:rsidR="00B93E47">
              <w:rPr>
                <w:b/>
              </w:rPr>
              <w:t>,0</w:t>
            </w:r>
          </w:p>
        </w:tc>
        <w:tc>
          <w:tcPr>
            <w:tcW w:w="703" w:type="pct"/>
            <w:shd w:val="clear" w:color="auto" w:fill="auto"/>
            <w:vAlign w:val="center"/>
          </w:tcPr>
          <w:p w:rsidR="005C795B" w:rsidRPr="00D82A17" w:rsidRDefault="00DD2BEA" w:rsidP="00DD2BEA">
            <w:pPr>
              <w:pStyle w:val="naisf"/>
              <w:spacing w:before="0" w:after="0"/>
              <w:ind w:firstLine="0"/>
              <w:jc w:val="center"/>
              <w:rPr>
                <w:b/>
              </w:rPr>
            </w:pPr>
            <w:r w:rsidRPr="00D82A17">
              <w:t>0</w:t>
            </w:r>
          </w:p>
        </w:tc>
        <w:tc>
          <w:tcPr>
            <w:tcW w:w="703" w:type="pct"/>
            <w:shd w:val="clear" w:color="auto" w:fill="auto"/>
            <w:vAlign w:val="center"/>
          </w:tcPr>
          <w:p w:rsidR="005C795B" w:rsidRPr="00D82A17" w:rsidRDefault="00DD2BEA" w:rsidP="005A53B8">
            <w:pPr>
              <w:pStyle w:val="naisf"/>
              <w:spacing w:before="0" w:after="0"/>
              <w:ind w:firstLine="0"/>
              <w:jc w:val="center"/>
              <w:rPr>
                <w:b/>
              </w:rPr>
            </w:pPr>
            <w:r w:rsidRPr="00D82A17">
              <w:t>0</w:t>
            </w:r>
          </w:p>
        </w:tc>
        <w:tc>
          <w:tcPr>
            <w:tcW w:w="701" w:type="pct"/>
            <w:shd w:val="clear" w:color="auto" w:fill="auto"/>
            <w:vAlign w:val="center"/>
          </w:tcPr>
          <w:p w:rsidR="005C795B" w:rsidRPr="00D82A17" w:rsidRDefault="00DD2BEA" w:rsidP="005A53B8">
            <w:pPr>
              <w:pStyle w:val="Galvene"/>
              <w:jc w:val="center"/>
              <w:rPr>
                <w:b/>
              </w:rPr>
            </w:pPr>
            <w:r w:rsidRPr="00D82A17">
              <w:t>0</w:t>
            </w:r>
          </w:p>
        </w:tc>
      </w:tr>
      <w:tr w:rsidR="005C795B" w:rsidRPr="00D82A17" w:rsidTr="009813D7">
        <w:trPr>
          <w:jc w:val="center"/>
        </w:trPr>
        <w:tc>
          <w:tcPr>
            <w:tcW w:w="1546" w:type="pct"/>
            <w:vMerge/>
          </w:tcPr>
          <w:p w:rsidR="005C795B" w:rsidRPr="00D82A17" w:rsidRDefault="005C795B" w:rsidP="0034795A"/>
        </w:tc>
        <w:tc>
          <w:tcPr>
            <w:tcW w:w="644" w:type="pct"/>
            <w:vMerge/>
          </w:tcPr>
          <w:p w:rsidR="005C795B" w:rsidRPr="00D82A17" w:rsidRDefault="005C795B" w:rsidP="006C4607">
            <w:pPr>
              <w:pStyle w:val="Galvene"/>
              <w:jc w:val="center"/>
            </w:pPr>
          </w:p>
        </w:tc>
        <w:tc>
          <w:tcPr>
            <w:tcW w:w="703" w:type="pct"/>
            <w:vMerge/>
            <w:vAlign w:val="center"/>
          </w:tcPr>
          <w:p w:rsidR="005C795B" w:rsidRPr="00D82A17" w:rsidRDefault="005C795B" w:rsidP="005A53B8">
            <w:pPr>
              <w:pStyle w:val="naisf"/>
              <w:jc w:val="center"/>
              <w:rPr>
                <w:b/>
              </w:rPr>
            </w:pPr>
          </w:p>
        </w:tc>
        <w:tc>
          <w:tcPr>
            <w:tcW w:w="703" w:type="pct"/>
            <w:shd w:val="clear" w:color="auto" w:fill="auto"/>
            <w:vAlign w:val="center"/>
          </w:tcPr>
          <w:p w:rsidR="005C795B" w:rsidRPr="00D82A17" w:rsidRDefault="00DD2BEA" w:rsidP="005A53B8">
            <w:pPr>
              <w:pStyle w:val="naisf"/>
              <w:spacing w:before="0" w:after="0"/>
              <w:ind w:firstLine="0"/>
              <w:jc w:val="center"/>
              <w:rPr>
                <w:b/>
              </w:rPr>
            </w:pPr>
            <w:r w:rsidRPr="00D82A17">
              <w:t>0</w:t>
            </w:r>
          </w:p>
        </w:tc>
        <w:tc>
          <w:tcPr>
            <w:tcW w:w="703" w:type="pct"/>
            <w:shd w:val="clear" w:color="auto" w:fill="auto"/>
            <w:vAlign w:val="center"/>
          </w:tcPr>
          <w:p w:rsidR="005C795B" w:rsidRPr="00D82A17" w:rsidRDefault="00DD2BEA" w:rsidP="005A53B8">
            <w:pPr>
              <w:pStyle w:val="naisf"/>
              <w:spacing w:before="0" w:after="0"/>
              <w:ind w:firstLine="0"/>
              <w:jc w:val="center"/>
              <w:rPr>
                <w:b/>
              </w:rPr>
            </w:pPr>
            <w:r w:rsidRPr="00D82A17">
              <w:t>0</w:t>
            </w:r>
          </w:p>
        </w:tc>
        <w:tc>
          <w:tcPr>
            <w:tcW w:w="701" w:type="pct"/>
            <w:shd w:val="clear" w:color="auto" w:fill="auto"/>
            <w:vAlign w:val="center"/>
          </w:tcPr>
          <w:p w:rsidR="005C795B" w:rsidRPr="00D82A17" w:rsidRDefault="00DD2BEA" w:rsidP="005A53B8">
            <w:pPr>
              <w:pStyle w:val="Galvene"/>
              <w:jc w:val="center"/>
              <w:rPr>
                <w:b/>
              </w:rPr>
            </w:pPr>
            <w:r w:rsidRPr="00D82A17">
              <w:t>0</w:t>
            </w:r>
          </w:p>
        </w:tc>
      </w:tr>
      <w:tr w:rsidR="005C795B" w:rsidRPr="00D82A17" w:rsidTr="009813D7">
        <w:trPr>
          <w:jc w:val="center"/>
        </w:trPr>
        <w:tc>
          <w:tcPr>
            <w:tcW w:w="1546" w:type="pct"/>
            <w:vMerge/>
          </w:tcPr>
          <w:p w:rsidR="005C795B" w:rsidRPr="00D82A17" w:rsidRDefault="005C795B" w:rsidP="0034795A"/>
        </w:tc>
        <w:tc>
          <w:tcPr>
            <w:tcW w:w="644" w:type="pct"/>
            <w:vMerge/>
          </w:tcPr>
          <w:p w:rsidR="005C795B" w:rsidRPr="00D82A17" w:rsidRDefault="005C795B" w:rsidP="006C4607">
            <w:pPr>
              <w:pStyle w:val="Galvene"/>
              <w:jc w:val="center"/>
            </w:pPr>
          </w:p>
        </w:tc>
        <w:tc>
          <w:tcPr>
            <w:tcW w:w="703" w:type="pct"/>
            <w:vMerge/>
            <w:vAlign w:val="center"/>
          </w:tcPr>
          <w:p w:rsidR="005C795B" w:rsidRPr="00D82A17" w:rsidRDefault="005C795B" w:rsidP="005A53B8">
            <w:pPr>
              <w:pStyle w:val="naisf"/>
              <w:spacing w:before="0" w:after="0"/>
              <w:ind w:firstLine="0"/>
              <w:jc w:val="center"/>
              <w:rPr>
                <w:b/>
              </w:rPr>
            </w:pPr>
          </w:p>
        </w:tc>
        <w:tc>
          <w:tcPr>
            <w:tcW w:w="703" w:type="pct"/>
            <w:shd w:val="clear" w:color="auto" w:fill="auto"/>
            <w:vAlign w:val="center"/>
          </w:tcPr>
          <w:p w:rsidR="005C795B" w:rsidRPr="00D82A17" w:rsidRDefault="00DD2BEA" w:rsidP="005A53B8">
            <w:pPr>
              <w:pStyle w:val="naislab"/>
              <w:spacing w:before="0" w:after="0"/>
              <w:jc w:val="center"/>
              <w:rPr>
                <w:b/>
              </w:rPr>
            </w:pPr>
            <w:r w:rsidRPr="00D82A17">
              <w:t>0</w:t>
            </w:r>
          </w:p>
        </w:tc>
        <w:tc>
          <w:tcPr>
            <w:tcW w:w="703" w:type="pct"/>
            <w:shd w:val="clear" w:color="auto" w:fill="auto"/>
            <w:vAlign w:val="center"/>
          </w:tcPr>
          <w:p w:rsidR="005C795B" w:rsidRPr="00D82A17" w:rsidRDefault="00DD2BEA" w:rsidP="005A53B8">
            <w:pPr>
              <w:pStyle w:val="naislab"/>
              <w:spacing w:before="0" w:after="0"/>
              <w:jc w:val="center"/>
              <w:rPr>
                <w:b/>
              </w:rPr>
            </w:pPr>
            <w:r w:rsidRPr="00D82A17">
              <w:t>0</w:t>
            </w:r>
          </w:p>
        </w:tc>
        <w:tc>
          <w:tcPr>
            <w:tcW w:w="701" w:type="pct"/>
            <w:shd w:val="clear" w:color="auto" w:fill="auto"/>
            <w:vAlign w:val="center"/>
          </w:tcPr>
          <w:p w:rsidR="005C795B" w:rsidRPr="00D82A17" w:rsidRDefault="00DD2BEA" w:rsidP="005A53B8">
            <w:pPr>
              <w:pStyle w:val="Galvene"/>
              <w:jc w:val="center"/>
              <w:rPr>
                <w:b/>
              </w:rPr>
            </w:pPr>
            <w:r w:rsidRPr="00D82A17">
              <w:t>0</w:t>
            </w:r>
          </w:p>
        </w:tc>
      </w:tr>
      <w:tr w:rsidR="00CA24B4" w:rsidRPr="00D82A17" w:rsidTr="009813D7">
        <w:trPr>
          <w:jc w:val="center"/>
        </w:trPr>
        <w:tc>
          <w:tcPr>
            <w:tcW w:w="1546" w:type="pct"/>
          </w:tcPr>
          <w:p w:rsidR="00CA24B4" w:rsidRPr="00D82A17" w:rsidRDefault="00CA24B4" w:rsidP="0034795A">
            <w:r w:rsidRPr="00D82A17">
              <w:t>5. Precizēta finansiālā ietekme:</w:t>
            </w:r>
          </w:p>
        </w:tc>
        <w:tc>
          <w:tcPr>
            <w:tcW w:w="644" w:type="pct"/>
            <w:vMerge w:val="restart"/>
            <w:vAlign w:val="center"/>
          </w:tcPr>
          <w:p w:rsidR="00F5516C" w:rsidRDefault="00CA24B4" w:rsidP="004617ED">
            <w:pPr>
              <w:pStyle w:val="Galvene"/>
              <w:jc w:val="center"/>
            </w:pPr>
            <w:r w:rsidRPr="00D82A17">
              <w:t>X</w:t>
            </w:r>
          </w:p>
          <w:p w:rsidR="00C7770F" w:rsidRDefault="00C7770F" w:rsidP="00C7770F"/>
        </w:tc>
        <w:tc>
          <w:tcPr>
            <w:tcW w:w="703" w:type="pct"/>
            <w:vAlign w:val="center"/>
          </w:tcPr>
          <w:p w:rsidR="00CA24B4" w:rsidRPr="00D82A17" w:rsidRDefault="005C795B" w:rsidP="005A53B8">
            <w:pPr>
              <w:pStyle w:val="naislab"/>
              <w:spacing w:before="0" w:after="0"/>
              <w:jc w:val="center"/>
              <w:rPr>
                <w:b/>
              </w:rPr>
            </w:pPr>
            <w:r w:rsidRPr="00D82A17">
              <w:rPr>
                <w:b/>
              </w:rPr>
              <w:t>0</w:t>
            </w: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1" w:type="pct"/>
            <w:vAlign w:val="center"/>
          </w:tcPr>
          <w:p w:rsidR="00CA24B4" w:rsidRPr="00D82A17" w:rsidRDefault="00DD2BEA" w:rsidP="005A53B8">
            <w:pPr>
              <w:pStyle w:val="Galvene"/>
              <w:jc w:val="center"/>
              <w:rPr>
                <w:b/>
              </w:rPr>
            </w:pPr>
            <w:r w:rsidRPr="00D82A17">
              <w:t>0</w:t>
            </w:r>
          </w:p>
        </w:tc>
      </w:tr>
      <w:tr w:rsidR="00CA24B4" w:rsidRPr="00D82A17" w:rsidTr="009813D7">
        <w:trPr>
          <w:jc w:val="center"/>
        </w:trPr>
        <w:tc>
          <w:tcPr>
            <w:tcW w:w="1546" w:type="pct"/>
          </w:tcPr>
          <w:p w:rsidR="00CA24B4" w:rsidRPr="00D82A17" w:rsidRDefault="00CA24B4" w:rsidP="0034795A">
            <w:r w:rsidRPr="00D82A17">
              <w:t>5.1. valsts pamatbudžets</w:t>
            </w:r>
          </w:p>
        </w:tc>
        <w:tc>
          <w:tcPr>
            <w:tcW w:w="644" w:type="pct"/>
            <w:vMerge/>
            <w:vAlign w:val="center"/>
          </w:tcPr>
          <w:p w:rsidR="00CA24B4" w:rsidRPr="00D82A17" w:rsidRDefault="00CA24B4" w:rsidP="006C4607">
            <w:pPr>
              <w:pStyle w:val="naisf"/>
              <w:spacing w:before="0" w:after="0"/>
              <w:ind w:firstLine="0"/>
              <w:jc w:val="center"/>
            </w:pPr>
          </w:p>
        </w:tc>
        <w:tc>
          <w:tcPr>
            <w:tcW w:w="703" w:type="pct"/>
            <w:vAlign w:val="center"/>
          </w:tcPr>
          <w:p w:rsidR="00CA24B4" w:rsidRPr="00D82A17" w:rsidRDefault="005C795B" w:rsidP="005A53B8">
            <w:pPr>
              <w:pStyle w:val="naislab"/>
              <w:spacing w:before="0" w:after="0"/>
              <w:jc w:val="center"/>
              <w:rPr>
                <w:b/>
              </w:rPr>
            </w:pPr>
            <w:r w:rsidRPr="00D82A17">
              <w:rPr>
                <w:b/>
              </w:rPr>
              <w:t>0</w:t>
            </w:r>
          </w:p>
        </w:tc>
        <w:tc>
          <w:tcPr>
            <w:tcW w:w="703" w:type="pct"/>
            <w:vAlign w:val="center"/>
          </w:tcPr>
          <w:p w:rsidR="00CA24B4" w:rsidRPr="00D82A17" w:rsidRDefault="00DD2BEA" w:rsidP="005A53B8">
            <w:pPr>
              <w:pStyle w:val="naislab"/>
              <w:spacing w:before="0" w:after="0"/>
              <w:jc w:val="center"/>
              <w:rPr>
                <w:b/>
              </w:rPr>
            </w:pPr>
            <w:r w:rsidRPr="00D82A17">
              <w:t>0</w:t>
            </w:r>
          </w:p>
        </w:tc>
        <w:tc>
          <w:tcPr>
            <w:tcW w:w="703" w:type="pct"/>
            <w:vAlign w:val="center"/>
          </w:tcPr>
          <w:p w:rsidR="00CA24B4" w:rsidRPr="00D82A17" w:rsidRDefault="00DD2BEA" w:rsidP="005A53B8">
            <w:pPr>
              <w:pStyle w:val="naislab"/>
              <w:spacing w:before="0" w:after="0"/>
              <w:jc w:val="center"/>
              <w:rPr>
                <w:b/>
              </w:rPr>
            </w:pPr>
            <w:r w:rsidRPr="00D82A17">
              <w:t>0</w:t>
            </w:r>
          </w:p>
        </w:tc>
        <w:tc>
          <w:tcPr>
            <w:tcW w:w="701" w:type="pct"/>
            <w:vAlign w:val="center"/>
          </w:tcPr>
          <w:p w:rsidR="00CA24B4" w:rsidRPr="00D82A17" w:rsidRDefault="00DD2BEA" w:rsidP="005A53B8">
            <w:pPr>
              <w:pStyle w:val="naisf"/>
              <w:spacing w:before="0" w:after="0"/>
              <w:ind w:firstLine="0"/>
              <w:jc w:val="center"/>
              <w:rPr>
                <w:b/>
              </w:rPr>
            </w:pPr>
            <w:r w:rsidRPr="00D82A17">
              <w:t>0</w:t>
            </w:r>
          </w:p>
        </w:tc>
      </w:tr>
      <w:tr w:rsidR="00CA24B4" w:rsidRPr="00D82A17" w:rsidTr="009813D7">
        <w:trPr>
          <w:jc w:val="center"/>
        </w:trPr>
        <w:tc>
          <w:tcPr>
            <w:tcW w:w="1546" w:type="pct"/>
          </w:tcPr>
          <w:p w:rsidR="00CA24B4" w:rsidRPr="00D82A17" w:rsidRDefault="00CA24B4" w:rsidP="0034795A">
            <w:r w:rsidRPr="00D82A17">
              <w:t>5.2. speciālais budžets</w:t>
            </w:r>
          </w:p>
        </w:tc>
        <w:tc>
          <w:tcPr>
            <w:tcW w:w="644" w:type="pct"/>
            <w:vMerge/>
            <w:vAlign w:val="center"/>
          </w:tcPr>
          <w:p w:rsidR="00CA24B4" w:rsidRPr="00D82A17" w:rsidRDefault="00CA24B4" w:rsidP="006C4607">
            <w:pPr>
              <w:pStyle w:val="naisf"/>
              <w:spacing w:before="0" w:after="0"/>
              <w:ind w:firstLine="0"/>
              <w:jc w:val="center"/>
            </w:pP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1" w:type="pct"/>
            <w:vAlign w:val="center"/>
          </w:tcPr>
          <w:p w:rsidR="00CA24B4" w:rsidRPr="00D82A17" w:rsidRDefault="00DD2BEA" w:rsidP="005A53B8">
            <w:pPr>
              <w:pStyle w:val="naisf"/>
              <w:spacing w:before="0" w:after="0"/>
              <w:ind w:firstLine="0"/>
              <w:jc w:val="center"/>
              <w:rPr>
                <w:b/>
              </w:rPr>
            </w:pPr>
            <w:r w:rsidRPr="00D82A17">
              <w:t>0</w:t>
            </w:r>
          </w:p>
        </w:tc>
      </w:tr>
      <w:tr w:rsidR="00CA24B4" w:rsidRPr="00D82A17" w:rsidTr="009813D7">
        <w:trPr>
          <w:jc w:val="center"/>
        </w:trPr>
        <w:tc>
          <w:tcPr>
            <w:tcW w:w="1546" w:type="pct"/>
          </w:tcPr>
          <w:p w:rsidR="00CA24B4" w:rsidRPr="00D82A17" w:rsidRDefault="00CA24B4" w:rsidP="0034795A">
            <w:r w:rsidRPr="00D82A17">
              <w:t xml:space="preserve">5.3. pašvaldību budžets </w:t>
            </w:r>
          </w:p>
        </w:tc>
        <w:tc>
          <w:tcPr>
            <w:tcW w:w="644" w:type="pct"/>
            <w:vMerge/>
            <w:vAlign w:val="center"/>
          </w:tcPr>
          <w:p w:rsidR="00CA24B4" w:rsidRPr="00D82A17" w:rsidRDefault="00CA24B4" w:rsidP="006C4607">
            <w:pPr>
              <w:pStyle w:val="naisf"/>
              <w:spacing w:before="0" w:after="0"/>
              <w:ind w:firstLine="0"/>
              <w:jc w:val="center"/>
            </w:pP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3" w:type="pct"/>
            <w:vAlign w:val="center"/>
          </w:tcPr>
          <w:p w:rsidR="00CA24B4" w:rsidRPr="00D82A17" w:rsidRDefault="00DD2BEA" w:rsidP="005A53B8">
            <w:pPr>
              <w:pStyle w:val="naisf"/>
              <w:spacing w:before="0" w:after="0"/>
              <w:ind w:firstLine="0"/>
              <w:jc w:val="center"/>
              <w:rPr>
                <w:b/>
              </w:rPr>
            </w:pPr>
            <w:r w:rsidRPr="00D82A17">
              <w:t>0</w:t>
            </w:r>
          </w:p>
        </w:tc>
        <w:tc>
          <w:tcPr>
            <w:tcW w:w="701" w:type="pct"/>
            <w:vAlign w:val="center"/>
          </w:tcPr>
          <w:p w:rsidR="00CA24B4" w:rsidRPr="00D82A17" w:rsidRDefault="00DD2BEA" w:rsidP="005A53B8">
            <w:pPr>
              <w:pStyle w:val="naisf"/>
              <w:spacing w:before="0" w:after="0"/>
              <w:ind w:firstLine="0"/>
              <w:jc w:val="center"/>
              <w:rPr>
                <w:b/>
              </w:rPr>
            </w:pPr>
            <w:r w:rsidRPr="00D82A17">
              <w:t>0</w:t>
            </w:r>
          </w:p>
        </w:tc>
      </w:tr>
      <w:tr w:rsidR="00A1041D" w:rsidRPr="00D82A17" w:rsidTr="00CC4263">
        <w:trPr>
          <w:jc w:val="center"/>
        </w:trPr>
        <w:tc>
          <w:tcPr>
            <w:tcW w:w="1546" w:type="pct"/>
          </w:tcPr>
          <w:p w:rsidR="00A1041D" w:rsidRPr="00D82A17" w:rsidRDefault="00A1041D" w:rsidP="0034795A">
            <w:r w:rsidRPr="00D82A17">
              <w:t>6. Detalizēts ieņēmumu un izdevu</w:t>
            </w:r>
            <w:r w:rsidRPr="00D82A17">
              <w:softHyphen/>
              <w:t>mu aprēķins (ja nepieciešams, detalizētu ieņēmumu un izdevumu aprēķinu var pievienot anotācijas pielikumā):</w:t>
            </w:r>
          </w:p>
        </w:tc>
        <w:tc>
          <w:tcPr>
            <w:tcW w:w="3454" w:type="pct"/>
            <w:gridSpan w:val="5"/>
            <w:vMerge w:val="restart"/>
          </w:tcPr>
          <w:p w:rsidR="00A1041D" w:rsidRPr="00D82A17" w:rsidRDefault="00A1041D" w:rsidP="00543DF9">
            <w:pPr>
              <w:jc w:val="both"/>
              <w:rPr>
                <w:bCs/>
              </w:rPr>
            </w:pPr>
            <w:r>
              <w:rPr>
                <w:bCs/>
              </w:rPr>
              <w:t>Nav attiecināms.</w:t>
            </w:r>
          </w:p>
        </w:tc>
      </w:tr>
      <w:tr w:rsidR="00A1041D" w:rsidRPr="00D82A17" w:rsidTr="00CC4263">
        <w:trPr>
          <w:jc w:val="center"/>
        </w:trPr>
        <w:tc>
          <w:tcPr>
            <w:tcW w:w="1546" w:type="pct"/>
          </w:tcPr>
          <w:p w:rsidR="00A1041D" w:rsidRPr="00D82A17" w:rsidRDefault="00A1041D" w:rsidP="0034795A">
            <w:r w:rsidRPr="00D82A17">
              <w:t>6.1. detalizēts ieņēmumu aprēķins</w:t>
            </w:r>
          </w:p>
        </w:tc>
        <w:tc>
          <w:tcPr>
            <w:tcW w:w="3454" w:type="pct"/>
            <w:gridSpan w:val="5"/>
            <w:vMerge/>
          </w:tcPr>
          <w:p w:rsidR="00A1041D" w:rsidRPr="00D82A17" w:rsidRDefault="00A1041D" w:rsidP="006C4607">
            <w:pPr>
              <w:pStyle w:val="naisf"/>
              <w:spacing w:before="0" w:after="0"/>
              <w:ind w:firstLine="0"/>
              <w:rPr>
                <w:b/>
                <w:i/>
                <w:highlight w:val="yellow"/>
              </w:rPr>
            </w:pPr>
          </w:p>
        </w:tc>
      </w:tr>
      <w:tr w:rsidR="00A1041D" w:rsidRPr="00D82A17" w:rsidTr="009813D7">
        <w:trPr>
          <w:trHeight w:val="617"/>
          <w:jc w:val="center"/>
        </w:trPr>
        <w:tc>
          <w:tcPr>
            <w:tcW w:w="1546" w:type="pct"/>
          </w:tcPr>
          <w:p w:rsidR="00A1041D" w:rsidRPr="00D82A17" w:rsidRDefault="00A1041D" w:rsidP="002A5FBF">
            <w:r w:rsidRPr="00D82A17">
              <w:t>6.2. detalizēts izdevumu aprēķins</w:t>
            </w:r>
          </w:p>
        </w:tc>
        <w:tc>
          <w:tcPr>
            <w:tcW w:w="3454" w:type="pct"/>
            <w:gridSpan w:val="5"/>
            <w:vMerge/>
          </w:tcPr>
          <w:p w:rsidR="00A1041D" w:rsidRPr="00B93E47" w:rsidRDefault="00A1041D" w:rsidP="006C4607">
            <w:pPr>
              <w:pStyle w:val="naisf"/>
              <w:spacing w:before="0" w:after="0"/>
              <w:ind w:firstLine="0"/>
              <w:rPr>
                <w:b/>
                <w:i/>
                <w:highlight w:val="yellow"/>
              </w:rPr>
            </w:pPr>
          </w:p>
        </w:tc>
      </w:tr>
      <w:tr w:rsidR="00124F12" w:rsidRPr="00D82A17" w:rsidTr="00CC4263">
        <w:trPr>
          <w:jc w:val="center"/>
        </w:trPr>
        <w:tc>
          <w:tcPr>
            <w:tcW w:w="1546" w:type="pct"/>
          </w:tcPr>
          <w:p w:rsidR="00124F12" w:rsidRPr="00D82A17" w:rsidRDefault="00124F12" w:rsidP="0034795A">
            <w:r w:rsidRPr="00D82A17">
              <w:t>7. Cita informācija</w:t>
            </w:r>
          </w:p>
        </w:tc>
        <w:tc>
          <w:tcPr>
            <w:tcW w:w="3454" w:type="pct"/>
            <w:gridSpan w:val="5"/>
          </w:tcPr>
          <w:p w:rsidR="00124F12" w:rsidRPr="00B93E47" w:rsidRDefault="00C7770F" w:rsidP="009813D7">
            <w:pPr>
              <w:jc w:val="both"/>
            </w:pPr>
            <w:r w:rsidRPr="00C7770F">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AD1E34" w:rsidRPr="00D82A17" w:rsidRDefault="00AD1E34" w:rsidP="00473CEF">
      <w:pPr>
        <w:pStyle w:val="naisf"/>
        <w:spacing w:before="0" w:after="0"/>
        <w:ind w:firstLine="0"/>
        <w:rPr>
          <w:highlight w:val="yellow"/>
        </w:rPr>
      </w:pPr>
    </w:p>
    <w:p w:rsidR="00AD1E34" w:rsidRPr="00D82A17" w:rsidRDefault="00214FA9" w:rsidP="00DC5426">
      <w:pPr>
        <w:spacing w:before="75" w:after="75"/>
        <w:outlineLvl w:val="0"/>
        <w:rPr>
          <w:i/>
          <w:iCs/>
        </w:rPr>
      </w:pPr>
      <w:r w:rsidRPr="00D82A17">
        <w:rPr>
          <w:i/>
          <w:iCs/>
        </w:rPr>
        <w:t xml:space="preserve">Anotācijas II, IV, V un VI sadaļa – </w:t>
      </w:r>
      <w:r w:rsidR="00CF6B77">
        <w:rPr>
          <w:i/>
          <w:iCs/>
        </w:rPr>
        <w:t>r</w:t>
      </w:r>
      <w:r w:rsidR="009813D7" w:rsidRPr="00D82A17">
        <w:rPr>
          <w:i/>
          <w:iCs/>
        </w:rPr>
        <w:t xml:space="preserve">īkojuma </w:t>
      </w:r>
      <w:r w:rsidRPr="00D82A17">
        <w:rPr>
          <w:i/>
          <w:iCs/>
        </w:rPr>
        <w:t xml:space="preserve">projekts šīs jomas neskar. </w:t>
      </w:r>
    </w:p>
    <w:p w:rsidR="00706257" w:rsidRPr="00D82A17" w:rsidRDefault="00706257" w:rsidP="00473CEF">
      <w:pPr>
        <w:pStyle w:val="naisf"/>
        <w:spacing w:before="0" w:after="0"/>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D82A17" w:rsidTr="00C47F19">
        <w:trPr>
          <w:trHeight w:val="399"/>
        </w:trPr>
        <w:tc>
          <w:tcPr>
            <w:tcW w:w="5000" w:type="pct"/>
            <w:gridSpan w:val="3"/>
            <w:tcBorders>
              <w:top w:val="single" w:sz="4" w:space="0" w:color="auto"/>
            </w:tcBorders>
          </w:tcPr>
          <w:p w:rsidR="0023436E" w:rsidRPr="00D82A17" w:rsidRDefault="0023436E" w:rsidP="007D099D">
            <w:pPr>
              <w:pStyle w:val="naisnod"/>
              <w:spacing w:before="0" w:after="0"/>
              <w:ind w:left="57" w:right="57"/>
            </w:pPr>
            <w:r w:rsidRPr="00D82A17">
              <w:t>VII</w:t>
            </w:r>
            <w:r w:rsidR="000941C5" w:rsidRPr="00D82A17">
              <w:t>.</w:t>
            </w:r>
            <w:r w:rsidRPr="00D82A17">
              <w:t xml:space="preserve"> Tiesību akta projekta izpildes nodrošināšana un tās ietekme uz institūcijām</w:t>
            </w:r>
          </w:p>
        </w:tc>
      </w:tr>
      <w:tr w:rsidR="0023436E" w:rsidRPr="00D82A17" w:rsidTr="00E2556C">
        <w:trPr>
          <w:trHeight w:val="427"/>
        </w:trPr>
        <w:tc>
          <w:tcPr>
            <w:tcW w:w="249" w:type="pct"/>
          </w:tcPr>
          <w:p w:rsidR="0023436E" w:rsidRPr="00D82A17" w:rsidRDefault="0023436E" w:rsidP="007D099D">
            <w:pPr>
              <w:pStyle w:val="naisnod"/>
              <w:spacing w:before="0" w:after="0"/>
              <w:ind w:left="57" w:right="57"/>
              <w:jc w:val="left"/>
              <w:rPr>
                <w:b w:val="0"/>
              </w:rPr>
            </w:pPr>
            <w:r w:rsidRPr="00D82A17">
              <w:rPr>
                <w:b w:val="0"/>
              </w:rPr>
              <w:t>1.</w:t>
            </w:r>
          </w:p>
        </w:tc>
        <w:tc>
          <w:tcPr>
            <w:tcW w:w="2182" w:type="pct"/>
          </w:tcPr>
          <w:p w:rsidR="0023436E" w:rsidRPr="00D82A17" w:rsidRDefault="001A4066" w:rsidP="007D099D">
            <w:pPr>
              <w:pStyle w:val="naisf"/>
              <w:spacing w:before="0" w:after="0"/>
              <w:ind w:left="57" w:right="57" w:firstLine="0"/>
              <w:jc w:val="left"/>
            </w:pPr>
            <w:r w:rsidRPr="00D82A17">
              <w:t>P</w:t>
            </w:r>
            <w:r w:rsidR="0023436E" w:rsidRPr="00D82A17">
              <w:t xml:space="preserve">rojekta izpildē iesaistītās institūcijas </w:t>
            </w:r>
          </w:p>
        </w:tc>
        <w:tc>
          <w:tcPr>
            <w:tcW w:w="2569" w:type="pct"/>
          </w:tcPr>
          <w:p w:rsidR="0023436E" w:rsidRPr="00D82A17" w:rsidRDefault="00F05E72" w:rsidP="00CF6B77">
            <w:pPr>
              <w:pStyle w:val="naisnod"/>
              <w:spacing w:before="0" w:after="0"/>
              <w:ind w:left="-43" w:right="-1"/>
              <w:jc w:val="both"/>
              <w:rPr>
                <w:b w:val="0"/>
              </w:rPr>
            </w:pPr>
            <w:r w:rsidRPr="00D82A17">
              <w:rPr>
                <w:b w:val="0"/>
                <w:color w:val="000000"/>
              </w:rPr>
              <w:t xml:space="preserve"> </w:t>
            </w:r>
            <w:r w:rsidR="00CE4665" w:rsidRPr="00D82A17">
              <w:rPr>
                <w:b w:val="0"/>
                <w:color w:val="000000"/>
              </w:rPr>
              <w:t xml:space="preserve">Kultūras </w:t>
            </w:r>
            <w:r w:rsidR="00C50194" w:rsidRPr="00D82A17">
              <w:rPr>
                <w:b w:val="0"/>
                <w:color w:val="000000"/>
              </w:rPr>
              <w:t>ministrija</w:t>
            </w:r>
            <w:r w:rsidR="00CF6B77">
              <w:rPr>
                <w:b w:val="0"/>
                <w:color w:val="000000"/>
              </w:rPr>
              <w:t>,</w:t>
            </w:r>
            <w:r w:rsidR="00C50194" w:rsidRPr="00D82A17">
              <w:rPr>
                <w:b w:val="0"/>
                <w:color w:val="000000"/>
              </w:rPr>
              <w:t xml:space="preserve"> </w:t>
            </w:r>
            <w:r w:rsidR="00411E50" w:rsidRPr="00D82A17">
              <w:rPr>
                <w:b w:val="0"/>
                <w:color w:val="000000"/>
              </w:rPr>
              <w:t>F</w:t>
            </w:r>
            <w:r w:rsidR="00046D14" w:rsidRPr="00D82A17">
              <w:rPr>
                <w:b w:val="0"/>
                <w:color w:val="000000"/>
              </w:rPr>
              <w:t xml:space="preserve">inanšu </w:t>
            </w:r>
            <w:r w:rsidR="00BA3A03" w:rsidRPr="00D82A17">
              <w:rPr>
                <w:b w:val="0"/>
                <w:color w:val="000000"/>
              </w:rPr>
              <w:t> </w:t>
            </w:r>
            <w:r w:rsidR="00046D14" w:rsidRPr="00D82A17">
              <w:rPr>
                <w:b w:val="0"/>
                <w:color w:val="000000"/>
              </w:rPr>
              <w:t>ministrija</w:t>
            </w:r>
            <w:r w:rsidR="00CF6B77">
              <w:rPr>
                <w:b w:val="0"/>
                <w:color w:val="000000"/>
              </w:rPr>
              <w:t xml:space="preserve"> un   </w:t>
            </w:r>
            <w:r w:rsidR="009813D7" w:rsidRPr="00D82A17">
              <w:rPr>
                <w:b w:val="0"/>
                <w:color w:val="000000"/>
              </w:rPr>
              <w:t xml:space="preserve"> </w:t>
            </w:r>
            <w:r w:rsidR="00CF6B77">
              <w:rPr>
                <w:b w:val="0"/>
                <w:color w:val="000000"/>
              </w:rPr>
              <w:t> </w:t>
            </w:r>
            <w:r w:rsidR="009813D7" w:rsidRPr="00D82A17">
              <w:rPr>
                <w:b w:val="0"/>
                <w:color w:val="000000"/>
              </w:rPr>
              <w:t>Nacionālais kino centrs</w:t>
            </w:r>
            <w:r w:rsidR="005D6031" w:rsidRPr="00D82A17">
              <w:rPr>
                <w:b w:val="0"/>
                <w:color w:val="000000"/>
              </w:rPr>
              <w:t>.</w:t>
            </w:r>
          </w:p>
        </w:tc>
      </w:tr>
      <w:tr w:rsidR="0023436E" w:rsidRPr="00D82A17" w:rsidTr="00480A33">
        <w:trPr>
          <w:trHeight w:val="691"/>
        </w:trPr>
        <w:tc>
          <w:tcPr>
            <w:tcW w:w="249" w:type="pct"/>
          </w:tcPr>
          <w:p w:rsidR="0023436E" w:rsidRPr="00D82A17" w:rsidRDefault="0023436E" w:rsidP="007D099D">
            <w:pPr>
              <w:pStyle w:val="naisnod"/>
              <w:spacing w:before="0" w:after="0"/>
              <w:ind w:left="57" w:right="57"/>
              <w:jc w:val="left"/>
              <w:rPr>
                <w:b w:val="0"/>
              </w:rPr>
            </w:pPr>
            <w:r w:rsidRPr="00D82A17">
              <w:rPr>
                <w:b w:val="0"/>
              </w:rPr>
              <w:t>2.</w:t>
            </w:r>
          </w:p>
        </w:tc>
        <w:tc>
          <w:tcPr>
            <w:tcW w:w="2182" w:type="pct"/>
          </w:tcPr>
          <w:p w:rsidR="0023436E" w:rsidRPr="00D82A17" w:rsidRDefault="001A4066" w:rsidP="007D099D">
            <w:pPr>
              <w:pStyle w:val="naisf"/>
              <w:spacing w:before="0" w:after="0"/>
              <w:ind w:left="57" w:right="57" w:firstLine="0"/>
              <w:jc w:val="left"/>
            </w:pPr>
            <w:r w:rsidRPr="00D82A17">
              <w:t>Projekta i</w:t>
            </w:r>
            <w:r w:rsidR="0023436E" w:rsidRPr="00D82A17">
              <w:t xml:space="preserve">zpildes ietekme uz pārvaldes funkcijām </w:t>
            </w:r>
          </w:p>
        </w:tc>
        <w:tc>
          <w:tcPr>
            <w:tcW w:w="2569" w:type="pct"/>
          </w:tcPr>
          <w:p w:rsidR="008059B5" w:rsidRPr="00D82A17" w:rsidRDefault="00CF6B77" w:rsidP="008059B5">
            <w:pPr>
              <w:pStyle w:val="Pamattekstaatkpe2"/>
              <w:spacing w:after="0" w:line="240" w:lineRule="auto"/>
              <w:ind w:left="0"/>
              <w:jc w:val="both"/>
            </w:pPr>
            <w:r>
              <w:t xml:space="preserve"> </w:t>
            </w:r>
            <w:r w:rsidR="008059B5" w:rsidRPr="00D82A17">
              <w:t>Netiek paplašinātas esošo institūciju funkcijas.</w:t>
            </w:r>
          </w:p>
          <w:p w:rsidR="0023436E" w:rsidRPr="00D82A17" w:rsidRDefault="0023436E" w:rsidP="007D099D">
            <w:pPr>
              <w:pStyle w:val="naisnod"/>
              <w:spacing w:before="0" w:after="0"/>
              <w:ind w:left="57" w:right="57"/>
              <w:jc w:val="left"/>
              <w:rPr>
                <w:b w:val="0"/>
              </w:rPr>
            </w:pPr>
          </w:p>
        </w:tc>
      </w:tr>
      <w:tr w:rsidR="0023436E" w:rsidRPr="00D82A17" w:rsidTr="00E2556C">
        <w:trPr>
          <w:trHeight w:val="725"/>
        </w:trPr>
        <w:tc>
          <w:tcPr>
            <w:tcW w:w="249" w:type="pct"/>
          </w:tcPr>
          <w:p w:rsidR="0023436E" w:rsidRPr="00D82A17" w:rsidRDefault="0023436E" w:rsidP="007D099D">
            <w:pPr>
              <w:pStyle w:val="naisnod"/>
              <w:spacing w:before="0" w:after="0"/>
              <w:ind w:left="57" w:right="57"/>
              <w:jc w:val="left"/>
              <w:rPr>
                <w:b w:val="0"/>
              </w:rPr>
            </w:pPr>
            <w:r w:rsidRPr="00D82A17">
              <w:rPr>
                <w:b w:val="0"/>
              </w:rPr>
              <w:t>3.</w:t>
            </w:r>
          </w:p>
        </w:tc>
        <w:tc>
          <w:tcPr>
            <w:tcW w:w="2182" w:type="pct"/>
          </w:tcPr>
          <w:p w:rsidR="0023436E" w:rsidRPr="00D82A17" w:rsidRDefault="001A4066" w:rsidP="007D099D">
            <w:pPr>
              <w:pStyle w:val="naisf"/>
              <w:spacing w:before="0" w:after="0"/>
              <w:ind w:left="57" w:right="57" w:firstLine="0"/>
              <w:jc w:val="left"/>
            </w:pPr>
            <w:r w:rsidRPr="00D82A17">
              <w:t>Projekta iz</w:t>
            </w:r>
            <w:r w:rsidR="0023436E" w:rsidRPr="00D82A17">
              <w:t>pildes ietekme uz pārvaldes institucionālo struktūru.</w:t>
            </w:r>
          </w:p>
          <w:p w:rsidR="0023436E" w:rsidRPr="00D82A17" w:rsidRDefault="006C4607" w:rsidP="007D099D">
            <w:pPr>
              <w:pStyle w:val="naisf"/>
              <w:spacing w:before="0" w:after="0"/>
              <w:ind w:left="57" w:right="57" w:firstLine="0"/>
              <w:jc w:val="left"/>
            </w:pPr>
            <w:r w:rsidRPr="00D82A17">
              <w:t>Jaunu institūciju izveide</w:t>
            </w:r>
          </w:p>
        </w:tc>
        <w:tc>
          <w:tcPr>
            <w:tcW w:w="2569" w:type="pct"/>
          </w:tcPr>
          <w:p w:rsidR="0023436E" w:rsidRPr="00D82A17" w:rsidRDefault="00CF6B77" w:rsidP="00F05E72">
            <w:pPr>
              <w:pStyle w:val="naisnod"/>
              <w:spacing w:before="0" w:after="0"/>
              <w:ind w:right="57"/>
              <w:jc w:val="left"/>
              <w:rPr>
                <w:b w:val="0"/>
              </w:rPr>
            </w:pPr>
            <w:r>
              <w:rPr>
                <w:b w:val="0"/>
              </w:rPr>
              <w:t xml:space="preserve"> </w:t>
            </w:r>
            <w:r w:rsidR="008059B5" w:rsidRPr="00D82A17">
              <w:rPr>
                <w:b w:val="0"/>
              </w:rPr>
              <w:t>Jaunas valsts institūcijas netiek radītas.</w:t>
            </w:r>
          </w:p>
        </w:tc>
      </w:tr>
      <w:tr w:rsidR="0023436E" w:rsidRPr="00D82A17" w:rsidTr="00E2556C">
        <w:trPr>
          <w:trHeight w:val="780"/>
        </w:trPr>
        <w:tc>
          <w:tcPr>
            <w:tcW w:w="249" w:type="pct"/>
          </w:tcPr>
          <w:p w:rsidR="0023436E" w:rsidRPr="00D82A17" w:rsidRDefault="0023436E" w:rsidP="007D099D">
            <w:pPr>
              <w:pStyle w:val="naisnod"/>
              <w:spacing w:before="0" w:after="0"/>
              <w:ind w:left="57" w:right="57"/>
              <w:jc w:val="left"/>
              <w:rPr>
                <w:b w:val="0"/>
              </w:rPr>
            </w:pPr>
            <w:r w:rsidRPr="00D82A17">
              <w:rPr>
                <w:b w:val="0"/>
              </w:rPr>
              <w:t>4.</w:t>
            </w:r>
          </w:p>
        </w:tc>
        <w:tc>
          <w:tcPr>
            <w:tcW w:w="2182" w:type="pct"/>
          </w:tcPr>
          <w:p w:rsidR="0023436E" w:rsidRPr="00D82A17" w:rsidRDefault="001A4066" w:rsidP="007D099D">
            <w:pPr>
              <w:pStyle w:val="naisf"/>
              <w:spacing w:before="0" w:after="0"/>
              <w:ind w:left="57" w:right="57" w:firstLine="0"/>
              <w:jc w:val="left"/>
            </w:pPr>
            <w:r w:rsidRPr="00D82A17">
              <w:t>Projekta i</w:t>
            </w:r>
            <w:r w:rsidR="0023436E" w:rsidRPr="00D82A17">
              <w:t>zpildes ietekme uz pārvaldes institucionālo struktūru.</w:t>
            </w:r>
          </w:p>
          <w:p w:rsidR="0023436E" w:rsidRPr="00D82A17" w:rsidRDefault="006C4607" w:rsidP="007D099D">
            <w:pPr>
              <w:pStyle w:val="naisf"/>
              <w:spacing w:before="0" w:after="0"/>
              <w:ind w:left="57" w:right="57" w:firstLine="0"/>
              <w:jc w:val="left"/>
            </w:pPr>
            <w:r w:rsidRPr="00D82A17">
              <w:t>Esošu institūciju likvidācija</w:t>
            </w:r>
          </w:p>
        </w:tc>
        <w:tc>
          <w:tcPr>
            <w:tcW w:w="2569" w:type="pct"/>
          </w:tcPr>
          <w:p w:rsidR="0023436E" w:rsidRPr="00D82A17" w:rsidRDefault="008D4DEC" w:rsidP="007D099D">
            <w:pPr>
              <w:pStyle w:val="naisnod"/>
              <w:spacing w:before="0" w:after="0"/>
              <w:ind w:left="57" w:right="57"/>
              <w:jc w:val="left"/>
              <w:rPr>
                <w:b w:val="0"/>
              </w:rPr>
            </w:pPr>
            <w:r w:rsidRPr="00D82A17">
              <w:rPr>
                <w:b w:val="0"/>
              </w:rPr>
              <w:t>Rīkojuma projekts šo jomu neskar.</w:t>
            </w:r>
          </w:p>
        </w:tc>
      </w:tr>
      <w:tr w:rsidR="0023436E" w:rsidRPr="00D82A17" w:rsidTr="00E2556C">
        <w:trPr>
          <w:trHeight w:val="703"/>
        </w:trPr>
        <w:tc>
          <w:tcPr>
            <w:tcW w:w="249" w:type="pct"/>
          </w:tcPr>
          <w:p w:rsidR="0023436E" w:rsidRPr="00D82A17" w:rsidRDefault="0023436E" w:rsidP="007D099D">
            <w:pPr>
              <w:pStyle w:val="naisnod"/>
              <w:spacing w:before="0" w:after="0"/>
              <w:ind w:left="57" w:right="57"/>
              <w:jc w:val="left"/>
              <w:rPr>
                <w:b w:val="0"/>
              </w:rPr>
            </w:pPr>
            <w:r w:rsidRPr="00D82A17">
              <w:rPr>
                <w:b w:val="0"/>
              </w:rPr>
              <w:t>5.</w:t>
            </w:r>
          </w:p>
        </w:tc>
        <w:tc>
          <w:tcPr>
            <w:tcW w:w="2182" w:type="pct"/>
          </w:tcPr>
          <w:p w:rsidR="0023436E" w:rsidRPr="00D82A17" w:rsidRDefault="001A4066" w:rsidP="007D099D">
            <w:pPr>
              <w:pStyle w:val="naisf"/>
              <w:spacing w:before="0" w:after="0"/>
              <w:ind w:left="57" w:right="57" w:firstLine="0"/>
              <w:jc w:val="left"/>
            </w:pPr>
            <w:r w:rsidRPr="00D82A17">
              <w:t>Projekta i</w:t>
            </w:r>
            <w:r w:rsidR="0023436E" w:rsidRPr="00D82A17">
              <w:t>zpildes ietekme uz pārvaldes institucionālo struktūru.</w:t>
            </w:r>
          </w:p>
          <w:p w:rsidR="0023436E" w:rsidRPr="00D82A17" w:rsidRDefault="0023436E" w:rsidP="007D099D">
            <w:pPr>
              <w:pStyle w:val="naisf"/>
              <w:spacing w:before="0" w:after="0"/>
              <w:ind w:left="57" w:right="57" w:firstLine="0"/>
              <w:jc w:val="left"/>
            </w:pPr>
            <w:r w:rsidRPr="00D82A17">
              <w:t>Esošu institūciju reorganizācija</w:t>
            </w:r>
          </w:p>
        </w:tc>
        <w:tc>
          <w:tcPr>
            <w:tcW w:w="2569" w:type="pct"/>
          </w:tcPr>
          <w:p w:rsidR="0023436E" w:rsidRPr="00D82A17" w:rsidRDefault="008D4DEC" w:rsidP="007D099D">
            <w:pPr>
              <w:pStyle w:val="naisnod"/>
              <w:spacing w:before="0" w:after="0"/>
              <w:ind w:left="57" w:right="57"/>
              <w:jc w:val="left"/>
              <w:rPr>
                <w:b w:val="0"/>
              </w:rPr>
            </w:pPr>
            <w:r w:rsidRPr="00D82A17">
              <w:rPr>
                <w:b w:val="0"/>
              </w:rPr>
              <w:t>Rīkojuma projekts šo jomu neskar.</w:t>
            </w:r>
          </w:p>
        </w:tc>
      </w:tr>
      <w:tr w:rsidR="0023436E" w:rsidRPr="00D82A17" w:rsidTr="00E2556C">
        <w:trPr>
          <w:trHeight w:val="476"/>
        </w:trPr>
        <w:tc>
          <w:tcPr>
            <w:tcW w:w="249" w:type="pct"/>
          </w:tcPr>
          <w:p w:rsidR="0023436E" w:rsidRPr="00D82A17" w:rsidRDefault="00F63DAC" w:rsidP="007D099D">
            <w:pPr>
              <w:pStyle w:val="naiskr"/>
              <w:spacing w:before="0" w:after="0"/>
              <w:ind w:left="57" w:right="57"/>
            </w:pPr>
            <w:r w:rsidRPr="00D82A17">
              <w:lastRenderedPageBreak/>
              <w:t>6</w:t>
            </w:r>
            <w:r w:rsidR="0023436E" w:rsidRPr="00D82A17">
              <w:t>.</w:t>
            </w:r>
          </w:p>
        </w:tc>
        <w:tc>
          <w:tcPr>
            <w:tcW w:w="2182" w:type="pct"/>
          </w:tcPr>
          <w:p w:rsidR="0023436E" w:rsidRPr="00D82A17" w:rsidRDefault="006C4607" w:rsidP="007D099D">
            <w:pPr>
              <w:pStyle w:val="naiskr"/>
              <w:spacing w:before="0" w:after="0"/>
              <w:ind w:left="57" w:right="57"/>
            </w:pPr>
            <w:r w:rsidRPr="00D82A17">
              <w:t>Cita informācija</w:t>
            </w:r>
          </w:p>
        </w:tc>
        <w:tc>
          <w:tcPr>
            <w:tcW w:w="2569" w:type="pct"/>
          </w:tcPr>
          <w:p w:rsidR="0023436E" w:rsidRPr="00D82A17" w:rsidRDefault="00794411" w:rsidP="007D099D">
            <w:pPr>
              <w:pStyle w:val="naiskr"/>
              <w:spacing w:before="0" w:after="0"/>
              <w:ind w:left="57" w:right="57"/>
            </w:pPr>
            <w:r w:rsidRPr="00D82A17">
              <w:t>Nav</w:t>
            </w:r>
          </w:p>
        </w:tc>
      </w:tr>
    </w:tbl>
    <w:p w:rsidR="00A717E1" w:rsidRDefault="00A717E1" w:rsidP="00F007EA">
      <w:pPr>
        <w:tabs>
          <w:tab w:val="left" w:pos="6804"/>
        </w:tabs>
        <w:jc w:val="both"/>
      </w:pPr>
    </w:p>
    <w:p w:rsidR="00A1041D" w:rsidRPr="00D82A17" w:rsidRDefault="00A1041D" w:rsidP="00F007EA">
      <w:pPr>
        <w:tabs>
          <w:tab w:val="left" w:pos="6804"/>
        </w:tabs>
        <w:jc w:val="both"/>
      </w:pPr>
    </w:p>
    <w:p w:rsidR="00694DFF" w:rsidRPr="00D82A17" w:rsidRDefault="00C47F19" w:rsidP="00A1041D">
      <w:pPr>
        <w:tabs>
          <w:tab w:val="left" w:pos="9072"/>
        </w:tabs>
      </w:pPr>
      <w:r>
        <w:t> </w:t>
      </w:r>
      <w:r w:rsidR="00694DFF" w:rsidRPr="00D82A17">
        <w:t>Kultūras ministr</w:t>
      </w:r>
      <w:r w:rsidR="00F007EA" w:rsidRPr="00D82A17">
        <w:t>e</w:t>
      </w:r>
      <w:r w:rsidR="009205B8" w:rsidRPr="00D82A17">
        <w:t>                                               </w:t>
      </w:r>
      <w:r w:rsidR="00A1041D">
        <w:t>                            </w:t>
      </w:r>
      <w:r w:rsidR="009205B8" w:rsidRPr="00D82A17">
        <w:t xml:space="preserve">Ž.Jaunzeme – </w:t>
      </w:r>
      <w:r w:rsidR="00F007EA" w:rsidRPr="00D82A17">
        <w:t>Grende</w:t>
      </w:r>
    </w:p>
    <w:p w:rsidR="00414E71" w:rsidRPr="00D82A17" w:rsidRDefault="00414E71" w:rsidP="00A1041D">
      <w:pPr>
        <w:tabs>
          <w:tab w:val="left" w:pos="9072"/>
        </w:tabs>
      </w:pPr>
    </w:p>
    <w:p w:rsidR="00414E71" w:rsidRPr="00D82A17" w:rsidRDefault="00C47F19" w:rsidP="00A1041D">
      <w:pPr>
        <w:tabs>
          <w:tab w:val="left" w:pos="4536"/>
          <w:tab w:val="left" w:pos="6663"/>
          <w:tab w:val="left" w:pos="9072"/>
        </w:tabs>
        <w:jc w:val="both"/>
      </w:pPr>
      <w:r>
        <w:t> </w:t>
      </w:r>
      <w:r w:rsidR="008C697B" w:rsidRPr="00D82A17">
        <w:t xml:space="preserve">Vīza: </w:t>
      </w:r>
      <w:bookmarkStart w:id="6" w:name="OLE_LINK1"/>
      <w:bookmarkStart w:id="7" w:name="OLE_LINK2"/>
      <w:r w:rsidR="00D82A17">
        <w:t>Valsts sekretārs</w:t>
      </w:r>
      <w:r w:rsidR="00D82A17">
        <w:tab/>
      </w:r>
      <w:r w:rsidR="00A1041D">
        <w:t>                           </w:t>
      </w:r>
      <w:r w:rsidR="004C1637" w:rsidRPr="00D82A17">
        <w:t>G.Puķītis</w:t>
      </w:r>
    </w:p>
    <w:p w:rsidR="006C1607" w:rsidRDefault="006C1607" w:rsidP="00B069D7">
      <w:pPr>
        <w:pStyle w:val="Galvene"/>
        <w:tabs>
          <w:tab w:val="left" w:pos="720"/>
        </w:tabs>
      </w:pPr>
    </w:p>
    <w:p w:rsidR="00A1041D" w:rsidRDefault="00A1041D" w:rsidP="00B069D7">
      <w:pPr>
        <w:pStyle w:val="Galvene"/>
        <w:tabs>
          <w:tab w:val="left" w:pos="720"/>
        </w:tabs>
      </w:pPr>
    </w:p>
    <w:p w:rsidR="00A1041D" w:rsidRDefault="00A1041D" w:rsidP="00B069D7">
      <w:pPr>
        <w:pStyle w:val="Galvene"/>
        <w:tabs>
          <w:tab w:val="left" w:pos="720"/>
        </w:tabs>
      </w:pPr>
    </w:p>
    <w:p w:rsidR="00A1041D" w:rsidRDefault="00A1041D" w:rsidP="00B069D7">
      <w:pPr>
        <w:pStyle w:val="Galvene"/>
        <w:tabs>
          <w:tab w:val="left" w:pos="720"/>
        </w:tabs>
      </w:pPr>
    </w:p>
    <w:p w:rsidR="00A1041D" w:rsidRDefault="00A1041D" w:rsidP="00B069D7">
      <w:pPr>
        <w:pStyle w:val="Galvene"/>
        <w:tabs>
          <w:tab w:val="left" w:pos="720"/>
        </w:tabs>
      </w:pPr>
    </w:p>
    <w:p w:rsidR="00A1041D" w:rsidRPr="00A1041D" w:rsidRDefault="00A1041D" w:rsidP="00B069D7">
      <w:pPr>
        <w:pStyle w:val="Galvene"/>
        <w:tabs>
          <w:tab w:val="left" w:pos="720"/>
        </w:tabs>
        <w:rPr>
          <w:sz w:val="22"/>
          <w:szCs w:val="22"/>
        </w:rPr>
      </w:pPr>
    </w:p>
    <w:bookmarkEnd w:id="6"/>
    <w:bookmarkEnd w:id="7"/>
    <w:p w:rsidR="00A1041D" w:rsidRPr="00A1041D" w:rsidRDefault="00EF48B3" w:rsidP="00A1041D">
      <w:pPr>
        <w:rPr>
          <w:sz w:val="22"/>
          <w:szCs w:val="22"/>
        </w:rPr>
      </w:pPr>
      <w:r>
        <w:rPr>
          <w:sz w:val="22"/>
          <w:szCs w:val="22"/>
        </w:rPr>
        <w:t>10.04.2013. 11</w:t>
      </w:r>
      <w:bookmarkStart w:id="8" w:name="_GoBack"/>
      <w:bookmarkEnd w:id="8"/>
      <w:r w:rsidR="00A1041D" w:rsidRPr="00A1041D">
        <w:rPr>
          <w:sz w:val="22"/>
          <w:szCs w:val="22"/>
        </w:rPr>
        <w:t>:14</w:t>
      </w:r>
    </w:p>
    <w:p w:rsidR="00A1041D" w:rsidRPr="00A1041D" w:rsidRDefault="00A1041D" w:rsidP="00A1041D">
      <w:pPr>
        <w:rPr>
          <w:sz w:val="22"/>
          <w:szCs w:val="22"/>
        </w:rPr>
      </w:pPr>
      <w:r>
        <w:rPr>
          <w:sz w:val="22"/>
          <w:szCs w:val="22"/>
        </w:rPr>
        <w:t>1039</w:t>
      </w:r>
    </w:p>
    <w:p w:rsidR="00D82A17" w:rsidRPr="00A1041D" w:rsidRDefault="009813D7" w:rsidP="009813D7">
      <w:pPr>
        <w:rPr>
          <w:sz w:val="22"/>
          <w:szCs w:val="22"/>
        </w:rPr>
      </w:pPr>
      <w:bookmarkStart w:id="9" w:name="OLE_LINK7"/>
      <w:bookmarkStart w:id="10" w:name="OLE_LINK8"/>
      <w:r w:rsidRPr="00A1041D">
        <w:rPr>
          <w:sz w:val="22"/>
          <w:szCs w:val="22"/>
        </w:rPr>
        <w:t>I.Gailīte-</w:t>
      </w:r>
      <w:proofErr w:type="spellStart"/>
      <w:r w:rsidRPr="00A1041D">
        <w:rPr>
          <w:sz w:val="22"/>
          <w:szCs w:val="22"/>
        </w:rPr>
        <w:t>Holmberga</w:t>
      </w:r>
      <w:bookmarkStart w:id="11" w:name="OLE_LINK13"/>
      <w:bookmarkStart w:id="12" w:name="OLE_LINK14"/>
      <w:proofErr w:type="spellEnd"/>
    </w:p>
    <w:p w:rsidR="00A1041D" w:rsidRPr="004627DF" w:rsidRDefault="00A1041D" w:rsidP="00A1041D">
      <w:bookmarkStart w:id="13" w:name="OLE_LINK9"/>
      <w:bookmarkStart w:id="14" w:name="OLE_LINK10"/>
      <w:bookmarkEnd w:id="11"/>
      <w:bookmarkEnd w:id="12"/>
      <w:bookmarkEnd w:id="9"/>
      <w:bookmarkEnd w:id="10"/>
      <w:r>
        <w:t xml:space="preserve">Tālr. </w:t>
      </w:r>
      <w:r w:rsidRPr="004627DF">
        <w:t xml:space="preserve">67358870; </w:t>
      </w:r>
      <w:hyperlink r:id="rId8" w:history="1">
        <w:r w:rsidRPr="007734E4">
          <w:rPr>
            <w:rStyle w:val="Hipersaite"/>
          </w:rPr>
          <w:t>Ilze.Gailite@nfc.gov.lv</w:t>
        </w:r>
      </w:hyperlink>
      <w:r w:rsidRPr="004627DF">
        <w:t xml:space="preserve"> </w:t>
      </w:r>
    </w:p>
    <w:bookmarkEnd w:id="13"/>
    <w:bookmarkEnd w:id="14"/>
    <w:p w:rsidR="00E23D82" w:rsidRPr="00A1041D" w:rsidRDefault="00E23D82" w:rsidP="00A1041D">
      <w:pPr>
        <w:rPr>
          <w:sz w:val="22"/>
          <w:szCs w:val="22"/>
        </w:rPr>
      </w:pPr>
    </w:p>
    <w:sectPr w:rsidR="00E23D82" w:rsidRPr="00A1041D" w:rsidSect="00864753">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F14" w:rsidRDefault="00E80F14">
      <w:r>
        <w:separator/>
      </w:r>
    </w:p>
    <w:p w:rsidR="00E80F14" w:rsidRDefault="00E80F14"/>
  </w:endnote>
  <w:endnote w:type="continuationSeparator" w:id="0">
    <w:p w:rsidR="00E80F14" w:rsidRDefault="00E80F14">
      <w:r>
        <w:continuationSeparator/>
      </w:r>
    </w:p>
    <w:p w:rsidR="00E80F14" w:rsidRDefault="00E80F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77" w:rsidRDefault="00CF6B77" w:rsidP="00864753">
    <w:pPr>
      <w:pStyle w:val="Kjene"/>
      <w:jc w:val="both"/>
      <w:rPr>
        <w:sz w:val="22"/>
        <w:szCs w:val="22"/>
      </w:rPr>
    </w:pPr>
    <w:r>
      <w:rPr>
        <w:sz w:val="22"/>
        <w:szCs w:val="22"/>
      </w:rPr>
      <w:t>KMAnot_</w:t>
    </w:r>
    <w:r w:rsidR="00EF48B3">
      <w:rPr>
        <w:sz w:val="22"/>
        <w:szCs w:val="22"/>
      </w:rPr>
      <w:t>10</w:t>
    </w:r>
    <w:r>
      <w:rPr>
        <w:sz w:val="22"/>
        <w:szCs w:val="22"/>
      </w:rPr>
      <w:t>0413_LNG_filmas; Ministru kabineta rīkojuma projekta „Par finanšu līdzekļu piešķiršanu no valsts budžeta programmas „Līdzekļi neparedzētiem gadījumiem”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77" w:rsidRDefault="00CF6B77" w:rsidP="00E2556C">
    <w:pPr>
      <w:pStyle w:val="Kjene"/>
      <w:jc w:val="both"/>
      <w:rPr>
        <w:sz w:val="22"/>
        <w:szCs w:val="22"/>
      </w:rPr>
    </w:pPr>
    <w:r>
      <w:rPr>
        <w:sz w:val="22"/>
        <w:szCs w:val="22"/>
      </w:rPr>
      <w:t>K</w:t>
    </w:r>
    <w:r w:rsidR="00EF48B3">
      <w:rPr>
        <w:sz w:val="22"/>
        <w:szCs w:val="22"/>
      </w:rPr>
      <w:t>MAnot_10</w:t>
    </w:r>
    <w:r>
      <w:rPr>
        <w:sz w:val="22"/>
        <w:szCs w:val="22"/>
      </w:rPr>
      <w:t>0413_LNG_filmas; 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F14" w:rsidRDefault="00E80F14">
      <w:r>
        <w:separator/>
      </w:r>
    </w:p>
    <w:p w:rsidR="00E80F14" w:rsidRDefault="00E80F14"/>
  </w:footnote>
  <w:footnote w:type="continuationSeparator" w:id="0">
    <w:p w:rsidR="00E80F14" w:rsidRDefault="00E80F14">
      <w:r>
        <w:continuationSeparator/>
      </w:r>
    </w:p>
    <w:p w:rsidR="00E80F14" w:rsidRDefault="00E80F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77" w:rsidRDefault="00FD578A" w:rsidP="003C449B">
    <w:pPr>
      <w:pStyle w:val="Galvene"/>
      <w:framePr w:wrap="around" w:vAnchor="text" w:hAnchor="margin" w:xAlign="center" w:y="1"/>
      <w:rPr>
        <w:rStyle w:val="Lappusesnumurs"/>
      </w:rPr>
    </w:pPr>
    <w:r>
      <w:rPr>
        <w:rStyle w:val="Lappusesnumurs"/>
      </w:rPr>
      <w:fldChar w:fldCharType="begin"/>
    </w:r>
    <w:r w:rsidR="00CF6B77">
      <w:rPr>
        <w:rStyle w:val="Lappusesnumurs"/>
      </w:rPr>
      <w:instrText xml:space="preserve">PAGE  </w:instrText>
    </w:r>
    <w:r>
      <w:rPr>
        <w:rStyle w:val="Lappusesnumurs"/>
      </w:rPr>
      <w:fldChar w:fldCharType="end"/>
    </w:r>
  </w:p>
  <w:p w:rsidR="00CF6B77" w:rsidRDefault="00CF6B77">
    <w:pPr>
      <w:pStyle w:val="Galvene"/>
    </w:pPr>
  </w:p>
  <w:p w:rsidR="00CF6B77" w:rsidRDefault="00CF6B7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77" w:rsidRPr="00E2556C" w:rsidRDefault="00FD578A"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CF6B77" w:rsidRPr="00E2556C">
      <w:rPr>
        <w:rStyle w:val="Lappusesnumurs"/>
        <w:sz w:val="22"/>
        <w:szCs w:val="22"/>
      </w:rPr>
      <w:instrText xml:space="preserve">PAGE  </w:instrText>
    </w:r>
    <w:r w:rsidRPr="00E2556C">
      <w:rPr>
        <w:rStyle w:val="Lappusesnumurs"/>
        <w:sz w:val="22"/>
        <w:szCs w:val="22"/>
      </w:rPr>
      <w:fldChar w:fldCharType="separate"/>
    </w:r>
    <w:r w:rsidR="006844D3">
      <w:rPr>
        <w:rStyle w:val="Lappusesnumurs"/>
        <w:noProof/>
        <w:sz w:val="22"/>
        <w:szCs w:val="22"/>
      </w:rPr>
      <w:t>5</w:t>
    </w:r>
    <w:r w:rsidRPr="00E2556C">
      <w:rPr>
        <w:rStyle w:val="Lappusesnumurs"/>
        <w:sz w:val="22"/>
        <w:szCs w:val="22"/>
      </w:rPr>
      <w:fldChar w:fldCharType="end"/>
    </w:r>
  </w:p>
  <w:p w:rsidR="00CF6B77" w:rsidRDefault="00CF6B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081E9C"/>
    <w:multiLevelType w:val="hybridMultilevel"/>
    <w:tmpl w:val="EA160642"/>
    <w:lvl w:ilvl="0" w:tplc="0426000F">
      <w:start w:val="1"/>
      <w:numFmt w:val="decimal"/>
      <w:lvlText w:val="%1."/>
      <w:lvlJc w:val="left"/>
      <w:pPr>
        <w:ind w:left="1171" w:hanging="360"/>
      </w:pPr>
    </w:lvl>
    <w:lvl w:ilvl="1" w:tplc="04260019" w:tentative="1">
      <w:start w:val="1"/>
      <w:numFmt w:val="lowerLetter"/>
      <w:lvlText w:val="%2."/>
      <w:lvlJc w:val="left"/>
      <w:pPr>
        <w:ind w:left="1891" w:hanging="360"/>
      </w:pPr>
    </w:lvl>
    <w:lvl w:ilvl="2" w:tplc="0426001B" w:tentative="1">
      <w:start w:val="1"/>
      <w:numFmt w:val="lowerRoman"/>
      <w:lvlText w:val="%3."/>
      <w:lvlJc w:val="right"/>
      <w:pPr>
        <w:ind w:left="2611" w:hanging="180"/>
      </w:pPr>
    </w:lvl>
    <w:lvl w:ilvl="3" w:tplc="0426000F" w:tentative="1">
      <w:start w:val="1"/>
      <w:numFmt w:val="decimal"/>
      <w:lvlText w:val="%4."/>
      <w:lvlJc w:val="left"/>
      <w:pPr>
        <w:ind w:left="3331" w:hanging="360"/>
      </w:pPr>
    </w:lvl>
    <w:lvl w:ilvl="4" w:tplc="04260019" w:tentative="1">
      <w:start w:val="1"/>
      <w:numFmt w:val="lowerLetter"/>
      <w:lvlText w:val="%5."/>
      <w:lvlJc w:val="left"/>
      <w:pPr>
        <w:ind w:left="4051" w:hanging="360"/>
      </w:pPr>
    </w:lvl>
    <w:lvl w:ilvl="5" w:tplc="0426001B" w:tentative="1">
      <w:start w:val="1"/>
      <w:numFmt w:val="lowerRoman"/>
      <w:lvlText w:val="%6."/>
      <w:lvlJc w:val="right"/>
      <w:pPr>
        <w:ind w:left="4771" w:hanging="180"/>
      </w:pPr>
    </w:lvl>
    <w:lvl w:ilvl="6" w:tplc="0426000F" w:tentative="1">
      <w:start w:val="1"/>
      <w:numFmt w:val="decimal"/>
      <w:lvlText w:val="%7."/>
      <w:lvlJc w:val="left"/>
      <w:pPr>
        <w:ind w:left="5491" w:hanging="360"/>
      </w:pPr>
    </w:lvl>
    <w:lvl w:ilvl="7" w:tplc="04260019" w:tentative="1">
      <w:start w:val="1"/>
      <w:numFmt w:val="lowerLetter"/>
      <w:lvlText w:val="%8."/>
      <w:lvlJc w:val="left"/>
      <w:pPr>
        <w:ind w:left="6211" w:hanging="360"/>
      </w:pPr>
    </w:lvl>
    <w:lvl w:ilvl="8" w:tplc="0426001B" w:tentative="1">
      <w:start w:val="1"/>
      <w:numFmt w:val="lowerRoman"/>
      <w:lvlText w:val="%9."/>
      <w:lvlJc w:val="right"/>
      <w:pPr>
        <w:ind w:left="6931"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7625B1"/>
    <w:multiLevelType w:val="hybridMultilevel"/>
    <w:tmpl w:val="537C258E"/>
    <w:lvl w:ilvl="0" w:tplc="0426000F">
      <w:start w:val="1"/>
      <w:numFmt w:val="decimal"/>
      <w:lvlText w:val="%1."/>
      <w:lvlJc w:val="left"/>
      <w:pPr>
        <w:ind w:left="990" w:hanging="360"/>
      </w:p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4">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5">
    <w:nsid w:val="1124343D"/>
    <w:multiLevelType w:val="hybridMultilevel"/>
    <w:tmpl w:val="77E4C72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116E4BDF"/>
    <w:multiLevelType w:val="hybridMultilevel"/>
    <w:tmpl w:val="E15038F6"/>
    <w:lvl w:ilvl="0" w:tplc="0426000F">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D67CB7"/>
    <w:multiLevelType w:val="hybridMultilevel"/>
    <w:tmpl w:val="666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691CF1"/>
    <w:multiLevelType w:val="hybridMultilevel"/>
    <w:tmpl w:val="DC3CA02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271334CE"/>
    <w:multiLevelType w:val="hybridMultilevel"/>
    <w:tmpl w:val="43020386"/>
    <w:lvl w:ilvl="0" w:tplc="A5809C3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73A1C8D"/>
    <w:multiLevelType w:val="hybridMultilevel"/>
    <w:tmpl w:val="000C2CEA"/>
    <w:lvl w:ilvl="0" w:tplc="130E73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2D1E0F87"/>
    <w:multiLevelType w:val="hybridMultilevel"/>
    <w:tmpl w:val="93745D5E"/>
    <w:lvl w:ilvl="0" w:tplc="729060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0EE5F8A"/>
    <w:multiLevelType w:val="hybridMultilevel"/>
    <w:tmpl w:val="0590B242"/>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AD428BE"/>
    <w:multiLevelType w:val="hybridMultilevel"/>
    <w:tmpl w:val="63B452D6"/>
    <w:lvl w:ilvl="0" w:tplc="0426000F">
      <w:start w:val="1"/>
      <w:numFmt w:val="decimal"/>
      <w:lvlText w:val="%1."/>
      <w:lvlJc w:val="left"/>
      <w:pPr>
        <w:ind w:left="121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C2E5EB3"/>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8A05799"/>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F011212"/>
    <w:multiLevelType w:val="hybridMultilevel"/>
    <w:tmpl w:val="D7A679DA"/>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766" w:hanging="360"/>
      </w:pPr>
    </w:lvl>
    <w:lvl w:ilvl="2" w:tplc="0426001B" w:tentative="1">
      <w:start w:val="1"/>
      <w:numFmt w:val="lowerRoman"/>
      <w:lvlText w:val="%3."/>
      <w:lvlJc w:val="right"/>
      <w:pPr>
        <w:ind w:left="2486" w:hanging="180"/>
      </w:pPr>
    </w:lvl>
    <w:lvl w:ilvl="3" w:tplc="0426000F" w:tentative="1">
      <w:start w:val="1"/>
      <w:numFmt w:val="decimal"/>
      <w:lvlText w:val="%4."/>
      <w:lvlJc w:val="left"/>
      <w:pPr>
        <w:ind w:left="3206" w:hanging="360"/>
      </w:pPr>
    </w:lvl>
    <w:lvl w:ilvl="4" w:tplc="04260019" w:tentative="1">
      <w:start w:val="1"/>
      <w:numFmt w:val="lowerLetter"/>
      <w:lvlText w:val="%5."/>
      <w:lvlJc w:val="left"/>
      <w:pPr>
        <w:ind w:left="3926" w:hanging="360"/>
      </w:pPr>
    </w:lvl>
    <w:lvl w:ilvl="5" w:tplc="0426001B" w:tentative="1">
      <w:start w:val="1"/>
      <w:numFmt w:val="lowerRoman"/>
      <w:lvlText w:val="%6."/>
      <w:lvlJc w:val="right"/>
      <w:pPr>
        <w:ind w:left="4646" w:hanging="180"/>
      </w:pPr>
    </w:lvl>
    <w:lvl w:ilvl="6" w:tplc="0426000F" w:tentative="1">
      <w:start w:val="1"/>
      <w:numFmt w:val="decimal"/>
      <w:lvlText w:val="%7."/>
      <w:lvlJc w:val="left"/>
      <w:pPr>
        <w:ind w:left="5366" w:hanging="360"/>
      </w:pPr>
    </w:lvl>
    <w:lvl w:ilvl="7" w:tplc="04260019" w:tentative="1">
      <w:start w:val="1"/>
      <w:numFmt w:val="lowerLetter"/>
      <w:lvlText w:val="%8."/>
      <w:lvlJc w:val="left"/>
      <w:pPr>
        <w:ind w:left="6086" w:hanging="360"/>
      </w:pPr>
    </w:lvl>
    <w:lvl w:ilvl="8" w:tplc="0426001B" w:tentative="1">
      <w:start w:val="1"/>
      <w:numFmt w:val="lowerRoman"/>
      <w:lvlText w:val="%9."/>
      <w:lvlJc w:val="right"/>
      <w:pPr>
        <w:ind w:left="6806" w:hanging="180"/>
      </w:pPr>
    </w:lvl>
  </w:abstractNum>
  <w:abstractNum w:abstractNumId="29">
    <w:nsid w:val="51020718"/>
    <w:multiLevelType w:val="hybridMultilevel"/>
    <w:tmpl w:val="C7DA9758"/>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21F3BBF"/>
    <w:multiLevelType w:val="hybridMultilevel"/>
    <w:tmpl w:val="E56A8F48"/>
    <w:lvl w:ilvl="0" w:tplc="E8209F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73E2C91"/>
    <w:multiLevelType w:val="hybridMultilevel"/>
    <w:tmpl w:val="3D684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59EE5155"/>
    <w:multiLevelType w:val="hybridMultilevel"/>
    <w:tmpl w:val="6FFECC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3CB326B"/>
    <w:multiLevelType w:val="hybridMultilevel"/>
    <w:tmpl w:val="97EE1E12"/>
    <w:lvl w:ilvl="0" w:tplc="1AACA47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62A1911"/>
    <w:multiLevelType w:val="hybridMultilevel"/>
    <w:tmpl w:val="9916519C"/>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1">
    <w:nsid w:val="6B7815EF"/>
    <w:multiLevelType w:val="hybridMultilevel"/>
    <w:tmpl w:val="48626CE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2">
    <w:nsid w:val="6C7A5D1C"/>
    <w:multiLevelType w:val="hybridMultilevel"/>
    <w:tmpl w:val="2F760E8A"/>
    <w:lvl w:ilvl="0" w:tplc="BF800DAE">
      <w:start w:val="1"/>
      <w:numFmt w:val="lowerLetter"/>
      <w:lvlText w:val="%1)"/>
      <w:lvlJc w:val="left"/>
      <w:pPr>
        <w:tabs>
          <w:tab w:val="num" w:pos="1620"/>
        </w:tabs>
        <w:ind w:left="16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3">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44">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5">
    <w:nsid w:val="7AE60DC3"/>
    <w:multiLevelType w:val="hybridMultilevel"/>
    <w:tmpl w:val="666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F3E3E8B"/>
    <w:multiLevelType w:val="hybridMultilevel"/>
    <w:tmpl w:val="4886CD8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6"/>
  </w:num>
  <w:num w:numId="2">
    <w:abstractNumId w:val="36"/>
  </w:num>
  <w:num w:numId="3">
    <w:abstractNumId w:val="10"/>
  </w:num>
  <w:num w:numId="4">
    <w:abstractNumId w:val="7"/>
  </w:num>
  <w:num w:numId="5">
    <w:abstractNumId w:val="2"/>
  </w:num>
  <w:num w:numId="6">
    <w:abstractNumId w:val="31"/>
  </w:num>
  <w:num w:numId="7">
    <w:abstractNumId w:val="38"/>
  </w:num>
  <w:num w:numId="8">
    <w:abstractNumId w:val="24"/>
  </w:num>
  <w:num w:numId="9">
    <w:abstractNumId w:val="8"/>
  </w:num>
  <w:num w:numId="10">
    <w:abstractNumId w:val="26"/>
  </w:num>
  <w:num w:numId="11">
    <w:abstractNumId w:val="27"/>
  </w:num>
  <w:num w:numId="12">
    <w:abstractNumId w:val="33"/>
  </w:num>
  <w:num w:numId="13">
    <w:abstractNumId w:val="35"/>
  </w:num>
  <w:num w:numId="14">
    <w:abstractNumId w:val="4"/>
  </w:num>
  <w:num w:numId="15">
    <w:abstractNumId w:val="37"/>
  </w:num>
  <w:num w:numId="16">
    <w:abstractNumId w:val="44"/>
  </w:num>
  <w:num w:numId="17">
    <w:abstractNumId w:val="43"/>
  </w:num>
  <w:num w:numId="18">
    <w:abstractNumId w:val="9"/>
  </w:num>
  <w:num w:numId="19">
    <w:abstractNumId w:val="19"/>
  </w:num>
  <w:num w:numId="20">
    <w:abstractNumId w:val="21"/>
  </w:num>
  <w:num w:numId="21">
    <w:abstractNumId w:val="0"/>
  </w:num>
  <w:num w:numId="22">
    <w:abstractNumId w:val="20"/>
  </w:num>
  <w:num w:numId="23">
    <w:abstractNumId w:val="15"/>
  </w:num>
  <w:num w:numId="24">
    <w:abstractNumId w:val="1"/>
  </w:num>
  <w:num w:numId="25">
    <w:abstractNumId w:val="6"/>
  </w:num>
  <w:num w:numId="26">
    <w:abstractNumId w:val="25"/>
  </w:num>
  <w:num w:numId="27">
    <w:abstractNumId w:val="23"/>
  </w:num>
  <w:num w:numId="28">
    <w:abstractNumId w:val="34"/>
  </w:num>
  <w:num w:numId="29">
    <w:abstractNumId w:val="30"/>
  </w:num>
  <w:num w:numId="30">
    <w:abstractNumId w:val="17"/>
  </w:num>
  <w:num w:numId="31">
    <w:abstractNumId w:val="14"/>
  </w:num>
  <w:num w:numId="32">
    <w:abstractNumId w:val="5"/>
  </w:num>
  <w:num w:numId="33">
    <w:abstractNumId w:val="41"/>
  </w:num>
  <w:num w:numId="34">
    <w:abstractNumId w:val="46"/>
  </w:num>
  <w:num w:numId="35">
    <w:abstractNumId w:val="3"/>
  </w:num>
  <w:num w:numId="36">
    <w:abstractNumId w:val="28"/>
  </w:num>
  <w:num w:numId="37">
    <w:abstractNumId w:val="18"/>
  </w:num>
  <w:num w:numId="38">
    <w:abstractNumId w:val="29"/>
  </w:num>
  <w:num w:numId="39">
    <w:abstractNumId w:val="22"/>
  </w:num>
  <w:num w:numId="40">
    <w:abstractNumId w:val="40"/>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2"/>
  </w:num>
  <w:num w:numId="45">
    <w:abstractNumId w:val="11"/>
  </w:num>
  <w:num w:numId="46">
    <w:abstractNumId w:val="45"/>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8C5649"/>
    <w:rsid w:val="00011D24"/>
    <w:rsid w:val="000128FE"/>
    <w:rsid w:val="00013FF4"/>
    <w:rsid w:val="00015181"/>
    <w:rsid w:val="00020FE1"/>
    <w:rsid w:val="00022E13"/>
    <w:rsid w:val="00023C23"/>
    <w:rsid w:val="00024734"/>
    <w:rsid w:val="00024D3F"/>
    <w:rsid w:val="00025885"/>
    <w:rsid w:val="000275D7"/>
    <w:rsid w:val="00027D88"/>
    <w:rsid w:val="00032388"/>
    <w:rsid w:val="00034C8A"/>
    <w:rsid w:val="00035013"/>
    <w:rsid w:val="00035CE2"/>
    <w:rsid w:val="00035EF1"/>
    <w:rsid w:val="00037FD3"/>
    <w:rsid w:val="00043D65"/>
    <w:rsid w:val="000459AF"/>
    <w:rsid w:val="00046D14"/>
    <w:rsid w:val="000508F8"/>
    <w:rsid w:val="00050F07"/>
    <w:rsid w:val="0005553B"/>
    <w:rsid w:val="0005576D"/>
    <w:rsid w:val="0005624D"/>
    <w:rsid w:val="000604D2"/>
    <w:rsid w:val="000629E0"/>
    <w:rsid w:val="00064035"/>
    <w:rsid w:val="00065176"/>
    <w:rsid w:val="00065314"/>
    <w:rsid w:val="000673BB"/>
    <w:rsid w:val="000702EF"/>
    <w:rsid w:val="00071061"/>
    <w:rsid w:val="00071885"/>
    <w:rsid w:val="00073104"/>
    <w:rsid w:val="00076AA6"/>
    <w:rsid w:val="0008382C"/>
    <w:rsid w:val="000866AF"/>
    <w:rsid w:val="000875E4"/>
    <w:rsid w:val="0009005E"/>
    <w:rsid w:val="00090A7B"/>
    <w:rsid w:val="00090B3A"/>
    <w:rsid w:val="000937C6"/>
    <w:rsid w:val="000941C5"/>
    <w:rsid w:val="000945E2"/>
    <w:rsid w:val="00095A62"/>
    <w:rsid w:val="00095DD0"/>
    <w:rsid w:val="00095E74"/>
    <w:rsid w:val="000A04B4"/>
    <w:rsid w:val="000A26EC"/>
    <w:rsid w:val="000A4853"/>
    <w:rsid w:val="000A542E"/>
    <w:rsid w:val="000A6451"/>
    <w:rsid w:val="000B064E"/>
    <w:rsid w:val="000B5C29"/>
    <w:rsid w:val="000B613B"/>
    <w:rsid w:val="000B69CF"/>
    <w:rsid w:val="000C04C0"/>
    <w:rsid w:val="000C088A"/>
    <w:rsid w:val="000C169B"/>
    <w:rsid w:val="000C45A4"/>
    <w:rsid w:val="000C7902"/>
    <w:rsid w:val="000C790C"/>
    <w:rsid w:val="000D04C8"/>
    <w:rsid w:val="000D0545"/>
    <w:rsid w:val="000D1A41"/>
    <w:rsid w:val="000D1D50"/>
    <w:rsid w:val="000D20AB"/>
    <w:rsid w:val="000D5AD0"/>
    <w:rsid w:val="000D7072"/>
    <w:rsid w:val="000E01B7"/>
    <w:rsid w:val="000E099E"/>
    <w:rsid w:val="000E1F44"/>
    <w:rsid w:val="000E4143"/>
    <w:rsid w:val="000E4C63"/>
    <w:rsid w:val="000E7446"/>
    <w:rsid w:val="000F061D"/>
    <w:rsid w:val="000F42CA"/>
    <w:rsid w:val="000F4794"/>
    <w:rsid w:val="000F50CE"/>
    <w:rsid w:val="000F5D2A"/>
    <w:rsid w:val="000F622E"/>
    <w:rsid w:val="00101947"/>
    <w:rsid w:val="00104953"/>
    <w:rsid w:val="001059C3"/>
    <w:rsid w:val="0010613D"/>
    <w:rsid w:val="0010705F"/>
    <w:rsid w:val="00110B04"/>
    <w:rsid w:val="001110C6"/>
    <w:rsid w:val="001121C1"/>
    <w:rsid w:val="00112A15"/>
    <w:rsid w:val="001137E5"/>
    <w:rsid w:val="00113D2D"/>
    <w:rsid w:val="00114300"/>
    <w:rsid w:val="00120D7D"/>
    <w:rsid w:val="00124F12"/>
    <w:rsid w:val="00127E8F"/>
    <w:rsid w:val="00127FA9"/>
    <w:rsid w:val="0013052A"/>
    <w:rsid w:val="001344F6"/>
    <w:rsid w:val="0014123A"/>
    <w:rsid w:val="00142180"/>
    <w:rsid w:val="0014247C"/>
    <w:rsid w:val="00142EB5"/>
    <w:rsid w:val="00144BBE"/>
    <w:rsid w:val="00144E3A"/>
    <w:rsid w:val="00145727"/>
    <w:rsid w:val="00146EB5"/>
    <w:rsid w:val="0015060C"/>
    <w:rsid w:val="00150D2C"/>
    <w:rsid w:val="0015224D"/>
    <w:rsid w:val="001522B9"/>
    <w:rsid w:val="001522D1"/>
    <w:rsid w:val="00153F49"/>
    <w:rsid w:val="00154957"/>
    <w:rsid w:val="001554B6"/>
    <w:rsid w:val="00157846"/>
    <w:rsid w:val="0016018A"/>
    <w:rsid w:val="00160B5B"/>
    <w:rsid w:val="00161CD1"/>
    <w:rsid w:val="00161F0E"/>
    <w:rsid w:val="001646D8"/>
    <w:rsid w:val="00164F6E"/>
    <w:rsid w:val="00170E2A"/>
    <w:rsid w:val="0017310A"/>
    <w:rsid w:val="00173780"/>
    <w:rsid w:val="00174129"/>
    <w:rsid w:val="001763B1"/>
    <w:rsid w:val="00176574"/>
    <w:rsid w:val="00176A47"/>
    <w:rsid w:val="00177394"/>
    <w:rsid w:val="00177F44"/>
    <w:rsid w:val="00182C18"/>
    <w:rsid w:val="0018328E"/>
    <w:rsid w:val="00183479"/>
    <w:rsid w:val="001837F8"/>
    <w:rsid w:val="00183CC2"/>
    <w:rsid w:val="001866EE"/>
    <w:rsid w:val="00187DFA"/>
    <w:rsid w:val="001900E4"/>
    <w:rsid w:val="00190F88"/>
    <w:rsid w:val="0019339A"/>
    <w:rsid w:val="00197F74"/>
    <w:rsid w:val="001A4066"/>
    <w:rsid w:val="001A469D"/>
    <w:rsid w:val="001A5DE9"/>
    <w:rsid w:val="001A6AE4"/>
    <w:rsid w:val="001A7FE4"/>
    <w:rsid w:val="001B01FD"/>
    <w:rsid w:val="001B117C"/>
    <w:rsid w:val="001B1854"/>
    <w:rsid w:val="001B2334"/>
    <w:rsid w:val="001B3421"/>
    <w:rsid w:val="001B3DBB"/>
    <w:rsid w:val="001B4A71"/>
    <w:rsid w:val="001B51F8"/>
    <w:rsid w:val="001C2654"/>
    <w:rsid w:val="001C3427"/>
    <w:rsid w:val="001C3439"/>
    <w:rsid w:val="001C4B6E"/>
    <w:rsid w:val="001D0175"/>
    <w:rsid w:val="001D01A9"/>
    <w:rsid w:val="001D02CD"/>
    <w:rsid w:val="001D489E"/>
    <w:rsid w:val="001D48D3"/>
    <w:rsid w:val="001D4D25"/>
    <w:rsid w:val="001D53BE"/>
    <w:rsid w:val="001D5B54"/>
    <w:rsid w:val="001D5BA3"/>
    <w:rsid w:val="001E125F"/>
    <w:rsid w:val="001E1DBF"/>
    <w:rsid w:val="001E4639"/>
    <w:rsid w:val="001E4A7D"/>
    <w:rsid w:val="001E71CA"/>
    <w:rsid w:val="001F060B"/>
    <w:rsid w:val="001F39A2"/>
    <w:rsid w:val="001F4209"/>
    <w:rsid w:val="001F43A8"/>
    <w:rsid w:val="001F5CD6"/>
    <w:rsid w:val="001F698C"/>
    <w:rsid w:val="0020042B"/>
    <w:rsid w:val="002029D8"/>
    <w:rsid w:val="00203534"/>
    <w:rsid w:val="00204C37"/>
    <w:rsid w:val="002117EA"/>
    <w:rsid w:val="0021263D"/>
    <w:rsid w:val="00213F0C"/>
    <w:rsid w:val="00213F3A"/>
    <w:rsid w:val="00214094"/>
    <w:rsid w:val="00214FA9"/>
    <w:rsid w:val="0021592D"/>
    <w:rsid w:val="00216F49"/>
    <w:rsid w:val="00222D76"/>
    <w:rsid w:val="00223227"/>
    <w:rsid w:val="00223EB1"/>
    <w:rsid w:val="00224B09"/>
    <w:rsid w:val="00224BBF"/>
    <w:rsid w:val="00225AA5"/>
    <w:rsid w:val="002265B9"/>
    <w:rsid w:val="00227204"/>
    <w:rsid w:val="00231344"/>
    <w:rsid w:val="0023436E"/>
    <w:rsid w:val="002347C0"/>
    <w:rsid w:val="0023697B"/>
    <w:rsid w:val="00240740"/>
    <w:rsid w:val="00241A6C"/>
    <w:rsid w:val="002425D0"/>
    <w:rsid w:val="00242782"/>
    <w:rsid w:val="00242D2B"/>
    <w:rsid w:val="0024308C"/>
    <w:rsid w:val="00244C02"/>
    <w:rsid w:val="0024610C"/>
    <w:rsid w:val="00250D16"/>
    <w:rsid w:val="0025214E"/>
    <w:rsid w:val="00253797"/>
    <w:rsid w:val="0025780E"/>
    <w:rsid w:val="00261703"/>
    <w:rsid w:val="00262E2B"/>
    <w:rsid w:val="002637EF"/>
    <w:rsid w:val="00264968"/>
    <w:rsid w:val="00266D91"/>
    <w:rsid w:val="00267551"/>
    <w:rsid w:val="002676A6"/>
    <w:rsid w:val="00267C4B"/>
    <w:rsid w:val="00270325"/>
    <w:rsid w:val="00270429"/>
    <w:rsid w:val="00270B69"/>
    <w:rsid w:val="002723E9"/>
    <w:rsid w:val="00272723"/>
    <w:rsid w:val="00274537"/>
    <w:rsid w:val="00275BFD"/>
    <w:rsid w:val="00277929"/>
    <w:rsid w:val="00277AD3"/>
    <w:rsid w:val="002831CF"/>
    <w:rsid w:val="00283B82"/>
    <w:rsid w:val="002846E9"/>
    <w:rsid w:val="00284C34"/>
    <w:rsid w:val="00287D1D"/>
    <w:rsid w:val="0029066C"/>
    <w:rsid w:val="002907FE"/>
    <w:rsid w:val="002908DF"/>
    <w:rsid w:val="002A0000"/>
    <w:rsid w:val="002A3BCC"/>
    <w:rsid w:val="002A5FBF"/>
    <w:rsid w:val="002B08D1"/>
    <w:rsid w:val="002B469C"/>
    <w:rsid w:val="002B50DB"/>
    <w:rsid w:val="002B5570"/>
    <w:rsid w:val="002B6A35"/>
    <w:rsid w:val="002C0532"/>
    <w:rsid w:val="002C12AB"/>
    <w:rsid w:val="002C30EA"/>
    <w:rsid w:val="002C3218"/>
    <w:rsid w:val="002C5053"/>
    <w:rsid w:val="002C59E1"/>
    <w:rsid w:val="002C65C1"/>
    <w:rsid w:val="002C7CAC"/>
    <w:rsid w:val="002C7E85"/>
    <w:rsid w:val="002C7F41"/>
    <w:rsid w:val="002D1AAF"/>
    <w:rsid w:val="002D2DBB"/>
    <w:rsid w:val="002D3197"/>
    <w:rsid w:val="002D3306"/>
    <w:rsid w:val="002D47B8"/>
    <w:rsid w:val="002D48AA"/>
    <w:rsid w:val="002D7BAA"/>
    <w:rsid w:val="002D7F54"/>
    <w:rsid w:val="002E2570"/>
    <w:rsid w:val="002E2657"/>
    <w:rsid w:val="002E394B"/>
    <w:rsid w:val="002E3FF4"/>
    <w:rsid w:val="002F26A1"/>
    <w:rsid w:val="002F3A3B"/>
    <w:rsid w:val="002F3BE4"/>
    <w:rsid w:val="002F451B"/>
    <w:rsid w:val="002F721E"/>
    <w:rsid w:val="002F78C8"/>
    <w:rsid w:val="00301CF3"/>
    <w:rsid w:val="0030578E"/>
    <w:rsid w:val="00305CD4"/>
    <w:rsid w:val="00306933"/>
    <w:rsid w:val="00307421"/>
    <w:rsid w:val="00313AC2"/>
    <w:rsid w:val="00313BDE"/>
    <w:rsid w:val="003155F1"/>
    <w:rsid w:val="00317C5D"/>
    <w:rsid w:val="00321293"/>
    <w:rsid w:val="0032715C"/>
    <w:rsid w:val="0033176B"/>
    <w:rsid w:val="00333A2B"/>
    <w:rsid w:val="00333CA2"/>
    <w:rsid w:val="00336EB7"/>
    <w:rsid w:val="003374CE"/>
    <w:rsid w:val="00337CA5"/>
    <w:rsid w:val="003404D1"/>
    <w:rsid w:val="00342952"/>
    <w:rsid w:val="00342D7D"/>
    <w:rsid w:val="00347914"/>
    <w:rsid w:val="0034795A"/>
    <w:rsid w:val="00347A33"/>
    <w:rsid w:val="003557F7"/>
    <w:rsid w:val="00361530"/>
    <w:rsid w:val="00362478"/>
    <w:rsid w:val="00365C25"/>
    <w:rsid w:val="00365E7F"/>
    <w:rsid w:val="00365FD6"/>
    <w:rsid w:val="00367516"/>
    <w:rsid w:val="00373121"/>
    <w:rsid w:val="00375B25"/>
    <w:rsid w:val="0037756E"/>
    <w:rsid w:val="0038132C"/>
    <w:rsid w:val="00382FBA"/>
    <w:rsid w:val="00390AAA"/>
    <w:rsid w:val="00391E66"/>
    <w:rsid w:val="00395805"/>
    <w:rsid w:val="0039584E"/>
    <w:rsid w:val="00396542"/>
    <w:rsid w:val="0039685B"/>
    <w:rsid w:val="003A0B01"/>
    <w:rsid w:val="003A31A6"/>
    <w:rsid w:val="003A43BB"/>
    <w:rsid w:val="003A7F0C"/>
    <w:rsid w:val="003A7F79"/>
    <w:rsid w:val="003B2124"/>
    <w:rsid w:val="003B6404"/>
    <w:rsid w:val="003C3568"/>
    <w:rsid w:val="003C3CB5"/>
    <w:rsid w:val="003C449B"/>
    <w:rsid w:val="003C7874"/>
    <w:rsid w:val="003D108A"/>
    <w:rsid w:val="003D1469"/>
    <w:rsid w:val="003D21FF"/>
    <w:rsid w:val="003D3B4A"/>
    <w:rsid w:val="003D468F"/>
    <w:rsid w:val="003D5E1F"/>
    <w:rsid w:val="003D7CC9"/>
    <w:rsid w:val="003E3228"/>
    <w:rsid w:val="003E3966"/>
    <w:rsid w:val="003F0112"/>
    <w:rsid w:val="003F071A"/>
    <w:rsid w:val="003F160B"/>
    <w:rsid w:val="003F55BC"/>
    <w:rsid w:val="00400032"/>
    <w:rsid w:val="004004CD"/>
    <w:rsid w:val="00400B43"/>
    <w:rsid w:val="00400B5B"/>
    <w:rsid w:val="00405A00"/>
    <w:rsid w:val="004066C0"/>
    <w:rsid w:val="004070D7"/>
    <w:rsid w:val="00411A9E"/>
    <w:rsid w:val="00411E50"/>
    <w:rsid w:val="0041349E"/>
    <w:rsid w:val="00413DE5"/>
    <w:rsid w:val="00414E71"/>
    <w:rsid w:val="00416904"/>
    <w:rsid w:val="00416FF4"/>
    <w:rsid w:val="00420870"/>
    <w:rsid w:val="00422063"/>
    <w:rsid w:val="00432D0C"/>
    <w:rsid w:val="0043308E"/>
    <w:rsid w:val="0043791B"/>
    <w:rsid w:val="004405CA"/>
    <w:rsid w:val="00441483"/>
    <w:rsid w:val="00441BCB"/>
    <w:rsid w:val="00444704"/>
    <w:rsid w:val="0044531E"/>
    <w:rsid w:val="00445C8B"/>
    <w:rsid w:val="00446C27"/>
    <w:rsid w:val="004503BE"/>
    <w:rsid w:val="00450816"/>
    <w:rsid w:val="004512D3"/>
    <w:rsid w:val="0045176A"/>
    <w:rsid w:val="00452F74"/>
    <w:rsid w:val="00453E60"/>
    <w:rsid w:val="00456332"/>
    <w:rsid w:val="004617ED"/>
    <w:rsid w:val="00461826"/>
    <w:rsid w:val="00461B3C"/>
    <w:rsid w:val="00462646"/>
    <w:rsid w:val="004639C3"/>
    <w:rsid w:val="004667A1"/>
    <w:rsid w:val="00466FFC"/>
    <w:rsid w:val="00467E4F"/>
    <w:rsid w:val="004725B5"/>
    <w:rsid w:val="004735CE"/>
    <w:rsid w:val="00473CEF"/>
    <w:rsid w:val="00477559"/>
    <w:rsid w:val="004800F9"/>
    <w:rsid w:val="00480A33"/>
    <w:rsid w:val="004816B2"/>
    <w:rsid w:val="00482659"/>
    <w:rsid w:val="0048545B"/>
    <w:rsid w:val="00485594"/>
    <w:rsid w:val="004870D6"/>
    <w:rsid w:val="0049134A"/>
    <w:rsid w:val="0049261C"/>
    <w:rsid w:val="00492779"/>
    <w:rsid w:val="00495981"/>
    <w:rsid w:val="00495C6D"/>
    <w:rsid w:val="00497CB0"/>
    <w:rsid w:val="004A18FC"/>
    <w:rsid w:val="004A58CB"/>
    <w:rsid w:val="004A7004"/>
    <w:rsid w:val="004B00B5"/>
    <w:rsid w:val="004B1795"/>
    <w:rsid w:val="004B4513"/>
    <w:rsid w:val="004B56DD"/>
    <w:rsid w:val="004B65AB"/>
    <w:rsid w:val="004B7AE3"/>
    <w:rsid w:val="004C020F"/>
    <w:rsid w:val="004C1637"/>
    <w:rsid w:val="004C1AFD"/>
    <w:rsid w:val="004C46EF"/>
    <w:rsid w:val="004C5017"/>
    <w:rsid w:val="004C558B"/>
    <w:rsid w:val="004D04DE"/>
    <w:rsid w:val="004D0A76"/>
    <w:rsid w:val="004D46C2"/>
    <w:rsid w:val="004D4D12"/>
    <w:rsid w:val="004D5494"/>
    <w:rsid w:val="004D70FF"/>
    <w:rsid w:val="004D716A"/>
    <w:rsid w:val="004E6641"/>
    <w:rsid w:val="004F0715"/>
    <w:rsid w:val="004F117E"/>
    <w:rsid w:val="004F1B19"/>
    <w:rsid w:val="004F1F88"/>
    <w:rsid w:val="004F5F1B"/>
    <w:rsid w:val="00501A67"/>
    <w:rsid w:val="00502374"/>
    <w:rsid w:val="00502850"/>
    <w:rsid w:val="0050508F"/>
    <w:rsid w:val="0050584F"/>
    <w:rsid w:val="00505BF8"/>
    <w:rsid w:val="005060A1"/>
    <w:rsid w:val="00507B32"/>
    <w:rsid w:val="00511843"/>
    <w:rsid w:val="00512ACA"/>
    <w:rsid w:val="00516072"/>
    <w:rsid w:val="005179D8"/>
    <w:rsid w:val="0052105F"/>
    <w:rsid w:val="005256C1"/>
    <w:rsid w:val="00526327"/>
    <w:rsid w:val="0053252F"/>
    <w:rsid w:val="005332EC"/>
    <w:rsid w:val="00534418"/>
    <w:rsid w:val="005353AB"/>
    <w:rsid w:val="0053573B"/>
    <w:rsid w:val="005426FC"/>
    <w:rsid w:val="00543DF9"/>
    <w:rsid w:val="00544B71"/>
    <w:rsid w:val="00551E2E"/>
    <w:rsid w:val="005560BC"/>
    <w:rsid w:val="005573BE"/>
    <w:rsid w:val="005605D8"/>
    <w:rsid w:val="00561447"/>
    <w:rsid w:val="00562DB7"/>
    <w:rsid w:val="00564673"/>
    <w:rsid w:val="005646B7"/>
    <w:rsid w:val="0056757A"/>
    <w:rsid w:val="00572700"/>
    <w:rsid w:val="00577636"/>
    <w:rsid w:val="005777CB"/>
    <w:rsid w:val="00577AC1"/>
    <w:rsid w:val="00580468"/>
    <w:rsid w:val="00581BBE"/>
    <w:rsid w:val="00582231"/>
    <w:rsid w:val="0058310B"/>
    <w:rsid w:val="0058603B"/>
    <w:rsid w:val="00590604"/>
    <w:rsid w:val="005939EC"/>
    <w:rsid w:val="00593B4F"/>
    <w:rsid w:val="0059431B"/>
    <w:rsid w:val="005947C5"/>
    <w:rsid w:val="00594B6F"/>
    <w:rsid w:val="00594D8F"/>
    <w:rsid w:val="00596C27"/>
    <w:rsid w:val="005A1911"/>
    <w:rsid w:val="005A2B76"/>
    <w:rsid w:val="005A39CC"/>
    <w:rsid w:val="005A3B94"/>
    <w:rsid w:val="005A4CBB"/>
    <w:rsid w:val="005A4EE7"/>
    <w:rsid w:val="005A53B8"/>
    <w:rsid w:val="005A741B"/>
    <w:rsid w:val="005B2B85"/>
    <w:rsid w:val="005B4730"/>
    <w:rsid w:val="005C07EA"/>
    <w:rsid w:val="005C0F0E"/>
    <w:rsid w:val="005C28BD"/>
    <w:rsid w:val="005C4C65"/>
    <w:rsid w:val="005C62AD"/>
    <w:rsid w:val="005C7000"/>
    <w:rsid w:val="005C795B"/>
    <w:rsid w:val="005D0F0A"/>
    <w:rsid w:val="005D24D7"/>
    <w:rsid w:val="005D2DEC"/>
    <w:rsid w:val="005D4A6E"/>
    <w:rsid w:val="005D6031"/>
    <w:rsid w:val="005E05D7"/>
    <w:rsid w:val="005E17DC"/>
    <w:rsid w:val="005E1FE5"/>
    <w:rsid w:val="005E2788"/>
    <w:rsid w:val="005E29B4"/>
    <w:rsid w:val="005E41E7"/>
    <w:rsid w:val="005E450F"/>
    <w:rsid w:val="005E4B11"/>
    <w:rsid w:val="005E523E"/>
    <w:rsid w:val="005E6B01"/>
    <w:rsid w:val="005F0B82"/>
    <w:rsid w:val="005F267D"/>
    <w:rsid w:val="005F7935"/>
    <w:rsid w:val="006010B2"/>
    <w:rsid w:val="0060130B"/>
    <w:rsid w:val="006015CB"/>
    <w:rsid w:val="00603FAD"/>
    <w:rsid w:val="00604C69"/>
    <w:rsid w:val="00605EA5"/>
    <w:rsid w:val="0060695B"/>
    <w:rsid w:val="00606E9C"/>
    <w:rsid w:val="00606FA6"/>
    <w:rsid w:val="006137AF"/>
    <w:rsid w:val="006157A6"/>
    <w:rsid w:val="00615C41"/>
    <w:rsid w:val="00621650"/>
    <w:rsid w:val="00621C08"/>
    <w:rsid w:val="0062298A"/>
    <w:rsid w:val="00626514"/>
    <w:rsid w:val="00626589"/>
    <w:rsid w:val="00627988"/>
    <w:rsid w:val="006305BC"/>
    <w:rsid w:val="00631537"/>
    <w:rsid w:val="006339A0"/>
    <w:rsid w:val="00635967"/>
    <w:rsid w:val="006413A8"/>
    <w:rsid w:val="0064198F"/>
    <w:rsid w:val="00642E56"/>
    <w:rsid w:val="00645FDE"/>
    <w:rsid w:val="00646313"/>
    <w:rsid w:val="00650003"/>
    <w:rsid w:val="00650727"/>
    <w:rsid w:val="00651E00"/>
    <w:rsid w:val="00652B5C"/>
    <w:rsid w:val="0066452B"/>
    <w:rsid w:val="00664B40"/>
    <w:rsid w:val="0066594F"/>
    <w:rsid w:val="00665C50"/>
    <w:rsid w:val="006715E9"/>
    <w:rsid w:val="00672680"/>
    <w:rsid w:val="00674572"/>
    <w:rsid w:val="00677A47"/>
    <w:rsid w:val="00681ED2"/>
    <w:rsid w:val="0068434B"/>
    <w:rsid w:val="006844D3"/>
    <w:rsid w:val="0068525E"/>
    <w:rsid w:val="00687763"/>
    <w:rsid w:val="00692B0D"/>
    <w:rsid w:val="00693413"/>
    <w:rsid w:val="00693E0E"/>
    <w:rsid w:val="00694DFF"/>
    <w:rsid w:val="00697C6E"/>
    <w:rsid w:val="00697C89"/>
    <w:rsid w:val="006A1AE3"/>
    <w:rsid w:val="006A1F2B"/>
    <w:rsid w:val="006A4F20"/>
    <w:rsid w:val="006B035F"/>
    <w:rsid w:val="006B088A"/>
    <w:rsid w:val="006B382C"/>
    <w:rsid w:val="006B4F72"/>
    <w:rsid w:val="006B586C"/>
    <w:rsid w:val="006B6865"/>
    <w:rsid w:val="006B7527"/>
    <w:rsid w:val="006B7A35"/>
    <w:rsid w:val="006C14BB"/>
    <w:rsid w:val="006C1607"/>
    <w:rsid w:val="006C2CD3"/>
    <w:rsid w:val="006C30E1"/>
    <w:rsid w:val="006C4607"/>
    <w:rsid w:val="006D0181"/>
    <w:rsid w:val="006D1583"/>
    <w:rsid w:val="006D48F1"/>
    <w:rsid w:val="006D496A"/>
    <w:rsid w:val="006D6F18"/>
    <w:rsid w:val="006E1091"/>
    <w:rsid w:val="006E1570"/>
    <w:rsid w:val="006E2D9D"/>
    <w:rsid w:val="006E42C0"/>
    <w:rsid w:val="006E612C"/>
    <w:rsid w:val="006E6A7B"/>
    <w:rsid w:val="006F28C9"/>
    <w:rsid w:val="006F45BE"/>
    <w:rsid w:val="006F5F3E"/>
    <w:rsid w:val="007002E2"/>
    <w:rsid w:val="007004FC"/>
    <w:rsid w:val="007006F0"/>
    <w:rsid w:val="0070221E"/>
    <w:rsid w:val="00704267"/>
    <w:rsid w:val="00704989"/>
    <w:rsid w:val="00706257"/>
    <w:rsid w:val="00706670"/>
    <w:rsid w:val="007072D6"/>
    <w:rsid w:val="007104DB"/>
    <w:rsid w:val="00710B48"/>
    <w:rsid w:val="00711F59"/>
    <w:rsid w:val="00712204"/>
    <w:rsid w:val="00715166"/>
    <w:rsid w:val="007212E8"/>
    <w:rsid w:val="007233E0"/>
    <w:rsid w:val="0072417C"/>
    <w:rsid w:val="0072583C"/>
    <w:rsid w:val="00726C2F"/>
    <w:rsid w:val="00727043"/>
    <w:rsid w:val="0072755B"/>
    <w:rsid w:val="00727F28"/>
    <w:rsid w:val="007338FC"/>
    <w:rsid w:val="00734450"/>
    <w:rsid w:val="00737BE9"/>
    <w:rsid w:val="007409EA"/>
    <w:rsid w:val="0074171F"/>
    <w:rsid w:val="00745F67"/>
    <w:rsid w:val="0075039E"/>
    <w:rsid w:val="00751EDC"/>
    <w:rsid w:val="00752D9D"/>
    <w:rsid w:val="00754784"/>
    <w:rsid w:val="0075588B"/>
    <w:rsid w:val="00756F59"/>
    <w:rsid w:val="007578DC"/>
    <w:rsid w:val="00757C18"/>
    <w:rsid w:val="00757C6E"/>
    <w:rsid w:val="00762BDA"/>
    <w:rsid w:val="007650C7"/>
    <w:rsid w:val="007701DE"/>
    <w:rsid w:val="00771C00"/>
    <w:rsid w:val="00774021"/>
    <w:rsid w:val="00776DA2"/>
    <w:rsid w:val="007805FD"/>
    <w:rsid w:val="00784422"/>
    <w:rsid w:val="00786281"/>
    <w:rsid w:val="0078714A"/>
    <w:rsid w:val="00787D46"/>
    <w:rsid w:val="007914E1"/>
    <w:rsid w:val="007939BD"/>
    <w:rsid w:val="00794411"/>
    <w:rsid w:val="0079482A"/>
    <w:rsid w:val="0079527F"/>
    <w:rsid w:val="00797951"/>
    <w:rsid w:val="00797BEF"/>
    <w:rsid w:val="007A0762"/>
    <w:rsid w:val="007A2135"/>
    <w:rsid w:val="007A5E80"/>
    <w:rsid w:val="007A644C"/>
    <w:rsid w:val="007B04D7"/>
    <w:rsid w:val="007B32DF"/>
    <w:rsid w:val="007B3B54"/>
    <w:rsid w:val="007B3FA0"/>
    <w:rsid w:val="007B5FA1"/>
    <w:rsid w:val="007B6A99"/>
    <w:rsid w:val="007C07D9"/>
    <w:rsid w:val="007C0F2C"/>
    <w:rsid w:val="007C2BCC"/>
    <w:rsid w:val="007C2C75"/>
    <w:rsid w:val="007C4EF0"/>
    <w:rsid w:val="007C6348"/>
    <w:rsid w:val="007D07D1"/>
    <w:rsid w:val="007D0894"/>
    <w:rsid w:val="007D099D"/>
    <w:rsid w:val="007D130A"/>
    <w:rsid w:val="007D3788"/>
    <w:rsid w:val="007D3A03"/>
    <w:rsid w:val="007D5B43"/>
    <w:rsid w:val="007E2664"/>
    <w:rsid w:val="007E32F4"/>
    <w:rsid w:val="007E3ABF"/>
    <w:rsid w:val="007E3CA7"/>
    <w:rsid w:val="007E49D5"/>
    <w:rsid w:val="007E5BFA"/>
    <w:rsid w:val="007E6689"/>
    <w:rsid w:val="007E731C"/>
    <w:rsid w:val="007F0224"/>
    <w:rsid w:val="007F0A03"/>
    <w:rsid w:val="007F122C"/>
    <w:rsid w:val="007F4B6D"/>
    <w:rsid w:val="007F7437"/>
    <w:rsid w:val="00801937"/>
    <w:rsid w:val="00802A27"/>
    <w:rsid w:val="00803F3E"/>
    <w:rsid w:val="00805430"/>
    <w:rsid w:val="008059B5"/>
    <w:rsid w:val="00805EDB"/>
    <w:rsid w:val="00806166"/>
    <w:rsid w:val="00810040"/>
    <w:rsid w:val="00810404"/>
    <w:rsid w:val="00811DD4"/>
    <w:rsid w:val="008139FD"/>
    <w:rsid w:val="00815230"/>
    <w:rsid w:val="0081578A"/>
    <w:rsid w:val="0082023A"/>
    <w:rsid w:val="00821A7A"/>
    <w:rsid w:val="008225EE"/>
    <w:rsid w:val="00823192"/>
    <w:rsid w:val="008253F8"/>
    <w:rsid w:val="00825907"/>
    <w:rsid w:val="0082626E"/>
    <w:rsid w:val="00831170"/>
    <w:rsid w:val="00831438"/>
    <w:rsid w:val="008325E4"/>
    <w:rsid w:val="00832720"/>
    <w:rsid w:val="00832A2B"/>
    <w:rsid w:val="00834604"/>
    <w:rsid w:val="00843277"/>
    <w:rsid w:val="008457A4"/>
    <w:rsid w:val="00845811"/>
    <w:rsid w:val="008458A6"/>
    <w:rsid w:val="00846994"/>
    <w:rsid w:val="00850451"/>
    <w:rsid w:val="00852042"/>
    <w:rsid w:val="008534C9"/>
    <w:rsid w:val="0085599D"/>
    <w:rsid w:val="00861E40"/>
    <w:rsid w:val="00862817"/>
    <w:rsid w:val="00864753"/>
    <w:rsid w:val="00871D1A"/>
    <w:rsid w:val="0087328C"/>
    <w:rsid w:val="008732F8"/>
    <w:rsid w:val="00873485"/>
    <w:rsid w:val="00873C8E"/>
    <w:rsid w:val="0087510C"/>
    <w:rsid w:val="0088385A"/>
    <w:rsid w:val="008843CE"/>
    <w:rsid w:val="008845EF"/>
    <w:rsid w:val="00885CEA"/>
    <w:rsid w:val="00887715"/>
    <w:rsid w:val="00893343"/>
    <w:rsid w:val="008968AA"/>
    <w:rsid w:val="008968D2"/>
    <w:rsid w:val="0089738E"/>
    <w:rsid w:val="00897A4F"/>
    <w:rsid w:val="008A0B11"/>
    <w:rsid w:val="008A0BF5"/>
    <w:rsid w:val="008A10CB"/>
    <w:rsid w:val="008A2157"/>
    <w:rsid w:val="008A32FF"/>
    <w:rsid w:val="008A6561"/>
    <w:rsid w:val="008B1271"/>
    <w:rsid w:val="008B2440"/>
    <w:rsid w:val="008B3B36"/>
    <w:rsid w:val="008B3C09"/>
    <w:rsid w:val="008B5FDB"/>
    <w:rsid w:val="008B691A"/>
    <w:rsid w:val="008B7273"/>
    <w:rsid w:val="008B7D5D"/>
    <w:rsid w:val="008C1D5D"/>
    <w:rsid w:val="008C50F4"/>
    <w:rsid w:val="008C5649"/>
    <w:rsid w:val="008C697B"/>
    <w:rsid w:val="008D276A"/>
    <w:rsid w:val="008D379C"/>
    <w:rsid w:val="008D4DEC"/>
    <w:rsid w:val="008D601B"/>
    <w:rsid w:val="008E1454"/>
    <w:rsid w:val="008E428F"/>
    <w:rsid w:val="008E44A2"/>
    <w:rsid w:val="008E50A8"/>
    <w:rsid w:val="008E681D"/>
    <w:rsid w:val="008E697D"/>
    <w:rsid w:val="008E6FBE"/>
    <w:rsid w:val="008E753C"/>
    <w:rsid w:val="008F5672"/>
    <w:rsid w:val="00900704"/>
    <w:rsid w:val="00903263"/>
    <w:rsid w:val="00903444"/>
    <w:rsid w:val="00906A21"/>
    <w:rsid w:val="009079C3"/>
    <w:rsid w:val="00910462"/>
    <w:rsid w:val="0091161B"/>
    <w:rsid w:val="009134BC"/>
    <w:rsid w:val="00913AD3"/>
    <w:rsid w:val="00915AB1"/>
    <w:rsid w:val="00915EAB"/>
    <w:rsid w:val="00917532"/>
    <w:rsid w:val="009202EE"/>
    <w:rsid w:val="009205B8"/>
    <w:rsid w:val="00922829"/>
    <w:rsid w:val="00922FF1"/>
    <w:rsid w:val="009235BA"/>
    <w:rsid w:val="00924023"/>
    <w:rsid w:val="00924CE2"/>
    <w:rsid w:val="009257A9"/>
    <w:rsid w:val="00925B9F"/>
    <w:rsid w:val="00927257"/>
    <w:rsid w:val="00930B6D"/>
    <w:rsid w:val="00931AED"/>
    <w:rsid w:val="00931D35"/>
    <w:rsid w:val="0093279E"/>
    <w:rsid w:val="009354F7"/>
    <w:rsid w:val="00936003"/>
    <w:rsid w:val="0093732A"/>
    <w:rsid w:val="009426E9"/>
    <w:rsid w:val="00942A8E"/>
    <w:rsid w:val="0094431F"/>
    <w:rsid w:val="009476A3"/>
    <w:rsid w:val="00950977"/>
    <w:rsid w:val="0095334F"/>
    <w:rsid w:val="009543EC"/>
    <w:rsid w:val="0096118E"/>
    <w:rsid w:val="00961942"/>
    <w:rsid w:val="00965897"/>
    <w:rsid w:val="0096765C"/>
    <w:rsid w:val="00967762"/>
    <w:rsid w:val="009677ED"/>
    <w:rsid w:val="00971BC6"/>
    <w:rsid w:val="0097238D"/>
    <w:rsid w:val="009727E4"/>
    <w:rsid w:val="0097297B"/>
    <w:rsid w:val="009740C2"/>
    <w:rsid w:val="00977270"/>
    <w:rsid w:val="009802DD"/>
    <w:rsid w:val="009813D7"/>
    <w:rsid w:val="00982F96"/>
    <w:rsid w:val="0098742E"/>
    <w:rsid w:val="00991028"/>
    <w:rsid w:val="009926AD"/>
    <w:rsid w:val="00993494"/>
    <w:rsid w:val="009934C5"/>
    <w:rsid w:val="00994C0F"/>
    <w:rsid w:val="00996E8F"/>
    <w:rsid w:val="009A0353"/>
    <w:rsid w:val="009A067E"/>
    <w:rsid w:val="009A1B85"/>
    <w:rsid w:val="009A2A06"/>
    <w:rsid w:val="009A5A45"/>
    <w:rsid w:val="009A6361"/>
    <w:rsid w:val="009A7A53"/>
    <w:rsid w:val="009B1BF6"/>
    <w:rsid w:val="009B22D7"/>
    <w:rsid w:val="009B2745"/>
    <w:rsid w:val="009B5ADC"/>
    <w:rsid w:val="009B72ED"/>
    <w:rsid w:val="009C20B6"/>
    <w:rsid w:val="009C3320"/>
    <w:rsid w:val="009C53DB"/>
    <w:rsid w:val="009C6DEB"/>
    <w:rsid w:val="009D30AC"/>
    <w:rsid w:val="009D6504"/>
    <w:rsid w:val="009E12D7"/>
    <w:rsid w:val="009E3758"/>
    <w:rsid w:val="009E3800"/>
    <w:rsid w:val="009E661A"/>
    <w:rsid w:val="009E6A86"/>
    <w:rsid w:val="009E7437"/>
    <w:rsid w:val="009F1713"/>
    <w:rsid w:val="009F7769"/>
    <w:rsid w:val="00A060E1"/>
    <w:rsid w:val="00A06781"/>
    <w:rsid w:val="00A071B2"/>
    <w:rsid w:val="00A071CA"/>
    <w:rsid w:val="00A074C3"/>
    <w:rsid w:val="00A1041D"/>
    <w:rsid w:val="00A11062"/>
    <w:rsid w:val="00A11A03"/>
    <w:rsid w:val="00A13153"/>
    <w:rsid w:val="00A14E70"/>
    <w:rsid w:val="00A1509C"/>
    <w:rsid w:val="00A15793"/>
    <w:rsid w:val="00A1695F"/>
    <w:rsid w:val="00A16A86"/>
    <w:rsid w:val="00A16F4B"/>
    <w:rsid w:val="00A178D8"/>
    <w:rsid w:val="00A20B20"/>
    <w:rsid w:val="00A21C8A"/>
    <w:rsid w:val="00A22084"/>
    <w:rsid w:val="00A22230"/>
    <w:rsid w:val="00A249B9"/>
    <w:rsid w:val="00A24C7D"/>
    <w:rsid w:val="00A255CF"/>
    <w:rsid w:val="00A30577"/>
    <w:rsid w:val="00A34260"/>
    <w:rsid w:val="00A36F16"/>
    <w:rsid w:val="00A4190A"/>
    <w:rsid w:val="00A42EFA"/>
    <w:rsid w:val="00A44A72"/>
    <w:rsid w:val="00A460E6"/>
    <w:rsid w:val="00A46336"/>
    <w:rsid w:val="00A46D3C"/>
    <w:rsid w:val="00A47F41"/>
    <w:rsid w:val="00A54D0A"/>
    <w:rsid w:val="00A55754"/>
    <w:rsid w:val="00A5581F"/>
    <w:rsid w:val="00A56180"/>
    <w:rsid w:val="00A60142"/>
    <w:rsid w:val="00A60E2B"/>
    <w:rsid w:val="00A70CFD"/>
    <w:rsid w:val="00A70F16"/>
    <w:rsid w:val="00A714E9"/>
    <w:rsid w:val="00A717E1"/>
    <w:rsid w:val="00A72A0B"/>
    <w:rsid w:val="00A72DE3"/>
    <w:rsid w:val="00A73A73"/>
    <w:rsid w:val="00A74E07"/>
    <w:rsid w:val="00A8039A"/>
    <w:rsid w:val="00A80518"/>
    <w:rsid w:val="00A80D4D"/>
    <w:rsid w:val="00A8125C"/>
    <w:rsid w:val="00A81E42"/>
    <w:rsid w:val="00A83006"/>
    <w:rsid w:val="00A84F62"/>
    <w:rsid w:val="00A864FE"/>
    <w:rsid w:val="00A86F41"/>
    <w:rsid w:val="00A87D04"/>
    <w:rsid w:val="00A9014A"/>
    <w:rsid w:val="00A94E4B"/>
    <w:rsid w:val="00A950C5"/>
    <w:rsid w:val="00A953A6"/>
    <w:rsid w:val="00A95F38"/>
    <w:rsid w:val="00AA1815"/>
    <w:rsid w:val="00AA19F9"/>
    <w:rsid w:val="00AA1D25"/>
    <w:rsid w:val="00AA31BB"/>
    <w:rsid w:val="00AA41A2"/>
    <w:rsid w:val="00AA52A9"/>
    <w:rsid w:val="00AA5AA2"/>
    <w:rsid w:val="00AA5F5C"/>
    <w:rsid w:val="00AB015A"/>
    <w:rsid w:val="00AB028F"/>
    <w:rsid w:val="00AB213A"/>
    <w:rsid w:val="00AB2B1A"/>
    <w:rsid w:val="00AB397F"/>
    <w:rsid w:val="00AB57A5"/>
    <w:rsid w:val="00AB5832"/>
    <w:rsid w:val="00AB5C2D"/>
    <w:rsid w:val="00AB6D99"/>
    <w:rsid w:val="00AC51F2"/>
    <w:rsid w:val="00AC6E7D"/>
    <w:rsid w:val="00AC7B48"/>
    <w:rsid w:val="00AD051B"/>
    <w:rsid w:val="00AD0D73"/>
    <w:rsid w:val="00AD1E34"/>
    <w:rsid w:val="00AD1FCC"/>
    <w:rsid w:val="00AD3269"/>
    <w:rsid w:val="00AD62A1"/>
    <w:rsid w:val="00AD6528"/>
    <w:rsid w:val="00AE1FDB"/>
    <w:rsid w:val="00AE445B"/>
    <w:rsid w:val="00AE4599"/>
    <w:rsid w:val="00AE5066"/>
    <w:rsid w:val="00AE5E24"/>
    <w:rsid w:val="00AE61B7"/>
    <w:rsid w:val="00AE6BF5"/>
    <w:rsid w:val="00AE6CBA"/>
    <w:rsid w:val="00AE7489"/>
    <w:rsid w:val="00AE75B0"/>
    <w:rsid w:val="00AE79AD"/>
    <w:rsid w:val="00AE7C40"/>
    <w:rsid w:val="00AF2800"/>
    <w:rsid w:val="00AF35E4"/>
    <w:rsid w:val="00AF4F1F"/>
    <w:rsid w:val="00AF50C3"/>
    <w:rsid w:val="00AF5CDE"/>
    <w:rsid w:val="00AF6BCD"/>
    <w:rsid w:val="00AF792F"/>
    <w:rsid w:val="00B01684"/>
    <w:rsid w:val="00B02CB9"/>
    <w:rsid w:val="00B0626C"/>
    <w:rsid w:val="00B069D7"/>
    <w:rsid w:val="00B07682"/>
    <w:rsid w:val="00B11586"/>
    <w:rsid w:val="00B11A57"/>
    <w:rsid w:val="00B13208"/>
    <w:rsid w:val="00B13EA6"/>
    <w:rsid w:val="00B15581"/>
    <w:rsid w:val="00B163C3"/>
    <w:rsid w:val="00B171A4"/>
    <w:rsid w:val="00B17C99"/>
    <w:rsid w:val="00B211C3"/>
    <w:rsid w:val="00B230E4"/>
    <w:rsid w:val="00B2317D"/>
    <w:rsid w:val="00B23F47"/>
    <w:rsid w:val="00B244D1"/>
    <w:rsid w:val="00B24CC9"/>
    <w:rsid w:val="00B25597"/>
    <w:rsid w:val="00B25B36"/>
    <w:rsid w:val="00B267B9"/>
    <w:rsid w:val="00B2698D"/>
    <w:rsid w:val="00B26F6B"/>
    <w:rsid w:val="00B302BF"/>
    <w:rsid w:val="00B33E09"/>
    <w:rsid w:val="00B3423E"/>
    <w:rsid w:val="00B34D14"/>
    <w:rsid w:val="00B41F21"/>
    <w:rsid w:val="00B42C1E"/>
    <w:rsid w:val="00B47117"/>
    <w:rsid w:val="00B47C62"/>
    <w:rsid w:val="00B50708"/>
    <w:rsid w:val="00B50C68"/>
    <w:rsid w:val="00B51293"/>
    <w:rsid w:val="00B51B35"/>
    <w:rsid w:val="00B52214"/>
    <w:rsid w:val="00B52B1E"/>
    <w:rsid w:val="00B55481"/>
    <w:rsid w:val="00B56C32"/>
    <w:rsid w:val="00B57ACF"/>
    <w:rsid w:val="00B60770"/>
    <w:rsid w:val="00B6398F"/>
    <w:rsid w:val="00B64ACE"/>
    <w:rsid w:val="00B64BB1"/>
    <w:rsid w:val="00B67A2B"/>
    <w:rsid w:val="00B73166"/>
    <w:rsid w:val="00B73573"/>
    <w:rsid w:val="00B736AB"/>
    <w:rsid w:val="00B74103"/>
    <w:rsid w:val="00B75A95"/>
    <w:rsid w:val="00B76412"/>
    <w:rsid w:val="00B77676"/>
    <w:rsid w:val="00B818CB"/>
    <w:rsid w:val="00B8426C"/>
    <w:rsid w:val="00B868CF"/>
    <w:rsid w:val="00B87B6D"/>
    <w:rsid w:val="00B915CF"/>
    <w:rsid w:val="00B91791"/>
    <w:rsid w:val="00B91B8D"/>
    <w:rsid w:val="00B9346C"/>
    <w:rsid w:val="00B93E47"/>
    <w:rsid w:val="00B9481A"/>
    <w:rsid w:val="00B94E90"/>
    <w:rsid w:val="00B9551F"/>
    <w:rsid w:val="00B9580D"/>
    <w:rsid w:val="00B95CE8"/>
    <w:rsid w:val="00B96E07"/>
    <w:rsid w:val="00B96E50"/>
    <w:rsid w:val="00BA268A"/>
    <w:rsid w:val="00BA2D09"/>
    <w:rsid w:val="00BA3134"/>
    <w:rsid w:val="00BA3A03"/>
    <w:rsid w:val="00BA4296"/>
    <w:rsid w:val="00BA5400"/>
    <w:rsid w:val="00BA6308"/>
    <w:rsid w:val="00BA63A7"/>
    <w:rsid w:val="00BA7FB2"/>
    <w:rsid w:val="00BB0A82"/>
    <w:rsid w:val="00BB1850"/>
    <w:rsid w:val="00BB3AF9"/>
    <w:rsid w:val="00BB405A"/>
    <w:rsid w:val="00BB7930"/>
    <w:rsid w:val="00BB7C94"/>
    <w:rsid w:val="00BC0A9D"/>
    <w:rsid w:val="00BC0C73"/>
    <w:rsid w:val="00BC5588"/>
    <w:rsid w:val="00BC66AF"/>
    <w:rsid w:val="00BC742E"/>
    <w:rsid w:val="00BD1E90"/>
    <w:rsid w:val="00BD447A"/>
    <w:rsid w:val="00BD60D4"/>
    <w:rsid w:val="00BE1B4A"/>
    <w:rsid w:val="00BE2D8A"/>
    <w:rsid w:val="00BE3315"/>
    <w:rsid w:val="00BE4AE2"/>
    <w:rsid w:val="00BE707A"/>
    <w:rsid w:val="00BE72CE"/>
    <w:rsid w:val="00BE75FD"/>
    <w:rsid w:val="00BE7A06"/>
    <w:rsid w:val="00BF01DB"/>
    <w:rsid w:val="00BF37BD"/>
    <w:rsid w:val="00BF40ED"/>
    <w:rsid w:val="00BF5BC2"/>
    <w:rsid w:val="00C037E6"/>
    <w:rsid w:val="00C068E5"/>
    <w:rsid w:val="00C1133D"/>
    <w:rsid w:val="00C12ABA"/>
    <w:rsid w:val="00C13782"/>
    <w:rsid w:val="00C14C29"/>
    <w:rsid w:val="00C15032"/>
    <w:rsid w:val="00C15E18"/>
    <w:rsid w:val="00C2127F"/>
    <w:rsid w:val="00C2184A"/>
    <w:rsid w:val="00C23266"/>
    <w:rsid w:val="00C23A81"/>
    <w:rsid w:val="00C2656D"/>
    <w:rsid w:val="00C273C6"/>
    <w:rsid w:val="00C27A08"/>
    <w:rsid w:val="00C304FF"/>
    <w:rsid w:val="00C31312"/>
    <w:rsid w:val="00C31E36"/>
    <w:rsid w:val="00C3227B"/>
    <w:rsid w:val="00C326C6"/>
    <w:rsid w:val="00C32F66"/>
    <w:rsid w:val="00C34C91"/>
    <w:rsid w:val="00C35295"/>
    <w:rsid w:val="00C36ADD"/>
    <w:rsid w:val="00C36E74"/>
    <w:rsid w:val="00C401C7"/>
    <w:rsid w:val="00C40595"/>
    <w:rsid w:val="00C4072D"/>
    <w:rsid w:val="00C41621"/>
    <w:rsid w:val="00C41861"/>
    <w:rsid w:val="00C42FBC"/>
    <w:rsid w:val="00C43476"/>
    <w:rsid w:val="00C449FA"/>
    <w:rsid w:val="00C472EA"/>
    <w:rsid w:val="00C47F19"/>
    <w:rsid w:val="00C50194"/>
    <w:rsid w:val="00C506C9"/>
    <w:rsid w:val="00C511C7"/>
    <w:rsid w:val="00C52F74"/>
    <w:rsid w:val="00C5384F"/>
    <w:rsid w:val="00C54448"/>
    <w:rsid w:val="00C554F6"/>
    <w:rsid w:val="00C55CF3"/>
    <w:rsid w:val="00C56964"/>
    <w:rsid w:val="00C627F0"/>
    <w:rsid w:val="00C62B37"/>
    <w:rsid w:val="00C656D5"/>
    <w:rsid w:val="00C65959"/>
    <w:rsid w:val="00C66356"/>
    <w:rsid w:val="00C67103"/>
    <w:rsid w:val="00C679B7"/>
    <w:rsid w:val="00C716E3"/>
    <w:rsid w:val="00C71BB9"/>
    <w:rsid w:val="00C761AA"/>
    <w:rsid w:val="00C764E9"/>
    <w:rsid w:val="00C7770F"/>
    <w:rsid w:val="00C854E6"/>
    <w:rsid w:val="00C87FB7"/>
    <w:rsid w:val="00C90BBC"/>
    <w:rsid w:val="00C90D19"/>
    <w:rsid w:val="00C91AF3"/>
    <w:rsid w:val="00C921B7"/>
    <w:rsid w:val="00C93F0D"/>
    <w:rsid w:val="00C93FA7"/>
    <w:rsid w:val="00C94C28"/>
    <w:rsid w:val="00C97287"/>
    <w:rsid w:val="00C97853"/>
    <w:rsid w:val="00CA24B4"/>
    <w:rsid w:val="00CA2F29"/>
    <w:rsid w:val="00CA35EF"/>
    <w:rsid w:val="00CA5C1C"/>
    <w:rsid w:val="00CA7C84"/>
    <w:rsid w:val="00CB0247"/>
    <w:rsid w:val="00CB052E"/>
    <w:rsid w:val="00CB097D"/>
    <w:rsid w:val="00CB29E9"/>
    <w:rsid w:val="00CB3440"/>
    <w:rsid w:val="00CB3994"/>
    <w:rsid w:val="00CB47C7"/>
    <w:rsid w:val="00CB5206"/>
    <w:rsid w:val="00CC0110"/>
    <w:rsid w:val="00CC1692"/>
    <w:rsid w:val="00CC16B6"/>
    <w:rsid w:val="00CC1E0A"/>
    <w:rsid w:val="00CC391A"/>
    <w:rsid w:val="00CC3992"/>
    <w:rsid w:val="00CC4263"/>
    <w:rsid w:val="00CC5236"/>
    <w:rsid w:val="00CC637B"/>
    <w:rsid w:val="00CD1346"/>
    <w:rsid w:val="00CD138B"/>
    <w:rsid w:val="00CD3E31"/>
    <w:rsid w:val="00CD6F80"/>
    <w:rsid w:val="00CD7483"/>
    <w:rsid w:val="00CD74A3"/>
    <w:rsid w:val="00CD76EE"/>
    <w:rsid w:val="00CE0527"/>
    <w:rsid w:val="00CE2BE6"/>
    <w:rsid w:val="00CE2D0E"/>
    <w:rsid w:val="00CE4564"/>
    <w:rsid w:val="00CE4665"/>
    <w:rsid w:val="00CE4CB5"/>
    <w:rsid w:val="00CE4F6D"/>
    <w:rsid w:val="00CE5B23"/>
    <w:rsid w:val="00CE5EF3"/>
    <w:rsid w:val="00CE671C"/>
    <w:rsid w:val="00CF04EE"/>
    <w:rsid w:val="00CF0725"/>
    <w:rsid w:val="00CF3BF7"/>
    <w:rsid w:val="00CF5BD1"/>
    <w:rsid w:val="00CF5D42"/>
    <w:rsid w:val="00CF6B77"/>
    <w:rsid w:val="00CF70AD"/>
    <w:rsid w:val="00CF7729"/>
    <w:rsid w:val="00D00059"/>
    <w:rsid w:val="00D0040A"/>
    <w:rsid w:val="00D02404"/>
    <w:rsid w:val="00D052E1"/>
    <w:rsid w:val="00D072A9"/>
    <w:rsid w:val="00D107FA"/>
    <w:rsid w:val="00D12275"/>
    <w:rsid w:val="00D126EF"/>
    <w:rsid w:val="00D12766"/>
    <w:rsid w:val="00D13196"/>
    <w:rsid w:val="00D14699"/>
    <w:rsid w:val="00D14869"/>
    <w:rsid w:val="00D16E69"/>
    <w:rsid w:val="00D16EF1"/>
    <w:rsid w:val="00D16F79"/>
    <w:rsid w:val="00D17ABF"/>
    <w:rsid w:val="00D17D2C"/>
    <w:rsid w:val="00D17EC3"/>
    <w:rsid w:val="00D20FF4"/>
    <w:rsid w:val="00D22BD9"/>
    <w:rsid w:val="00D2417D"/>
    <w:rsid w:val="00D24C1C"/>
    <w:rsid w:val="00D24D2C"/>
    <w:rsid w:val="00D255C6"/>
    <w:rsid w:val="00D25CCE"/>
    <w:rsid w:val="00D26ED4"/>
    <w:rsid w:val="00D32668"/>
    <w:rsid w:val="00D33616"/>
    <w:rsid w:val="00D35881"/>
    <w:rsid w:val="00D36317"/>
    <w:rsid w:val="00D36ED9"/>
    <w:rsid w:val="00D41823"/>
    <w:rsid w:val="00D43F1B"/>
    <w:rsid w:val="00D448CD"/>
    <w:rsid w:val="00D4784F"/>
    <w:rsid w:val="00D519B2"/>
    <w:rsid w:val="00D52E43"/>
    <w:rsid w:val="00D54BCE"/>
    <w:rsid w:val="00D62374"/>
    <w:rsid w:val="00D65367"/>
    <w:rsid w:val="00D657D7"/>
    <w:rsid w:val="00D667C2"/>
    <w:rsid w:val="00D70589"/>
    <w:rsid w:val="00D7290C"/>
    <w:rsid w:val="00D73BE2"/>
    <w:rsid w:val="00D741C9"/>
    <w:rsid w:val="00D76C6A"/>
    <w:rsid w:val="00D82A17"/>
    <w:rsid w:val="00D82DB6"/>
    <w:rsid w:val="00D83B61"/>
    <w:rsid w:val="00D84B7F"/>
    <w:rsid w:val="00D85362"/>
    <w:rsid w:val="00D8557B"/>
    <w:rsid w:val="00D87A9B"/>
    <w:rsid w:val="00D91858"/>
    <w:rsid w:val="00D9272B"/>
    <w:rsid w:val="00D92E5E"/>
    <w:rsid w:val="00D93D2D"/>
    <w:rsid w:val="00D948BC"/>
    <w:rsid w:val="00D97B62"/>
    <w:rsid w:val="00D97B9D"/>
    <w:rsid w:val="00DA0E01"/>
    <w:rsid w:val="00DA1A20"/>
    <w:rsid w:val="00DA34A8"/>
    <w:rsid w:val="00DA65DF"/>
    <w:rsid w:val="00DA6846"/>
    <w:rsid w:val="00DA6AC8"/>
    <w:rsid w:val="00DA6AF4"/>
    <w:rsid w:val="00DA7DA5"/>
    <w:rsid w:val="00DB0508"/>
    <w:rsid w:val="00DB073B"/>
    <w:rsid w:val="00DB0BC2"/>
    <w:rsid w:val="00DB3D01"/>
    <w:rsid w:val="00DB75F9"/>
    <w:rsid w:val="00DB78F0"/>
    <w:rsid w:val="00DC0CEA"/>
    <w:rsid w:val="00DC2E43"/>
    <w:rsid w:val="00DC4CBD"/>
    <w:rsid w:val="00DC5426"/>
    <w:rsid w:val="00DC62F3"/>
    <w:rsid w:val="00DC6D26"/>
    <w:rsid w:val="00DD095C"/>
    <w:rsid w:val="00DD0A0B"/>
    <w:rsid w:val="00DD1020"/>
    <w:rsid w:val="00DD1330"/>
    <w:rsid w:val="00DD2669"/>
    <w:rsid w:val="00DD2BEA"/>
    <w:rsid w:val="00DD4A2E"/>
    <w:rsid w:val="00DD4B3E"/>
    <w:rsid w:val="00DD6EC5"/>
    <w:rsid w:val="00DD708C"/>
    <w:rsid w:val="00DE0B83"/>
    <w:rsid w:val="00DE192E"/>
    <w:rsid w:val="00DE1A81"/>
    <w:rsid w:val="00DE1C13"/>
    <w:rsid w:val="00DE24E1"/>
    <w:rsid w:val="00DE2928"/>
    <w:rsid w:val="00DE4E10"/>
    <w:rsid w:val="00DE6D36"/>
    <w:rsid w:val="00DF1A6D"/>
    <w:rsid w:val="00DF2C9F"/>
    <w:rsid w:val="00DF528C"/>
    <w:rsid w:val="00DF5378"/>
    <w:rsid w:val="00DF6D1D"/>
    <w:rsid w:val="00DF7503"/>
    <w:rsid w:val="00E01FAD"/>
    <w:rsid w:val="00E02ABF"/>
    <w:rsid w:val="00E0453B"/>
    <w:rsid w:val="00E04AE0"/>
    <w:rsid w:val="00E06741"/>
    <w:rsid w:val="00E07E54"/>
    <w:rsid w:val="00E14995"/>
    <w:rsid w:val="00E179CD"/>
    <w:rsid w:val="00E17C9A"/>
    <w:rsid w:val="00E23D82"/>
    <w:rsid w:val="00E23E8D"/>
    <w:rsid w:val="00E2556C"/>
    <w:rsid w:val="00E2631B"/>
    <w:rsid w:val="00E2709B"/>
    <w:rsid w:val="00E317CE"/>
    <w:rsid w:val="00E32673"/>
    <w:rsid w:val="00E35755"/>
    <w:rsid w:val="00E35CF6"/>
    <w:rsid w:val="00E37F98"/>
    <w:rsid w:val="00E4165A"/>
    <w:rsid w:val="00E46559"/>
    <w:rsid w:val="00E465F4"/>
    <w:rsid w:val="00E47A98"/>
    <w:rsid w:val="00E503DC"/>
    <w:rsid w:val="00E50423"/>
    <w:rsid w:val="00E55F9E"/>
    <w:rsid w:val="00E5700C"/>
    <w:rsid w:val="00E5736A"/>
    <w:rsid w:val="00E61098"/>
    <w:rsid w:val="00E61116"/>
    <w:rsid w:val="00E6670C"/>
    <w:rsid w:val="00E667F2"/>
    <w:rsid w:val="00E776E8"/>
    <w:rsid w:val="00E80F14"/>
    <w:rsid w:val="00E80FE1"/>
    <w:rsid w:val="00E84102"/>
    <w:rsid w:val="00E9069A"/>
    <w:rsid w:val="00E916F3"/>
    <w:rsid w:val="00E9296E"/>
    <w:rsid w:val="00E92C1F"/>
    <w:rsid w:val="00E946E7"/>
    <w:rsid w:val="00E95D4B"/>
    <w:rsid w:val="00E971C4"/>
    <w:rsid w:val="00EA2A60"/>
    <w:rsid w:val="00EA3DAA"/>
    <w:rsid w:val="00EB0005"/>
    <w:rsid w:val="00EB199F"/>
    <w:rsid w:val="00EB1E78"/>
    <w:rsid w:val="00EC12B1"/>
    <w:rsid w:val="00EC23F7"/>
    <w:rsid w:val="00EC2B04"/>
    <w:rsid w:val="00EC48A5"/>
    <w:rsid w:val="00EC4BD8"/>
    <w:rsid w:val="00EC4FC6"/>
    <w:rsid w:val="00EC58D2"/>
    <w:rsid w:val="00EC63EB"/>
    <w:rsid w:val="00EC74EF"/>
    <w:rsid w:val="00ED412F"/>
    <w:rsid w:val="00ED5729"/>
    <w:rsid w:val="00EE0879"/>
    <w:rsid w:val="00EE0A58"/>
    <w:rsid w:val="00EE2BCD"/>
    <w:rsid w:val="00EE30BE"/>
    <w:rsid w:val="00EE46E6"/>
    <w:rsid w:val="00EF148B"/>
    <w:rsid w:val="00EF29F3"/>
    <w:rsid w:val="00EF36B2"/>
    <w:rsid w:val="00EF396D"/>
    <w:rsid w:val="00EF48B3"/>
    <w:rsid w:val="00EF4A77"/>
    <w:rsid w:val="00EF6727"/>
    <w:rsid w:val="00F007EA"/>
    <w:rsid w:val="00F00EDD"/>
    <w:rsid w:val="00F018F4"/>
    <w:rsid w:val="00F0256A"/>
    <w:rsid w:val="00F05E72"/>
    <w:rsid w:val="00F067DD"/>
    <w:rsid w:val="00F1246B"/>
    <w:rsid w:val="00F12AF2"/>
    <w:rsid w:val="00F13273"/>
    <w:rsid w:val="00F14836"/>
    <w:rsid w:val="00F15006"/>
    <w:rsid w:val="00F1654A"/>
    <w:rsid w:val="00F201EC"/>
    <w:rsid w:val="00F20754"/>
    <w:rsid w:val="00F208A9"/>
    <w:rsid w:val="00F22FE5"/>
    <w:rsid w:val="00F237FF"/>
    <w:rsid w:val="00F2552A"/>
    <w:rsid w:val="00F25B67"/>
    <w:rsid w:val="00F26111"/>
    <w:rsid w:val="00F30A4D"/>
    <w:rsid w:val="00F41AF1"/>
    <w:rsid w:val="00F41D75"/>
    <w:rsid w:val="00F41DF8"/>
    <w:rsid w:val="00F42BDA"/>
    <w:rsid w:val="00F452C7"/>
    <w:rsid w:val="00F45A52"/>
    <w:rsid w:val="00F45B3B"/>
    <w:rsid w:val="00F511E9"/>
    <w:rsid w:val="00F5139D"/>
    <w:rsid w:val="00F5158A"/>
    <w:rsid w:val="00F53ABD"/>
    <w:rsid w:val="00F5516C"/>
    <w:rsid w:val="00F55E53"/>
    <w:rsid w:val="00F56B06"/>
    <w:rsid w:val="00F613F1"/>
    <w:rsid w:val="00F62B53"/>
    <w:rsid w:val="00F63DAC"/>
    <w:rsid w:val="00F66191"/>
    <w:rsid w:val="00F66798"/>
    <w:rsid w:val="00F735E4"/>
    <w:rsid w:val="00F7454F"/>
    <w:rsid w:val="00F77988"/>
    <w:rsid w:val="00F77F48"/>
    <w:rsid w:val="00F8353E"/>
    <w:rsid w:val="00F846C7"/>
    <w:rsid w:val="00F8731A"/>
    <w:rsid w:val="00F9094C"/>
    <w:rsid w:val="00F9132F"/>
    <w:rsid w:val="00F91838"/>
    <w:rsid w:val="00F91B5E"/>
    <w:rsid w:val="00F929BF"/>
    <w:rsid w:val="00F92CBA"/>
    <w:rsid w:val="00F96372"/>
    <w:rsid w:val="00F96446"/>
    <w:rsid w:val="00F97C00"/>
    <w:rsid w:val="00FA01DB"/>
    <w:rsid w:val="00FA61EB"/>
    <w:rsid w:val="00FA6571"/>
    <w:rsid w:val="00FA7930"/>
    <w:rsid w:val="00FB0A67"/>
    <w:rsid w:val="00FB2199"/>
    <w:rsid w:val="00FB30F1"/>
    <w:rsid w:val="00FB53E7"/>
    <w:rsid w:val="00FB602F"/>
    <w:rsid w:val="00FB6C58"/>
    <w:rsid w:val="00FB71BD"/>
    <w:rsid w:val="00FC7713"/>
    <w:rsid w:val="00FD2672"/>
    <w:rsid w:val="00FD29B0"/>
    <w:rsid w:val="00FD2A8A"/>
    <w:rsid w:val="00FD4389"/>
    <w:rsid w:val="00FD4826"/>
    <w:rsid w:val="00FD578A"/>
    <w:rsid w:val="00FD78E1"/>
    <w:rsid w:val="00FE02F0"/>
    <w:rsid w:val="00FE1290"/>
    <w:rsid w:val="00FE429D"/>
    <w:rsid w:val="00FE73FF"/>
    <w:rsid w:val="00FE7BE7"/>
    <w:rsid w:val="00FF3847"/>
    <w:rsid w:val="00FF52EB"/>
    <w:rsid w:val="00FF6D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Pamatteksts1"/>
    <w:rsid w:val="00C511C7"/>
    <w:rPr>
      <w:spacing w:val="10"/>
      <w:sz w:val="24"/>
      <w:szCs w:val="24"/>
      <w:shd w:val="clear" w:color="auto" w:fill="FFFFFF"/>
    </w:rPr>
  </w:style>
  <w:style w:type="paragraph" w:customStyle="1" w:styleId="Pamatteksts1">
    <w:name w:val="Pamatteksts1"/>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character" w:styleId="Vietturateksts">
    <w:name w:val="Placeholder Text"/>
    <w:basedOn w:val="Noklusjumarindkopasfonts"/>
    <w:uiPriority w:val="99"/>
    <w:semiHidden/>
    <w:rsid w:val="009813D7"/>
    <w:rPr>
      <w:color w:val="808080"/>
    </w:rPr>
  </w:style>
  <w:style w:type="character" w:customStyle="1" w:styleId="spelle">
    <w:name w:val="spelle"/>
    <w:basedOn w:val="Noklusjumarindkopasfonts"/>
    <w:rsid w:val="00F5516C"/>
  </w:style>
  <w:style w:type="paragraph" w:styleId="Beiguvresteksts">
    <w:name w:val="endnote text"/>
    <w:basedOn w:val="Parastais"/>
    <w:link w:val="BeiguvrestekstsRakstz"/>
    <w:rsid w:val="00F15006"/>
    <w:rPr>
      <w:sz w:val="20"/>
      <w:szCs w:val="20"/>
    </w:rPr>
  </w:style>
  <w:style w:type="character" w:customStyle="1" w:styleId="BeiguvrestekstsRakstz">
    <w:name w:val="Beigu vēres teksts Rakstz."/>
    <w:basedOn w:val="Noklusjumarindkopasfonts"/>
    <w:link w:val="Beiguvresteksts"/>
    <w:rsid w:val="00F15006"/>
  </w:style>
  <w:style w:type="character" w:styleId="Beiguvresatsauce">
    <w:name w:val="endnote reference"/>
    <w:basedOn w:val="Noklusjumarindkopasfonts"/>
    <w:rsid w:val="00F150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aatkpe2">
    <w:name w:val="Body Text Indent 2"/>
    <w:basedOn w:val="Parast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Pamatteksts1"/>
    <w:rsid w:val="00C511C7"/>
    <w:rPr>
      <w:spacing w:val="10"/>
      <w:sz w:val="24"/>
      <w:szCs w:val="24"/>
      <w:shd w:val="clear" w:color="auto" w:fill="FFFFFF"/>
    </w:rPr>
  </w:style>
  <w:style w:type="paragraph" w:customStyle="1" w:styleId="Pamatteksts1">
    <w:name w:val="Pamatteksts1"/>
    <w:basedOn w:val="Parast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s"/>
    <w:link w:val="Bodytext5"/>
    <w:rsid w:val="00C511C7"/>
    <w:pPr>
      <w:shd w:val="clear" w:color="auto" w:fill="FFFFFF"/>
      <w:spacing w:line="0" w:lineRule="atLeast"/>
    </w:pPr>
    <w:rPr>
      <w:sz w:val="21"/>
      <w:szCs w:val="21"/>
    </w:rPr>
  </w:style>
  <w:style w:type="paragraph" w:customStyle="1" w:styleId="tv2131">
    <w:name w:val="tv2131"/>
    <w:basedOn w:val="Parast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character" w:styleId="Vietturateksts">
    <w:name w:val="Placeholder Text"/>
    <w:basedOn w:val="Noklusjumarindkopasfonts"/>
    <w:uiPriority w:val="99"/>
    <w:semiHidden/>
    <w:rsid w:val="009813D7"/>
    <w:rPr>
      <w:color w:val="808080"/>
    </w:rPr>
  </w:style>
  <w:style w:type="character" w:customStyle="1" w:styleId="spelle">
    <w:name w:val="spelle"/>
    <w:basedOn w:val="Noklusjumarindkopasfonts"/>
    <w:rsid w:val="00F5516C"/>
  </w:style>
  <w:style w:type="paragraph" w:styleId="Beiguvresteksts">
    <w:name w:val="endnote text"/>
    <w:basedOn w:val="Parasts"/>
    <w:link w:val="BeiguvrestekstsRakstz"/>
    <w:rsid w:val="00F15006"/>
    <w:rPr>
      <w:sz w:val="20"/>
      <w:szCs w:val="20"/>
    </w:rPr>
  </w:style>
  <w:style w:type="character" w:customStyle="1" w:styleId="BeiguvrestekstsRakstz">
    <w:name w:val="Beigu vēres teksts Rakstz."/>
    <w:basedOn w:val="Noklusjumarindkopasfonts"/>
    <w:link w:val="Beiguvresteksts"/>
    <w:rsid w:val="00F15006"/>
  </w:style>
  <w:style w:type="character" w:styleId="Beiguvresatsauce">
    <w:name w:val="endnote reference"/>
    <w:basedOn w:val="Noklusjumarindkopasfonts"/>
    <w:rsid w:val="00F15006"/>
    <w:rPr>
      <w:vertAlign w:val="superscript"/>
    </w:rPr>
  </w:style>
</w:styles>
</file>

<file path=word/webSettings.xml><?xml version="1.0" encoding="utf-8"?>
<w:webSettings xmlns:r="http://schemas.openxmlformats.org/officeDocument/2006/relationships" xmlns:w="http://schemas.openxmlformats.org/wordprocessingml/2006/main">
  <w:divs>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Gailite@nf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F395-FB97-40F6-B4A2-ACE027BD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7455</Characters>
  <Application>Microsoft Office Word</Application>
  <DocSecurity>4</DocSecurity>
  <Lines>62</Lines>
  <Paragraphs>16</Paragraphs>
  <ScaleCrop>false</ScaleCrop>
  <HeadingPairs>
    <vt:vector size="2" baseType="variant">
      <vt:variant>
        <vt:lpstr>Nosaukums</vt:lpstr>
      </vt:variant>
      <vt:variant>
        <vt:i4>1</vt:i4>
      </vt:variant>
    </vt:vector>
  </HeadingPairs>
  <TitlesOfParts>
    <vt:vector size="1" baseType="lpstr">
      <vt:lpstr>Ministru kabineta rīkojuma projekta„Par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8478</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finanšu līdzekļu piešķiršanu no valsts budžeta programmas „Līdzekļi neparedzētiem gadījumiem”” sākotnējās ietekmes novērtējuma ziņojums (anotācija)</dc:title>
  <dc:subject>KMAnot_100413_LNG_filmas</dc:subject>
  <dc:creator>I.Gailīte-Holmberga</dc:creator>
  <dc:description>Tālr. 67358870; Ilze.Gailite@nfc.gov.lv</dc:description>
  <cp:lastModifiedBy>Dzintra Rozīte</cp:lastModifiedBy>
  <cp:revision>2</cp:revision>
  <cp:lastPrinted>2013-03-14T10:23:00Z</cp:lastPrinted>
  <dcterms:created xsi:type="dcterms:W3CDTF">2013-04-12T07:17:00Z</dcterms:created>
  <dcterms:modified xsi:type="dcterms:W3CDTF">2013-04-12T07:17:00Z</dcterms:modified>
</cp:coreProperties>
</file>