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148" w:rsidRDefault="00507148" w:rsidP="00507148">
      <w:pPr>
        <w:jc w:val="center"/>
        <w:rPr>
          <w:b/>
          <w:sz w:val="28"/>
          <w:szCs w:val="28"/>
        </w:rPr>
      </w:pPr>
      <w:bookmarkStart w:id="0" w:name="OLE_LINK41"/>
      <w:bookmarkStart w:id="1" w:name="OLE_LINK42"/>
      <w:r w:rsidRPr="001D0A49">
        <w:rPr>
          <w:b/>
          <w:sz w:val="28"/>
          <w:szCs w:val="28"/>
        </w:rPr>
        <w:t>Mini</w:t>
      </w:r>
      <w:r>
        <w:rPr>
          <w:b/>
          <w:sz w:val="28"/>
          <w:szCs w:val="28"/>
        </w:rPr>
        <w:t>stru kabineta noteikumu projekta</w:t>
      </w:r>
      <w:r w:rsidRPr="001D0A49">
        <w:rPr>
          <w:b/>
          <w:sz w:val="28"/>
          <w:szCs w:val="28"/>
        </w:rPr>
        <w:t xml:space="preserve"> </w:t>
      </w:r>
    </w:p>
    <w:p w:rsidR="00507148" w:rsidRPr="00E06495" w:rsidRDefault="00507148" w:rsidP="00507148">
      <w:pPr>
        <w:shd w:val="clear" w:color="auto" w:fill="FFFFFF"/>
        <w:jc w:val="center"/>
        <w:rPr>
          <w:b/>
          <w:bCs/>
          <w:color w:val="000000"/>
          <w:sz w:val="28"/>
          <w:szCs w:val="28"/>
        </w:rPr>
      </w:pPr>
      <w:r>
        <w:rPr>
          <w:b/>
          <w:sz w:val="28"/>
          <w:szCs w:val="28"/>
        </w:rPr>
        <w:t>„Grozījums Ministru kabineta 2012</w:t>
      </w:r>
      <w:r w:rsidRPr="00B3052B">
        <w:rPr>
          <w:b/>
          <w:sz w:val="28"/>
          <w:szCs w:val="28"/>
        </w:rPr>
        <w:t xml:space="preserve">.gada </w:t>
      </w:r>
      <w:r>
        <w:rPr>
          <w:b/>
          <w:sz w:val="28"/>
          <w:szCs w:val="28"/>
        </w:rPr>
        <w:t xml:space="preserve">25.septembra noteikumos Nr.670 </w:t>
      </w:r>
      <w:r w:rsidRPr="00B3052B">
        <w:rPr>
          <w:b/>
          <w:sz w:val="28"/>
          <w:szCs w:val="28"/>
        </w:rPr>
        <w:t>„</w:t>
      </w:r>
      <w:r>
        <w:rPr>
          <w:b/>
          <w:bCs/>
          <w:color w:val="000000"/>
          <w:sz w:val="28"/>
          <w:szCs w:val="28"/>
        </w:rPr>
        <w:t>Kārtība, kādā pašvaldībām tiek aprēķināta un sadalīta valsts budžeta mērķdotācija māksliniecisko kolektīvu vadītāju darba samaksai un valsts sociālās apdrošināšanas obligātajām iemaksām</w:t>
      </w:r>
      <w:r w:rsidRPr="00B3052B">
        <w:rPr>
          <w:b/>
          <w:sz w:val="28"/>
          <w:szCs w:val="28"/>
        </w:rPr>
        <w:t>”</w:t>
      </w:r>
      <w:r>
        <w:rPr>
          <w:b/>
          <w:sz w:val="28"/>
          <w:szCs w:val="28"/>
        </w:rPr>
        <w:t>”</w:t>
      </w:r>
      <w:r>
        <w:rPr>
          <w:bCs/>
          <w:sz w:val="28"/>
          <w:szCs w:val="28"/>
        </w:rPr>
        <w:t xml:space="preserve"> </w:t>
      </w:r>
      <w:r w:rsidRPr="001D0A49">
        <w:rPr>
          <w:b/>
          <w:bCs/>
          <w:sz w:val="28"/>
          <w:szCs w:val="28"/>
        </w:rPr>
        <w:t>sākotnējās ietekmes novērtējuma ziņojums</w:t>
      </w:r>
      <w:r>
        <w:rPr>
          <w:b/>
          <w:sz w:val="28"/>
          <w:szCs w:val="28"/>
        </w:rPr>
        <w:t xml:space="preserve"> </w:t>
      </w:r>
      <w:r w:rsidRPr="001D0A49">
        <w:rPr>
          <w:b/>
          <w:bCs/>
          <w:sz w:val="28"/>
          <w:szCs w:val="28"/>
        </w:rPr>
        <w:t>(anotācija)</w:t>
      </w:r>
    </w:p>
    <w:bookmarkEnd w:id="0"/>
    <w:bookmarkEnd w:id="1"/>
    <w:p w:rsidR="00507148" w:rsidRPr="001D0A49" w:rsidRDefault="00507148" w:rsidP="00507148">
      <w:pPr>
        <w:pStyle w:val="naisc"/>
        <w:spacing w:before="0" w:after="0"/>
        <w:jc w:val="left"/>
        <w:rPr>
          <w:b/>
          <w:bCs/>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2976"/>
        <w:gridCol w:w="5684"/>
      </w:tblGrid>
      <w:tr w:rsidR="00507148" w:rsidRPr="001D0A49" w:rsidTr="00294099">
        <w:trPr>
          <w:trHeight w:val="535"/>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507148" w:rsidRPr="001D0A49" w:rsidRDefault="00507148" w:rsidP="00294099">
            <w:pPr>
              <w:spacing w:before="100" w:beforeAutospacing="1" w:after="100" w:afterAutospacing="1"/>
              <w:jc w:val="center"/>
              <w:rPr>
                <w:sz w:val="28"/>
                <w:szCs w:val="28"/>
              </w:rPr>
            </w:pPr>
            <w:bookmarkStart w:id="2" w:name="OLE_LINK3"/>
            <w:bookmarkStart w:id="3" w:name="OLE_LINK1"/>
            <w:bookmarkStart w:id="4" w:name="OLE_LINK2"/>
            <w:bookmarkStart w:id="5" w:name="OLE_LINK4"/>
            <w:r w:rsidRPr="001D0A49">
              <w:rPr>
                <w:b/>
                <w:bCs/>
                <w:sz w:val="28"/>
                <w:szCs w:val="28"/>
              </w:rPr>
              <w:t>I. Tiesību akta projekta izstrādes nepieciešamība</w:t>
            </w:r>
          </w:p>
        </w:tc>
      </w:tr>
      <w:tr w:rsidR="00507148" w:rsidRPr="001D0A49" w:rsidTr="00294099">
        <w:trPr>
          <w:trHeight w:val="2372"/>
          <w:tblCellSpacing w:w="0" w:type="dxa"/>
        </w:trPr>
        <w:tc>
          <w:tcPr>
            <w:tcW w:w="441" w:type="dxa"/>
            <w:tcBorders>
              <w:top w:val="outset" w:sz="6" w:space="0" w:color="auto"/>
              <w:left w:val="outset" w:sz="6" w:space="0" w:color="auto"/>
              <w:bottom w:val="outset" w:sz="6" w:space="0" w:color="auto"/>
              <w:right w:val="outset" w:sz="6" w:space="0" w:color="auto"/>
            </w:tcBorders>
          </w:tcPr>
          <w:p w:rsidR="00507148" w:rsidRPr="001D0A49" w:rsidRDefault="00507148" w:rsidP="00294099">
            <w:pPr>
              <w:spacing w:before="100" w:beforeAutospacing="1" w:after="100" w:afterAutospacing="1"/>
              <w:rPr>
                <w:sz w:val="28"/>
                <w:szCs w:val="28"/>
              </w:rPr>
            </w:pPr>
            <w:r w:rsidRPr="001D0A49">
              <w:rPr>
                <w:sz w:val="28"/>
                <w:szCs w:val="28"/>
              </w:rPr>
              <w:t> 1.</w:t>
            </w:r>
          </w:p>
        </w:tc>
        <w:tc>
          <w:tcPr>
            <w:tcW w:w="2976" w:type="dxa"/>
            <w:tcBorders>
              <w:top w:val="outset" w:sz="6" w:space="0" w:color="auto"/>
              <w:left w:val="outset" w:sz="6" w:space="0" w:color="auto"/>
              <w:bottom w:val="outset" w:sz="6" w:space="0" w:color="auto"/>
              <w:right w:val="outset" w:sz="6" w:space="0" w:color="auto"/>
            </w:tcBorders>
          </w:tcPr>
          <w:p w:rsidR="00507148" w:rsidRPr="001D0A49" w:rsidRDefault="00507148" w:rsidP="00294099">
            <w:pPr>
              <w:spacing w:before="100" w:beforeAutospacing="1" w:after="100" w:afterAutospacing="1"/>
              <w:rPr>
                <w:sz w:val="28"/>
                <w:szCs w:val="28"/>
              </w:rPr>
            </w:pPr>
            <w:r w:rsidRPr="001D0A49">
              <w:rPr>
                <w:sz w:val="28"/>
                <w:szCs w:val="28"/>
              </w:rPr>
              <w:t> Pamatojums</w:t>
            </w:r>
          </w:p>
        </w:tc>
        <w:tc>
          <w:tcPr>
            <w:tcW w:w="5684" w:type="dxa"/>
            <w:tcBorders>
              <w:top w:val="outset" w:sz="6" w:space="0" w:color="auto"/>
              <w:left w:val="outset" w:sz="6" w:space="0" w:color="auto"/>
              <w:bottom w:val="outset" w:sz="6" w:space="0" w:color="auto"/>
              <w:right w:val="outset" w:sz="6" w:space="0" w:color="auto"/>
            </w:tcBorders>
          </w:tcPr>
          <w:p w:rsidR="00507148" w:rsidRPr="005D01BF" w:rsidRDefault="00507148" w:rsidP="0099269B">
            <w:pPr>
              <w:ind w:left="127" w:right="57"/>
              <w:jc w:val="both"/>
              <w:rPr>
                <w:sz w:val="28"/>
                <w:szCs w:val="28"/>
              </w:rPr>
            </w:pPr>
            <w:r>
              <w:rPr>
                <w:sz w:val="28"/>
                <w:szCs w:val="28"/>
              </w:rPr>
              <w:t>Ministru kabineta noteikumu projekts „Grozījums Ministru kabineta 2012.gada 25.septembra noteikumos Nr.670 „Kārtība, kādā pašvaldībām tiek aprēķināta un sadalīta valsts budžeta mērķdotācija māksliniecisko kolektīvu vadītāju darba samaksai un valsts sociālās apdrošināšanas obligātajām iemaksām””</w:t>
            </w:r>
            <w:r w:rsidRPr="001D0A49">
              <w:rPr>
                <w:sz w:val="28"/>
                <w:szCs w:val="28"/>
              </w:rPr>
              <w:t xml:space="preserve"> (tu</w:t>
            </w:r>
            <w:r>
              <w:rPr>
                <w:sz w:val="28"/>
                <w:szCs w:val="28"/>
              </w:rPr>
              <w:t xml:space="preserve">rpmāk – </w:t>
            </w:r>
            <w:r w:rsidRPr="001D0A49">
              <w:rPr>
                <w:sz w:val="28"/>
                <w:szCs w:val="28"/>
              </w:rPr>
              <w:t>Projekts) izstrādāts</w:t>
            </w:r>
            <w:r>
              <w:rPr>
                <w:sz w:val="28"/>
                <w:szCs w:val="28"/>
              </w:rPr>
              <w:t>, pamatojoties uz Ministru kabineta noteikumu projektu „Latvijas Nacionālā kultūras centra nolikums”, kas paredz mainīt Kultūras ministrijas padotības iestādes „Kultūrizglītības un nemateriālā mantojuma centrs” nosaukumu.</w:t>
            </w:r>
          </w:p>
        </w:tc>
      </w:tr>
      <w:tr w:rsidR="00507148" w:rsidRPr="001D0A49" w:rsidTr="00294099">
        <w:trPr>
          <w:trHeight w:val="472"/>
          <w:tblCellSpacing w:w="0" w:type="dxa"/>
        </w:trPr>
        <w:tc>
          <w:tcPr>
            <w:tcW w:w="441" w:type="dxa"/>
            <w:tcBorders>
              <w:top w:val="outset" w:sz="6" w:space="0" w:color="auto"/>
              <w:left w:val="outset" w:sz="6" w:space="0" w:color="auto"/>
              <w:bottom w:val="outset" w:sz="6" w:space="0" w:color="auto"/>
              <w:right w:val="outset" w:sz="6" w:space="0" w:color="auto"/>
            </w:tcBorders>
          </w:tcPr>
          <w:p w:rsidR="00507148" w:rsidRPr="001D0A49" w:rsidRDefault="00507148" w:rsidP="00294099">
            <w:pPr>
              <w:spacing w:before="100" w:beforeAutospacing="1" w:after="100" w:afterAutospacing="1"/>
              <w:rPr>
                <w:sz w:val="28"/>
                <w:szCs w:val="28"/>
              </w:rPr>
            </w:pPr>
            <w:r w:rsidRPr="001D0A49">
              <w:rPr>
                <w:sz w:val="28"/>
                <w:szCs w:val="28"/>
              </w:rPr>
              <w:t> 2.</w:t>
            </w:r>
          </w:p>
        </w:tc>
        <w:tc>
          <w:tcPr>
            <w:tcW w:w="2976" w:type="dxa"/>
            <w:tcBorders>
              <w:top w:val="outset" w:sz="6" w:space="0" w:color="auto"/>
              <w:left w:val="outset" w:sz="6" w:space="0" w:color="auto"/>
              <w:bottom w:val="outset" w:sz="6" w:space="0" w:color="auto"/>
              <w:right w:val="outset" w:sz="6" w:space="0" w:color="auto"/>
            </w:tcBorders>
          </w:tcPr>
          <w:p w:rsidR="00507148" w:rsidRPr="001D0A49" w:rsidRDefault="00507148" w:rsidP="00294099">
            <w:pPr>
              <w:spacing w:before="100" w:beforeAutospacing="1" w:after="100" w:afterAutospacing="1"/>
              <w:rPr>
                <w:sz w:val="28"/>
                <w:szCs w:val="28"/>
              </w:rPr>
            </w:pPr>
            <w:r w:rsidRPr="001D0A49">
              <w:rPr>
                <w:sz w:val="28"/>
                <w:szCs w:val="28"/>
              </w:rPr>
              <w:t>Pašreizējā situācija un problēmas</w:t>
            </w:r>
          </w:p>
        </w:tc>
        <w:tc>
          <w:tcPr>
            <w:tcW w:w="5684" w:type="dxa"/>
            <w:tcBorders>
              <w:top w:val="outset" w:sz="6" w:space="0" w:color="auto"/>
              <w:left w:val="outset" w:sz="6" w:space="0" w:color="auto"/>
              <w:bottom w:val="outset" w:sz="6" w:space="0" w:color="auto"/>
              <w:right w:val="outset" w:sz="6" w:space="0" w:color="auto"/>
            </w:tcBorders>
          </w:tcPr>
          <w:p w:rsidR="00507148" w:rsidRPr="00883ADE" w:rsidRDefault="00507148" w:rsidP="0099269B">
            <w:pPr>
              <w:ind w:left="127" w:right="140"/>
              <w:contextualSpacing/>
              <w:jc w:val="both"/>
              <w:outlineLvl w:val="3"/>
              <w:rPr>
                <w:sz w:val="28"/>
                <w:szCs w:val="28"/>
              </w:rPr>
            </w:pPr>
            <w:r>
              <w:rPr>
                <w:sz w:val="28"/>
                <w:szCs w:val="28"/>
              </w:rPr>
              <w:t>Ministru kabineta noteikumu projekts „Latvijas Nacionālā kultūras centra nolikums” paredz mainīt Kultūras ministrijas padotības iestādes „Kultūrizglītības un nemateriālā mantojuma centrs” (turpmāk – Centrs)</w:t>
            </w:r>
            <w:r w:rsidRPr="001D0A49">
              <w:rPr>
                <w:sz w:val="28"/>
                <w:szCs w:val="28"/>
              </w:rPr>
              <w:t xml:space="preserve"> </w:t>
            </w:r>
            <w:r>
              <w:rPr>
                <w:sz w:val="28"/>
                <w:szCs w:val="28"/>
              </w:rPr>
              <w:t xml:space="preserve">nosaukumu un pārdēvēt valsts </w:t>
            </w:r>
            <w:r w:rsidRPr="008B56CE">
              <w:rPr>
                <w:sz w:val="28"/>
                <w:szCs w:val="28"/>
              </w:rPr>
              <w:t>t</w:t>
            </w:r>
            <w:r>
              <w:rPr>
                <w:sz w:val="28"/>
                <w:szCs w:val="28"/>
              </w:rPr>
              <w:t>iešās pārvaldes iestādi</w:t>
            </w:r>
            <w:r w:rsidRPr="001D0A49">
              <w:rPr>
                <w:sz w:val="28"/>
                <w:szCs w:val="28"/>
              </w:rPr>
              <w:t xml:space="preserve"> </w:t>
            </w:r>
            <w:r>
              <w:rPr>
                <w:sz w:val="28"/>
                <w:szCs w:val="28"/>
              </w:rPr>
              <w:t>par</w:t>
            </w:r>
            <w:r w:rsidRPr="001D0A49">
              <w:rPr>
                <w:sz w:val="28"/>
                <w:szCs w:val="28"/>
              </w:rPr>
              <w:t xml:space="preserve"> </w:t>
            </w:r>
            <w:r>
              <w:rPr>
                <w:sz w:val="28"/>
                <w:szCs w:val="28"/>
              </w:rPr>
              <w:t>Latvijas Nacionālo kultūras centru. Ņemot vērā nosaukuma maiņu. ir noteikts attiecīgs precizējums Projektā.</w:t>
            </w:r>
          </w:p>
          <w:p w:rsidR="00507148" w:rsidRPr="00AA732B" w:rsidRDefault="00507148" w:rsidP="00294099">
            <w:pPr>
              <w:ind w:left="127" w:right="140" w:firstLine="425"/>
              <w:jc w:val="both"/>
              <w:rPr>
                <w:bCs/>
                <w:sz w:val="28"/>
                <w:szCs w:val="28"/>
              </w:rPr>
            </w:pPr>
            <w:r>
              <w:rPr>
                <w:sz w:val="28"/>
                <w:szCs w:val="28"/>
              </w:rPr>
              <w:t xml:space="preserve">Centra nosaukuma maiņa ir pamatojama ar to, ka Centrs ir konstatējis, ka </w:t>
            </w:r>
            <w:r>
              <w:rPr>
                <w:bCs/>
                <w:sz w:val="28"/>
                <w:szCs w:val="28"/>
              </w:rPr>
              <w:t>C</w:t>
            </w:r>
            <w:r w:rsidRPr="001D0A49">
              <w:rPr>
                <w:bCs/>
                <w:sz w:val="28"/>
                <w:szCs w:val="28"/>
              </w:rPr>
              <w:t>entra partneriem, mērķauditorijai un atbalstītājiem</w:t>
            </w:r>
            <w:r>
              <w:rPr>
                <w:bCs/>
                <w:sz w:val="28"/>
                <w:szCs w:val="28"/>
              </w:rPr>
              <w:t xml:space="preserve"> ir grūti atcerēties C</w:t>
            </w:r>
            <w:r w:rsidRPr="001D0A49">
              <w:rPr>
                <w:bCs/>
                <w:sz w:val="28"/>
                <w:szCs w:val="28"/>
              </w:rPr>
              <w:t>entra</w:t>
            </w:r>
            <w:r>
              <w:rPr>
                <w:bCs/>
                <w:sz w:val="28"/>
                <w:szCs w:val="28"/>
              </w:rPr>
              <w:t xml:space="preserve"> nosaukumu</w:t>
            </w:r>
            <w:r w:rsidRPr="001D0A49">
              <w:rPr>
                <w:bCs/>
                <w:sz w:val="28"/>
                <w:szCs w:val="28"/>
              </w:rPr>
              <w:t>, kā rezultātā publiskajos pasā</w:t>
            </w:r>
            <w:r>
              <w:rPr>
                <w:bCs/>
                <w:sz w:val="28"/>
                <w:szCs w:val="28"/>
              </w:rPr>
              <w:t>kumos un plašsaziņas līdzekļos C</w:t>
            </w:r>
            <w:r w:rsidRPr="001D0A49">
              <w:rPr>
                <w:bCs/>
                <w:sz w:val="28"/>
                <w:szCs w:val="28"/>
              </w:rPr>
              <w:t>entra nosaukums regu</w:t>
            </w:r>
            <w:r>
              <w:rPr>
                <w:bCs/>
                <w:sz w:val="28"/>
                <w:szCs w:val="28"/>
              </w:rPr>
              <w:t>lāri tiek atspoguļots nepareizi, bet sabiedrībā joprojām plaši turpina lietot kādreizējo centra nosaukumu „Tautas mākslas centrs”. Tāpat s</w:t>
            </w:r>
            <w:r w:rsidRPr="00494977">
              <w:rPr>
                <w:bCs/>
                <w:sz w:val="28"/>
                <w:szCs w:val="28"/>
              </w:rPr>
              <w:t>askaņā ar vairāku zīmolvedības ek</w:t>
            </w:r>
            <w:r>
              <w:rPr>
                <w:bCs/>
                <w:sz w:val="28"/>
                <w:szCs w:val="28"/>
              </w:rPr>
              <w:t>spertu viedokli šāds sarežģīts C</w:t>
            </w:r>
            <w:r w:rsidRPr="00494977">
              <w:rPr>
                <w:bCs/>
                <w:sz w:val="28"/>
                <w:szCs w:val="28"/>
              </w:rPr>
              <w:t xml:space="preserve">entra nosaukums ir neatbilstošs iestādei, kas </w:t>
            </w:r>
            <w:r w:rsidRPr="00494977">
              <w:rPr>
                <w:bCs/>
                <w:sz w:val="28"/>
                <w:szCs w:val="28"/>
              </w:rPr>
              <w:lastRenderedPageBreak/>
              <w:t xml:space="preserve">piedāvā regulārus starptautiskas un nacionālas nozīmes </w:t>
            </w:r>
            <w:r>
              <w:rPr>
                <w:bCs/>
                <w:sz w:val="28"/>
                <w:szCs w:val="28"/>
              </w:rPr>
              <w:t xml:space="preserve">publiskus </w:t>
            </w:r>
            <w:r w:rsidRPr="00494977">
              <w:rPr>
                <w:bCs/>
                <w:sz w:val="28"/>
                <w:szCs w:val="28"/>
              </w:rPr>
              <w:t xml:space="preserve">pasākumus, </w:t>
            </w:r>
            <w:r>
              <w:rPr>
                <w:bCs/>
                <w:sz w:val="28"/>
                <w:szCs w:val="28"/>
              </w:rPr>
              <w:t>t.sk. rīko Vispārējos latviešu D</w:t>
            </w:r>
            <w:r w:rsidRPr="00494977">
              <w:rPr>
                <w:bCs/>
                <w:sz w:val="28"/>
                <w:szCs w:val="28"/>
              </w:rPr>
              <w:t>ziesmu un deju svētkus.</w:t>
            </w:r>
            <w:r>
              <w:rPr>
                <w:bCs/>
                <w:sz w:val="28"/>
                <w:szCs w:val="28"/>
              </w:rPr>
              <w:t xml:space="preserve"> </w:t>
            </w:r>
            <w:r w:rsidRPr="001D0A49">
              <w:rPr>
                <w:bCs/>
                <w:sz w:val="28"/>
                <w:szCs w:val="28"/>
              </w:rPr>
              <w:t xml:space="preserve">Centra kompetencē esošā </w:t>
            </w:r>
            <w:r w:rsidRPr="001D0A49">
              <w:rPr>
                <w:sz w:val="28"/>
                <w:szCs w:val="28"/>
              </w:rPr>
              <w:t>Dziesmu un deju svētku tradīcija</w:t>
            </w:r>
            <w:r>
              <w:rPr>
                <w:sz w:val="28"/>
                <w:szCs w:val="28"/>
              </w:rPr>
              <w:t xml:space="preserve"> un ar to saistītās tautas mākslas jomas</w:t>
            </w:r>
            <w:r w:rsidRPr="001D0A49">
              <w:rPr>
                <w:sz w:val="28"/>
                <w:szCs w:val="28"/>
              </w:rPr>
              <w:t xml:space="preserve">, </w:t>
            </w:r>
            <w:r>
              <w:rPr>
                <w:sz w:val="28"/>
                <w:szCs w:val="28"/>
              </w:rPr>
              <w:t xml:space="preserve">nemateriālais kultūras mantojums, </w:t>
            </w:r>
            <w:r w:rsidRPr="001D0A49">
              <w:rPr>
                <w:sz w:val="28"/>
                <w:szCs w:val="28"/>
              </w:rPr>
              <w:t>kā arī kultūr</w:t>
            </w:r>
            <w:r>
              <w:rPr>
                <w:sz w:val="28"/>
                <w:szCs w:val="28"/>
              </w:rPr>
              <w:t xml:space="preserve">as un radošo industriju </w:t>
            </w:r>
            <w:r w:rsidRPr="001D0A49">
              <w:rPr>
                <w:sz w:val="28"/>
                <w:szCs w:val="28"/>
              </w:rPr>
              <w:t xml:space="preserve">izglītība ir nozīmīgi elementi Latvijas kultūras identitātes un Latvijas valsts tēla veidošanā. Nosaukums </w:t>
            </w:r>
            <w:r>
              <w:rPr>
                <w:sz w:val="28"/>
                <w:szCs w:val="28"/>
              </w:rPr>
              <w:t xml:space="preserve">„Latvijas Nacionālais kultūras centrs” </w:t>
            </w:r>
            <w:r w:rsidRPr="00BB0015">
              <w:rPr>
                <w:sz w:val="28"/>
                <w:szCs w:val="28"/>
              </w:rPr>
              <w:t>atspoguļo procesu, kurā kultūras mantojums un laikmetīgā kultū</w:t>
            </w:r>
            <w:r>
              <w:rPr>
                <w:sz w:val="28"/>
                <w:szCs w:val="28"/>
              </w:rPr>
              <w:t xml:space="preserve">ra atrodas radošā mijiedarbē un, </w:t>
            </w:r>
            <w:r w:rsidRPr="00BB0015">
              <w:rPr>
                <w:sz w:val="28"/>
                <w:szCs w:val="28"/>
              </w:rPr>
              <w:t xml:space="preserve">kur kultūras mantojums un tradīcijas kalpo kā avots jaunradei un mūsdienīgas Latvijas identitātes veidošanai. </w:t>
            </w:r>
          </w:p>
        </w:tc>
      </w:tr>
      <w:tr w:rsidR="00507148" w:rsidRPr="001D0A49" w:rsidTr="00294099">
        <w:trPr>
          <w:trHeight w:val="688"/>
          <w:tblCellSpacing w:w="0" w:type="dxa"/>
        </w:trPr>
        <w:tc>
          <w:tcPr>
            <w:tcW w:w="441" w:type="dxa"/>
            <w:tcBorders>
              <w:top w:val="outset" w:sz="6" w:space="0" w:color="auto"/>
              <w:left w:val="outset" w:sz="6" w:space="0" w:color="auto"/>
              <w:bottom w:val="outset" w:sz="6" w:space="0" w:color="auto"/>
              <w:right w:val="outset" w:sz="6" w:space="0" w:color="auto"/>
            </w:tcBorders>
          </w:tcPr>
          <w:p w:rsidR="00507148" w:rsidRPr="001D0A49" w:rsidRDefault="00507148" w:rsidP="00294099">
            <w:pPr>
              <w:spacing w:before="100" w:beforeAutospacing="1" w:after="100" w:afterAutospacing="1"/>
              <w:rPr>
                <w:sz w:val="28"/>
                <w:szCs w:val="28"/>
              </w:rPr>
            </w:pPr>
            <w:r w:rsidRPr="001D0A49">
              <w:rPr>
                <w:sz w:val="28"/>
                <w:szCs w:val="28"/>
              </w:rPr>
              <w:lastRenderedPageBreak/>
              <w:t> 3.</w:t>
            </w:r>
          </w:p>
        </w:tc>
        <w:tc>
          <w:tcPr>
            <w:tcW w:w="2976" w:type="dxa"/>
            <w:tcBorders>
              <w:top w:val="outset" w:sz="6" w:space="0" w:color="auto"/>
              <w:left w:val="outset" w:sz="6" w:space="0" w:color="auto"/>
              <w:bottom w:val="outset" w:sz="6" w:space="0" w:color="auto"/>
              <w:right w:val="outset" w:sz="6" w:space="0" w:color="auto"/>
            </w:tcBorders>
          </w:tcPr>
          <w:p w:rsidR="00507148" w:rsidRPr="001D0A49" w:rsidRDefault="00507148" w:rsidP="00294099">
            <w:pPr>
              <w:spacing w:before="100" w:beforeAutospacing="1" w:after="100" w:afterAutospacing="1"/>
              <w:rPr>
                <w:sz w:val="28"/>
                <w:szCs w:val="28"/>
              </w:rPr>
            </w:pPr>
            <w:r w:rsidRPr="001D0A49">
              <w:rPr>
                <w:sz w:val="28"/>
                <w:szCs w:val="28"/>
              </w:rPr>
              <w:t>Saistītie politikas ietekmes novērtējumi un pētījumi</w:t>
            </w:r>
          </w:p>
        </w:tc>
        <w:tc>
          <w:tcPr>
            <w:tcW w:w="5684" w:type="dxa"/>
            <w:tcBorders>
              <w:top w:val="outset" w:sz="6" w:space="0" w:color="auto"/>
              <w:left w:val="outset" w:sz="6" w:space="0" w:color="auto"/>
              <w:bottom w:val="outset" w:sz="6" w:space="0" w:color="auto"/>
              <w:right w:val="outset" w:sz="6" w:space="0" w:color="auto"/>
            </w:tcBorders>
          </w:tcPr>
          <w:p w:rsidR="00507148" w:rsidRPr="001D0A49" w:rsidRDefault="00507148" w:rsidP="00932E0F">
            <w:pPr>
              <w:ind w:left="127" w:right="57"/>
              <w:rPr>
                <w:sz w:val="28"/>
                <w:szCs w:val="28"/>
              </w:rPr>
            </w:pPr>
            <w:r>
              <w:rPr>
                <w:sz w:val="28"/>
                <w:szCs w:val="28"/>
              </w:rPr>
              <w:t>Projekts šo jomu neskar.</w:t>
            </w:r>
          </w:p>
        </w:tc>
      </w:tr>
      <w:tr w:rsidR="00507148" w:rsidRPr="001D0A49" w:rsidTr="00294099">
        <w:trPr>
          <w:trHeight w:val="384"/>
          <w:tblCellSpacing w:w="0" w:type="dxa"/>
        </w:trPr>
        <w:tc>
          <w:tcPr>
            <w:tcW w:w="441" w:type="dxa"/>
            <w:tcBorders>
              <w:top w:val="outset" w:sz="6" w:space="0" w:color="auto"/>
              <w:left w:val="outset" w:sz="6" w:space="0" w:color="auto"/>
              <w:bottom w:val="outset" w:sz="6" w:space="0" w:color="auto"/>
              <w:right w:val="outset" w:sz="6" w:space="0" w:color="auto"/>
            </w:tcBorders>
          </w:tcPr>
          <w:p w:rsidR="00507148" w:rsidRPr="001D0A49" w:rsidRDefault="00507148" w:rsidP="00294099">
            <w:pPr>
              <w:spacing w:before="100" w:beforeAutospacing="1" w:after="100" w:afterAutospacing="1"/>
              <w:rPr>
                <w:sz w:val="28"/>
                <w:szCs w:val="28"/>
              </w:rPr>
            </w:pPr>
            <w:r w:rsidRPr="001D0A49">
              <w:rPr>
                <w:sz w:val="28"/>
                <w:szCs w:val="28"/>
              </w:rPr>
              <w:t> 4.</w:t>
            </w:r>
          </w:p>
        </w:tc>
        <w:tc>
          <w:tcPr>
            <w:tcW w:w="2976" w:type="dxa"/>
            <w:tcBorders>
              <w:top w:val="outset" w:sz="6" w:space="0" w:color="auto"/>
              <w:left w:val="outset" w:sz="6" w:space="0" w:color="auto"/>
              <w:bottom w:val="outset" w:sz="6" w:space="0" w:color="auto"/>
              <w:right w:val="outset" w:sz="6" w:space="0" w:color="auto"/>
            </w:tcBorders>
          </w:tcPr>
          <w:p w:rsidR="00507148" w:rsidRPr="001D0A49" w:rsidRDefault="00507148" w:rsidP="00294099">
            <w:pPr>
              <w:spacing w:before="100" w:beforeAutospacing="1" w:after="100" w:afterAutospacing="1"/>
              <w:rPr>
                <w:sz w:val="28"/>
                <w:szCs w:val="28"/>
              </w:rPr>
            </w:pPr>
            <w:r w:rsidRPr="001D0A49">
              <w:rPr>
                <w:sz w:val="28"/>
                <w:szCs w:val="28"/>
              </w:rPr>
              <w:t>Tiesiskā regulējuma mērķis un būtība</w:t>
            </w:r>
          </w:p>
        </w:tc>
        <w:tc>
          <w:tcPr>
            <w:tcW w:w="5684" w:type="dxa"/>
            <w:tcBorders>
              <w:top w:val="outset" w:sz="6" w:space="0" w:color="auto"/>
              <w:left w:val="outset" w:sz="6" w:space="0" w:color="auto"/>
              <w:bottom w:val="outset" w:sz="6" w:space="0" w:color="auto"/>
              <w:right w:val="outset" w:sz="6" w:space="0" w:color="auto"/>
            </w:tcBorders>
          </w:tcPr>
          <w:p w:rsidR="00507148" w:rsidRPr="001D0A49" w:rsidRDefault="00507148" w:rsidP="00932E0F">
            <w:pPr>
              <w:ind w:left="127" w:right="140"/>
              <w:jc w:val="both"/>
              <w:rPr>
                <w:sz w:val="28"/>
                <w:szCs w:val="28"/>
              </w:rPr>
            </w:pPr>
            <w:r w:rsidRPr="00155882">
              <w:rPr>
                <w:sz w:val="28"/>
                <w:szCs w:val="28"/>
              </w:rPr>
              <w:t>Projekts sagatavots, lai</w:t>
            </w:r>
            <w:r>
              <w:rPr>
                <w:sz w:val="28"/>
                <w:szCs w:val="28"/>
              </w:rPr>
              <w:t xml:space="preserve"> atbilstoši mainītu Kultūras ministrijas padotības iestādes „Kultūrizglītības un nemateriālā mantojuma centrs” nosaukumu.</w:t>
            </w:r>
            <w:r w:rsidRPr="001D0A49">
              <w:rPr>
                <w:sz w:val="28"/>
                <w:szCs w:val="28"/>
              </w:rPr>
              <w:t xml:space="preserve"> </w:t>
            </w:r>
          </w:p>
        </w:tc>
      </w:tr>
      <w:tr w:rsidR="00507148" w:rsidRPr="001D0A49" w:rsidTr="00294099">
        <w:trPr>
          <w:trHeight w:val="476"/>
          <w:tblCellSpacing w:w="0" w:type="dxa"/>
        </w:trPr>
        <w:tc>
          <w:tcPr>
            <w:tcW w:w="441" w:type="dxa"/>
            <w:tcBorders>
              <w:top w:val="outset" w:sz="6" w:space="0" w:color="auto"/>
              <w:left w:val="outset" w:sz="6" w:space="0" w:color="auto"/>
              <w:bottom w:val="outset" w:sz="6" w:space="0" w:color="auto"/>
              <w:right w:val="outset" w:sz="6" w:space="0" w:color="auto"/>
            </w:tcBorders>
          </w:tcPr>
          <w:p w:rsidR="00507148" w:rsidRPr="001D0A49" w:rsidRDefault="00507148" w:rsidP="00294099">
            <w:pPr>
              <w:spacing w:before="100" w:beforeAutospacing="1" w:after="100" w:afterAutospacing="1"/>
              <w:rPr>
                <w:sz w:val="28"/>
                <w:szCs w:val="28"/>
              </w:rPr>
            </w:pPr>
            <w:r w:rsidRPr="001D0A49">
              <w:rPr>
                <w:sz w:val="28"/>
                <w:szCs w:val="28"/>
              </w:rPr>
              <w:t> 5.</w:t>
            </w:r>
          </w:p>
        </w:tc>
        <w:tc>
          <w:tcPr>
            <w:tcW w:w="2976" w:type="dxa"/>
            <w:tcBorders>
              <w:top w:val="outset" w:sz="6" w:space="0" w:color="auto"/>
              <w:left w:val="outset" w:sz="6" w:space="0" w:color="auto"/>
              <w:bottom w:val="outset" w:sz="6" w:space="0" w:color="auto"/>
              <w:right w:val="outset" w:sz="6" w:space="0" w:color="auto"/>
            </w:tcBorders>
          </w:tcPr>
          <w:p w:rsidR="00507148" w:rsidRPr="001D0A49" w:rsidRDefault="00507148" w:rsidP="00294099">
            <w:pPr>
              <w:spacing w:before="100" w:beforeAutospacing="1" w:after="100" w:afterAutospacing="1"/>
              <w:rPr>
                <w:sz w:val="28"/>
                <w:szCs w:val="28"/>
              </w:rPr>
            </w:pPr>
            <w:r w:rsidRPr="001D0A49">
              <w:rPr>
                <w:sz w:val="28"/>
                <w:szCs w:val="28"/>
              </w:rPr>
              <w:t>Projekta izstrādē iesaistītās institūcijas</w:t>
            </w:r>
          </w:p>
        </w:tc>
        <w:tc>
          <w:tcPr>
            <w:tcW w:w="5684" w:type="dxa"/>
            <w:tcBorders>
              <w:top w:val="outset" w:sz="6" w:space="0" w:color="auto"/>
              <w:left w:val="outset" w:sz="6" w:space="0" w:color="auto"/>
              <w:bottom w:val="outset" w:sz="6" w:space="0" w:color="auto"/>
              <w:right w:val="outset" w:sz="6" w:space="0" w:color="auto"/>
            </w:tcBorders>
          </w:tcPr>
          <w:p w:rsidR="00507148" w:rsidRPr="001D0A49" w:rsidRDefault="00507148" w:rsidP="00932E0F">
            <w:pPr>
              <w:ind w:left="127" w:right="140"/>
              <w:jc w:val="both"/>
              <w:rPr>
                <w:sz w:val="28"/>
                <w:szCs w:val="28"/>
              </w:rPr>
            </w:pPr>
            <w:r w:rsidRPr="001D0A49">
              <w:rPr>
                <w:sz w:val="28"/>
                <w:szCs w:val="28"/>
              </w:rPr>
              <w:t xml:space="preserve">Kultūras ministrija, Kultūrizglītības un nemateriālā kultūras mantojuma centrs. </w:t>
            </w:r>
          </w:p>
        </w:tc>
      </w:tr>
      <w:tr w:rsidR="00507148" w:rsidRPr="001D0A49" w:rsidTr="00294099">
        <w:trPr>
          <w:trHeight w:val="681"/>
          <w:tblCellSpacing w:w="0" w:type="dxa"/>
        </w:trPr>
        <w:tc>
          <w:tcPr>
            <w:tcW w:w="441" w:type="dxa"/>
            <w:tcBorders>
              <w:top w:val="outset" w:sz="6" w:space="0" w:color="auto"/>
              <w:left w:val="outset" w:sz="6" w:space="0" w:color="auto"/>
              <w:bottom w:val="outset" w:sz="6" w:space="0" w:color="auto"/>
              <w:right w:val="outset" w:sz="6" w:space="0" w:color="auto"/>
            </w:tcBorders>
          </w:tcPr>
          <w:p w:rsidR="00507148" w:rsidRPr="001D0A49" w:rsidRDefault="00507148" w:rsidP="00294099">
            <w:pPr>
              <w:spacing w:before="100" w:beforeAutospacing="1" w:after="100" w:afterAutospacing="1"/>
              <w:rPr>
                <w:sz w:val="28"/>
                <w:szCs w:val="28"/>
              </w:rPr>
            </w:pPr>
            <w:r w:rsidRPr="001D0A49">
              <w:rPr>
                <w:sz w:val="28"/>
                <w:szCs w:val="28"/>
              </w:rPr>
              <w:t> 6.</w:t>
            </w:r>
          </w:p>
        </w:tc>
        <w:tc>
          <w:tcPr>
            <w:tcW w:w="2976" w:type="dxa"/>
            <w:tcBorders>
              <w:top w:val="outset" w:sz="6" w:space="0" w:color="auto"/>
              <w:left w:val="outset" w:sz="6" w:space="0" w:color="auto"/>
              <w:bottom w:val="outset" w:sz="6" w:space="0" w:color="auto"/>
              <w:right w:val="outset" w:sz="6" w:space="0" w:color="auto"/>
            </w:tcBorders>
          </w:tcPr>
          <w:p w:rsidR="00507148" w:rsidRPr="001D0A49" w:rsidRDefault="00507148" w:rsidP="00294099">
            <w:pPr>
              <w:spacing w:before="100" w:beforeAutospacing="1" w:after="100" w:afterAutospacing="1"/>
              <w:rPr>
                <w:sz w:val="28"/>
                <w:szCs w:val="28"/>
              </w:rPr>
            </w:pPr>
            <w:r w:rsidRPr="001D0A49">
              <w:rPr>
                <w:sz w:val="28"/>
                <w:szCs w:val="28"/>
              </w:rPr>
              <w:t>Iemesli, kādēļ netika nodrošināta sabiedrības līdzdalība</w:t>
            </w:r>
          </w:p>
        </w:tc>
        <w:tc>
          <w:tcPr>
            <w:tcW w:w="5684" w:type="dxa"/>
            <w:tcBorders>
              <w:top w:val="outset" w:sz="6" w:space="0" w:color="auto"/>
              <w:left w:val="outset" w:sz="6" w:space="0" w:color="auto"/>
              <w:bottom w:val="outset" w:sz="6" w:space="0" w:color="auto"/>
              <w:right w:val="outset" w:sz="6" w:space="0" w:color="auto"/>
            </w:tcBorders>
          </w:tcPr>
          <w:p w:rsidR="00507148" w:rsidRPr="001D0A49" w:rsidRDefault="00507148" w:rsidP="00294099">
            <w:pPr>
              <w:ind w:left="127" w:right="57"/>
              <w:jc w:val="both"/>
              <w:rPr>
                <w:sz w:val="28"/>
                <w:szCs w:val="28"/>
              </w:rPr>
            </w:pPr>
            <w:r>
              <w:rPr>
                <w:sz w:val="28"/>
                <w:szCs w:val="28"/>
              </w:rPr>
              <w:t>Projekts satur tehniskus grozījumus, līdz ar to netika nodrošināta sabiedrības līdzdalība Projekta izstrādē.</w:t>
            </w:r>
          </w:p>
        </w:tc>
      </w:tr>
      <w:tr w:rsidR="00507148" w:rsidRPr="001D0A49" w:rsidTr="00294099">
        <w:trPr>
          <w:trHeight w:val="506"/>
          <w:tblCellSpacing w:w="0" w:type="dxa"/>
        </w:trPr>
        <w:tc>
          <w:tcPr>
            <w:tcW w:w="441" w:type="dxa"/>
            <w:tcBorders>
              <w:top w:val="outset" w:sz="6" w:space="0" w:color="auto"/>
              <w:left w:val="outset" w:sz="6" w:space="0" w:color="auto"/>
              <w:bottom w:val="outset" w:sz="6" w:space="0" w:color="auto"/>
              <w:right w:val="outset" w:sz="6" w:space="0" w:color="auto"/>
            </w:tcBorders>
          </w:tcPr>
          <w:p w:rsidR="00507148" w:rsidRPr="001D0A49" w:rsidRDefault="00507148" w:rsidP="00294099">
            <w:pPr>
              <w:spacing w:before="100" w:beforeAutospacing="1" w:after="100" w:afterAutospacing="1"/>
              <w:rPr>
                <w:sz w:val="28"/>
                <w:szCs w:val="28"/>
              </w:rPr>
            </w:pPr>
            <w:r w:rsidRPr="001D0A49">
              <w:rPr>
                <w:sz w:val="28"/>
                <w:szCs w:val="28"/>
              </w:rPr>
              <w:t> 7.</w:t>
            </w:r>
          </w:p>
        </w:tc>
        <w:tc>
          <w:tcPr>
            <w:tcW w:w="2976" w:type="dxa"/>
            <w:tcBorders>
              <w:top w:val="outset" w:sz="6" w:space="0" w:color="auto"/>
              <w:left w:val="outset" w:sz="6" w:space="0" w:color="auto"/>
              <w:bottom w:val="outset" w:sz="6" w:space="0" w:color="auto"/>
              <w:right w:val="outset" w:sz="6" w:space="0" w:color="auto"/>
            </w:tcBorders>
          </w:tcPr>
          <w:p w:rsidR="00507148" w:rsidRPr="001D0A49" w:rsidRDefault="00507148" w:rsidP="00294099">
            <w:pPr>
              <w:spacing w:before="100" w:beforeAutospacing="1" w:after="100" w:afterAutospacing="1"/>
              <w:rPr>
                <w:sz w:val="28"/>
                <w:szCs w:val="28"/>
              </w:rPr>
            </w:pPr>
            <w:r w:rsidRPr="001D0A49">
              <w:rPr>
                <w:sz w:val="28"/>
                <w:szCs w:val="28"/>
              </w:rPr>
              <w:t>Cita informācija</w:t>
            </w:r>
          </w:p>
        </w:tc>
        <w:tc>
          <w:tcPr>
            <w:tcW w:w="5684" w:type="dxa"/>
            <w:tcBorders>
              <w:top w:val="outset" w:sz="6" w:space="0" w:color="auto"/>
              <w:left w:val="outset" w:sz="6" w:space="0" w:color="auto"/>
              <w:bottom w:val="outset" w:sz="6" w:space="0" w:color="auto"/>
              <w:right w:val="outset" w:sz="6" w:space="0" w:color="auto"/>
            </w:tcBorders>
          </w:tcPr>
          <w:p w:rsidR="00507148" w:rsidRPr="001D0A49" w:rsidRDefault="00507148" w:rsidP="00932E0F">
            <w:pPr>
              <w:ind w:left="127"/>
              <w:jc w:val="both"/>
              <w:rPr>
                <w:sz w:val="28"/>
                <w:szCs w:val="28"/>
              </w:rPr>
            </w:pPr>
            <w:r>
              <w:rPr>
                <w:sz w:val="28"/>
                <w:szCs w:val="28"/>
              </w:rPr>
              <w:t>Nav</w:t>
            </w:r>
          </w:p>
        </w:tc>
      </w:tr>
    </w:tbl>
    <w:p w:rsidR="00507148" w:rsidRPr="001D0A49" w:rsidRDefault="00507148" w:rsidP="00507148">
      <w:pPr>
        <w:jc w:val="both"/>
        <w:rPr>
          <w:sz w:val="28"/>
          <w:szCs w:val="28"/>
        </w:rPr>
      </w:pPr>
    </w:p>
    <w:p w:rsidR="00507148" w:rsidRDefault="00507148" w:rsidP="00507148">
      <w:pPr>
        <w:jc w:val="both"/>
        <w:rPr>
          <w:i/>
          <w:sz w:val="28"/>
          <w:szCs w:val="28"/>
        </w:rPr>
      </w:pPr>
      <w:r w:rsidRPr="001876FD">
        <w:rPr>
          <w:i/>
          <w:color w:val="000000"/>
          <w:sz w:val="28"/>
          <w:szCs w:val="28"/>
        </w:rPr>
        <w:t>Anotācijas</w:t>
      </w:r>
      <w:r>
        <w:rPr>
          <w:i/>
          <w:color w:val="000000"/>
          <w:sz w:val="28"/>
          <w:szCs w:val="28"/>
        </w:rPr>
        <w:t xml:space="preserve"> II,</w:t>
      </w:r>
      <w:r w:rsidRPr="001876FD">
        <w:rPr>
          <w:i/>
          <w:color w:val="000000"/>
          <w:sz w:val="28"/>
          <w:szCs w:val="28"/>
        </w:rPr>
        <w:t xml:space="preserve"> </w:t>
      </w:r>
      <w:r>
        <w:rPr>
          <w:i/>
          <w:color w:val="000000"/>
          <w:sz w:val="28"/>
          <w:szCs w:val="28"/>
        </w:rPr>
        <w:t xml:space="preserve">III, </w:t>
      </w:r>
      <w:r w:rsidRPr="001876FD">
        <w:rPr>
          <w:i/>
          <w:color w:val="000000"/>
          <w:sz w:val="28"/>
          <w:szCs w:val="28"/>
        </w:rPr>
        <w:t xml:space="preserve">V un VI sadaļa – </w:t>
      </w:r>
      <w:r w:rsidRPr="001876FD">
        <w:rPr>
          <w:i/>
          <w:sz w:val="28"/>
          <w:szCs w:val="28"/>
        </w:rPr>
        <w:t>projekts šīs jomas neskar.</w:t>
      </w:r>
    </w:p>
    <w:p w:rsidR="00507148" w:rsidRDefault="00507148" w:rsidP="00507148">
      <w:pPr>
        <w:jc w:val="both"/>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98"/>
        <w:gridCol w:w="3062"/>
        <w:gridCol w:w="5541"/>
      </w:tblGrid>
      <w:tr w:rsidR="00507148" w:rsidRPr="001D0A49" w:rsidTr="00294099">
        <w:trPr>
          <w:trHeight w:val="415"/>
          <w:tblCellSpacing w:w="0" w:type="dxa"/>
        </w:trPr>
        <w:tc>
          <w:tcPr>
            <w:tcW w:w="5000" w:type="pct"/>
            <w:gridSpan w:val="3"/>
            <w:tcBorders>
              <w:top w:val="outset" w:sz="6" w:space="0" w:color="auto"/>
              <w:left w:val="inset" w:sz="6" w:space="0" w:color="auto"/>
              <w:bottom w:val="outset" w:sz="6" w:space="0" w:color="auto"/>
            </w:tcBorders>
            <w:vAlign w:val="center"/>
          </w:tcPr>
          <w:p w:rsidR="00507148" w:rsidRPr="001D0A49" w:rsidRDefault="00507148" w:rsidP="00294099">
            <w:pPr>
              <w:pStyle w:val="naisnod"/>
              <w:jc w:val="center"/>
              <w:rPr>
                <w:b/>
                <w:sz w:val="28"/>
                <w:szCs w:val="28"/>
              </w:rPr>
            </w:pPr>
            <w:r w:rsidRPr="001D0A49">
              <w:rPr>
                <w:b/>
                <w:sz w:val="28"/>
                <w:szCs w:val="28"/>
              </w:rPr>
              <w:t>IV. Tiesību akta projekta ietekme uz spēkā esošo tiesību normu sistēm</w:t>
            </w:r>
            <w:r>
              <w:rPr>
                <w:b/>
                <w:sz w:val="28"/>
                <w:szCs w:val="28"/>
              </w:rPr>
              <w:t>u</w:t>
            </w:r>
          </w:p>
        </w:tc>
      </w:tr>
      <w:tr w:rsidR="00507148" w:rsidRPr="001D0A49" w:rsidTr="00294099">
        <w:trPr>
          <w:trHeight w:val="405"/>
          <w:tblCellSpacing w:w="0" w:type="dxa"/>
        </w:trPr>
        <w:tc>
          <w:tcPr>
            <w:tcW w:w="274" w:type="pct"/>
            <w:tcBorders>
              <w:top w:val="outset" w:sz="6" w:space="0" w:color="auto"/>
              <w:left w:val="inset" w:sz="6" w:space="0" w:color="auto"/>
              <w:bottom w:val="outset" w:sz="6" w:space="0" w:color="auto"/>
              <w:right w:val="outset" w:sz="6" w:space="0" w:color="auto"/>
            </w:tcBorders>
          </w:tcPr>
          <w:p w:rsidR="00507148" w:rsidRPr="001D0A49" w:rsidRDefault="00507148" w:rsidP="00294099">
            <w:pPr>
              <w:pStyle w:val="naiskr"/>
              <w:rPr>
                <w:sz w:val="28"/>
                <w:szCs w:val="28"/>
              </w:rPr>
            </w:pPr>
            <w:r w:rsidRPr="001D0A49">
              <w:rPr>
                <w:sz w:val="28"/>
                <w:szCs w:val="28"/>
              </w:rPr>
              <w:t>1.</w:t>
            </w:r>
          </w:p>
        </w:tc>
        <w:tc>
          <w:tcPr>
            <w:tcW w:w="1682" w:type="pct"/>
            <w:tcBorders>
              <w:top w:val="outset" w:sz="6" w:space="0" w:color="auto"/>
              <w:left w:val="outset" w:sz="6" w:space="0" w:color="auto"/>
              <w:bottom w:val="outset" w:sz="6" w:space="0" w:color="auto"/>
              <w:right w:val="outset" w:sz="6" w:space="0" w:color="auto"/>
            </w:tcBorders>
          </w:tcPr>
          <w:p w:rsidR="00507148" w:rsidRPr="001D0A49" w:rsidRDefault="00507148" w:rsidP="0099269B">
            <w:pPr>
              <w:pStyle w:val="naiskr"/>
              <w:ind w:left="69"/>
              <w:rPr>
                <w:sz w:val="28"/>
                <w:szCs w:val="28"/>
              </w:rPr>
            </w:pPr>
            <w:r w:rsidRPr="001D0A49">
              <w:rPr>
                <w:sz w:val="28"/>
                <w:szCs w:val="28"/>
              </w:rPr>
              <w:t>Nepieciešamie saistītie tiesību aktu projekti</w:t>
            </w:r>
          </w:p>
        </w:tc>
        <w:tc>
          <w:tcPr>
            <w:tcW w:w="3045" w:type="pct"/>
            <w:tcBorders>
              <w:top w:val="outset" w:sz="6" w:space="0" w:color="auto"/>
              <w:left w:val="outset" w:sz="6" w:space="0" w:color="auto"/>
              <w:bottom w:val="outset" w:sz="6" w:space="0" w:color="auto"/>
            </w:tcBorders>
          </w:tcPr>
          <w:p w:rsidR="00507148" w:rsidRPr="00B94C7A" w:rsidRDefault="0099269B" w:rsidP="0099269B">
            <w:pPr>
              <w:ind w:left="137" w:right="140"/>
              <w:contextualSpacing/>
              <w:jc w:val="both"/>
              <w:outlineLvl w:val="3"/>
              <w:rPr>
                <w:rFonts w:ascii="Verdana" w:hAnsi="Verdana"/>
                <w:b/>
                <w:bCs/>
                <w:sz w:val="28"/>
                <w:szCs w:val="28"/>
                <w:highlight w:val="yellow"/>
              </w:rPr>
            </w:pPr>
            <w:r>
              <w:rPr>
                <w:sz w:val="28"/>
                <w:szCs w:val="28"/>
              </w:rPr>
              <w:t>V</w:t>
            </w:r>
            <w:r w:rsidR="00507148" w:rsidRPr="0099269B">
              <w:rPr>
                <w:sz w:val="28"/>
                <w:szCs w:val="28"/>
              </w:rPr>
              <w:t xml:space="preserve">ienlaikus ar Projektu Ministru kabinetā </w:t>
            </w:r>
            <w:r>
              <w:rPr>
                <w:sz w:val="28"/>
                <w:szCs w:val="28"/>
              </w:rPr>
              <w:t>izskatāms</w:t>
            </w:r>
            <w:r w:rsidR="00507148" w:rsidRPr="0099269B">
              <w:rPr>
                <w:sz w:val="28"/>
                <w:szCs w:val="28"/>
              </w:rPr>
              <w:t xml:space="preserve"> Mini</w:t>
            </w:r>
            <w:r>
              <w:rPr>
                <w:sz w:val="28"/>
                <w:szCs w:val="28"/>
              </w:rPr>
              <w:t>stru kabineta noteikumu projekts</w:t>
            </w:r>
            <w:r w:rsidR="00507148" w:rsidRPr="0099269B">
              <w:rPr>
                <w:sz w:val="28"/>
                <w:szCs w:val="28"/>
              </w:rPr>
              <w:t xml:space="preserve"> „Latvijas Nacionālā kultūras centra nolikums” (VSS prot.Nr.11 7§</w:t>
            </w:r>
            <w:r w:rsidR="00932E0F" w:rsidRPr="0099269B">
              <w:rPr>
                <w:sz w:val="28"/>
                <w:szCs w:val="28"/>
              </w:rPr>
              <w:t xml:space="preserve">), </w:t>
            </w:r>
            <w:r w:rsidR="00507148" w:rsidRPr="0099269B">
              <w:rPr>
                <w:sz w:val="28"/>
                <w:szCs w:val="28"/>
              </w:rPr>
              <w:t xml:space="preserve">(VSS-288). </w:t>
            </w:r>
          </w:p>
        </w:tc>
      </w:tr>
      <w:tr w:rsidR="00507148" w:rsidRPr="001D0A49" w:rsidTr="00294099">
        <w:trPr>
          <w:trHeight w:val="450"/>
          <w:tblCellSpacing w:w="0" w:type="dxa"/>
        </w:trPr>
        <w:tc>
          <w:tcPr>
            <w:tcW w:w="274" w:type="pct"/>
            <w:tcBorders>
              <w:top w:val="outset" w:sz="6" w:space="0" w:color="auto"/>
              <w:left w:val="inset" w:sz="6" w:space="0" w:color="auto"/>
              <w:bottom w:val="outset" w:sz="6" w:space="0" w:color="auto"/>
              <w:right w:val="outset" w:sz="6" w:space="0" w:color="auto"/>
            </w:tcBorders>
          </w:tcPr>
          <w:p w:rsidR="00507148" w:rsidRPr="001D0A49" w:rsidRDefault="00507148" w:rsidP="00294099">
            <w:pPr>
              <w:pStyle w:val="naiskr"/>
              <w:rPr>
                <w:sz w:val="28"/>
                <w:szCs w:val="28"/>
              </w:rPr>
            </w:pPr>
            <w:r w:rsidRPr="001D0A49">
              <w:rPr>
                <w:sz w:val="28"/>
                <w:szCs w:val="28"/>
              </w:rPr>
              <w:t> 2.</w:t>
            </w:r>
          </w:p>
        </w:tc>
        <w:tc>
          <w:tcPr>
            <w:tcW w:w="1682" w:type="pct"/>
            <w:tcBorders>
              <w:top w:val="outset" w:sz="6" w:space="0" w:color="auto"/>
              <w:left w:val="outset" w:sz="6" w:space="0" w:color="auto"/>
              <w:bottom w:val="outset" w:sz="6" w:space="0" w:color="auto"/>
              <w:right w:val="outset" w:sz="6" w:space="0" w:color="auto"/>
            </w:tcBorders>
          </w:tcPr>
          <w:p w:rsidR="00507148" w:rsidRPr="001D0A49" w:rsidRDefault="00507148" w:rsidP="00294099">
            <w:pPr>
              <w:pStyle w:val="naiskr"/>
              <w:rPr>
                <w:sz w:val="28"/>
                <w:szCs w:val="28"/>
              </w:rPr>
            </w:pPr>
            <w:r w:rsidRPr="001D0A49">
              <w:rPr>
                <w:sz w:val="28"/>
                <w:szCs w:val="28"/>
              </w:rPr>
              <w:t> Cita informācija</w:t>
            </w:r>
          </w:p>
        </w:tc>
        <w:tc>
          <w:tcPr>
            <w:tcW w:w="3045" w:type="pct"/>
            <w:tcBorders>
              <w:top w:val="outset" w:sz="6" w:space="0" w:color="auto"/>
              <w:left w:val="outset" w:sz="6" w:space="0" w:color="auto"/>
              <w:bottom w:val="outset" w:sz="6" w:space="0" w:color="auto"/>
            </w:tcBorders>
          </w:tcPr>
          <w:p w:rsidR="00507148" w:rsidRDefault="00507148" w:rsidP="00932E0F">
            <w:pPr>
              <w:ind w:left="126" w:right="140"/>
              <w:jc w:val="both"/>
              <w:rPr>
                <w:sz w:val="28"/>
                <w:szCs w:val="28"/>
              </w:rPr>
            </w:pPr>
            <w:r>
              <w:rPr>
                <w:sz w:val="28"/>
                <w:szCs w:val="28"/>
              </w:rPr>
              <w:t>Vienlaikus ar Ministru kabineta noteikumu projektu „Latvijas Nacionālā kultūras centra nolikums” (VSS prot.Nr.11 7</w:t>
            </w:r>
            <w:r w:rsidRPr="00D44AB2">
              <w:rPr>
                <w:sz w:val="28"/>
                <w:szCs w:val="28"/>
              </w:rPr>
              <w:t>§</w:t>
            </w:r>
            <w:r w:rsidR="00932E0F">
              <w:rPr>
                <w:sz w:val="28"/>
                <w:szCs w:val="28"/>
              </w:rPr>
              <w:t xml:space="preserve">), </w:t>
            </w:r>
            <w:r>
              <w:rPr>
                <w:sz w:val="28"/>
                <w:szCs w:val="28"/>
              </w:rPr>
              <w:t xml:space="preserve">(VSS-288) Ministru kabinetā </w:t>
            </w:r>
            <w:r w:rsidR="0099269B">
              <w:rPr>
                <w:sz w:val="28"/>
                <w:szCs w:val="28"/>
              </w:rPr>
              <w:t>izskatāmi</w:t>
            </w:r>
            <w:r>
              <w:rPr>
                <w:sz w:val="28"/>
                <w:szCs w:val="28"/>
              </w:rPr>
              <w:t xml:space="preserve"> arī šādi tiesību </w:t>
            </w:r>
            <w:r>
              <w:rPr>
                <w:sz w:val="28"/>
                <w:szCs w:val="28"/>
              </w:rPr>
              <w:lastRenderedPageBreak/>
              <w:t>aktu projekti:</w:t>
            </w:r>
          </w:p>
          <w:p w:rsidR="00932E0F" w:rsidRPr="00D44AB2" w:rsidRDefault="00932E0F" w:rsidP="00932E0F">
            <w:pPr>
              <w:ind w:right="140"/>
              <w:jc w:val="both"/>
              <w:rPr>
                <w:sz w:val="28"/>
                <w:szCs w:val="28"/>
              </w:rPr>
            </w:pPr>
          </w:p>
          <w:p w:rsidR="00507148" w:rsidRPr="0047579D" w:rsidRDefault="00507148" w:rsidP="00294099">
            <w:pPr>
              <w:pStyle w:val="Sarakstarindkopa"/>
              <w:numPr>
                <w:ilvl w:val="0"/>
                <w:numId w:val="1"/>
              </w:numPr>
              <w:jc w:val="both"/>
              <w:rPr>
                <w:sz w:val="28"/>
                <w:szCs w:val="28"/>
              </w:rPr>
            </w:pPr>
            <w:r w:rsidRPr="0047579D">
              <w:rPr>
                <w:sz w:val="28"/>
                <w:szCs w:val="28"/>
              </w:rPr>
              <w:t>Ministru kabineta noteikumu projekts „Grozījumi Ministru kabineta 2003.gada 29.aprīļa noteikumos Nr.241 „Kultūras ministrijas nolikums”” (VSS prot.Nr.11 8.§), (VSS-289);</w:t>
            </w:r>
          </w:p>
          <w:p w:rsidR="00507148" w:rsidRDefault="00507148" w:rsidP="00294099">
            <w:pPr>
              <w:pStyle w:val="Sarakstarindkopa"/>
              <w:numPr>
                <w:ilvl w:val="0"/>
                <w:numId w:val="1"/>
              </w:numPr>
              <w:jc w:val="both"/>
              <w:rPr>
                <w:sz w:val="28"/>
                <w:szCs w:val="28"/>
              </w:rPr>
            </w:pPr>
            <w:r w:rsidRPr="0047579D">
              <w:rPr>
                <w:sz w:val="28"/>
                <w:szCs w:val="28"/>
              </w:rPr>
              <w:t>Likumprojekts „Grozījums Dziesmu un deju svētku likumā” (VSS prot.Nr.11 9.§), (VSS-290);</w:t>
            </w:r>
          </w:p>
          <w:p w:rsidR="00507148" w:rsidRPr="00FF3F3E" w:rsidRDefault="00507148" w:rsidP="00507148">
            <w:pPr>
              <w:pStyle w:val="Sarakstarindkopa"/>
              <w:numPr>
                <w:ilvl w:val="0"/>
                <w:numId w:val="1"/>
              </w:numPr>
              <w:jc w:val="both"/>
              <w:rPr>
                <w:sz w:val="28"/>
                <w:szCs w:val="28"/>
              </w:rPr>
            </w:pPr>
            <w:r w:rsidRPr="00FF3F3E">
              <w:rPr>
                <w:sz w:val="28"/>
                <w:szCs w:val="28"/>
              </w:rPr>
              <w:t>Ministru kabineta noteikumu projekts „Grozījums Ministru kabineta 2012.gada 21.februāra noteikumos Nr.130 „Dziesmu un deju svētku padomes nolikums””, (VSS prot.Nr.11 10.§), (VSS-291);</w:t>
            </w:r>
          </w:p>
          <w:p w:rsidR="00507148" w:rsidRPr="0047579D" w:rsidRDefault="00507148" w:rsidP="00294099">
            <w:pPr>
              <w:pStyle w:val="Sarakstarindkopa"/>
              <w:numPr>
                <w:ilvl w:val="0"/>
                <w:numId w:val="1"/>
              </w:numPr>
              <w:jc w:val="both"/>
              <w:rPr>
                <w:sz w:val="28"/>
                <w:szCs w:val="28"/>
              </w:rPr>
            </w:pPr>
            <w:r w:rsidRPr="0047579D">
              <w:rPr>
                <w:sz w:val="28"/>
                <w:szCs w:val="28"/>
              </w:rPr>
              <w:t xml:space="preserve">Ministru kabineta noteikumu projekts „Grozījums Ministru kabineta 2009.gada 14.jūlija noteikumos Nr.775 „Vispārējās un profesionālās izglītības programmas licencēšanas kārtība”” (VSS prot.Nr.11 11.§),  (VSS-292); </w:t>
            </w:r>
          </w:p>
          <w:p w:rsidR="00507148" w:rsidRPr="0047579D" w:rsidRDefault="00507148" w:rsidP="00294099">
            <w:pPr>
              <w:pStyle w:val="Sarakstarindkopa"/>
              <w:numPr>
                <w:ilvl w:val="0"/>
                <w:numId w:val="1"/>
              </w:numPr>
              <w:jc w:val="both"/>
              <w:rPr>
                <w:sz w:val="28"/>
                <w:szCs w:val="28"/>
              </w:rPr>
            </w:pPr>
            <w:r w:rsidRPr="0047579D">
              <w:rPr>
                <w:sz w:val="28"/>
                <w:szCs w:val="28"/>
              </w:rPr>
              <w:t>Ministru kabineta noteikumu projekts „Grozījums Ministru kabineta 2011.gada 3.augusta noteikumos Nr.662 „Profesionālās kvalifikācijas eksāmenu norises kārtība akreditētās profesionālās izglītības programmās”” (VSS prot.Nr.11 12.§), (VSS-293);</w:t>
            </w:r>
          </w:p>
          <w:p w:rsidR="00507148" w:rsidRPr="0047579D" w:rsidRDefault="00507148" w:rsidP="00294099">
            <w:pPr>
              <w:pStyle w:val="Sarakstarindkopa"/>
              <w:numPr>
                <w:ilvl w:val="0"/>
                <w:numId w:val="1"/>
              </w:numPr>
              <w:jc w:val="both"/>
              <w:rPr>
                <w:sz w:val="28"/>
                <w:szCs w:val="28"/>
              </w:rPr>
            </w:pPr>
            <w:r w:rsidRPr="0047579D">
              <w:rPr>
                <w:sz w:val="28"/>
                <w:szCs w:val="28"/>
              </w:rPr>
              <w:t>Ministru kabineta noteikumu projekts „Grozījumi Ministru kabineta 2009.gada 22.septembra noteikumos Nr.1074 „Noteikumi par valsts statistikas apkopošanu kultūras jomā”” (VSS prot.Nr.11 13. §), (VSS-294);</w:t>
            </w:r>
          </w:p>
          <w:p w:rsidR="00507148" w:rsidRPr="00466FEB" w:rsidRDefault="00507148" w:rsidP="00466FEB">
            <w:pPr>
              <w:pStyle w:val="Sarakstarindkopa"/>
              <w:numPr>
                <w:ilvl w:val="0"/>
                <w:numId w:val="1"/>
              </w:numPr>
              <w:jc w:val="both"/>
              <w:rPr>
                <w:sz w:val="28"/>
                <w:szCs w:val="28"/>
              </w:rPr>
            </w:pPr>
            <w:r w:rsidRPr="0047579D">
              <w:rPr>
                <w:sz w:val="28"/>
                <w:szCs w:val="28"/>
              </w:rPr>
              <w:t>Ministru kabineta noteikumu projekts „Grozījums Ministru kabineta 2011.gada 7.jūnija noteikumos Nr.431 „</w:t>
            </w:r>
            <w:r w:rsidRPr="0047579D">
              <w:rPr>
                <w:color w:val="000000"/>
                <w:sz w:val="28"/>
                <w:szCs w:val="28"/>
              </w:rPr>
              <w:t>Pedagogu profesionālās kvalifikācijas pilnveides kārtība</w:t>
            </w:r>
            <w:r w:rsidR="00466FEB">
              <w:rPr>
                <w:color w:val="000000"/>
                <w:sz w:val="28"/>
                <w:szCs w:val="28"/>
              </w:rPr>
              <w:t>”.</w:t>
            </w:r>
          </w:p>
        </w:tc>
      </w:tr>
    </w:tbl>
    <w:p w:rsidR="00507148" w:rsidRDefault="00507148" w:rsidP="00507148">
      <w:pPr>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5"/>
        <w:gridCol w:w="3003"/>
        <w:gridCol w:w="5543"/>
      </w:tblGrid>
      <w:tr w:rsidR="00507148" w:rsidRPr="001D0A49" w:rsidTr="00294099">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507148" w:rsidRPr="001D0A49" w:rsidRDefault="00507148" w:rsidP="00294099">
            <w:pPr>
              <w:jc w:val="center"/>
              <w:rPr>
                <w:sz w:val="28"/>
                <w:szCs w:val="28"/>
              </w:rPr>
            </w:pPr>
            <w:r w:rsidRPr="001D0A49">
              <w:rPr>
                <w:b/>
                <w:bCs/>
                <w:sz w:val="28"/>
                <w:szCs w:val="28"/>
              </w:rPr>
              <w:t>VII. Tiesību akta projekta izpildes nodrošināšana un tās ietekme uz institūcijām</w:t>
            </w:r>
          </w:p>
        </w:tc>
      </w:tr>
      <w:tr w:rsidR="00507148" w:rsidRPr="001D0A49" w:rsidTr="00294099">
        <w:trPr>
          <w:trHeight w:val="427"/>
          <w:tblCellSpacing w:w="0" w:type="dxa"/>
        </w:trPr>
        <w:tc>
          <w:tcPr>
            <w:tcW w:w="305" w:type="pct"/>
            <w:tcBorders>
              <w:top w:val="outset" w:sz="6" w:space="0" w:color="auto"/>
              <w:left w:val="outset" w:sz="6" w:space="0" w:color="auto"/>
              <w:bottom w:val="outset" w:sz="6" w:space="0" w:color="auto"/>
              <w:right w:val="outset" w:sz="6" w:space="0" w:color="auto"/>
            </w:tcBorders>
          </w:tcPr>
          <w:p w:rsidR="00507148" w:rsidRPr="001D0A49" w:rsidRDefault="00507148" w:rsidP="00294099">
            <w:pPr>
              <w:rPr>
                <w:sz w:val="28"/>
                <w:szCs w:val="28"/>
              </w:rPr>
            </w:pPr>
            <w:r w:rsidRPr="001D0A49">
              <w:rPr>
                <w:sz w:val="28"/>
                <w:szCs w:val="28"/>
              </w:rPr>
              <w:lastRenderedPageBreak/>
              <w:t> 1.</w:t>
            </w:r>
          </w:p>
        </w:tc>
        <w:tc>
          <w:tcPr>
            <w:tcW w:w="1650" w:type="pct"/>
            <w:tcBorders>
              <w:top w:val="outset" w:sz="6" w:space="0" w:color="auto"/>
              <w:left w:val="outset" w:sz="6" w:space="0" w:color="auto"/>
              <w:bottom w:val="outset" w:sz="6" w:space="0" w:color="auto"/>
              <w:right w:val="outset" w:sz="6" w:space="0" w:color="auto"/>
            </w:tcBorders>
          </w:tcPr>
          <w:p w:rsidR="00507148" w:rsidRPr="001D0A49" w:rsidRDefault="00507148" w:rsidP="00294099">
            <w:pPr>
              <w:rPr>
                <w:sz w:val="28"/>
                <w:szCs w:val="28"/>
              </w:rPr>
            </w:pPr>
            <w:r w:rsidRPr="001D0A49">
              <w:rPr>
                <w:sz w:val="28"/>
                <w:szCs w:val="28"/>
              </w:rPr>
              <w:t>Projekta izpildē iesaistītās institūcijas</w:t>
            </w:r>
          </w:p>
        </w:tc>
        <w:tc>
          <w:tcPr>
            <w:tcW w:w="3045" w:type="pct"/>
            <w:tcBorders>
              <w:top w:val="outset" w:sz="6" w:space="0" w:color="auto"/>
              <w:left w:val="outset" w:sz="6" w:space="0" w:color="auto"/>
              <w:bottom w:val="outset" w:sz="6" w:space="0" w:color="auto"/>
              <w:right w:val="outset" w:sz="6" w:space="0" w:color="auto"/>
            </w:tcBorders>
            <w:vAlign w:val="center"/>
          </w:tcPr>
          <w:p w:rsidR="00507148" w:rsidRPr="001D0A49" w:rsidRDefault="00507148" w:rsidP="00294099">
            <w:pPr>
              <w:ind w:left="126" w:right="57"/>
              <w:jc w:val="both"/>
              <w:rPr>
                <w:sz w:val="28"/>
                <w:szCs w:val="28"/>
              </w:rPr>
            </w:pPr>
            <w:r w:rsidRPr="001D0A49">
              <w:rPr>
                <w:sz w:val="28"/>
                <w:szCs w:val="28"/>
              </w:rPr>
              <w:t>Kultūras ministrija, Kultūrizglītības un nemateriālā mantojuma centrs</w:t>
            </w:r>
            <w:r>
              <w:rPr>
                <w:sz w:val="28"/>
                <w:szCs w:val="28"/>
              </w:rPr>
              <w:t>.</w:t>
            </w:r>
          </w:p>
        </w:tc>
      </w:tr>
      <w:tr w:rsidR="00507148" w:rsidRPr="001D0A49" w:rsidTr="00294099">
        <w:trPr>
          <w:trHeight w:val="463"/>
          <w:tblCellSpacing w:w="0" w:type="dxa"/>
        </w:trPr>
        <w:tc>
          <w:tcPr>
            <w:tcW w:w="305" w:type="pct"/>
            <w:tcBorders>
              <w:top w:val="outset" w:sz="6" w:space="0" w:color="auto"/>
              <w:left w:val="outset" w:sz="6" w:space="0" w:color="auto"/>
              <w:bottom w:val="outset" w:sz="6" w:space="0" w:color="auto"/>
              <w:right w:val="outset" w:sz="6" w:space="0" w:color="auto"/>
            </w:tcBorders>
          </w:tcPr>
          <w:p w:rsidR="00507148" w:rsidRPr="001D0A49" w:rsidRDefault="00507148" w:rsidP="00294099">
            <w:pPr>
              <w:rPr>
                <w:sz w:val="28"/>
                <w:szCs w:val="28"/>
              </w:rPr>
            </w:pPr>
            <w:r w:rsidRPr="001D0A49">
              <w:rPr>
                <w:sz w:val="28"/>
                <w:szCs w:val="28"/>
              </w:rPr>
              <w:t> 2.</w:t>
            </w:r>
          </w:p>
        </w:tc>
        <w:tc>
          <w:tcPr>
            <w:tcW w:w="1650" w:type="pct"/>
            <w:tcBorders>
              <w:top w:val="outset" w:sz="6" w:space="0" w:color="auto"/>
              <w:left w:val="outset" w:sz="6" w:space="0" w:color="auto"/>
              <w:bottom w:val="outset" w:sz="6" w:space="0" w:color="auto"/>
              <w:right w:val="outset" w:sz="6" w:space="0" w:color="auto"/>
            </w:tcBorders>
          </w:tcPr>
          <w:p w:rsidR="00507148" w:rsidRPr="001D0A49" w:rsidRDefault="00507148" w:rsidP="00294099">
            <w:pPr>
              <w:rPr>
                <w:sz w:val="28"/>
                <w:szCs w:val="28"/>
              </w:rPr>
            </w:pPr>
            <w:r w:rsidRPr="001D0A49">
              <w:rPr>
                <w:sz w:val="28"/>
                <w:szCs w:val="28"/>
              </w:rPr>
              <w:t>Projekta izpildes ietekme uz pārvaldes funkcijām</w:t>
            </w:r>
          </w:p>
        </w:tc>
        <w:tc>
          <w:tcPr>
            <w:tcW w:w="3045" w:type="pct"/>
            <w:tcBorders>
              <w:top w:val="outset" w:sz="6" w:space="0" w:color="auto"/>
              <w:left w:val="outset" w:sz="6" w:space="0" w:color="auto"/>
              <w:bottom w:val="outset" w:sz="6" w:space="0" w:color="auto"/>
              <w:right w:val="outset" w:sz="6" w:space="0" w:color="auto"/>
            </w:tcBorders>
          </w:tcPr>
          <w:p w:rsidR="00507148" w:rsidRPr="001D0A49" w:rsidRDefault="00507148" w:rsidP="00294099">
            <w:pPr>
              <w:ind w:left="126" w:right="33"/>
              <w:jc w:val="both"/>
              <w:rPr>
                <w:sz w:val="28"/>
                <w:szCs w:val="28"/>
              </w:rPr>
            </w:pPr>
            <w:r>
              <w:rPr>
                <w:sz w:val="28"/>
                <w:szCs w:val="28"/>
              </w:rPr>
              <w:t>Projekts šo jomu neskar.</w:t>
            </w:r>
          </w:p>
        </w:tc>
      </w:tr>
      <w:tr w:rsidR="00507148" w:rsidRPr="001D0A49" w:rsidTr="00294099">
        <w:trPr>
          <w:trHeight w:val="725"/>
          <w:tblCellSpacing w:w="0" w:type="dxa"/>
        </w:trPr>
        <w:tc>
          <w:tcPr>
            <w:tcW w:w="305" w:type="pct"/>
            <w:tcBorders>
              <w:top w:val="outset" w:sz="6" w:space="0" w:color="auto"/>
              <w:left w:val="outset" w:sz="6" w:space="0" w:color="auto"/>
              <w:bottom w:val="outset" w:sz="6" w:space="0" w:color="auto"/>
              <w:right w:val="outset" w:sz="6" w:space="0" w:color="auto"/>
            </w:tcBorders>
          </w:tcPr>
          <w:p w:rsidR="00507148" w:rsidRPr="001D0A49" w:rsidRDefault="00507148" w:rsidP="00294099">
            <w:pPr>
              <w:rPr>
                <w:sz w:val="28"/>
                <w:szCs w:val="28"/>
              </w:rPr>
            </w:pPr>
            <w:r w:rsidRPr="001D0A49">
              <w:rPr>
                <w:sz w:val="28"/>
                <w:szCs w:val="28"/>
              </w:rPr>
              <w:t> 3.</w:t>
            </w:r>
          </w:p>
        </w:tc>
        <w:tc>
          <w:tcPr>
            <w:tcW w:w="1650" w:type="pct"/>
            <w:tcBorders>
              <w:top w:val="outset" w:sz="6" w:space="0" w:color="auto"/>
              <w:left w:val="outset" w:sz="6" w:space="0" w:color="auto"/>
              <w:bottom w:val="outset" w:sz="6" w:space="0" w:color="auto"/>
              <w:right w:val="outset" w:sz="6" w:space="0" w:color="auto"/>
            </w:tcBorders>
          </w:tcPr>
          <w:p w:rsidR="00507148" w:rsidRPr="001D0A49" w:rsidRDefault="00507148" w:rsidP="00294099">
            <w:pPr>
              <w:rPr>
                <w:sz w:val="28"/>
                <w:szCs w:val="28"/>
              </w:rPr>
            </w:pPr>
            <w:r w:rsidRPr="001D0A49">
              <w:rPr>
                <w:sz w:val="28"/>
                <w:szCs w:val="28"/>
              </w:rPr>
              <w:t>Projekta izpildes ietekme uz pārvaldes institucionālo struktūru.</w:t>
            </w:r>
          </w:p>
          <w:p w:rsidR="00507148" w:rsidRPr="001D0A49" w:rsidRDefault="00507148" w:rsidP="00294099">
            <w:pPr>
              <w:rPr>
                <w:sz w:val="28"/>
                <w:szCs w:val="28"/>
              </w:rPr>
            </w:pPr>
            <w:r w:rsidRPr="001D0A49">
              <w:rPr>
                <w:sz w:val="28"/>
                <w:szCs w:val="28"/>
              </w:rPr>
              <w:t>Jaunu institūciju izveide</w:t>
            </w:r>
          </w:p>
        </w:tc>
        <w:tc>
          <w:tcPr>
            <w:tcW w:w="3045" w:type="pct"/>
            <w:tcBorders>
              <w:top w:val="outset" w:sz="6" w:space="0" w:color="auto"/>
              <w:left w:val="outset" w:sz="6" w:space="0" w:color="auto"/>
              <w:bottom w:val="outset" w:sz="6" w:space="0" w:color="auto"/>
              <w:right w:val="outset" w:sz="6" w:space="0" w:color="auto"/>
            </w:tcBorders>
          </w:tcPr>
          <w:p w:rsidR="00507148" w:rsidRPr="001D0A49" w:rsidRDefault="00507148" w:rsidP="00294099">
            <w:pPr>
              <w:ind w:right="57"/>
              <w:rPr>
                <w:sz w:val="28"/>
                <w:szCs w:val="28"/>
              </w:rPr>
            </w:pPr>
            <w:r>
              <w:rPr>
                <w:sz w:val="28"/>
                <w:szCs w:val="28"/>
              </w:rPr>
              <w:t xml:space="preserve"> Projekts šo jomu neskar.</w:t>
            </w:r>
          </w:p>
        </w:tc>
      </w:tr>
      <w:tr w:rsidR="00507148" w:rsidRPr="001D0A49" w:rsidTr="00294099">
        <w:trPr>
          <w:trHeight w:val="780"/>
          <w:tblCellSpacing w:w="0" w:type="dxa"/>
        </w:trPr>
        <w:tc>
          <w:tcPr>
            <w:tcW w:w="305" w:type="pct"/>
            <w:tcBorders>
              <w:top w:val="outset" w:sz="6" w:space="0" w:color="auto"/>
              <w:left w:val="outset" w:sz="6" w:space="0" w:color="auto"/>
              <w:bottom w:val="outset" w:sz="6" w:space="0" w:color="auto"/>
              <w:right w:val="outset" w:sz="6" w:space="0" w:color="auto"/>
            </w:tcBorders>
          </w:tcPr>
          <w:p w:rsidR="00507148" w:rsidRPr="001D0A49" w:rsidRDefault="00507148" w:rsidP="00294099">
            <w:pPr>
              <w:rPr>
                <w:sz w:val="28"/>
                <w:szCs w:val="28"/>
              </w:rPr>
            </w:pPr>
            <w:r w:rsidRPr="001D0A49">
              <w:rPr>
                <w:sz w:val="28"/>
                <w:szCs w:val="28"/>
              </w:rPr>
              <w:t> 4.</w:t>
            </w:r>
          </w:p>
        </w:tc>
        <w:tc>
          <w:tcPr>
            <w:tcW w:w="1650" w:type="pct"/>
            <w:tcBorders>
              <w:top w:val="outset" w:sz="6" w:space="0" w:color="auto"/>
              <w:left w:val="outset" w:sz="6" w:space="0" w:color="auto"/>
              <w:bottom w:val="outset" w:sz="6" w:space="0" w:color="auto"/>
              <w:right w:val="outset" w:sz="6" w:space="0" w:color="auto"/>
            </w:tcBorders>
          </w:tcPr>
          <w:p w:rsidR="00507148" w:rsidRPr="001D0A49" w:rsidRDefault="00507148" w:rsidP="00294099">
            <w:pPr>
              <w:rPr>
                <w:sz w:val="28"/>
                <w:szCs w:val="28"/>
              </w:rPr>
            </w:pPr>
            <w:r w:rsidRPr="001D0A49">
              <w:rPr>
                <w:sz w:val="28"/>
                <w:szCs w:val="28"/>
              </w:rPr>
              <w:t>Projekta izpildes ietekme uz pārvaldes institucionālo struktūru.</w:t>
            </w:r>
          </w:p>
          <w:p w:rsidR="00507148" w:rsidRPr="001D0A49" w:rsidRDefault="00507148" w:rsidP="00294099">
            <w:pPr>
              <w:rPr>
                <w:sz w:val="28"/>
                <w:szCs w:val="28"/>
              </w:rPr>
            </w:pPr>
            <w:r w:rsidRPr="001D0A49">
              <w:rPr>
                <w:sz w:val="28"/>
                <w:szCs w:val="28"/>
              </w:rPr>
              <w:t>Esošu institūciju likvidācija</w:t>
            </w:r>
          </w:p>
        </w:tc>
        <w:tc>
          <w:tcPr>
            <w:tcW w:w="3045" w:type="pct"/>
            <w:tcBorders>
              <w:top w:val="outset" w:sz="6" w:space="0" w:color="auto"/>
              <w:left w:val="outset" w:sz="6" w:space="0" w:color="auto"/>
              <w:bottom w:val="outset" w:sz="6" w:space="0" w:color="auto"/>
              <w:right w:val="outset" w:sz="6" w:space="0" w:color="auto"/>
            </w:tcBorders>
          </w:tcPr>
          <w:p w:rsidR="00507148" w:rsidRPr="001D0A49" w:rsidRDefault="00507148" w:rsidP="00294099">
            <w:pPr>
              <w:ind w:right="57"/>
              <w:rPr>
                <w:sz w:val="28"/>
                <w:szCs w:val="28"/>
              </w:rPr>
            </w:pPr>
            <w:r>
              <w:rPr>
                <w:sz w:val="28"/>
                <w:szCs w:val="28"/>
              </w:rPr>
              <w:t xml:space="preserve"> Projekts šo jomu neskar.</w:t>
            </w:r>
          </w:p>
        </w:tc>
      </w:tr>
      <w:tr w:rsidR="00507148" w:rsidRPr="001D0A49" w:rsidTr="00294099">
        <w:trPr>
          <w:trHeight w:val="703"/>
          <w:tblCellSpacing w:w="0" w:type="dxa"/>
        </w:trPr>
        <w:tc>
          <w:tcPr>
            <w:tcW w:w="305" w:type="pct"/>
            <w:tcBorders>
              <w:top w:val="outset" w:sz="6" w:space="0" w:color="auto"/>
              <w:left w:val="outset" w:sz="6" w:space="0" w:color="auto"/>
              <w:bottom w:val="outset" w:sz="6" w:space="0" w:color="auto"/>
              <w:right w:val="outset" w:sz="6" w:space="0" w:color="auto"/>
            </w:tcBorders>
          </w:tcPr>
          <w:p w:rsidR="00507148" w:rsidRPr="001D0A49" w:rsidRDefault="00507148" w:rsidP="00294099">
            <w:pPr>
              <w:rPr>
                <w:sz w:val="28"/>
                <w:szCs w:val="28"/>
              </w:rPr>
            </w:pPr>
            <w:r w:rsidRPr="001D0A49">
              <w:rPr>
                <w:sz w:val="28"/>
                <w:szCs w:val="28"/>
              </w:rPr>
              <w:t> 5.</w:t>
            </w:r>
          </w:p>
        </w:tc>
        <w:tc>
          <w:tcPr>
            <w:tcW w:w="1650" w:type="pct"/>
            <w:tcBorders>
              <w:top w:val="outset" w:sz="6" w:space="0" w:color="auto"/>
              <w:left w:val="outset" w:sz="6" w:space="0" w:color="auto"/>
              <w:bottom w:val="outset" w:sz="6" w:space="0" w:color="auto"/>
              <w:right w:val="outset" w:sz="6" w:space="0" w:color="auto"/>
            </w:tcBorders>
          </w:tcPr>
          <w:p w:rsidR="00507148" w:rsidRPr="001D0A49" w:rsidRDefault="00507148" w:rsidP="00294099">
            <w:pPr>
              <w:rPr>
                <w:sz w:val="28"/>
                <w:szCs w:val="28"/>
              </w:rPr>
            </w:pPr>
            <w:r w:rsidRPr="001D0A49">
              <w:rPr>
                <w:sz w:val="28"/>
                <w:szCs w:val="28"/>
              </w:rPr>
              <w:t>Projekta izpildes ietekme uz pārvaldes institucionālo struktūru.</w:t>
            </w:r>
          </w:p>
          <w:p w:rsidR="00507148" w:rsidRPr="001D0A49" w:rsidRDefault="00507148" w:rsidP="00294099">
            <w:pPr>
              <w:rPr>
                <w:sz w:val="28"/>
                <w:szCs w:val="28"/>
              </w:rPr>
            </w:pPr>
            <w:r w:rsidRPr="001D0A49">
              <w:rPr>
                <w:sz w:val="28"/>
                <w:szCs w:val="28"/>
              </w:rPr>
              <w:t>Esošu institūciju reorganizācija</w:t>
            </w:r>
          </w:p>
        </w:tc>
        <w:tc>
          <w:tcPr>
            <w:tcW w:w="3045" w:type="pct"/>
            <w:tcBorders>
              <w:top w:val="outset" w:sz="6" w:space="0" w:color="auto"/>
              <w:left w:val="outset" w:sz="6" w:space="0" w:color="auto"/>
              <w:bottom w:val="outset" w:sz="6" w:space="0" w:color="auto"/>
              <w:right w:val="outset" w:sz="6" w:space="0" w:color="auto"/>
            </w:tcBorders>
          </w:tcPr>
          <w:p w:rsidR="00507148" w:rsidRPr="001D0A49" w:rsidRDefault="00507148" w:rsidP="00294099">
            <w:pPr>
              <w:ind w:right="57"/>
              <w:rPr>
                <w:sz w:val="28"/>
                <w:szCs w:val="28"/>
              </w:rPr>
            </w:pPr>
            <w:r>
              <w:rPr>
                <w:sz w:val="28"/>
                <w:szCs w:val="28"/>
              </w:rPr>
              <w:t xml:space="preserve"> Projekts šo jomu neskar.</w:t>
            </w:r>
          </w:p>
        </w:tc>
      </w:tr>
      <w:tr w:rsidR="00507148" w:rsidRPr="001D0A49" w:rsidTr="00294099">
        <w:trPr>
          <w:trHeight w:val="476"/>
          <w:tblCellSpacing w:w="0" w:type="dxa"/>
        </w:trPr>
        <w:tc>
          <w:tcPr>
            <w:tcW w:w="305" w:type="pct"/>
            <w:tcBorders>
              <w:top w:val="outset" w:sz="6" w:space="0" w:color="auto"/>
              <w:left w:val="outset" w:sz="6" w:space="0" w:color="auto"/>
              <w:bottom w:val="outset" w:sz="6" w:space="0" w:color="auto"/>
              <w:right w:val="outset" w:sz="6" w:space="0" w:color="auto"/>
            </w:tcBorders>
          </w:tcPr>
          <w:p w:rsidR="00507148" w:rsidRPr="001D0A49" w:rsidRDefault="00507148" w:rsidP="00294099">
            <w:pPr>
              <w:rPr>
                <w:sz w:val="28"/>
                <w:szCs w:val="28"/>
              </w:rPr>
            </w:pPr>
            <w:r w:rsidRPr="001D0A49">
              <w:rPr>
                <w:sz w:val="28"/>
                <w:szCs w:val="28"/>
              </w:rPr>
              <w:t> 6.</w:t>
            </w:r>
          </w:p>
        </w:tc>
        <w:tc>
          <w:tcPr>
            <w:tcW w:w="1650" w:type="pct"/>
            <w:tcBorders>
              <w:top w:val="outset" w:sz="6" w:space="0" w:color="auto"/>
              <w:left w:val="outset" w:sz="6" w:space="0" w:color="auto"/>
              <w:bottom w:val="outset" w:sz="6" w:space="0" w:color="auto"/>
              <w:right w:val="outset" w:sz="6" w:space="0" w:color="auto"/>
            </w:tcBorders>
          </w:tcPr>
          <w:p w:rsidR="00507148" w:rsidRPr="001D0A49" w:rsidRDefault="00507148" w:rsidP="00294099">
            <w:pPr>
              <w:rPr>
                <w:sz w:val="28"/>
                <w:szCs w:val="28"/>
              </w:rPr>
            </w:pPr>
            <w:r w:rsidRPr="001D0A49">
              <w:rPr>
                <w:sz w:val="28"/>
                <w:szCs w:val="28"/>
              </w:rPr>
              <w:t>Cita informācija</w:t>
            </w:r>
          </w:p>
        </w:tc>
        <w:tc>
          <w:tcPr>
            <w:tcW w:w="3045" w:type="pct"/>
            <w:tcBorders>
              <w:top w:val="outset" w:sz="6" w:space="0" w:color="auto"/>
              <w:left w:val="outset" w:sz="6" w:space="0" w:color="auto"/>
              <w:bottom w:val="outset" w:sz="6" w:space="0" w:color="auto"/>
              <w:right w:val="outset" w:sz="6" w:space="0" w:color="auto"/>
            </w:tcBorders>
          </w:tcPr>
          <w:p w:rsidR="00507148" w:rsidRPr="001D0A49" w:rsidRDefault="00507148" w:rsidP="00294099">
            <w:pPr>
              <w:ind w:right="57"/>
              <w:rPr>
                <w:sz w:val="28"/>
                <w:szCs w:val="28"/>
              </w:rPr>
            </w:pPr>
            <w:r w:rsidRPr="001D0A49">
              <w:rPr>
                <w:sz w:val="28"/>
                <w:szCs w:val="28"/>
              </w:rPr>
              <w:t>Nav</w:t>
            </w:r>
          </w:p>
        </w:tc>
      </w:tr>
      <w:bookmarkEnd w:id="2"/>
      <w:bookmarkEnd w:id="3"/>
      <w:bookmarkEnd w:id="4"/>
      <w:bookmarkEnd w:id="5"/>
    </w:tbl>
    <w:p w:rsidR="00507148" w:rsidRDefault="00507148" w:rsidP="00507148">
      <w:pPr>
        <w:jc w:val="both"/>
        <w:rPr>
          <w:color w:val="000000"/>
          <w:sz w:val="28"/>
          <w:szCs w:val="28"/>
        </w:rPr>
      </w:pPr>
    </w:p>
    <w:p w:rsidR="00507148" w:rsidRPr="001D0A49" w:rsidRDefault="00507148" w:rsidP="00507148">
      <w:pPr>
        <w:jc w:val="both"/>
        <w:rPr>
          <w:color w:val="000000"/>
          <w:sz w:val="28"/>
          <w:szCs w:val="28"/>
        </w:rPr>
      </w:pPr>
    </w:p>
    <w:p w:rsidR="00507148" w:rsidRDefault="00507148" w:rsidP="00507148">
      <w:pPr>
        <w:ind w:firstLine="284"/>
        <w:jc w:val="both"/>
        <w:rPr>
          <w:sz w:val="28"/>
        </w:rPr>
      </w:pPr>
      <w:r>
        <w:rPr>
          <w:sz w:val="28"/>
        </w:rPr>
        <w:t>Kultūras ministre</w:t>
      </w:r>
      <w:r>
        <w:rPr>
          <w:sz w:val="28"/>
        </w:rPr>
        <w:tab/>
      </w:r>
      <w:r>
        <w:rPr>
          <w:sz w:val="28"/>
        </w:rPr>
        <w:tab/>
      </w:r>
      <w:r>
        <w:rPr>
          <w:sz w:val="28"/>
        </w:rPr>
        <w:tab/>
      </w:r>
      <w:r>
        <w:rPr>
          <w:sz w:val="28"/>
        </w:rPr>
        <w:tab/>
      </w:r>
      <w:r>
        <w:rPr>
          <w:sz w:val="28"/>
        </w:rPr>
        <w:tab/>
      </w:r>
      <w:r w:rsidRPr="00C10C64">
        <w:rPr>
          <w:sz w:val="28"/>
        </w:rPr>
        <w:t>Ž.Jaunzeme – Grende</w:t>
      </w:r>
    </w:p>
    <w:p w:rsidR="00932E0F" w:rsidRPr="002D3CE6" w:rsidRDefault="00932E0F" w:rsidP="00507148">
      <w:pPr>
        <w:ind w:firstLine="284"/>
        <w:jc w:val="both"/>
        <w:rPr>
          <w:sz w:val="28"/>
        </w:rPr>
      </w:pPr>
    </w:p>
    <w:p w:rsidR="00507148" w:rsidRDefault="00507148" w:rsidP="00507148">
      <w:pPr>
        <w:rPr>
          <w:sz w:val="28"/>
          <w:szCs w:val="28"/>
        </w:rPr>
      </w:pPr>
      <w:r w:rsidRPr="002D3CE6">
        <w:rPr>
          <w:sz w:val="28"/>
          <w:szCs w:val="28"/>
        </w:rPr>
        <w:t xml:space="preserve">  </w:t>
      </w:r>
    </w:p>
    <w:p w:rsidR="00507148" w:rsidRPr="002D3CE6" w:rsidRDefault="00507148" w:rsidP="00507148">
      <w:pPr>
        <w:ind w:firstLine="284"/>
        <w:rPr>
          <w:sz w:val="28"/>
          <w:szCs w:val="28"/>
        </w:rPr>
      </w:pPr>
      <w:r w:rsidRPr="002D3CE6">
        <w:rPr>
          <w:sz w:val="28"/>
          <w:szCs w:val="28"/>
        </w:rPr>
        <w:t>Vīza: Valsts sekretār</w:t>
      </w:r>
      <w:r>
        <w:rPr>
          <w:sz w:val="28"/>
          <w:szCs w:val="28"/>
        </w:rPr>
        <w:t>s</w:t>
      </w:r>
      <w:r w:rsidRPr="002D3CE6">
        <w:rPr>
          <w:sz w:val="28"/>
          <w:szCs w:val="28"/>
        </w:rPr>
        <w:tab/>
      </w:r>
      <w:r w:rsidRPr="002D3CE6">
        <w:rPr>
          <w:sz w:val="28"/>
          <w:szCs w:val="28"/>
        </w:rPr>
        <w:tab/>
      </w:r>
      <w:r w:rsidRPr="002D3CE6">
        <w:rPr>
          <w:sz w:val="28"/>
          <w:szCs w:val="28"/>
        </w:rPr>
        <w:tab/>
      </w:r>
      <w:r w:rsidRPr="002D3CE6">
        <w:rPr>
          <w:sz w:val="28"/>
          <w:szCs w:val="28"/>
        </w:rPr>
        <w:tab/>
      </w:r>
      <w:r>
        <w:rPr>
          <w:sz w:val="28"/>
          <w:szCs w:val="28"/>
        </w:rPr>
        <w:tab/>
        <w:t>G.Puķītis</w:t>
      </w:r>
    </w:p>
    <w:p w:rsidR="00507148" w:rsidRDefault="00507148" w:rsidP="00507148">
      <w:pPr>
        <w:rPr>
          <w:sz w:val="28"/>
          <w:szCs w:val="28"/>
        </w:rPr>
      </w:pPr>
    </w:p>
    <w:p w:rsidR="00507148" w:rsidRDefault="00507148" w:rsidP="00507148">
      <w:pPr>
        <w:rPr>
          <w:sz w:val="28"/>
          <w:szCs w:val="28"/>
        </w:rPr>
      </w:pPr>
    </w:p>
    <w:p w:rsidR="00507148" w:rsidRDefault="00507148" w:rsidP="00507148">
      <w:pPr>
        <w:rPr>
          <w:sz w:val="28"/>
          <w:szCs w:val="28"/>
        </w:rPr>
      </w:pPr>
      <w:bookmarkStart w:id="6" w:name="_GoBack"/>
      <w:bookmarkEnd w:id="6"/>
    </w:p>
    <w:p w:rsidR="00507148" w:rsidRPr="00883ADE" w:rsidRDefault="00B94C7A" w:rsidP="00507148">
      <w:pPr>
        <w:rPr>
          <w:sz w:val="22"/>
          <w:szCs w:val="22"/>
        </w:rPr>
      </w:pPr>
      <w:r>
        <w:rPr>
          <w:sz w:val="22"/>
          <w:szCs w:val="22"/>
        </w:rPr>
        <w:t>11.12.</w:t>
      </w:r>
      <w:r w:rsidR="00507148" w:rsidRPr="00883ADE">
        <w:rPr>
          <w:sz w:val="22"/>
          <w:szCs w:val="22"/>
        </w:rPr>
        <w:t>2012.</w:t>
      </w:r>
    </w:p>
    <w:p w:rsidR="00507148" w:rsidRPr="00883ADE" w:rsidRDefault="00466FEB" w:rsidP="00507148">
      <w:pPr>
        <w:rPr>
          <w:sz w:val="22"/>
          <w:szCs w:val="22"/>
        </w:rPr>
      </w:pPr>
      <w:r>
        <w:rPr>
          <w:sz w:val="22"/>
          <w:szCs w:val="22"/>
        </w:rPr>
        <w:t>68</w:t>
      </w:r>
      <w:r w:rsidR="0099269B">
        <w:rPr>
          <w:sz w:val="22"/>
          <w:szCs w:val="22"/>
        </w:rPr>
        <w:t>0</w:t>
      </w:r>
    </w:p>
    <w:p w:rsidR="00507148" w:rsidRPr="00883ADE" w:rsidRDefault="00507148" w:rsidP="00507148">
      <w:pPr>
        <w:rPr>
          <w:sz w:val="22"/>
          <w:szCs w:val="22"/>
        </w:rPr>
      </w:pPr>
      <w:bookmarkStart w:id="7" w:name="OLE_LINK43"/>
      <w:bookmarkStart w:id="8" w:name="OLE_LINK44"/>
      <w:r w:rsidRPr="00883ADE">
        <w:rPr>
          <w:sz w:val="22"/>
          <w:szCs w:val="22"/>
        </w:rPr>
        <w:t>B.Erdmane</w:t>
      </w:r>
    </w:p>
    <w:p w:rsidR="00507148" w:rsidRPr="00883ADE" w:rsidRDefault="00507148" w:rsidP="00507148">
      <w:pPr>
        <w:pStyle w:val="Galvene"/>
        <w:rPr>
          <w:sz w:val="22"/>
          <w:szCs w:val="22"/>
        </w:rPr>
      </w:pPr>
      <w:bookmarkStart w:id="9" w:name="OLE_LINK45"/>
      <w:bookmarkStart w:id="10" w:name="OLE_LINK46"/>
      <w:bookmarkEnd w:id="7"/>
      <w:bookmarkEnd w:id="8"/>
      <w:r w:rsidRPr="00883ADE">
        <w:rPr>
          <w:sz w:val="22"/>
          <w:szCs w:val="22"/>
        </w:rPr>
        <w:t>Tālr.</w:t>
      </w:r>
      <w:fldSimple w:instr=" COMMENTS   \* MERGEFORMAT ">
        <w:r w:rsidRPr="00883ADE">
          <w:rPr>
            <w:sz w:val="22"/>
            <w:szCs w:val="22"/>
          </w:rPr>
          <w:t xml:space="preserve"> 67228985; fakss </w:t>
        </w:r>
      </w:fldSimple>
      <w:r w:rsidRPr="00883ADE">
        <w:rPr>
          <w:sz w:val="22"/>
          <w:szCs w:val="22"/>
        </w:rPr>
        <w:t>67227405</w:t>
      </w:r>
    </w:p>
    <w:p w:rsidR="00507148" w:rsidRPr="00883ADE" w:rsidRDefault="002E40A1" w:rsidP="00507148">
      <w:pPr>
        <w:rPr>
          <w:sz w:val="22"/>
          <w:szCs w:val="22"/>
        </w:rPr>
      </w:pPr>
      <w:hyperlink r:id="rId7" w:history="1">
        <w:r w:rsidR="00507148" w:rsidRPr="00407C8F">
          <w:rPr>
            <w:rStyle w:val="Hipersaite"/>
            <w:sz w:val="22"/>
            <w:szCs w:val="22"/>
          </w:rPr>
          <w:t>Baiba.Erdmane@knmc.gov.lv</w:t>
        </w:r>
      </w:hyperlink>
      <w:r w:rsidR="00507148">
        <w:rPr>
          <w:sz w:val="22"/>
          <w:szCs w:val="22"/>
        </w:rPr>
        <w:t xml:space="preserve"> </w:t>
      </w:r>
    </w:p>
    <w:bookmarkEnd w:id="9"/>
    <w:bookmarkEnd w:id="10"/>
    <w:p w:rsidR="00507148" w:rsidRDefault="00507148" w:rsidP="00507148"/>
    <w:p w:rsidR="00274834" w:rsidRPr="00507148" w:rsidRDefault="00274834" w:rsidP="00507148"/>
    <w:sectPr w:rsidR="00274834" w:rsidRPr="00507148" w:rsidSect="00C41BB2">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148" w:rsidRDefault="00507148" w:rsidP="00507148">
      <w:r>
        <w:separator/>
      </w:r>
    </w:p>
  </w:endnote>
  <w:endnote w:type="continuationSeparator" w:id="0">
    <w:p w:rsidR="00507148" w:rsidRDefault="00507148" w:rsidP="005071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B2" w:rsidRPr="00507148" w:rsidRDefault="00507148" w:rsidP="00507148">
    <w:pPr>
      <w:jc w:val="both"/>
      <w:rPr>
        <w:sz w:val="22"/>
        <w:szCs w:val="22"/>
      </w:rPr>
    </w:pPr>
    <w:r w:rsidRPr="00507148">
      <w:rPr>
        <w:sz w:val="22"/>
        <w:szCs w:val="22"/>
      </w:rPr>
      <w:t>KMAnot_</w:t>
    </w:r>
    <w:r w:rsidR="00B94C7A">
      <w:rPr>
        <w:sz w:val="22"/>
        <w:szCs w:val="22"/>
      </w:rPr>
      <w:t>111212</w:t>
    </w:r>
    <w:r w:rsidRPr="00507148">
      <w:rPr>
        <w:sz w:val="22"/>
        <w:szCs w:val="22"/>
      </w:rPr>
      <w:t xml:space="preserve">_merkdotacija; Ministru kabineta noteikumu projekta „Grozījums Ministru kabineta 2012.gada 25.septembra noteikumos Nr.670 „Kārtība, kādā pašvaldībām tiek aprēķināta un sadalīta valsts budžeta mērķdotācija māksliniecisko kolektīvu vadītāju darba samaksai un valsts sociālās apdrošināšanas obligātajām iemaksām”” </w:t>
    </w:r>
    <w:r w:rsidRPr="00507148">
      <w:rPr>
        <w:bCs/>
        <w:sz w:val="22"/>
        <w:szCs w:val="22"/>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B2" w:rsidRPr="00507148" w:rsidRDefault="00507148" w:rsidP="00745526">
    <w:pPr>
      <w:jc w:val="both"/>
      <w:rPr>
        <w:sz w:val="22"/>
        <w:szCs w:val="22"/>
      </w:rPr>
    </w:pPr>
    <w:r w:rsidRPr="00507148">
      <w:rPr>
        <w:sz w:val="22"/>
        <w:szCs w:val="22"/>
      </w:rPr>
      <w:t>KMAnot_</w:t>
    </w:r>
    <w:r w:rsidR="00B94C7A">
      <w:rPr>
        <w:sz w:val="22"/>
        <w:szCs w:val="22"/>
      </w:rPr>
      <w:t>111212</w:t>
    </w:r>
    <w:r w:rsidRPr="00507148">
      <w:rPr>
        <w:sz w:val="22"/>
        <w:szCs w:val="22"/>
      </w:rPr>
      <w:t xml:space="preserve">_merkdotacija; Ministru kabineta noteikumu projekta „Grozījums Ministru kabineta 2012.gada 25.septembra noteikumos Nr.670 „Kārtība, kādā pašvaldībām tiek aprēķināta un sadalīta valsts budžeta mērķdotācija māksliniecisko kolektīvu vadītāju darba samaksai un valsts sociālās apdrošināšanas obligātajām iemaksām”” </w:t>
    </w:r>
    <w:r w:rsidRPr="00507148">
      <w:rPr>
        <w:bCs/>
        <w:sz w:val="22"/>
        <w:szCs w:val="22"/>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148" w:rsidRDefault="00507148" w:rsidP="00507148">
      <w:r>
        <w:separator/>
      </w:r>
    </w:p>
  </w:footnote>
  <w:footnote w:type="continuationSeparator" w:id="0">
    <w:p w:rsidR="00507148" w:rsidRDefault="00507148" w:rsidP="005071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B2" w:rsidRDefault="002E40A1" w:rsidP="00C41BB2">
    <w:pPr>
      <w:pStyle w:val="Galvene"/>
      <w:framePr w:wrap="around" w:vAnchor="text" w:hAnchor="margin" w:xAlign="center" w:y="1"/>
      <w:rPr>
        <w:rStyle w:val="Lappusesnumurs"/>
      </w:rPr>
    </w:pPr>
    <w:r>
      <w:rPr>
        <w:rStyle w:val="Lappusesnumurs"/>
      </w:rPr>
      <w:fldChar w:fldCharType="begin"/>
    </w:r>
    <w:r w:rsidR="00507148">
      <w:rPr>
        <w:rStyle w:val="Lappusesnumurs"/>
      </w:rPr>
      <w:instrText xml:space="preserve">PAGE  </w:instrText>
    </w:r>
    <w:r>
      <w:rPr>
        <w:rStyle w:val="Lappusesnumurs"/>
      </w:rPr>
      <w:fldChar w:fldCharType="end"/>
    </w:r>
  </w:p>
  <w:p w:rsidR="00C41BB2" w:rsidRDefault="0003284F">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B2" w:rsidRPr="001D0A49" w:rsidRDefault="002E40A1" w:rsidP="00C41BB2">
    <w:pPr>
      <w:pStyle w:val="Galvene"/>
      <w:framePr w:wrap="around" w:vAnchor="text" w:hAnchor="margin" w:xAlign="center" w:y="1"/>
      <w:rPr>
        <w:rStyle w:val="Lappusesnumurs"/>
        <w:sz w:val="22"/>
        <w:szCs w:val="22"/>
      </w:rPr>
    </w:pPr>
    <w:r w:rsidRPr="001D0A49">
      <w:rPr>
        <w:rStyle w:val="Lappusesnumurs"/>
        <w:sz w:val="22"/>
        <w:szCs w:val="22"/>
      </w:rPr>
      <w:fldChar w:fldCharType="begin"/>
    </w:r>
    <w:r w:rsidR="00507148" w:rsidRPr="001D0A49">
      <w:rPr>
        <w:rStyle w:val="Lappusesnumurs"/>
        <w:sz w:val="22"/>
        <w:szCs w:val="22"/>
      </w:rPr>
      <w:instrText xml:space="preserve">PAGE  </w:instrText>
    </w:r>
    <w:r w:rsidRPr="001D0A49">
      <w:rPr>
        <w:rStyle w:val="Lappusesnumurs"/>
        <w:sz w:val="22"/>
        <w:szCs w:val="22"/>
      </w:rPr>
      <w:fldChar w:fldCharType="separate"/>
    </w:r>
    <w:r w:rsidR="0003284F">
      <w:rPr>
        <w:rStyle w:val="Lappusesnumurs"/>
        <w:noProof/>
        <w:sz w:val="22"/>
        <w:szCs w:val="22"/>
      </w:rPr>
      <w:t>2</w:t>
    </w:r>
    <w:r w:rsidRPr="001D0A49">
      <w:rPr>
        <w:rStyle w:val="Lappusesnumurs"/>
        <w:sz w:val="22"/>
        <w:szCs w:val="22"/>
      </w:rPr>
      <w:fldChar w:fldCharType="end"/>
    </w:r>
  </w:p>
  <w:p w:rsidR="00C41BB2" w:rsidRDefault="0003284F" w:rsidP="00C41BB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502BD"/>
    <w:multiLevelType w:val="hybridMultilevel"/>
    <w:tmpl w:val="8B2C90DE"/>
    <w:lvl w:ilvl="0" w:tplc="0426000F">
      <w:start w:val="1"/>
      <w:numFmt w:val="decimal"/>
      <w:lvlText w:val="%1."/>
      <w:lvlJc w:val="left"/>
      <w:pPr>
        <w:ind w:left="795"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6495"/>
    <w:rsid w:val="0003284F"/>
    <w:rsid w:val="00232DCD"/>
    <w:rsid w:val="00274834"/>
    <w:rsid w:val="002A22E8"/>
    <w:rsid w:val="002E40A1"/>
    <w:rsid w:val="003A68ED"/>
    <w:rsid w:val="00466FEB"/>
    <w:rsid w:val="00507148"/>
    <w:rsid w:val="00806024"/>
    <w:rsid w:val="00913AF7"/>
    <w:rsid w:val="00932E0F"/>
    <w:rsid w:val="0099269B"/>
    <w:rsid w:val="00B94C7A"/>
    <w:rsid w:val="00E06495"/>
    <w:rsid w:val="00F5183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0649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ais"/>
    <w:rsid w:val="00E06495"/>
    <w:pPr>
      <w:spacing w:before="450" w:after="300"/>
      <w:jc w:val="center"/>
    </w:pPr>
    <w:rPr>
      <w:sz w:val="26"/>
      <w:szCs w:val="26"/>
    </w:rPr>
  </w:style>
  <w:style w:type="paragraph" w:styleId="Kjene">
    <w:name w:val="footer"/>
    <w:basedOn w:val="Parastais"/>
    <w:link w:val="KjeneRakstz"/>
    <w:rsid w:val="00E06495"/>
    <w:pPr>
      <w:tabs>
        <w:tab w:val="center" w:pos="4153"/>
        <w:tab w:val="right" w:pos="8306"/>
      </w:tabs>
    </w:pPr>
  </w:style>
  <w:style w:type="character" w:customStyle="1" w:styleId="KjeneRakstz">
    <w:name w:val="Kājene Rakstz."/>
    <w:basedOn w:val="Noklusjumarindkopasfonts"/>
    <w:link w:val="Kjene"/>
    <w:rsid w:val="00E06495"/>
    <w:rPr>
      <w:rFonts w:ascii="Times New Roman" w:eastAsia="Times New Roman" w:hAnsi="Times New Roman" w:cs="Times New Roman"/>
      <w:sz w:val="24"/>
      <w:szCs w:val="24"/>
      <w:lang w:eastAsia="lv-LV"/>
    </w:rPr>
  </w:style>
  <w:style w:type="paragraph" w:styleId="Galvene">
    <w:name w:val="header"/>
    <w:basedOn w:val="Parastais"/>
    <w:link w:val="GalveneRakstz"/>
    <w:rsid w:val="00E06495"/>
    <w:pPr>
      <w:tabs>
        <w:tab w:val="center" w:pos="4153"/>
        <w:tab w:val="right" w:pos="8306"/>
      </w:tabs>
    </w:pPr>
  </w:style>
  <w:style w:type="character" w:customStyle="1" w:styleId="GalveneRakstz">
    <w:name w:val="Galvene Rakstz."/>
    <w:basedOn w:val="Noklusjumarindkopasfonts"/>
    <w:link w:val="Galvene"/>
    <w:rsid w:val="00E06495"/>
    <w:rPr>
      <w:rFonts w:ascii="Times New Roman" w:eastAsia="Times New Roman" w:hAnsi="Times New Roman" w:cs="Times New Roman"/>
      <w:sz w:val="24"/>
      <w:szCs w:val="24"/>
      <w:lang w:eastAsia="lv-LV"/>
    </w:rPr>
  </w:style>
  <w:style w:type="character" w:styleId="Hipersaite">
    <w:name w:val="Hyperlink"/>
    <w:basedOn w:val="Noklusjumarindkopasfonts"/>
    <w:rsid w:val="00E06495"/>
    <w:rPr>
      <w:color w:val="0000FF"/>
      <w:u w:val="single"/>
    </w:rPr>
  </w:style>
  <w:style w:type="character" w:styleId="Lappusesnumurs">
    <w:name w:val="page number"/>
    <w:basedOn w:val="Noklusjumarindkopasfonts"/>
    <w:rsid w:val="00E06495"/>
  </w:style>
  <w:style w:type="paragraph" w:customStyle="1" w:styleId="naisnod">
    <w:name w:val="naisnod"/>
    <w:basedOn w:val="Parastais"/>
    <w:rsid w:val="00E06495"/>
    <w:pPr>
      <w:spacing w:before="100" w:beforeAutospacing="1" w:after="100" w:afterAutospacing="1"/>
    </w:pPr>
  </w:style>
  <w:style w:type="paragraph" w:customStyle="1" w:styleId="naiskr">
    <w:name w:val="naiskr"/>
    <w:basedOn w:val="Parastais"/>
    <w:rsid w:val="00E06495"/>
    <w:pPr>
      <w:spacing w:before="100" w:beforeAutospacing="1" w:after="100" w:afterAutospacing="1"/>
    </w:pPr>
  </w:style>
  <w:style w:type="paragraph" w:styleId="Sarakstarindkopa">
    <w:name w:val="List Paragraph"/>
    <w:basedOn w:val="Parastais"/>
    <w:uiPriority w:val="34"/>
    <w:qFormat/>
    <w:rsid w:val="00E06495"/>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iba.Erdmane@knmc.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3752</Words>
  <Characters>2140</Characters>
  <Application>Microsoft Office Word</Application>
  <DocSecurity>0</DocSecurity>
  <Lines>17</Lines>
  <Paragraphs>11</Paragraphs>
  <ScaleCrop>false</ScaleCrop>
  <Company>darbs</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2012.gada 25.septembra noteikumos Nr.670 „Kārtība, kādā pašvaldībām tiek aprēķināta un sadalīta valsts budžeta mērķdotācija māksliniecisko kolektīvu vadītāju darba samaksai un valsts sociālās apdrošināšanas obligātajām iemaksām”” sākotnējās ietekmes novērtējuma ziņojums (anotācija)</dc:title>
  <dc:subject>KMAnot_111212_merkdotacija</dc:subject>
  <dc:creator>B.Erdmane</dc:creator>
  <cp:keywords/>
  <dc:description>Tālr. 67228985; fakss 67227405
Baiba.Erdmane@knmc.gov.lv </dc:description>
  <cp:lastModifiedBy>Dzintra Rozīte</cp:lastModifiedBy>
  <cp:revision>8</cp:revision>
  <dcterms:created xsi:type="dcterms:W3CDTF">2012-10-08T13:55:00Z</dcterms:created>
  <dcterms:modified xsi:type="dcterms:W3CDTF">2012-12-14T07:25:00Z</dcterms:modified>
</cp:coreProperties>
</file>