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8F" w:rsidRDefault="0020168F" w:rsidP="0020168F">
      <w:pPr>
        <w:pStyle w:val="Bezatstarpm"/>
        <w:jc w:val="center"/>
        <w:rPr>
          <w:rFonts w:ascii="Times New Roman" w:hAnsi="Times New Roman"/>
          <w:b/>
          <w:sz w:val="24"/>
          <w:szCs w:val="24"/>
        </w:rPr>
      </w:pPr>
    </w:p>
    <w:p w:rsidR="0020168F" w:rsidRPr="0020168F" w:rsidRDefault="0020168F" w:rsidP="0020168F">
      <w:pPr>
        <w:pStyle w:val="Bezatstarpm"/>
        <w:jc w:val="center"/>
        <w:rPr>
          <w:rFonts w:ascii="Times New Roman" w:hAnsi="Times New Roman"/>
          <w:b/>
          <w:sz w:val="24"/>
          <w:szCs w:val="24"/>
        </w:rPr>
      </w:pPr>
      <w:bookmarkStart w:id="0" w:name="OLE_LINK3"/>
      <w:bookmarkStart w:id="1" w:name="OLE_LINK4"/>
      <w:bookmarkStart w:id="2" w:name="OLE_LINK7"/>
      <w:r w:rsidRPr="0020168F">
        <w:rPr>
          <w:rFonts w:ascii="Times New Roman" w:hAnsi="Times New Roman"/>
          <w:b/>
          <w:sz w:val="24"/>
          <w:szCs w:val="24"/>
        </w:rPr>
        <w:t>Ministru kabineta noteikumu projekta „</w:t>
      </w:r>
      <w:r w:rsidRPr="0020168F">
        <w:rPr>
          <w:rFonts w:ascii="Times New Roman" w:eastAsia="Times New Roman" w:hAnsi="Times New Roman"/>
          <w:b/>
          <w:bCs/>
          <w:sz w:val="24"/>
          <w:szCs w:val="24"/>
          <w:lang w:eastAsia="lv-LV"/>
        </w:rPr>
        <w:t xml:space="preserve">Par Ministru kabineta </w:t>
      </w:r>
      <w:r w:rsidRPr="0020168F">
        <w:rPr>
          <w:rFonts w:ascii="Times New Roman" w:hAnsi="Times New Roman"/>
          <w:b/>
          <w:sz w:val="24"/>
          <w:szCs w:val="24"/>
        </w:rPr>
        <w:t>2007.gada 3.jūlija noteikumu Nr.465 "</w:t>
      </w:r>
      <w:r w:rsidRPr="0020168F">
        <w:rPr>
          <w:rFonts w:ascii="Times New Roman" w:eastAsia="Times New Roman" w:hAnsi="Times New Roman"/>
          <w:b/>
          <w:bCs/>
          <w:sz w:val="24"/>
          <w:szCs w:val="24"/>
          <w:lang w:eastAsia="lv-LV"/>
        </w:rPr>
        <w:t>Latvijas Kultūras koledžas nolikums</w:t>
      </w:r>
      <w:r w:rsidRPr="0020168F">
        <w:rPr>
          <w:rFonts w:ascii="Times New Roman" w:hAnsi="Times New Roman"/>
          <w:b/>
          <w:sz w:val="24"/>
          <w:szCs w:val="24"/>
        </w:rPr>
        <w:t xml:space="preserve">" </w:t>
      </w:r>
      <w:r w:rsidRPr="0020168F">
        <w:rPr>
          <w:rFonts w:ascii="Times New Roman" w:eastAsia="Times New Roman" w:hAnsi="Times New Roman"/>
          <w:b/>
          <w:bCs/>
          <w:sz w:val="24"/>
          <w:szCs w:val="24"/>
          <w:lang w:eastAsia="lv-LV"/>
        </w:rPr>
        <w:t>atzīšanu par spēku zaudējušiem</w:t>
      </w:r>
      <w:r w:rsidRPr="0020168F">
        <w:rPr>
          <w:rFonts w:ascii="Times New Roman" w:hAnsi="Times New Roman"/>
          <w:b/>
          <w:sz w:val="24"/>
          <w:szCs w:val="24"/>
        </w:rPr>
        <w:t>" sākotnējās ietekmes novērtējuma ziņojums (anotācija)</w:t>
      </w:r>
    </w:p>
    <w:bookmarkEnd w:id="0"/>
    <w:bookmarkEnd w:id="1"/>
    <w:bookmarkEnd w:id="2"/>
    <w:p w:rsidR="0020168F" w:rsidRDefault="0020168F" w:rsidP="0020168F">
      <w:pPr>
        <w:jc w:val="center"/>
        <w:rPr>
          <w:lang w:eastAsia="en-US"/>
        </w:rPr>
      </w:pPr>
      <w:r w:rsidRPr="00742B39">
        <w:rPr>
          <w:lang w:eastAsia="en-US"/>
        </w:rPr>
        <w:t> </w:t>
      </w:r>
    </w:p>
    <w:p w:rsidR="0020168F" w:rsidRPr="00742B39" w:rsidRDefault="0020168F" w:rsidP="0020168F">
      <w:pPr>
        <w:jc w:val="center"/>
        <w:rPr>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384"/>
        <w:gridCol w:w="2533"/>
        <w:gridCol w:w="6865"/>
      </w:tblGrid>
      <w:tr w:rsidR="0020168F" w:rsidRPr="00742B39" w:rsidTr="008D0428">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tcPr>
          <w:p w:rsidR="0020168F" w:rsidRPr="00742B39" w:rsidRDefault="0020168F" w:rsidP="008D0428">
            <w:pPr>
              <w:jc w:val="center"/>
              <w:rPr>
                <w:lang w:eastAsia="en-US"/>
              </w:rPr>
            </w:pPr>
            <w:r w:rsidRPr="00742B39">
              <w:rPr>
                <w:b/>
                <w:bCs/>
                <w:lang w:eastAsia="en-US"/>
              </w:rPr>
              <w:t> I. Tiesību akta projekta izstrādes nepieciešamība</w:t>
            </w:r>
          </w:p>
        </w:tc>
      </w:tr>
      <w:tr w:rsidR="0020168F" w:rsidRPr="00742B39" w:rsidTr="008D0428">
        <w:trPr>
          <w:trHeight w:val="630"/>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1.</w:t>
            </w:r>
          </w:p>
        </w:tc>
        <w:tc>
          <w:tcPr>
            <w:tcW w:w="2552" w:type="dxa"/>
            <w:tcBorders>
              <w:top w:val="outset" w:sz="6" w:space="0" w:color="auto"/>
              <w:left w:val="outset" w:sz="6" w:space="0" w:color="auto"/>
              <w:bottom w:val="outset" w:sz="6" w:space="0" w:color="auto"/>
              <w:right w:val="outset" w:sz="6" w:space="0" w:color="auto"/>
            </w:tcBorders>
          </w:tcPr>
          <w:p w:rsidR="0020168F" w:rsidRPr="00B1796D" w:rsidRDefault="0020168F" w:rsidP="008D0428">
            <w:pPr>
              <w:rPr>
                <w:lang w:eastAsia="en-US"/>
              </w:rPr>
            </w:pPr>
            <w:r w:rsidRPr="00B1796D">
              <w:rPr>
                <w:lang w:eastAsia="en-US"/>
              </w:rPr>
              <w:t>Pamatojums</w:t>
            </w:r>
          </w:p>
        </w:tc>
        <w:tc>
          <w:tcPr>
            <w:tcW w:w="6946" w:type="dxa"/>
            <w:tcBorders>
              <w:top w:val="outset" w:sz="6" w:space="0" w:color="auto"/>
              <w:left w:val="outset" w:sz="6" w:space="0" w:color="auto"/>
              <w:bottom w:val="outset" w:sz="6" w:space="0" w:color="auto"/>
              <w:right w:val="outset" w:sz="6" w:space="0" w:color="auto"/>
            </w:tcBorders>
          </w:tcPr>
          <w:p w:rsidR="0020168F" w:rsidRDefault="0020168F" w:rsidP="008D0428">
            <w:pPr>
              <w:pStyle w:val="ParastaisWeb"/>
              <w:jc w:val="both"/>
              <w:rPr>
                <w:rFonts w:ascii="Times New Roman" w:hAnsi="Times New Roman"/>
                <w:sz w:val="24"/>
                <w:szCs w:val="24"/>
              </w:rPr>
            </w:pPr>
            <w:r w:rsidRPr="00B1796D">
              <w:rPr>
                <w:rFonts w:ascii="Times New Roman" w:hAnsi="Times New Roman"/>
                <w:sz w:val="24"/>
                <w:szCs w:val="24"/>
              </w:rPr>
              <w:t>Minist</w:t>
            </w:r>
            <w:r w:rsidR="003E260A">
              <w:rPr>
                <w:rFonts w:ascii="Times New Roman" w:hAnsi="Times New Roman"/>
                <w:sz w:val="24"/>
                <w:szCs w:val="24"/>
              </w:rPr>
              <w:t xml:space="preserve">ru kabineta noteikumu projekts </w:t>
            </w:r>
            <w:r w:rsidR="003E260A" w:rsidRPr="003E260A">
              <w:rPr>
                <w:rFonts w:ascii="Times New Roman" w:hAnsi="Times New Roman"/>
                <w:sz w:val="24"/>
                <w:szCs w:val="24"/>
              </w:rPr>
              <w:t>„</w:t>
            </w:r>
            <w:r w:rsidR="003E260A" w:rsidRPr="003E260A">
              <w:rPr>
                <w:rFonts w:ascii="Times New Roman" w:hAnsi="Times New Roman"/>
                <w:bCs/>
                <w:sz w:val="24"/>
                <w:szCs w:val="24"/>
              </w:rPr>
              <w:t xml:space="preserve">Par Ministru kabineta </w:t>
            </w:r>
            <w:r w:rsidR="003E260A" w:rsidRPr="003E260A">
              <w:rPr>
                <w:rFonts w:ascii="Times New Roman" w:hAnsi="Times New Roman"/>
                <w:sz w:val="24"/>
                <w:szCs w:val="24"/>
              </w:rPr>
              <w:t>2007.gada 3.jūlija noteikumu Nr.465 "</w:t>
            </w:r>
            <w:r w:rsidR="003E260A" w:rsidRPr="003E260A">
              <w:rPr>
                <w:rFonts w:ascii="Times New Roman" w:hAnsi="Times New Roman"/>
                <w:bCs/>
                <w:sz w:val="24"/>
                <w:szCs w:val="24"/>
              </w:rPr>
              <w:t>Latvijas Kultūras koledžas nolikums</w:t>
            </w:r>
            <w:r w:rsidR="003E260A" w:rsidRPr="003E260A">
              <w:rPr>
                <w:rFonts w:ascii="Times New Roman" w:hAnsi="Times New Roman"/>
                <w:sz w:val="24"/>
                <w:szCs w:val="24"/>
              </w:rPr>
              <w:t xml:space="preserve">" </w:t>
            </w:r>
            <w:r w:rsidR="003E260A" w:rsidRPr="003E260A">
              <w:rPr>
                <w:rFonts w:ascii="Times New Roman" w:hAnsi="Times New Roman"/>
                <w:bCs/>
                <w:sz w:val="24"/>
                <w:szCs w:val="24"/>
              </w:rPr>
              <w:t>atzīšanu par spēku zaudējušiem</w:t>
            </w:r>
            <w:r w:rsidR="003E260A" w:rsidRPr="003E260A">
              <w:rPr>
                <w:rFonts w:ascii="Times New Roman" w:hAnsi="Times New Roman"/>
                <w:sz w:val="24"/>
                <w:szCs w:val="24"/>
              </w:rPr>
              <w:t>"</w:t>
            </w:r>
            <w:r w:rsidRPr="00B1796D">
              <w:rPr>
                <w:rFonts w:ascii="Times New Roman" w:hAnsi="Times New Roman"/>
                <w:sz w:val="24"/>
                <w:szCs w:val="24"/>
              </w:rPr>
              <w:t xml:space="preserve"> izstrādāts, pamatojoties uz Ministru kabineta 2011.gada </w:t>
            </w:r>
            <w:r w:rsidR="000F29BE" w:rsidRPr="000F29BE">
              <w:rPr>
                <w:rFonts w:ascii="Times New Roman" w:hAnsi="Times New Roman"/>
                <w:sz w:val="24"/>
                <w:szCs w:val="24"/>
              </w:rPr>
              <w:t>26.septembra rīkojuma Nr.476</w:t>
            </w:r>
            <w:r w:rsidR="000F29BE">
              <w:t xml:space="preserve"> </w:t>
            </w:r>
            <w:r w:rsidRPr="00B1796D">
              <w:rPr>
                <w:rFonts w:ascii="Times New Roman" w:hAnsi="Times New Roman"/>
                <w:sz w:val="24"/>
                <w:szCs w:val="24"/>
              </w:rPr>
              <w:t>„Par Latvijas Kultūras koledžas reorganizāciju” 4.punktu.</w:t>
            </w:r>
          </w:p>
          <w:p w:rsidR="0020168F" w:rsidRPr="00B1796D" w:rsidRDefault="0020168F" w:rsidP="008D0428">
            <w:pPr>
              <w:pStyle w:val="ParastaisWeb"/>
              <w:jc w:val="both"/>
              <w:rPr>
                <w:sz w:val="24"/>
                <w:szCs w:val="24"/>
              </w:rPr>
            </w:pPr>
          </w:p>
        </w:tc>
      </w:tr>
      <w:tr w:rsidR="0020168F" w:rsidRPr="00742B39" w:rsidTr="008D0428">
        <w:trPr>
          <w:trHeight w:val="5696"/>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2.</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Pašreizējā situācija un problēmas</w:t>
            </w:r>
          </w:p>
        </w:tc>
        <w:tc>
          <w:tcPr>
            <w:tcW w:w="6946" w:type="dxa"/>
            <w:tcBorders>
              <w:top w:val="outset" w:sz="6" w:space="0" w:color="auto"/>
              <w:left w:val="outset" w:sz="6" w:space="0" w:color="auto"/>
              <w:bottom w:val="outset" w:sz="6" w:space="0" w:color="auto"/>
              <w:right w:val="outset" w:sz="6" w:space="0" w:color="auto"/>
            </w:tcBorders>
          </w:tcPr>
          <w:p w:rsidR="0020168F" w:rsidRPr="00276315" w:rsidRDefault="0020168F" w:rsidP="008D0428">
            <w:pPr>
              <w:pStyle w:val="ParastaisWeb"/>
              <w:jc w:val="both"/>
              <w:rPr>
                <w:rFonts w:ascii="Times New Roman" w:hAnsi="Times New Roman"/>
                <w:sz w:val="24"/>
                <w:szCs w:val="24"/>
              </w:rPr>
            </w:pPr>
            <w:r w:rsidRPr="00276315">
              <w:rPr>
                <w:rFonts w:ascii="Times New Roman" w:hAnsi="Times New Roman"/>
                <w:sz w:val="24"/>
                <w:szCs w:val="24"/>
              </w:rPr>
              <w:t xml:space="preserve">    Pašlaik Latvijas Kultūras koledža ir Kultūras ministrijas padotībā esoša izglītības iestāde. Tās darbību reglamentē </w:t>
            </w:r>
            <w:r w:rsidRPr="00276315">
              <w:rPr>
                <w:rFonts w:ascii="Times New Roman" w:hAnsi="Times New Roman"/>
                <w:bCs/>
                <w:sz w:val="24"/>
                <w:szCs w:val="24"/>
              </w:rPr>
              <w:t xml:space="preserve">Ministru kabineta </w:t>
            </w:r>
            <w:r w:rsidRPr="00276315">
              <w:rPr>
                <w:rFonts w:ascii="Times New Roman" w:hAnsi="Times New Roman"/>
                <w:sz w:val="24"/>
                <w:szCs w:val="24"/>
              </w:rPr>
              <w:t>2007.gada 3.jūlija noteikumi Nr.465 "</w:t>
            </w:r>
            <w:r w:rsidRPr="00276315">
              <w:rPr>
                <w:rFonts w:ascii="Times New Roman" w:hAnsi="Times New Roman"/>
                <w:bCs/>
                <w:sz w:val="24"/>
                <w:szCs w:val="24"/>
              </w:rPr>
              <w:t>Latvijas Kultūras koledžas nolikums</w:t>
            </w:r>
            <w:r w:rsidRPr="00276315">
              <w:rPr>
                <w:rFonts w:ascii="Times New Roman" w:hAnsi="Times New Roman"/>
                <w:sz w:val="24"/>
                <w:szCs w:val="24"/>
              </w:rPr>
              <w:t>".</w:t>
            </w:r>
          </w:p>
          <w:p w:rsidR="0020168F" w:rsidRPr="00276315" w:rsidRDefault="0020168F" w:rsidP="008D0428">
            <w:pPr>
              <w:pStyle w:val="ParastaisWeb"/>
              <w:jc w:val="both"/>
              <w:rPr>
                <w:rFonts w:ascii="Times New Roman" w:hAnsi="Times New Roman"/>
                <w:sz w:val="24"/>
                <w:szCs w:val="24"/>
              </w:rPr>
            </w:pPr>
            <w:r w:rsidRPr="00276315">
              <w:rPr>
                <w:rFonts w:ascii="Times New Roman" w:hAnsi="Times New Roman"/>
                <w:sz w:val="24"/>
                <w:szCs w:val="24"/>
              </w:rPr>
              <w:t xml:space="preserve">    Ministru kabineta 2011.gada </w:t>
            </w:r>
            <w:r w:rsidR="000F29BE" w:rsidRPr="000F29BE">
              <w:rPr>
                <w:rFonts w:ascii="Times New Roman" w:hAnsi="Times New Roman"/>
                <w:sz w:val="24"/>
                <w:szCs w:val="24"/>
              </w:rPr>
              <w:t>26.septembra rīkojuma Nr.476</w:t>
            </w:r>
            <w:r w:rsidR="000F29BE">
              <w:t xml:space="preserve"> </w:t>
            </w:r>
            <w:r w:rsidRPr="00276315">
              <w:rPr>
                <w:rFonts w:ascii="Times New Roman" w:hAnsi="Times New Roman"/>
                <w:sz w:val="24"/>
                <w:szCs w:val="24"/>
              </w:rPr>
              <w:t>„Par Latvijas Kultūras koledžas reorganizāciju” (turpmāk – Rīkojums) 1.punkts nosaka, ka saskaņā ar Valsts pārvaldes iekārtas likuma 15.panta trešās daļas 1.punktu un Augstskolu likuma 11.panta otro daļu, kā arī pamatojoties uz Latvijas Kultūras akadēmijas Senāta 2011.gada 6.jūnija lēmumu, līdz 2011.gada 31.decembrim reorganizēt Kultūras ministrijas padotībā esošo valsts izglītības iestādi – Latvijas Kultūras koledžu - un nodot to atvasinātai publiskai personai – Latvijas Kultūras akadēmijai. Koledža turpina pastāvēt kā Latvijas Kultūras akadēmijas aģentūra "Latvijas Kultūras akadēmijas Latvijas Kultūras koledža".</w:t>
            </w:r>
          </w:p>
          <w:p w:rsidR="0020168F" w:rsidRPr="00276315" w:rsidRDefault="00276315" w:rsidP="008D0428">
            <w:pPr>
              <w:pStyle w:val="ParastaisWeb"/>
              <w:jc w:val="both"/>
              <w:rPr>
                <w:rFonts w:ascii="Times New Roman" w:hAnsi="Times New Roman"/>
                <w:sz w:val="24"/>
                <w:szCs w:val="24"/>
              </w:rPr>
            </w:pPr>
            <w:r w:rsidRPr="00276315">
              <w:rPr>
                <w:rFonts w:ascii="Times New Roman" w:hAnsi="Times New Roman"/>
                <w:sz w:val="24"/>
                <w:szCs w:val="24"/>
              </w:rPr>
              <w:t xml:space="preserve">    </w:t>
            </w:r>
            <w:r w:rsidR="0020168F" w:rsidRPr="00276315">
              <w:rPr>
                <w:rFonts w:ascii="Times New Roman" w:hAnsi="Times New Roman"/>
                <w:sz w:val="24"/>
                <w:szCs w:val="24"/>
              </w:rPr>
              <w:t>Vienlaikus atbilstoši Rīkojuma 4.punktā noteiktajam, līdz 2011.gada 1.novembrim Kultūras ministrijai ir jāsagatavo un kultūras ministram jāiesniedz Ministru kabinetā ar Latvijas Kultūras koledžu reorganizāciju saistītos tiesību aktu projektus.</w:t>
            </w:r>
          </w:p>
          <w:p w:rsidR="0020168F" w:rsidRPr="00276315" w:rsidRDefault="00276315" w:rsidP="008D0428">
            <w:pPr>
              <w:pStyle w:val="naisf"/>
              <w:spacing w:before="60" w:after="60"/>
              <w:ind w:firstLine="0"/>
            </w:pPr>
            <w:r w:rsidRPr="00276315">
              <w:t xml:space="preserve">    Pamatojoties uz iepriekš minēto ir izstrādāts Ministru kabineta noteikumu projekts, kas M</w:t>
            </w:r>
            <w:r w:rsidRPr="00276315">
              <w:rPr>
                <w:bCs/>
              </w:rPr>
              <w:t xml:space="preserve">inistru kabineta </w:t>
            </w:r>
            <w:r w:rsidRPr="00276315">
              <w:t>2007.gada 3.jūlija noteikumus Nr.465 "</w:t>
            </w:r>
            <w:r w:rsidRPr="00276315">
              <w:rPr>
                <w:bCs/>
              </w:rPr>
              <w:t>Latvijas Kultūras koledžas nolikums</w:t>
            </w:r>
            <w:r w:rsidRPr="00276315">
              <w:t xml:space="preserve">" </w:t>
            </w:r>
            <w:r w:rsidRPr="00276315">
              <w:rPr>
                <w:bCs/>
              </w:rPr>
              <w:t>atzīst par spēku zaudējušiem</w:t>
            </w:r>
          </w:p>
          <w:p w:rsidR="0020168F" w:rsidRPr="00276315" w:rsidRDefault="0020168F" w:rsidP="008D0428">
            <w:pPr>
              <w:pStyle w:val="naisf"/>
              <w:spacing w:before="60" w:after="60"/>
              <w:ind w:firstLine="0"/>
            </w:pPr>
          </w:p>
        </w:tc>
      </w:tr>
      <w:tr w:rsidR="0020168F" w:rsidRPr="00742B39" w:rsidTr="008D0428">
        <w:trPr>
          <w:trHeight w:val="813"/>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3.</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Saistītie politikas ietekmes novērtējumi un pētījumi</w:t>
            </w:r>
          </w:p>
        </w:tc>
        <w:tc>
          <w:tcPr>
            <w:tcW w:w="6946" w:type="dxa"/>
            <w:tcBorders>
              <w:top w:val="outset" w:sz="6" w:space="0" w:color="auto"/>
              <w:left w:val="outset" w:sz="6" w:space="0" w:color="auto"/>
              <w:bottom w:val="outset" w:sz="6" w:space="0" w:color="auto"/>
              <w:right w:val="outset" w:sz="6" w:space="0" w:color="auto"/>
            </w:tcBorders>
          </w:tcPr>
          <w:p w:rsidR="0020168F" w:rsidRPr="00276315" w:rsidRDefault="0020168F" w:rsidP="008D0428">
            <w:pPr>
              <w:rPr>
                <w:lang w:eastAsia="en-US"/>
              </w:rPr>
            </w:pPr>
            <w:r w:rsidRPr="00276315">
              <w:rPr>
                <w:lang w:eastAsia="en-US"/>
              </w:rPr>
              <w:t>Nav attiecināms.</w:t>
            </w:r>
          </w:p>
        </w:tc>
      </w:tr>
      <w:tr w:rsidR="0020168F" w:rsidRPr="00742B39" w:rsidTr="008D0428">
        <w:trPr>
          <w:trHeight w:val="121"/>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4.</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Tiesiskā regulējuma mērķis un būtība</w:t>
            </w:r>
          </w:p>
        </w:tc>
        <w:tc>
          <w:tcPr>
            <w:tcW w:w="6946" w:type="dxa"/>
            <w:tcBorders>
              <w:top w:val="outset" w:sz="6" w:space="0" w:color="auto"/>
              <w:left w:val="outset" w:sz="6" w:space="0" w:color="auto"/>
              <w:bottom w:val="outset" w:sz="6" w:space="0" w:color="auto"/>
              <w:right w:val="outset" w:sz="6" w:space="0" w:color="auto"/>
            </w:tcBorders>
          </w:tcPr>
          <w:p w:rsidR="0020168F" w:rsidRPr="00276315" w:rsidRDefault="00276315" w:rsidP="00276315">
            <w:pPr>
              <w:pStyle w:val="naisf"/>
              <w:ind w:firstLine="0"/>
            </w:pPr>
            <w:r w:rsidRPr="00276315">
              <w:t>Noteikumu projekts paredz atzīt par spēku zaudējušiem M</w:t>
            </w:r>
            <w:r w:rsidRPr="00276315">
              <w:rPr>
                <w:bCs/>
              </w:rPr>
              <w:t xml:space="preserve">inistru kabineta </w:t>
            </w:r>
            <w:r w:rsidRPr="00276315">
              <w:t>2007.gada 3.jūlija noteikumus Nr.465 "</w:t>
            </w:r>
            <w:r w:rsidRPr="00276315">
              <w:rPr>
                <w:bCs/>
              </w:rPr>
              <w:t>Latvijas Kultūras koledžas nolikums</w:t>
            </w:r>
            <w:r w:rsidRPr="00276315">
              <w:t xml:space="preserve">". Noteikumu projekts paredz, ka noteikumi stājas spēkā 2012.gada 1.janvārī. </w:t>
            </w:r>
          </w:p>
        </w:tc>
      </w:tr>
      <w:tr w:rsidR="0020168F" w:rsidRPr="00742B39" w:rsidTr="008D0428">
        <w:trPr>
          <w:trHeight w:val="476"/>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5.</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xml:space="preserve"> Projekta izstrādē </w:t>
            </w:r>
            <w:r w:rsidRPr="00742B39">
              <w:rPr>
                <w:lang w:eastAsia="en-US"/>
              </w:rPr>
              <w:lastRenderedPageBreak/>
              <w:t>iesaistītās institūcijas</w:t>
            </w:r>
          </w:p>
        </w:tc>
        <w:tc>
          <w:tcPr>
            <w:tcW w:w="6946" w:type="dxa"/>
            <w:tcBorders>
              <w:top w:val="outset" w:sz="6" w:space="0" w:color="auto"/>
              <w:left w:val="outset" w:sz="6" w:space="0" w:color="auto"/>
              <w:bottom w:val="outset" w:sz="6" w:space="0" w:color="auto"/>
              <w:right w:val="outset" w:sz="6" w:space="0" w:color="auto"/>
            </w:tcBorders>
          </w:tcPr>
          <w:p w:rsidR="0020168F" w:rsidRPr="00B1796D" w:rsidRDefault="0020168F" w:rsidP="008D0428">
            <w:pPr>
              <w:jc w:val="both"/>
              <w:rPr>
                <w:lang w:eastAsia="en-US"/>
              </w:rPr>
            </w:pPr>
            <w:r w:rsidRPr="00B1796D">
              <w:rPr>
                <w:lang w:eastAsia="en-US"/>
              </w:rPr>
              <w:lastRenderedPageBreak/>
              <w:t>Nav attiecināms.</w:t>
            </w:r>
          </w:p>
        </w:tc>
      </w:tr>
      <w:tr w:rsidR="0020168F" w:rsidRPr="00742B39" w:rsidTr="008D0428">
        <w:trPr>
          <w:trHeight w:val="1101"/>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lastRenderedPageBreak/>
              <w:t> 6.</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Iemesli, kādēļ netika nodrošināta sabiedrības līdzdalība</w:t>
            </w:r>
          </w:p>
        </w:tc>
        <w:tc>
          <w:tcPr>
            <w:tcW w:w="6946" w:type="dxa"/>
            <w:tcBorders>
              <w:top w:val="outset" w:sz="6" w:space="0" w:color="auto"/>
              <w:left w:val="outset" w:sz="6" w:space="0" w:color="auto"/>
              <w:bottom w:val="outset" w:sz="6" w:space="0" w:color="auto"/>
              <w:right w:val="outset" w:sz="6" w:space="0" w:color="auto"/>
            </w:tcBorders>
          </w:tcPr>
          <w:p w:rsidR="0020168F" w:rsidRPr="00B1796D" w:rsidRDefault="0020168F" w:rsidP="008D0428">
            <w:pPr>
              <w:ind w:left="70"/>
              <w:jc w:val="both"/>
              <w:rPr>
                <w:lang w:eastAsia="en-US"/>
              </w:rPr>
            </w:pPr>
            <w:r w:rsidRPr="00B1796D">
              <w:t>Sabiedrības līdzdalība netika nodrošināta, ņemot vērā grozījuma tehnisko raksturu.</w:t>
            </w:r>
          </w:p>
        </w:tc>
      </w:tr>
      <w:tr w:rsidR="0020168F" w:rsidRPr="00742B39" w:rsidTr="008D0428">
        <w:trPr>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7.</w:t>
            </w:r>
          </w:p>
        </w:tc>
        <w:tc>
          <w:tcPr>
            <w:tcW w:w="2552" w:type="dxa"/>
            <w:tcBorders>
              <w:top w:val="outset" w:sz="6" w:space="0" w:color="auto"/>
              <w:left w:val="outset" w:sz="6" w:space="0" w:color="auto"/>
              <w:bottom w:val="outset" w:sz="6" w:space="0" w:color="auto"/>
              <w:right w:val="outset" w:sz="6" w:space="0" w:color="auto"/>
            </w:tcBorders>
          </w:tcPr>
          <w:p w:rsidR="0020168F" w:rsidRPr="00742B39" w:rsidRDefault="0020168F" w:rsidP="008D0428">
            <w:pPr>
              <w:rPr>
                <w:lang w:eastAsia="en-US"/>
              </w:rPr>
            </w:pPr>
            <w:r w:rsidRPr="00742B39">
              <w:rPr>
                <w:lang w:eastAsia="en-US"/>
              </w:rPr>
              <w:t> Cita informācija</w:t>
            </w:r>
          </w:p>
        </w:tc>
        <w:tc>
          <w:tcPr>
            <w:tcW w:w="6946" w:type="dxa"/>
            <w:tcBorders>
              <w:top w:val="outset" w:sz="6" w:space="0" w:color="auto"/>
              <w:left w:val="outset" w:sz="6" w:space="0" w:color="auto"/>
              <w:bottom w:val="outset" w:sz="6" w:space="0" w:color="auto"/>
              <w:right w:val="outset" w:sz="6" w:space="0" w:color="auto"/>
            </w:tcBorders>
          </w:tcPr>
          <w:p w:rsidR="0020168F" w:rsidRPr="00B1796D" w:rsidRDefault="0020168F" w:rsidP="008D0428">
            <w:pPr>
              <w:rPr>
                <w:lang w:eastAsia="en-US"/>
              </w:rPr>
            </w:pPr>
            <w:r w:rsidRPr="00B1796D">
              <w:rPr>
                <w:lang w:eastAsia="en-US"/>
              </w:rPr>
              <w:t>Nav.</w:t>
            </w:r>
          </w:p>
        </w:tc>
      </w:tr>
    </w:tbl>
    <w:p w:rsidR="0020168F" w:rsidRPr="00292FAE" w:rsidRDefault="0020168F" w:rsidP="0020168F">
      <w:pPr>
        <w:ind w:firstLine="375"/>
        <w:jc w:val="both"/>
        <w:rPr>
          <w:lang w:eastAsia="en-US"/>
        </w:rPr>
      </w:pPr>
      <w:r w:rsidRPr="00292FAE">
        <w:rPr>
          <w:lang w:eastAsia="en-US"/>
        </w:rPr>
        <w:t> </w:t>
      </w: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82"/>
      </w:tblGrid>
      <w:tr w:rsidR="0020168F" w:rsidRPr="00292FAE" w:rsidTr="008D0428">
        <w:trPr>
          <w:trHeight w:val="246"/>
          <w:tblCellSpacing w:w="0" w:type="dxa"/>
        </w:trPr>
        <w:tc>
          <w:tcPr>
            <w:tcW w:w="9782" w:type="dxa"/>
            <w:tcBorders>
              <w:top w:val="outset" w:sz="6" w:space="0" w:color="auto"/>
              <w:left w:val="outset" w:sz="6" w:space="0" w:color="auto"/>
              <w:right w:val="outset" w:sz="6" w:space="0" w:color="auto"/>
            </w:tcBorders>
            <w:vAlign w:val="center"/>
          </w:tcPr>
          <w:p w:rsidR="0020168F" w:rsidRPr="00AF0D7C" w:rsidRDefault="0020168F" w:rsidP="008D0428">
            <w:pPr>
              <w:spacing w:before="75" w:after="75"/>
              <w:jc w:val="center"/>
              <w:outlineLvl w:val="0"/>
              <w:rPr>
                <w:b/>
              </w:rPr>
            </w:pPr>
            <w:r>
              <w:rPr>
                <w:b/>
              </w:rPr>
              <w:t>Anotācijas III; IV; V un VI sadaļa – Ministru kabineta noteikumu projekts šīs jomas neskar.</w:t>
            </w:r>
          </w:p>
        </w:tc>
      </w:tr>
    </w:tbl>
    <w:p w:rsidR="0020168F" w:rsidRPr="00292FAE" w:rsidRDefault="0020168F" w:rsidP="0020168F">
      <w:pPr>
        <w:rPr>
          <w:i/>
          <w:iCs/>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384"/>
        <w:gridCol w:w="2536"/>
        <w:gridCol w:w="6862"/>
      </w:tblGrid>
      <w:tr w:rsidR="0020168F" w:rsidRPr="00292FAE" w:rsidTr="008D0428">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20168F" w:rsidRPr="00292FAE" w:rsidRDefault="0020168F" w:rsidP="008D0428">
            <w:pPr>
              <w:jc w:val="center"/>
            </w:pPr>
            <w:r w:rsidRPr="00292FAE">
              <w:rPr>
                <w:b/>
                <w:bCs/>
              </w:rPr>
              <w:t> VII. Tiesību akta projekta izpildes nodrošināšana un tās ietekme uz institūcijām</w:t>
            </w:r>
          </w:p>
        </w:tc>
      </w:tr>
      <w:tr w:rsidR="0020168F" w:rsidRPr="00292FAE" w:rsidTr="008D0428">
        <w:trPr>
          <w:trHeight w:val="427"/>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1.</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Projekta izpildē iesaistītās institūcijas</w:t>
            </w:r>
          </w:p>
        </w:tc>
        <w:tc>
          <w:tcPr>
            <w:tcW w:w="6946" w:type="dxa"/>
            <w:tcBorders>
              <w:top w:val="outset" w:sz="6" w:space="0" w:color="auto"/>
              <w:left w:val="outset" w:sz="6" w:space="0" w:color="auto"/>
              <w:bottom w:val="outset" w:sz="6" w:space="0" w:color="auto"/>
              <w:right w:val="outset" w:sz="6" w:space="0" w:color="auto"/>
            </w:tcBorders>
          </w:tcPr>
          <w:p w:rsidR="0020168F" w:rsidRPr="00292FAE" w:rsidRDefault="0020168F" w:rsidP="008D0428">
            <w:pPr>
              <w:jc w:val="both"/>
            </w:pPr>
            <w:r>
              <w:t>Kultūras ministrija</w:t>
            </w:r>
          </w:p>
        </w:tc>
      </w:tr>
      <w:tr w:rsidR="0020168F" w:rsidRPr="00292FAE" w:rsidTr="008D0428">
        <w:trPr>
          <w:trHeight w:val="463"/>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2.</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Projekta izpildes ietekme uz pārvaldes funkcijām</w:t>
            </w:r>
          </w:p>
        </w:tc>
        <w:tc>
          <w:tcPr>
            <w:tcW w:w="6946" w:type="dxa"/>
            <w:tcBorders>
              <w:top w:val="outset" w:sz="6" w:space="0" w:color="auto"/>
              <w:left w:val="outset" w:sz="6" w:space="0" w:color="auto"/>
              <w:bottom w:val="outset" w:sz="6" w:space="0" w:color="auto"/>
              <w:right w:val="outset" w:sz="6" w:space="0" w:color="auto"/>
            </w:tcBorders>
          </w:tcPr>
          <w:p w:rsidR="0020168F" w:rsidRPr="00292FAE" w:rsidRDefault="0020168F" w:rsidP="003E260A">
            <w:pPr>
              <w:ind w:right="70"/>
              <w:jc w:val="both"/>
            </w:pPr>
            <w:r w:rsidRPr="00292FAE">
              <w:rPr>
                <w:lang w:eastAsia="en-US"/>
              </w:rPr>
              <w:t>Ministru kabineta noteikumu projekts paredz</w:t>
            </w:r>
            <w:r>
              <w:rPr>
                <w:lang w:eastAsia="en-US"/>
              </w:rPr>
              <w:t xml:space="preserve"> </w:t>
            </w:r>
            <w:r w:rsidR="003E260A">
              <w:rPr>
                <w:lang w:eastAsia="en-US"/>
              </w:rPr>
              <w:t>atzīt par spēku zaudējušu Latvijas Kultūras koledžas nolikumu.</w:t>
            </w:r>
          </w:p>
        </w:tc>
      </w:tr>
      <w:tr w:rsidR="0020168F" w:rsidRPr="00292FAE" w:rsidTr="008D0428">
        <w:trPr>
          <w:trHeight w:val="725"/>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3.</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Projekta izpildes ietekme uz pārvaldes institucionālo struktūru.</w:t>
            </w:r>
          </w:p>
          <w:p w:rsidR="0020168F" w:rsidRPr="00292FAE" w:rsidRDefault="0020168F" w:rsidP="008D0428">
            <w:r w:rsidRPr="00292FAE">
              <w:t>Jaunu institūciju izveide</w:t>
            </w:r>
          </w:p>
        </w:tc>
        <w:tc>
          <w:tcPr>
            <w:tcW w:w="6946" w:type="dxa"/>
            <w:tcBorders>
              <w:top w:val="outset" w:sz="6" w:space="0" w:color="auto"/>
              <w:left w:val="outset" w:sz="6" w:space="0" w:color="auto"/>
              <w:bottom w:val="outset" w:sz="6" w:space="0" w:color="auto"/>
              <w:right w:val="outset" w:sz="6" w:space="0" w:color="auto"/>
            </w:tcBorders>
          </w:tcPr>
          <w:p w:rsidR="0020168F" w:rsidRPr="00292FAE" w:rsidRDefault="0020168F" w:rsidP="008D0428">
            <w:pPr>
              <w:jc w:val="both"/>
            </w:pPr>
            <w:r>
              <w:t>Ministru kabineta noteikumu projekts</w:t>
            </w:r>
            <w:r w:rsidRPr="00292FAE">
              <w:t xml:space="preserve"> neparedz jaunu valsts pārvaldes institūciju izveidi. </w:t>
            </w:r>
          </w:p>
        </w:tc>
      </w:tr>
      <w:tr w:rsidR="0020168F" w:rsidRPr="00292FAE" w:rsidTr="008D0428">
        <w:trPr>
          <w:trHeight w:val="780"/>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4.</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Projekta izpildes ietekme uz pārvaldes institucionālo struktūru.</w:t>
            </w:r>
          </w:p>
          <w:p w:rsidR="0020168F" w:rsidRPr="00292FAE" w:rsidRDefault="0020168F" w:rsidP="008D0428">
            <w:r w:rsidRPr="00292FAE">
              <w:t>Esošu institūciju likvidācija</w:t>
            </w:r>
          </w:p>
        </w:tc>
        <w:tc>
          <w:tcPr>
            <w:tcW w:w="6946" w:type="dxa"/>
            <w:tcBorders>
              <w:top w:val="outset" w:sz="6" w:space="0" w:color="auto"/>
              <w:left w:val="outset" w:sz="6" w:space="0" w:color="auto"/>
              <w:bottom w:val="outset" w:sz="6" w:space="0" w:color="auto"/>
              <w:right w:val="outset" w:sz="6" w:space="0" w:color="auto"/>
            </w:tcBorders>
          </w:tcPr>
          <w:p w:rsidR="0020168F" w:rsidRPr="00292FAE" w:rsidRDefault="0020168F" w:rsidP="008D0428">
            <w:pPr>
              <w:jc w:val="both"/>
            </w:pPr>
            <w:r>
              <w:t>Ministru kabineta noteikumu projekts</w:t>
            </w:r>
            <w:r w:rsidRPr="00292FAE">
              <w:t xml:space="preserve"> neparedz esošo valsts pārvaldes institūciju likvidāciju.</w:t>
            </w:r>
          </w:p>
        </w:tc>
      </w:tr>
      <w:tr w:rsidR="0020168F" w:rsidRPr="00292FAE" w:rsidTr="008D0428">
        <w:trPr>
          <w:trHeight w:val="703"/>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5.</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Projekta izpildes ietekme uz pārvaldes institucionālo struktūru.</w:t>
            </w:r>
          </w:p>
          <w:p w:rsidR="0020168F" w:rsidRPr="00292FAE" w:rsidRDefault="0020168F" w:rsidP="008D0428">
            <w:r w:rsidRPr="00292FAE">
              <w:t>Esošu institūciju reorganizācija</w:t>
            </w:r>
          </w:p>
        </w:tc>
        <w:tc>
          <w:tcPr>
            <w:tcW w:w="6946" w:type="dxa"/>
            <w:tcBorders>
              <w:top w:val="outset" w:sz="6" w:space="0" w:color="auto"/>
              <w:left w:val="outset" w:sz="6" w:space="0" w:color="auto"/>
              <w:bottom w:val="outset" w:sz="6" w:space="0" w:color="auto"/>
              <w:right w:val="outset" w:sz="6" w:space="0" w:color="auto"/>
            </w:tcBorders>
          </w:tcPr>
          <w:p w:rsidR="0020168F" w:rsidRPr="00292FAE" w:rsidRDefault="0020168F" w:rsidP="008D0428">
            <w:pPr>
              <w:jc w:val="both"/>
            </w:pPr>
            <w:r>
              <w:t>Ministru kabineta noteikumu projekts</w:t>
            </w:r>
            <w:r w:rsidRPr="00292FAE">
              <w:t xml:space="preserve"> neparedz esošo valsts pārvaldes institūciju reorganizāciju.</w:t>
            </w:r>
          </w:p>
        </w:tc>
      </w:tr>
      <w:tr w:rsidR="0020168F" w:rsidRPr="00EE48CB" w:rsidTr="008D0428">
        <w:trPr>
          <w:trHeight w:val="289"/>
          <w:tblCellSpacing w:w="0" w:type="dxa"/>
        </w:trPr>
        <w:tc>
          <w:tcPr>
            <w:tcW w:w="284"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6.</w:t>
            </w:r>
          </w:p>
        </w:tc>
        <w:tc>
          <w:tcPr>
            <w:tcW w:w="2552" w:type="dxa"/>
            <w:tcBorders>
              <w:top w:val="outset" w:sz="6" w:space="0" w:color="auto"/>
              <w:left w:val="outset" w:sz="6" w:space="0" w:color="auto"/>
              <w:bottom w:val="outset" w:sz="6" w:space="0" w:color="auto"/>
              <w:right w:val="outset" w:sz="6" w:space="0" w:color="auto"/>
            </w:tcBorders>
          </w:tcPr>
          <w:p w:rsidR="0020168F" w:rsidRPr="00292FAE" w:rsidRDefault="0020168F" w:rsidP="008D0428">
            <w:r w:rsidRPr="00292FAE">
              <w:t> Cita informācija</w:t>
            </w:r>
          </w:p>
        </w:tc>
        <w:tc>
          <w:tcPr>
            <w:tcW w:w="6946" w:type="dxa"/>
            <w:tcBorders>
              <w:top w:val="outset" w:sz="6" w:space="0" w:color="auto"/>
              <w:left w:val="outset" w:sz="6" w:space="0" w:color="auto"/>
              <w:bottom w:val="outset" w:sz="6" w:space="0" w:color="auto"/>
              <w:right w:val="outset" w:sz="6" w:space="0" w:color="auto"/>
            </w:tcBorders>
          </w:tcPr>
          <w:p w:rsidR="0020168F" w:rsidRPr="00EE48CB" w:rsidRDefault="0020168F" w:rsidP="008D0428">
            <w:r w:rsidRPr="00292FAE">
              <w:t>Nav.</w:t>
            </w:r>
          </w:p>
        </w:tc>
      </w:tr>
    </w:tbl>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Default="0020168F" w:rsidP="0020168F">
      <w:pPr>
        <w:jc w:val="both"/>
        <w:rPr>
          <w:sz w:val="12"/>
          <w:szCs w:val="12"/>
        </w:rPr>
      </w:pPr>
    </w:p>
    <w:p w:rsidR="0020168F" w:rsidRPr="003360E2" w:rsidRDefault="0020168F" w:rsidP="0020168F">
      <w:pPr>
        <w:jc w:val="both"/>
        <w:rPr>
          <w:sz w:val="12"/>
          <w:szCs w:val="12"/>
        </w:rPr>
      </w:pPr>
    </w:p>
    <w:p w:rsidR="0020168F" w:rsidRDefault="0020168F" w:rsidP="0020168F">
      <w:pPr>
        <w:pStyle w:val="Pamattekstsaratkpi"/>
        <w:tabs>
          <w:tab w:val="left" w:pos="142"/>
          <w:tab w:val="left" w:pos="6840"/>
          <w:tab w:val="left" w:pos="7020"/>
        </w:tabs>
        <w:spacing w:after="0"/>
        <w:ind w:left="-142"/>
      </w:pPr>
      <w:r>
        <w:t>Kultūras ministre</w:t>
      </w:r>
      <w:r w:rsidRPr="00B55706">
        <w:tab/>
      </w:r>
      <w:r w:rsidRPr="00B55706">
        <w:tab/>
      </w:r>
      <w:r>
        <w:tab/>
      </w:r>
      <w:r>
        <w:tab/>
        <w:t>S.Ēlerte</w:t>
      </w:r>
    </w:p>
    <w:p w:rsidR="0020168F" w:rsidRDefault="0020168F" w:rsidP="0020168F">
      <w:pPr>
        <w:pStyle w:val="Pamattekstsaratkpi"/>
        <w:tabs>
          <w:tab w:val="left" w:pos="142"/>
          <w:tab w:val="left" w:pos="6840"/>
          <w:tab w:val="left" w:pos="7020"/>
        </w:tabs>
        <w:spacing w:after="0"/>
        <w:ind w:left="-142"/>
      </w:pPr>
    </w:p>
    <w:p w:rsidR="0020168F" w:rsidRDefault="0020168F" w:rsidP="0020168F">
      <w:pPr>
        <w:pStyle w:val="Pamattekstsaratkpi"/>
        <w:tabs>
          <w:tab w:val="left" w:pos="142"/>
          <w:tab w:val="left" w:pos="6840"/>
          <w:tab w:val="left" w:pos="7020"/>
        </w:tabs>
        <w:spacing w:after="0"/>
        <w:ind w:left="-142"/>
      </w:pPr>
    </w:p>
    <w:p w:rsidR="0020168F" w:rsidRDefault="0020168F" w:rsidP="0020168F">
      <w:pPr>
        <w:pStyle w:val="Pamattekstsaratkpi"/>
        <w:tabs>
          <w:tab w:val="left" w:pos="142"/>
          <w:tab w:val="left" w:pos="6840"/>
          <w:tab w:val="left" w:pos="7020"/>
        </w:tabs>
        <w:spacing w:after="0"/>
        <w:ind w:left="-142"/>
      </w:pPr>
      <w:r w:rsidRPr="00B55706">
        <w:t>Vīza:</w:t>
      </w:r>
    </w:p>
    <w:p w:rsidR="0020168F" w:rsidRDefault="000F29BE" w:rsidP="000F29BE">
      <w:pPr>
        <w:pStyle w:val="Pamattekstsaratkpi"/>
        <w:tabs>
          <w:tab w:val="left" w:pos="3707"/>
        </w:tabs>
        <w:spacing w:after="0"/>
        <w:ind w:left="-142"/>
      </w:pPr>
      <w:r>
        <w:tab/>
      </w:r>
    </w:p>
    <w:p w:rsidR="0020168F" w:rsidRDefault="0020168F" w:rsidP="0020168F">
      <w:pPr>
        <w:pStyle w:val="Pamattekstsaratkpi"/>
        <w:tabs>
          <w:tab w:val="left" w:pos="142"/>
          <w:tab w:val="left" w:pos="6840"/>
          <w:tab w:val="left" w:pos="7020"/>
        </w:tabs>
        <w:spacing w:after="0"/>
        <w:ind w:left="-142"/>
      </w:pPr>
      <w:r w:rsidRPr="00B55706">
        <w:t>valsts sekretār</w:t>
      </w:r>
      <w:r>
        <w:t>e</w:t>
      </w:r>
      <w:r w:rsidRPr="00B55706">
        <w:tab/>
      </w:r>
      <w:r>
        <w:tab/>
      </w:r>
      <w:r>
        <w:tab/>
      </w:r>
      <w:r>
        <w:tab/>
        <w:t>S. Zvidriņa</w:t>
      </w:r>
    </w:p>
    <w:p w:rsidR="0020168F" w:rsidRDefault="0020168F" w:rsidP="0020168F">
      <w:pPr>
        <w:pStyle w:val="Pamattekstaatkpe3"/>
        <w:spacing w:after="0"/>
        <w:ind w:left="0"/>
        <w:rPr>
          <w:sz w:val="20"/>
          <w:szCs w:val="20"/>
          <w:lang w:val="lv-LV"/>
        </w:rPr>
      </w:pPr>
    </w:p>
    <w:p w:rsidR="0020168F" w:rsidRDefault="0020168F" w:rsidP="0020168F">
      <w:pPr>
        <w:pStyle w:val="Pamattekstaatkpe3"/>
        <w:spacing w:after="0"/>
        <w:ind w:left="0"/>
        <w:rPr>
          <w:sz w:val="20"/>
          <w:szCs w:val="20"/>
          <w:lang w:val="lv-LV"/>
        </w:rPr>
      </w:pPr>
    </w:p>
    <w:p w:rsidR="0020168F" w:rsidRDefault="0020168F" w:rsidP="0020168F">
      <w:pPr>
        <w:pStyle w:val="Pamattekstaatkpe3"/>
        <w:tabs>
          <w:tab w:val="left" w:pos="1999"/>
        </w:tabs>
        <w:spacing w:after="0"/>
        <w:ind w:left="0"/>
        <w:rPr>
          <w:sz w:val="20"/>
          <w:szCs w:val="20"/>
          <w:lang w:val="lv-LV"/>
        </w:rPr>
      </w:pPr>
      <w:r>
        <w:rPr>
          <w:sz w:val="20"/>
          <w:szCs w:val="20"/>
          <w:lang w:val="lv-LV"/>
        </w:rPr>
        <w:tab/>
      </w:r>
    </w:p>
    <w:p w:rsidR="0020168F" w:rsidRPr="00326F88" w:rsidRDefault="000F29BE" w:rsidP="0020168F">
      <w:pPr>
        <w:pStyle w:val="Pamattekstaatkpe3"/>
        <w:spacing w:after="0"/>
        <w:ind w:left="-142"/>
        <w:rPr>
          <w:sz w:val="18"/>
          <w:szCs w:val="18"/>
          <w:lang w:val="lv-LV"/>
        </w:rPr>
      </w:pPr>
      <w:r>
        <w:rPr>
          <w:sz w:val="18"/>
          <w:szCs w:val="18"/>
          <w:lang w:val="lv-LV"/>
        </w:rPr>
        <w:t>27</w:t>
      </w:r>
      <w:r w:rsidR="0020168F" w:rsidRPr="00326F88">
        <w:rPr>
          <w:sz w:val="18"/>
          <w:szCs w:val="18"/>
          <w:lang w:val="lv-LV"/>
        </w:rPr>
        <w:t>.0</w:t>
      </w:r>
      <w:r w:rsidR="0020168F">
        <w:rPr>
          <w:sz w:val="18"/>
          <w:szCs w:val="18"/>
          <w:lang w:val="lv-LV"/>
        </w:rPr>
        <w:t>9</w:t>
      </w:r>
      <w:r w:rsidR="0020168F" w:rsidRPr="00326F88">
        <w:rPr>
          <w:sz w:val="18"/>
          <w:szCs w:val="18"/>
          <w:lang w:val="lv-LV"/>
        </w:rPr>
        <w:t xml:space="preserve">.2011. </w:t>
      </w:r>
      <w:r>
        <w:rPr>
          <w:sz w:val="18"/>
          <w:szCs w:val="18"/>
          <w:lang w:val="lv-LV"/>
        </w:rPr>
        <w:t>9:05</w:t>
      </w:r>
    </w:p>
    <w:p w:rsidR="0020168F" w:rsidRPr="00326F88" w:rsidRDefault="003E260A" w:rsidP="0020168F">
      <w:pPr>
        <w:pStyle w:val="Pamattekstaatkpe3"/>
        <w:spacing w:after="0"/>
        <w:ind w:left="-142"/>
        <w:rPr>
          <w:sz w:val="18"/>
          <w:szCs w:val="18"/>
          <w:lang w:val="lv-LV"/>
        </w:rPr>
      </w:pPr>
      <w:r>
        <w:rPr>
          <w:sz w:val="18"/>
          <w:szCs w:val="18"/>
          <w:lang w:val="lv-LV"/>
        </w:rPr>
        <w:t>429</w:t>
      </w:r>
    </w:p>
    <w:p w:rsidR="0020168F" w:rsidRPr="00326F88" w:rsidRDefault="0020168F" w:rsidP="0020168F">
      <w:pPr>
        <w:ind w:left="-142"/>
        <w:jc w:val="both"/>
        <w:rPr>
          <w:bCs/>
          <w:sz w:val="18"/>
          <w:szCs w:val="18"/>
        </w:rPr>
      </w:pPr>
      <w:r>
        <w:rPr>
          <w:bCs/>
          <w:sz w:val="18"/>
          <w:szCs w:val="18"/>
        </w:rPr>
        <w:t>J.Šumeiko</w:t>
      </w:r>
    </w:p>
    <w:p w:rsidR="00DC678F" w:rsidRPr="0020168F" w:rsidRDefault="0020168F" w:rsidP="00EE7639">
      <w:pPr>
        <w:ind w:left="-142"/>
      </w:pPr>
      <w:bookmarkStart w:id="3" w:name="OLE_LINK1"/>
      <w:bookmarkStart w:id="4" w:name="OLE_LINK2"/>
      <w:r w:rsidRPr="00326F88">
        <w:rPr>
          <w:sz w:val="18"/>
          <w:szCs w:val="18"/>
        </w:rPr>
        <w:t>67</w:t>
      </w:r>
      <w:r>
        <w:rPr>
          <w:sz w:val="18"/>
          <w:szCs w:val="18"/>
        </w:rPr>
        <w:t>330269</w:t>
      </w:r>
      <w:r w:rsidRPr="00326F88">
        <w:rPr>
          <w:sz w:val="18"/>
          <w:szCs w:val="18"/>
        </w:rPr>
        <w:t xml:space="preserve">, </w:t>
      </w:r>
      <w:r w:rsidRPr="00EE7639">
        <w:rPr>
          <w:sz w:val="18"/>
          <w:szCs w:val="18"/>
        </w:rPr>
        <w:t>juris.sumeiko@km.gov.lv</w:t>
      </w:r>
      <w:bookmarkEnd w:id="3"/>
      <w:bookmarkEnd w:id="4"/>
    </w:p>
    <w:sectPr w:rsidR="00DC678F" w:rsidRPr="0020168F" w:rsidSect="00542386">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39" w:rsidRDefault="00EE7639" w:rsidP="00EE7639">
      <w:r>
        <w:separator/>
      </w:r>
    </w:p>
  </w:endnote>
  <w:endnote w:type="continuationSeparator" w:id="0">
    <w:p w:rsidR="00EE7639" w:rsidRDefault="00EE7639" w:rsidP="00EE7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39" w:rsidRPr="00EE7639" w:rsidRDefault="000F29BE" w:rsidP="00EE7639">
    <w:pPr>
      <w:pStyle w:val="Bezatstarpm"/>
      <w:rPr>
        <w:rFonts w:ascii="Times New Roman" w:hAnsi="Times New Roman"/>
        <w:sz w:val="20"/>
        <w:szCs w:val="20"/>
      </w:rPr>
    </w:pPr>
    <w:r>
      <w:rPr>
        <w:sz w:val="20"/>
        <w:szCs w:val="20"/>
      </w:rPr>
      <w:t>KMAnot_27</w:t>
    </w:r>
    <w:r w:rsidR="00EE7639" w:rsidRPr="00EE7639">
      <w:rPr>
        <w:sz w:val="20"/>
        <w:szCs w:val="20"/>
      </w:rPr>
      <w:t xml:space="preserve">0911_Koledza; </w:t>
    </w:r>
    <w:r w:rsidR="00EE7639" w:rsidRPr="00EE7639">
      <w:rPr>
        <w:rFonts w:ascii="Times New Roman" w:hAnsi="Times New Roman"/>
        <w:sz w:val="20"/>
        <w:szCs w:val="20"/>
      </w:rPr>
      <w:t>Ministru kabineta noteikumu projekta „</w:t>
    </w:r>
    <w:r w:rsidR="00EE7639" w:rsidRPr="00EE7639">
      <w:rPr>
        <w:rFonts w:ascii="Times New Roman" w:eastAsia="Times New Roman" w:hAnsi="Times New Roman"/>
        <w:bCs/>
        <w:sz w:val="20"/>
        <w:szCs w:val="20"/>
        <w:lang w:eastAsia="lv-LV"/>
      </w:rPr>
      <w:t xml:space="preserve">Par Ministru kabineta </w:t>
    </w:r>
    <w:r w:rsidR="00EE7639" w:rsidRPr="00EE7639">
      <w:rPr>
        <w:rFonts w:ascii="Times New Roman" w:hAnsi="Times New Roman"/>
        <w:sz w:val="20"/>
        <w:szCs w:val="20"/>
      </w:rPr>
      <w:t>2007.gada 3.jūlija noteikumu Nr.465 "</w:t>
    </w:r>
    <w:r w:rsidR="00EE7639" w:rsidRPr="00EE7639">
      <w:rPr>
        <w:rFonts w:ascii="Times New Roman" w:eastAsia="Times New Roman" w:hAnsi="Times New Roman"/>
        <w:bCs/>
        <w:sz w:val="20"/>
        <w:szCs w:val="20"/>
        <w:lang w:eastAsia="lv-LV"/>
      </w:rPr>
      <w:t>Latvijas Kultūras koledžas nolikums</w:t>
    </w:r>
    <w:r w:rsidR="00EE7639" w:rsidRPr="00EE7639">
      <w:rPr>
        <w:rFonts w:ascii="Times New Roman" w:hAnsi="Times New Roman"/>
        <w:sz w:val="20"/>
        <w:szCs w:val="20"/>
      </w:rPr>
      <w:t xml:space="preserve">" </w:t>
    </w:r>
    <w:r w:rsidR="00EE7639" w:rsidRPr="00EE7639">
      <w:rPr>
        <w:rFonts w:ascii="Times New Roman" w:eastAsia="Times New Roman" w:hAnsi="Times New Roman"/>
        <w:bCs/>
        <w:sz w:val="20"/>
        <w:szCs w:val="20"/>
        <w:lang w:eastAsia="lv-LV"/>
      </w:rPr>
      <w:t>atzīšanu par spēku zaudējušiem</w:t>
    </w:r>
    <w:r w:rsidR="00EE7639" w:rsidRPr="00EE7639">
      <w:rPr>
        <w:rFonts w:ascii="Times New Roman" w:hAnsi="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39" w:rsidRPr="00EE7639" w:rsidRDefault="000F29BE" w:rsidP="00EE7639">
    <w:pPr>
      <w:pStyle w:val="Bezatstarpm"/>
      <w:rPr>
        <w:rFonts w:ascii="Times New Roman" w:hAnsi="Times New Roman"/>
        <w:sz w:val="20"/>
        <w:szCs w:val="20"/>
      </w:rPr>
    </w:pPr>
    <w:r>
      <w:rPr>
        <w:sz w:val="20"/>
        <w:szCs w:val="20"/>
      </w:rPr>
      <w:t>KMAnot_27</w:t>
    </w:r>
    <w:r w:rsidR="00EE7639" w:rsidRPr="00EE7639">
      <w:rPr>
        <w:sz w:val="20"/>
        <w:szCs w:val="20"/>
      </w:rPr>
      <w:t xml:space="preserve">0911_Koledza; </w:t>
    </w:r>
    <w:r w:rsidR="00EE7639" w:rsidRPr="00EE7639">
      <w:rPr>
        <w:rFonts w:ascii="Times New Roman" w:hAnsi="Times New Roman"/>
        <w:sz w:val="20"/>
        <w:szCs w:val="20"/>
      </w:rPr>
      <w:t>Ministru kabineta noteikumu projekta „</w:t>
    </w:r>
    <w:r w:rsidR="00EE7639" w:rsidRPr="00EE7639">
      <w:rPr>
        <w:rFonts w:ascii="Times New Roman" w:eastAsia="Times New Roman" w:hAnsi="Times New Roman"/>
        <w:bCs/>
        <w:sz w:val="20"/>
        <w:szCs w:val="20"/>
        <w:lang w:eastAsia="lv-LV"/>
      </w:rPr>
      <w:t xml:space="preserve">Par Ministru kabineta </w:t>
    </w:r>
    <w:r w:rsidR="00EE7639" w:rsidRPr="00EE7639">
      <w:rPr>
        <w:rFonts w:ascii="Times New Roman" w:hAnsi="Times New Roman"/>
        <w:sz w:val="20"/>
        <w:szCs w:val="20"/>
      </w:rPr>
      <w:t>2007.gada 3.jūlija noteikumu Nr.465 "</w:t>
    </w:r>
    <w:r w:rsidR="00EE7639" w:rsidRPr="00EE7639">
      <w:rPr>
        <w:rFonts w:ascii="Times New Roman" w:eastAsia="Times New Roman" w:hAnsi="Times New Roman"/>
        <w:bCs/>
        <w:sz w:val="20"/>
        <w:szCs w:val="20"/>
        <w:lang w:eastAsia="lv-LV"/>
      </w:rPr>
      <w:t>Latvijas Kultūras koledžas nolikums</w:t>
    </w:r>
    <w:r w:rsidR="00EE7639" w:rsidRPr="00EE7639">
      <w:rPr>
        <w:rFonts w:ascii="Times New Roman" w:hAnsi="Times New Roman"/>
        <w:sz w:val="20"/>
        <w:szCs w:val="20"/>
      </w:rPr>
      <w:t xml:space="preserve">" </w:t>
    </w:r>
    <w:r w:rsidR="00EE7639" w:rsidRPr="00EE7639">
      <w:rPr>
        <w:rFonts w:ascii="Times New Roman" w:eastAsia="Times New Roman" w:hAnsi="Times New Roman"/>
        <w:bCs/>
        <w:sz w:val="20"/>
        <w:szCs w:val="20"/>
        <w:lang w:eastAsia="lv-LV"/>
      </w:rPr>
      <w:t>atzīšanu par spēku zaudējušiem</w:t>
    </w:r>
    <w:r w:rsidR="00EE7639" w:rsidRPr="00EE7639">
      <w:rPr>
        <w:rFonts w:ascii="Times New Roman" w:hAnsi="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39" w:rsidRDefault="00EE7639" w:rsidP="00EE7639">
      <w:r>
        <w:separator/>
      </w:r>
    </w:p>
  </w:footnote>
  <w:footnote w:type="continuationSeparator" w:id="0">
    <w:p w:rsidR="00EE7639" w:rsidRDefault="00EE7639" w:rsidP="00EE7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EA" w:rsidRDefault="00A2124D" w:rsidP="00542386">
    <w:pPr>
      <w:pStyle w:val="Galvene"/>
      <w:framePr w:wrap="around" w:vAnchor="text" w:hAnchor="margin" w:xAlign="center" w:y="1"/>
      <w:rPr>
        <w:rStyle w:val="Lappusesnumurs"/>
      </w:rPr>
    </w:pPr>
    <w:r>
      <w:rPr>
        <w:rStyle w:val="Lappusesnumurs"/>
      </w:rPr>
      <w:fldChar w:fldCharType="begin"/>
    </w:r>
    <w:r w:rsidR="00EE7639">
      <w:rPr>
        <w:rStyle w:val="Lappusesnumurs"/>
      </w:rPr>
      <w:instrText xml:space="preserve">PAGE  </w:instrText>
    </w:r>
    <w:r>
      <w:rPr>
        <w:rStyle w:val="Lappusesnumurs"/>
      </w:rPr>
      <w:fldChar w:fldCharType="end"/>
    </w:r>
  </w:p>
  <w:p w:rsidR="00F045EA" w:rsidRDefault="0076662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EA" w:rsidRDefault="00A2124D" w:rsidP="00542386">
    <w:pPr>
      <w:pStyle w:val="Galvene"/>
      <w:framePr w:wrap="around" w:vAnchor="text" w:hAnchor="margin" w:xAlign="center" w:y="1"/>
      <w:rPr>
        <w:rStyle w:val="Lappusesnumurs"/>
      </w:rPr>
    </w:pPr>
    <w:r>
      <w:rPr>
        <w:rStyle w:val="Lappusesnumurs"/>
      </w:rPr>
      <w:fldChar w:fldCharType="begin"/>
    </w:r>
    <w:r w:rsidR="00EE7639">
      <w:rPr>
        <w:rStyle w:val="Lappusesnumurs"/>
      </w:rPr>
      <w:instrText xml:space="preserve">PAGE  </w:instrText>
    </w:r>
    <w:r>
      <w:rPr>
        <w:rStyle w:val="Lappusesnumurs"/>
      </w:rPr>
      <w:fldChar w:fldCharType="separate"/>
    </w:r>
    <w:r w:rsidR="0076662A">
      <w:rPr>
        <w:rStyle w:val="Lappusesnumurs"/>
        <w:noProof/>
      </w:rPr>
      <w:t>2</w:t>
    </w:r>
    <w:r>
      <w:rPr>
        <w:rStyle w:val="Lappusesnumurs"/>
      </w:rPr>
      <w:fldChar w:fldCharType="end"/>
    </w:r>
  </w:p>
  <w:p w:rsidR="00F045EA" w:rsidRDefault="0076662A">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0168F"/>
    <w:rsid w:val="000F29BE"/>
    <w:rsid w:val="001E603F"/>
    <w:rsid w:val="0020168F"/>
    <w:rsid w:val="00276315"/>
    <w:rsid w:val="00373AA1"/>
    <w:rsid w:val="003E260A"/>
    <w:rsid w:val="00546134"/>
    <w:rsid w:val="007327A6"/>
    <w:rsid w:val="00762BA9"/>
    <w:rsid w:val="0076662A"/>
    <w:rsid w:val="008E1B41"/>
    <w:rsid w:val="00A2124D"/>
    <w:rsid w:val="00D70CC9"/>
    <w:rsid w:val="00DC678F"/>
    <w:rsid w:val="00EE76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0168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20168F"/>
    <w:pPr>
      <w:tabs>
        <w:tab w:val="center" w:pos="4153"/>
        <w:tab w:val="right" w:pos="8306"/>
      </w:tabs>
    </w:pPr>
  </w:style>
  <w:style w:type="character" w:customStyle="1" w:styleId="GalveneRakstz">
    <w:name w:val="Galvene Rakstz."/>
    <w:basedOn w:val="Noklusjumarindkopasfonts"/>
    <w:link w:val="Galvene"/>
    <w:rsid w:val="0020168F"/>
    <w:rPr>
      <w:rFonts w:ascii="Times New Roman" w:eastAsia="Times New Roman" w:hAnsi="Times New Roman" w:cs="Times New Roman"/>
      <w:sz w:val="24"/>
      <w:szCs w:val="24"/>
      <w:lang w:eastAsia="lv-LV"/>
    </w:rPr>
  </w:style>
  <w:style w:type="character" w:styleId="Lappusesnumurs">
    <w:name w:val="page number"/>
    <w:basedOn w:val="Noklusjumarindkopasfonts"/>
    <w:rsid w:val="0020168F"/>
  </w:style>
  <w:style w:type="character" w:styleId="Hipersaite">
    <w:name w:val="Hyperlink"/>
    <w:basedOn w:val="Noklusjumarindkopasfonts"/>
    <w:rsid w:val="0020168F"/>
    <w:rPr>
      <w:color w:val="0000FF"/>
      <w:u w:val="single"/>
    </w:rPr>
  </w:style>
  <w:style w:type="paragraph" w:styleId="Pamatteksts">
    <w:name w:val="Body Text"/>
    <w:basedOn w:val="Parastais"/>
    <w:link w:val="PamattekstsRakstz"/>
    <w:rsid w:val="0020168F"/>
    <w:pPr>
      <w:jc w:val="right"/>
    </w:pPr>
    <w:rPr>
      <w:b/>
      <w:bCs/>
      <w:sz w:val="28"/>
      <w:szCs w:val="20"/>
      <w:lang w:eastAsia="en-US"/>
    </w:rPr>
  </w:style>
  <w:style w:type="character" w:customStyle="1" w:styleId="PamattekstsRakstz">
    <w:name w:val="Pamatteksts Rakstz."/>
    <w:basedOn w:val="Noklusjumarindkopasfonts"/>
    <w:link w:val="Pamatteksts"/>
    <w:rsid w:val="0020168F"/>
    <w:rPr>
      <w:rFonts w:ascii="Times New Roman" w:eastAsia="Times New Roman" w:hAnsi="Times New Roman" w:cs="Times New Roman"/>
      <w:b/>
      <w:bCs/>
      <w:sz w:val="28"/>
      <w:szCs w:val="20"/>
    </w:rPr>
  </w:style>
  <w:style w:type="paragraph" w:styleId="Kjene">
    <w:name w:val="footer"/>
    <w:basedOn w:val="Parastais"/>
    <w:link w:val="KjeneRakstz"/>
    <w:rsid w:val="0020168F"/>
    <w:pPr>
      <w:tabs>
        <w:tab w:val="center" w:pos="4153"/>
        <w:tab w:val="right" w:pos="8306"/>
      </w:tabs>
    </w:pPr>
  </w:style>
  <w:style w:type="character" w:customStyle="1" w:styleId="KjeneRakstz">
    <w:name w:val="Kājene Rakstz."/>
    <w:basedOn w:val="Noklusjumarindkopasfonts"/>
    <w:link w:val="Kjene"/>
    <w:rsid w:val="0020168F"/>
    <w:rPr>
      <w:rFonts w:ascii="Times New Roman" w:eastAsia="Times New Roman" w:hAnsi="Times New Roman" w:cs="Times New Roman"/>
      <w:sz w:val="24"/>
      <w:szCs w:val="24"/>
      <w:lang w:eastAsia="lv-LV"/>
    </w:rPr>
  </w:style>
  <w:style w:type="paragraph" w:customStyle="1" w:styleId="naiskr">
    <w:name w:val="naiskr"/>
    <w:basedOn w:val="Parastais"/>
    <w:rsid w:val="0020168F"/>
    <w:pPr>
      <w:spacing w:before="100" w:beforeAutospacing="1" w:after="100" w:afterAutospacing="1"/>
    </w:pPr>
  </w:style>
  <w:style w:type="paragraph" w:customStyle="1" w:styleId="naisf">
    <w:name w:val="naisf"/>
    <w:basedOn w:val="Parastais"/>
    <w:rsid w:val="0020168F"/>
    <w:pPr>
      <w:spacing w:before="75" w:after="75"/>
      <w:ind w:firstLine="375"/>
      <w:jc w:val="both"/>
    </w:pPr>
  </w:style>
  <w:style w:type="paragraph" w:styleId="Pamattekstaatkpe3">
    <w:name w:val="Body Text Indent 3"/>
    <w:basedOn w:val="Parastais"/>
    <w:link w:val="Pamattekstaatkpe3Rakstz"/>
    <w:rsid w:val="0020168F"/>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20168F"/>
    <w:rPr>
      <w:rFonts w:ascii="Times New Roman" w:eastAsia="Times New Roman" w:hAnsi="Times New Roman" w:cs="Times New Roman"/>
      <w:sz w:val="16"/>
      <w:szCs w:val="16"/>
      <w:lang w:val="en-US" w:eastAsia="lv-LV"/>
    </w:rPr>
  </w:style>
  <w:style w:type="paragraph" w:styleId="Pamattekstsaratkpi">
    <w:name w:val="Body Text Indent"/>
    <w:basedOn w:val="Parastais"/>
    <w:link w:val="PamattekstsaratkpiRakstz"/>
    <w:rsid w:val="0020168F"/>
    <w:pPr>
      <w:spacing w:after="120"/>
      <w:ind w:left="283"/>
    </w:pPr>
  </w:style>
  <w:style w:type="character" w:customStyle="1" w:styleId="PamattekstsaratkpiRakstz">
    <w:name w:val="Pamatteksts ar atkāpi Rakstz."/>
    <w:basedOn w:val="Noklusjumarindkopasfonts"/>
    <w:link w:val="Pamattekstsaratkpi"/>
    <w:rsid w:val="0020168F"/>
    <w:rPr>
      <w:rFonts w:ascii="Times New Roman" w:eastAsia="Times New Roman" w:hAnsi="Times New Roman" w:cs="Times New Roman"/>
      <w:sz w:val="24"/>
      <w:szCs w:val="24"/>
      <w:lang w:eastAsia="lv-LV"/>
    </w:rPr>
  </w:style>
  <w:style w:type="paragraph" w:styleId="ParastaisWeb">
    <w:name w:val="Normal (Web)"/>
    <w:basedOn w:val="Parastais"/>
    <w:uiPriority w:val="99"/>
    <w:unhideWhenUsed/>
    <w:rsid w:val="0020168F"/>
    <w:pPr>
      <w:spacing w:before="100" w:beforeAutospacing="1" w:after="100" w:afterAutospacing="1"/>
    </w:pPr>
    <w:rPr>
      <w:rFonts w:ascii="Verdana" w:hAnsi="Verdana"/>
      <w:sz w:val="18"/>
      <w:szCs w:val="18"/>
    </w:rPr>
  </w:style>
  <w:style w:type="paragraph" w:styleId="Bezatstarpm">
    <w:name w:val="No Spacing"/>
    <w:uiPriority w:val="1"/>
    <w:qFormat/>
    <w:rsid w:val="002016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943F-1DC0-4598-A908-4780CB7C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2389</Words>
  <Characters>1363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KMAnot_121011_ Koledza</dc:title>
  <dc:subject>Ministru kabineta noteikumu projekta „Par Ministru kabineta 2007.gada 3.jūlija noteikumu Nr.465 "Latvijas Kultūras koledžas nolikums" atzīšanu par spēku zaudējušiem" sākotnējās ietekmes novērtējuma ziņojums (anotācija)</dc:subject>
  <dc:creator>Juris Šumeiko</dc:creator>
  <dc:description>67330269, juris.sumeiko@km.gov.lv</dc:description>
  <cp:lastModifiedBy>Dzintra Rozīte</cp:lastModifiedBy>
  <cp:revision>7</cp:revision>
  <dcterms:created xsi:type="dcterms:W3CDTF">2011-09-21T11:26:00Z</dcterms:created>
  <dcterms:modified xsi:type="dcterms:W3CDTF">2011-10-13T07:14:00Z</dcterms:modified>
</cp:coreProperties>
</file>