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81" w:rsidRPr="007156D0" w:rsidRDefault="008E126B" w:rsidP="007156D0">
      <w:pPr>
        <w:jc w:val="center"/>
        <w:rPr>
          <w:b/>
        </w:rPr>
      </w:pPr>
      <w:r w:rsidRPr="007156D0">
        <w:rPr>
          <w:rStyle w:val="Strong"/>
        </w:rPr>
        <w:t xml:space="preserve">Ministru kabineta noteikumu projekta </w:t>
      </w:r>
      <w:r w:rsidR="00061F81" w:rsidRPr="007156D0">
        <w:rPr>
          <w:rStyle w:val="Strong"/>
        </w:rPr>
        <w:t>„</w:t>
      </w:r>
      <w:r w:rsidR="00772E47">
        <w:rPr>
          <w:rStyle w:val="Strong"/>
        </w:rPr>
        <w:t xml:space="preserve">Noteikumi par Nacionālā kino centra maksas pakalpojumu cenrādi” </w:t>
      </w:r>
      <w:r w:rsidR="00061F81" w:rsidRPr="007156D0">
        <w:rPr>
          <w:b/>
        </w:rPr>
        <w:t xml:space="preserve">sākotnējās ietekmes novērtējuma </w:t>
      </w:r>
      <w:smartTag w:uri="schemas-tilde-lv/tildestengine" w:element="veidnes">
        <w:smartTagPr>
          <w:attr w:name="text" w:val="ziņojums"/>
          <w:attr w:name="baseform" w:val="ziņojums"/>
          <w:attr w:name="id" w:val="-1"/>
        </w:smartTagPr>
        <w:r w:rsidR="00061F81" w:rsidRPr="007156D0">
          <w:rPr>
            <w:b/>
          </w:rPr>
          <w:t>ziņojums</w:t>
        </w:r>
      </w:smartTag>
      <w:r w:rsidR="00061F81" w:rsidRPr="007156D0">
        <w:rPr>
          <w:b/>
        </w:rPr>
        <w:t xml:space="preserve"> (anotācija)</w:t>
      </w:r>
    </w:p>
    <w:p w:rsidR="00C63C0F" w:rsidRPr="00C63C0F" w:rsidRDefault="00C63C0F" w:rsidP="00061F81">
      <w:pPr>
        <w:pStyle w:val="naislab"/>
        <w:spacing w:before="0" w:after="0"/>
        <w:jc w:val="center"/>
        <w:outlineLvl w:val="0"/>
        <w:rPr>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314501" w:rsidRPr="003074D4" w:rsidTr="00314501">
        <w:tc>
          <w:tcPr>
            <w:tcW w:w="9539" w:type="dxa"/>
            <w:gridSpan w:val="3"/>
          </w:tcPr>
          <w:p w:rsidR="00314501" w:rsidRPr="003074D4" w:rsidRDefault="00314501" w:rsidP="00314501">
            <w:pPr>
              <w:pStyle w:val="naislab"/>
              <w:spacing w:before="0" w:after="0"/>
              <w:jc w:val="center"/>
              <w:outlineLvl w:val="0"/>
              <w:rPr>
                <w:b/>
                <w:sz w:val="22"/>
                <w:szCs w:val="22"/>
              </w:rPr>
            </w:pPr>
            <w:r w:rsidRPr="003074D4">
              <w:rPr>
                <w:b/>
                <w:sz w:val="22"/>
                <w:szCs w:val="22"/>
              </w:rPr>
              <w:t>I. Tiesību akta projekta izstrādes nepieciešamība</w:t>
            </w:r>
          </w:p>
        </w:tc>
      </w:tr>
      <w:tr w:rsidR="00314501" w:rsidRPr="003074D4" w:rsidTr="00314501">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1.</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Pamatojums</w:t>
            </w:r>
          </w:p>
        </w:tc>
        <w:tc>
          <w:tcPr>
            <w:tcW w:w="5939" w:type="dxa"/>
          </w:tcPr>
          <w:p w:rsidR="001169FE" w:rsidRDefault="00772E47" w:rsidP="0080636D">
            <w:pPr>
              <w:jc w:val="both"/>
            </w:pPr>
            <w:r>
              <w:t xml:space="preserve">Likuma par budžetu un finanšu vadību 5.panta </w:t>
            </w:r>
            <w:r w:rsidR="0080636D">
              <w:t>devītā</w:t>
            </w:r>
            <w:r>
              <w:t xml:space="preserve"> daļa</w:t>
            </w:r>
          </w:p>
          <w:p w:rsidR="00ED6BF2" w:rsidRPr="00061F81" w:rsidRDefault="00ED6BF2" w:rsidP="0080636D">
            <w:pPr>
              <w:jc w:val="both"/>
            </w:pPr>
          </w:p>
        </w:tc>
      </w:tr>
      <w:tr w:rsidR="00314501" w:rsidRPr="003074D4" w:rsidTr="00314501">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2.</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Pašreizējā situācija un problēmas</w:t>
            </w:r>
          </w:p>
        </w:tc>
        <w:tc>
          <w:tcPr>
            <w:tcW w:w="5939" w:type="dxa"/>
          </w:tcPr>
          <w:p w:rsidR="008255DD" w:rsidRDefault="008255DD" w:rsidP="00A27B04">
            <w:pPr>
              <w:pStyle w:val="naisf"/>
              <w:spacing w:before="0" w:after="0"/>
              <w:ind w:firstLine="0"/>
              <w:rPr>
                <w:sz w:val="22"/>
                <w:szCs w:val="22"/>
              </w:rPr>
            </w:pPr>
            <w:r>
              <w:rPr>
                <w:sz w:val="22"/>
                <w:szCs w:val="22"/>
              </w:rPr>
              <w:t xml:space="preserve">30.06.2010. spēkā stājās Filmu likums saskaņā ar kura 5.panta pirmo daļu Autortiesību likumā paredzētās licences tādu filmu izmantošanai, kuru autortiesības vai blakustiesības pieder vai piekrīt valstij, izsniedz Nacionālais kino centrs, ja citos likumos nav paredzēts citādi. Savukārt saskaņā ar minētā likuma 5.panta otro daļu Nacionālais kino centrs maksu par filmu izmantošanu nosaka saskaņā ar Ministru </w:t>
            </w:r>
            <w:r w:rsidR="00D374DD">
              <w:rPr>
                <w:sz w:val="22"/>
                <w:szCs w:val="22"/>
              </w:rPr>
              <w:t xml:space="preserve">kabineta noteiktu metodiku. Filmu likuma Pārejas noteikumu 2.punkts nosaka, ka likuma 5.panta otrā daļa stājas spēkā 01.07.2011. </w:t>
            </w:r>
          </w:p>
          <w:p w:rsidR="0061344A" w:rsidRDefault="0061344A" w:rsidP="00A27B04">
            <w:pPr>
              <w:pStyle w:val="naisf"/>
              <w:spacing w:before="0" w:after="0"/>
              <w:ind w:firstLine="0"/>
              <w:rPr>
                <w:sz w:val="22"/>
                <w:szCs w:val="22"/>
              </w:rPr>
            </w:pPr>
          </w:p>
          <w:p w:rsidR="00FD6853" w:rsidRDefault="0061344A" w:rsidP="00A27B04">
            <w:pPr>
              <w:pStyle w:val="naisf"/>
              <w:spacing w:before="0" w:after="0"/>
              <w:ind w:firstLine="0"/>
              <w:rPr>
                <w:sz w:val="22"/>
                <w:szCs w:val="22"/>
              </w:rPr>
            </w:pPr>
            <w:r>
              <w:rPr>
                <w:sz w:val="22"/>
                <w:szCs w:val="22"/>
              </w:rPr>
              <w:t xml:space="preserve">Saskaņā ar Filmu likuma 10.panta trešo daļu Nacionālā kino centra finanšu līdzekļus veido arī pašu ieņēmumi, to skaitā ieņēmumi par sniegtajiem maksas pakalpojumiem. </w:t>
            </w:r>
          </w:p>
          <w:p w:rsidR="008255DD" w:rsidRPr="00BF1E68" w:rsidRDefault="008255DD" w:rsidP="0061344A">
            <w:pPr>
              <w:pStyle w:val="naisf"/>
              <w:spacing w:before="0" w:after="0"/>
              <w:ind w:firstLine="0"/>
              <w:rPr>
                <w:sz w:val="22"/>
                <w:szCs w:val="22"/>
              </w:rPr>
            </w:pPr>
          </w:p>
        </w:tc>
      </w:tr>
      <w:tr w:rsidR="00314501" w:rsidRPr="003074D4" w:rsidTr="00314501">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3.</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Saistītie politikas ietekmes novērtējumi un pētījumi</w:t>
            </w:r>
          </w:p>
        </w:tc>
        <w:tc>
          <w:tcPr>
            <w:tcW w:w="5939" w:type="dxa"/>
          </w:tcPr>
          <w:p w:rsidR="00314501" w:rsidRPr="003074D4" w:rsidRDefault="008816C7" w:rsidP="00314501">
            <w:pPr>
              <w:jc w:val="both"/>
              <w:rPr>
                <w:sz w:val="22"/>
                <w:szCs w:val="22"/>
              </w:rPr>
            </w:pPr>
            <w:r w:rsidRPr="003074D4">
              <w:rPr>
                <w:sz w:val="22"/>
                <w:szCs w:val="22"/>
              </w:rPr>
              <w:t>Nav attiecināms.</w:t>
            </w:r>
          </w:p>
        </w:tc>
      </w:tr>
      <w:tr w:rsidR="00314501" w:rsidRPr="003074D4" w:rsidTr="00314501">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4.</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Tiesiskā regulējuma mērķis un būtība</w:t>
            </w:r>
          </w:p>
        </w:tc>
        <w:tc>
          <w:tcPr>
            <w:tcW w:w="5939" w:type="dxa"/>
          </w:tcPr>
          <w:p w:rsidR="00E15FC5" w:rsidRDefault="0061344A" w:rsidP="00061F81">
            <w:pPr>
              <w:jc w:val="both"/>
              <w:rPr>
                <w:sz w:val="22"/>
                <w:szCs w:val="22"/>
              </w:rPr>
            </w:pPr>
            <w:r>
              <w:rPr>
                <w:sz w:val="22"/>
                <w:szCs w:val="22"/>
              </w:rPr>
              <w:t>Šobrīd Nacionālais kino centrs (turpmāk –Centrs) nesniedz maksas pakalpojumus. Ņemot vērā, ka Filmu likuma Pārejas noteikumu 2.punkts nosaka, ka Filmu likuma 5.panta otrā daļa saskaņā ar kuru Nacionālais kino centrs aprēķina maksu par tādu filmu izmantošanu, kuru autortiesības vai blakustiesības pieder vai piekrīt valstij, stājas spēkā 01.07.2011., nepieciešams atbilstoši Likumam par budžetu un finanšu vadību 5.panta devītajai daļai apstiprināt Centra maksas pakalpojumu cenrādi.</w:t>
            </w:r>
          </w:p>
          <w:p w:rsidR="00E15FC5" w:rsidRDefault="00E15FC5" w:rsidP="00061F81">
            <w:pPr>
              <w:jc w:val="both"/>
              <w:rPr>
                <w:sz w:val="22"/>
                <w:szCs w:val="22"/>
              </w:rPr>
            </w:pPr>
          </w:p>
          <w:p w:rsidR="00E15FC5" w:rsidRDefault="00E15FC5" w:rsidP="00E15FC5">
            <w:pPr>
              <w:pStyle w:val="naisf"/>
              <w:spacing w:before="0" w:after="0"/>
              <w:ind w:firstLine="0"/>
              <w:rPr>
                <w:sz w:val="22"/>
                <w:szCs w:val="22"/>
              </w:rPr>
            </w:pPr>
            <w:r w:rsidRPr="00E06A3B">
              <w:rPr>
                <w:sz w:val="22"/>
                <w:szCs w:val="22"/>
              </w:rPr>
              <w:t xml:space="preserve">Saskaņā ar Likumā par budžetu un finanšu vadību noteikto, maksas pakalpojums ir pasākumu kopums, ko valsts budžeta iestāde ārējos normatīvajos aktos paredzētajos gadījumos veic par samaksu, lai nodrošinātu sabiedrības vajadzību ievērošanu. Savukārt saskaņā ar likuma „Par nodokļiem un nodevām” 2.panta trešo daļu, konkrētu nodokli vai nodevu uzliek </w:t>
            </w:r>
            <w:r w:rsidRPr="006D6460">
              <w:rPr>
                <w:sz w:val="22"/>
                <w:szCs w:val="22"/>
              </w:rPr>
              <w:t xml:space="preserve">saskaņā ar konkrētā nodokļa vai nodevas likumu, kā arī šajā likumā paredzētajos gadījumos </w:t>
            </w:r>
            <w:r w:rsidRPr="00E06A3B">
              <w:rPr>
                <w:sz w:val="22"/>
                <w:szCs w:val="22"/>
              </w:rPr>
              <w:t xml:space="preserve">saskaņā ar Ministru kabineta noteikumiem vai vietējo pašvaldību saistošiem noteikumiem. </w:t>
            </w:r>
          </w:p>
          <w:p w:rsidR="00E15FC5" w:rsidRPr="00E06A3B" w:rsidRDefault="00E15FC5" w:rsidP="00E15FC5">
            <w:pPr>
              <w:pStyle w:val="naisf"/>
              <w:spacing w:before="0" w:after="0"/>
              <w:ind w:firstLine="0"/>
              <w:rPr>
                <w:sz w:val="22"/>
                <w:szCs w:val="22"/>
              </w:rPr>
            </w:pPr>
          </w:p>
          <w:p w:rsidR="00E15FC5" w:rsidRPr="00E06A3B" w:rsidRDefault="00E15FC5" w:rsidP="00E15FC5">
            <w:pPr>
              <w:pStyle w:val="naisf"/>
              <w:spacing w:before="0" w:after="0"/>
              <w:ind w:firstLine="0"/>
              <w:rPr>
                <w:sz w:val="22"/>
                <w:szCs w:val="22"/>
              </w:rPr>
            </w:pPr>
            <w:r w:rsidRPr="00E06A3B">
              <w:rPr>
                <w:sz w:val="22"/>
                <w:szCs w:val="22"/>
              </w:rPr>
              <w:t xml:space="preserve">Konkrētajā gadījumā </w:t>
            </w:r>
            <w:r>
              <w:rPr>
                <w:sz w:val="22"/>
                <w:szCs w:val="22"/>
              </w:rPr>
              <w:t>likums</w:t>
            </w:r>
            <w:r w:rsidRPr="00E06A3B">
              <w:rPr>
                <w:sz w:val="22"/>
                <w:szCs w:val="22"/>
              </w:rPr>
              <w:t xml:space="preserve">, kurš nosaka maksas pakalpojumu ir Filmu likuma 5.panta otrā daļa. Atšķirībā no Filmu likuma 7.pantā noteiktās valsts nodevas par filmu producentu reģistrāciju, likumdevējs Filmu likuma 5.panta otrajā maksas iekasēšanu par tādu filmu izmantošanu, kuru autortiesības vai blakustiesības pieder valstij, nav noteicis kā valsts nodevas objektu. Turklāt vienlaikus ar Filmu likumprojekta virzību Saeimā tika virzīts arī likumprojekts „Grozījumi likumā „Par nodokļiem un nodevām” </w:t>
            </w:r>
            <w:bookmarkStart w:id="0" w:name="mainRow"/>
            <w:r w:rsidRPr="00E06A3B">
              <w:rPr>
                <w:sz w:val="22"/>
                <w:szCs w:val="22"/>
              </w:rPr>
              <w:t>(Saeimas reģ.Nr.1647/Lp9</w:t>
            </w:r>
            <w:bookmarkEnd w:id="0"/>
            <w:r w:rsidRPr="00E06A3B">
              <w:rPr>
                <w:sz w:val="22"/>
                <w:szCs w:val="22"/>
              </w:rPr>
              <w:t xml:space="preserve"> – stājās spēkā vienlaikus ar Filmu likumu 2010.gada 1.jūlijā), saskaņā ar kuru tika noteikta valsts nodeva par filmu producētāju (ražotāju) reģistrāciju (šobrīd spēkā esošā likuma 11.panta </w:t>
            </w:r>
            <w:r>
              <w:rPr>
                <w:sz w:val="22"/>
                <w:szCs w:val="22"/>
              </w:rPr>
              <w:t xml:space="preserve">otrās </w:t>
            </w:r>
            <w:r w:rsidRPr="00E06A3B">
              <w:rPr>
                <w:sz w:val="22"/>
                <w:szCs w:val="22"/>
              </w:rPr>
              <w:t xml:space="preserve">daļas </w:t>
            </w:r>
            <w:r w:rsidRPr="00E06A3B">
              <w:rPr>
                <w:sz w:val="22"/>
                <w:szCs w:val="22"/>
              </w:rPr>
              <w:lastRenderedPageBreak/>
              <w:t>35.punkts</w:t>
            </w:r>
            <w:r>
              <w:rPr>
                <w:sz w:val="22"/>
                <w:szCs w:val="22"/>
              </w:rPr>
              <w:t>), neparedzot</w:t>
            </w:r>
            <w:proofErr w:type="gramStart"/>
            <w:r>
              <w:rPr>
                <w:sz w:val="22"/>
                <w:szCs w:val="22"/>
              </w:rPr>
              <w:t xml:space="preserve"> </w:t>
            </w:r>
            <w:r w:rsidRPr="00E06A3B">
              <w:rPr>
                <w:sz w:val="22"/>
                <w:szCs w:val="22"/>
              </w:rPr>
              <w:t xml:space="preserve"> </w:t>
            </w:r>
            <w:proofErr w:type="gramEnd"/>
            <w:r>
              <w:rPr>
                <w:sz w:val="22"/>
                <w:szCs w:val="22"/>
              </w:rPr>
              <w:t xml:space="preserve">Filmu likuma 5.pantā paredzēto maksu par filmu izmantošanu noteikt kā valsts nodevas objektu. </w:t>
            </w:r>
          </w:p>
          <w:p w:rsidR="0061344A" w:rsidRDefault="00E15FC5" w:rsidP="00E15FC5">
            <w:pPr>
              <w:jc w:val="both"/>
              <w:rPr>
                <w:sz w:val="22"/>
                <w:szCs w:val="22"/>
              </w:rPr>
            </w:pPr>
            <w:r>
              <w:rPr>
                <w:sz w:val="22"/>
                <w:szCs w:val="22"/>
              </w:rPr>
              <w:t>Tādejādi n</w:t>
            </w:r>
            <w:r w:rsidRPr="00E06A3B">
              <w:rPr>
                <w:sz w:val="22"/>
                <w:szCs w:val="22"/>
              </w:rPr>
              <w:t>edz likumā „Par nodokļiem un nodevām”, nedz Filmu likumā nav paredzēta valsts nodevas iekasēšana par tādu filmu izmantošanu, kuru autortiesības vai blakustiesības pieder vai piekr</w:t>
            </w:r>
            <w:r>
              <w:rPr>
                <w:sz w:val="22"/>
                <w:szCs w:val="22"/>
              </w:rPr>
              <w:t xml:space="preserve">īt valstij un konkrētajā gadījumā maksas pakalpojums pilnībā atbilst Likuma par budžetu un finanšu vadību noteiktā maksas pakalpojuma definīcijai. </w:t>
            </w:r>
            <w:r w:rsidR="0061344A">
              <w:rPr>
                <w:sz w:val="22"/>
                <w:szCs w:val="22"/>
              </w:rPr>
              <w:t xml:space="preserve"> </w:t>
            </w:r>
          </w:p>
          <w:p w:rsidR="00E62556" w:rsidRDefault="00E62556" w:rsidP="00E62556">
            <w:pPr>
              <w:jc w:val="both"/>
              <w:rPr>
                <w:sz w:val="22"/>
                <w:szCs w:val="22"/>
              </w:rPr>
            </w:pPr>
          </w:p>
          <w:p w:rsidR="00E62556" w:rsidRDefault="00E62556" w:rsidP="00E62556">
            <w:pPr>
              <w:jc w:val="both"/>
              <w:rPr>
                <w:sz w:val="22"/>
                <w:szCs w:val="22"/>
              </w:rPr>
            </w:pPr>
            <w:r>
              <w:rPr>
                <w:sz w:val="22"/>
                <w:szCs w:val="22"/>
              </w:rPr>
              <w:t>Centra apkopotā statistika liecina, ka šobrīd valstij piederošās vai piekrītošās filmas netiek plaši izmantotas</w:t>
            </w:r>
            <w:r w:rsidR="00743BDA">
              <w:rPr>
                <w:sz w:val="22"/>
                <w:szCs w:val="22"/>
              </w:rPr>
              <w:t xml:space="preserve"> un sabiedrības pieejamība tām ir ierobežota</w:t>
            </w:r>
            <w:r>
              <w:rPr>
                <w:sz w:val="22"/>
                <w:szCs w:val="22"/>
              </w:rPr>
              <w:t xml:space="preserve">, kas skaidrojams gan ar filmu izejmateriālu nepieejamību (daļa no tiem neatrodas Latvijā), gan ar šo izejmateriālu slikto tehnisko stāvokli, kas faktiski neļauj tos </w:t>
            </w:r>
            <w:r w:rsidR="00823801">
              <w:rPr>
                <w:sz w:val="22"/>
                <w:szCs w:val="22"/>
              </w:rPr>
              <w:t xml:space="preserve">plaši publiskot un </w:t>
            </w:r>
            <w:r>
              <w:rPr>
                <w:sz w:val="22"/>
                <w:szCs w:val="22"/>
              </w:rPr>
              <w:t xml:space="preserve">izdot, piemēram, DVD formātā. </w:t>
            </w:r>
            <w:r w:rsidR="00823801">
              <w:rPr>
                <w:sz w:val="22"/>
                <w:szCs w:val="22"/>
              </w:rPr>
              <w:t>Šobrīd v</w:t>
            </w:r>
            <w:r>
              <w:rPr>
                <w:sz w:val="22"/>
                <w:szCs w:val="22"/>
              </w:rPr>
              <w:t>isbiežākais filmu izmantošanas veids ir filmu iekļaušana elektronisko plašsaziņas līdzekļu programmās un raidīšana ēterā</w:t>
            </w:r>
            <w:r w:rsidR="00823801">
              <w:rPr>
                <w:sz w:val="22"/>
                <w:szCs w:val="22"/>
              </w:rPr>
              <w:t xml:space="preserve"> (vidēji 20 filmas gadā)</w:t>
            </w:r>
            <w:r>
              <w:rPr>
                <w:sz w:val="22"/>
                <w:szCs w:val="22"/>
              </w:rPr>
              <w:t xml:space="preserve">. Tomēr ņemot vērā, ka </w:t>
            </w:r>
            <w:r w:rsidR="00823801">
              <w:rPr>
                <w:sz w:val="22"/>
                <w:szCs w:val="22"/>
              </w:rPr>
              <w:t xml:space="preserve">norisinās </w:t>
            </w:r>
            <w:r>
              <w:rPr>
                <w:sz w:val="22"/>
                <w:szCs w:val="22"/>
              </w:rPr>
              <w:t xml:space="preserve">atsevišķu valsts </w:t>
            </w:r>
            <w:r w:rsidR="00823801">
              <w:rPr>
                <w:sz w:val="22"/>
                <w:szCs w:val="22"/>
              </w:rPr>
              <w:t>īpašumā esošo filmu restaurācija un renovācija (2011.gad</w:t>
            </w:r>
            <w:r w:rsidR="002943FA">
              <w:rPr>
                <w:sz w:val="22"/>
                <w:szCs w:val="22"/>
              </w:rPr>
              <w:t xml:space="preserve">ā kopā </w:t>
            </w:r>
            <w:r w:rsidR="00823801">
              <w:rPr>
                <w:sz w:val="22"/>
                <w:szCs w:val="22"/>
              </w:rPr>
              <w:t>būs restaurētas 11 spēlfilmas un 8 animācijas filmas)</w:t>
            </w:r>
            <w:r>
              <w:rPr>
                <w:sz w:val="22"/>
                <w:szCs w:val="22"/>
              </w:rPr>
              <w:t xml:space="preserve">, prognozējams, ka interese par šo filmu izmantošanu nākotnē pieaugs. </w:t>
            </w:r>
          </w:p>
          <w:p w:rsidR="00972F50" w:rsidRDefault="00972F50" w:rsidP="00E62556">
            <w:pPr>
              <w:jc w:val="both"/>
              <w:rPr>
                <w:sz w:val="22"/>
                <w:szCs w:val="22"/>
              </w:rPr>
            </w:pPr>
          </w:p>
          <w:p w:rsidR="006263F2" w:rsidRDefault="006263F2" w:rsidP="00E62556">
            <w:pPr>
              <w:jc w:val="both"/>
              <w:rPr>
                <w:sz w:val="22"/>
                <w:szCs w:val="22"/>
              </w:rPr>
            </w:pPr>
            <w:r>
              <w:rPr>
                <w:sz w:val="22"/>
                <w:szCs w:val="22"/>
              </w:rPr>
              <w:t xml:space="preserve">Šobrīd ar ieņēmumiem no maksas pakalpojumu sniegšanas Centrs nespēj nosegt ar filmu administrēšanu saistītās faktiskās izmaksas. </w:t>
            </w:r>
            <w:r w:rsidR="003C0BB1">
              <w:rPr>
                <w:sz w:val="22"/>
                <w:szCs w:val="22"/>
              </w:rPr>
              <w:t xml:space="preserve">Tādejādi nosakot maksas pakalpojumu cenrādi, jāņem vērā arī šo pakalpojumu sniegšanas primārais mērķis- Latvijas nacionālā audiovizuālā mantojuma pieejamība sabiedrībai. </w:t>
            </w:r>
          </w:p>
          <w:p w:rsidR="0061344A" w:rsidRDefault="0061344A" w:rsidP="00061F81">
            <w:pPr>
              <w:jc w:val="both"/>
              <w:rPr>
                <w:sz w:val="22"/>
                <w:szCs w:val="22"/>
              </w:rPr>
            </w:pPr>
          </w:p>
          <w:p w:rsidR="00D374DD" w:rsidRDefault="00D374DD" w:rsidP="004D6319">
            <w:pPr>
              <w:jc w:val="both"/>
              <w:rPr>
                <w:sz w:val="22"/>
                <w:szCs w:val="22"/>
              </w:rPr>
            </w:pPr>
            <w:r>
              <w:rPr>
                <w:sz w:val="22"/>
                <w:szCs w:val="22"/>
              </w:rPr>
              <w:t>Projekt</w:t>
            </w:r>
            <w:r w:rsidR="0061344A">
              <w:rPr>
                <w:sz w:val="22"/>
                <w:szCs w:val="22"/>
              </w:rPr>
              <w:t>a</w:t>
            </w:r>
            <w:r>
              <w:rPr>
                <w:sz w:val="22"/>
                <w:szCs w:val="22"/>
              </w:rPr>
              <w:t xml:space="preserve"> mērķis ir </w:t>
            </w:r>
            <w:r w:rsidR="0061344A">
              <w:rPr>
                <w:sz w:val="22"/>
                <w:szCs w:val="22"/>
              </w:rPr>
              <w:t xml:space="preserve">noteikt Nacionālā kino centra sniegto maksas pakalpojumu cenrādi. </w:t>
            </w:r>
          </w:p>
          <w:p w:rsidR="004D6319" w:rsidRDefault="004D6319" w:rsidP="004D6319">
            <w:pPr>
              <w:jc w:val="both"/>
              <w:rPr>
                <w:sz w:val="22"/>
                <w:szCs w:val="22"/>
              </w:rPr>
            </w:pPr>
          </w:p>
          <w:p w:rsidR="00D374DD" w:rsidRDefault="00D374DD" w:rsidP="004D6319">
            <w:pPr>
              <w:jc w:val="both"/>
              <w:rPr>
                <w:sz w:val="22"/>
                <w:szCs w:val="22"/>
              </w:rPr>
            </w:pPr>
            <w:r>
              <w:rPr>
                <w:sz w:val="22"/>
                <w:szCs w:val="22"/>
              </w:rPr>
              <w:t xml:space="preserve">Projekts paredz: </w:t>
            </w:r>
          </w:p>
          <w:p w:rsidR="00061F81" w:rsidRPr="00C46DD8" w:rsidRDefault="00061F81" w:rsidP="004D6319">
            <w:pPr>
              <w:pStyle w:val="naiskr"/>
              <w:framePr w:hSpace="180" w:wrap="around" w:vAnchor="text" w:hAnchor="margin" w:xAlign="center" w:y="149"/>
              <w:spacing w:before="0" w:after="0"/>
              <w:jc w:val="both"/>
              <w:rPr>
                <w:sz w:val="22"/>
                <w:szCs w:val="22"/>
              </w:rPr>
            </w:pPr>
            <w:r w:rsidRPr="00C46DD8">
              <w:rPr>
                <w:sz w:val="22"/>
                <w:szCs w:val="22"/>
              </w:rPr>
              <w:t xml:space="preserve">1) </w:t>
            </w:r>
            <w:r w:rsidR="0061344A">
              <w:rPr>
                <w:sz w:val="22"/>
                <w:szCs w:val="22"/>
              </w:rPr>
              <w:t>noteikt konkrētus pakalpojumus (izsniedzamās licences) un maksu par šiem pakalpojumiem</w:t>
            </w:r>
            <w:r w:rsidR="00333288">
              <w:rPr>
                <w:sz w:val="22"/>
                <w:szCs w:val="22"/>
              </w:rPr>
              <w:t xml:space="preserve"> (Projekta pielikums)</w:t>
            </w:r>
            <w:r w:rsidRPr="00C46DD8">
              <w:rPr>
                <w:sz w:val="22"/>
                <w:szCs w:val="22"/>
              </w:rPr>
              <w:t xml:space="preserve">; </w:t>
            </w:r>
          </w:p>
          <w:p w:rsidR="00061F81" w:rsidRPr="00C46DD8" w:rsidRDefault="00061F81" w:rsidP="004D6319">
            <w:pPr>
              <w:pStyle w:val="naiskr"/>
              <w:framePr w:hSpace="180" w:wrap="around" w:vAnchor="text" w:hAnchor="margin" w:xAlign="center" w:y="149"/>
              <w:spacing w:before="0" w:after="0"/>
              <w:jc w:val="both"/>
              <w:rPr>
                <w:sz w:val="22"/>
                <w:szCs w:val="22"/>
              </w:rPr>
            </w:pPr>
            <w:r w:rsidRPr="00C46DD8">
              <w:rPr>
                <w:sz w:val="22"/>
                <w:szCs w:val="22"/>
              </w:rPr>
              <w:t xml:space="preserve">2) noteikt </w:t>
            </w:r>
            <w:r w:rsidR="007601B8">
              <w:rPr>
                <w:sz w:val="22"/>
                <w:szCs w:val="22"/>
              </w:rPr>
              <w:t>maksāšanas kārtību (Projekta 3.-5.punkts)</w:t>
            </w:r>
            <w:r w:rsidRPr="00C46DD8">
              <w:rPr>
                <w:sz w:val="22"/>
                <w:szCs w:val="22"/>
              </w:rPr>
              <w:t xml:space="preserve">; </w:t>
            </w:r>
          </w:p>
          <w:p w:rsidR="006625D0" w:rsidRDefault="00061F81" w:rsidP="004D6319">
            <w:pPr>
              <w:jc w:val="both"/>
              <w:rPr>
                <w:sz w:val="22"/>
                <w:szCs w:val="22"/>
              </w:rPr>
            </w:pPr>
            <w:r w:rsidRPr="00C46DD8">
              <w:rPr>
                <w:sz w:val="22"/>
                <w:szCs w:val="22"/>
              </w:rPr>
              <w:t xml:space="preserve">3) </w:t>
            </w:r>
            <w:r w:rsidR="007601B8">
              <w:rPr>
                <w:sz w:val="22"/>
                <w:szCs w:val="22"/>
              </w:rPr>
              <w:t>noteikt gadījumus, kuros filmas izmantotājam tiek izsniegta bezmaksas licence filmas izmantošanai (Projekta 6.punkts).</w:t>
            </w:r>
          </w:p>
          <w:p w:rsidR="004D6319" w:rsidRDefault="004D6319" w:rsidP="004D6319">
            <w:pPr>
              <w:jc w:val="both"/>
              <w:rPr>
                <w:sz w:val="22"/>
                <w:szCs w:val="22"/>
              </w:rPr>
            </w:pPr>
          </w:p>
          <w:p w:rsidR="004D6319" w:rsidRPr="002A1D55" w:rsidRDefault="00061F81" w:rsidP="004D6319">
            <w:pPr>
              <w:jc w:val="both"/>
              <w:rPr>
                <w:sz w:val="22"/>
                <w:szCs w:val="22"/>
              </w:rPr>
            </w:pPr>
            <w:r w:rsidRPr="002A1D55">
              <w:rPr>
                <w:sz w:val="22"/>
                <w:szCs w:val="22"/>
              </w:rPr>
              <w:t xml:space="preserve">Ar </w:t>
            </w:r>
            <w:r w:rsidR="00D374DD">
              <w:rPr>
                <w:sz w:val="22"/>
                <w:szCs w:val="22"/>
              </w:rPr>
              <w:t xml:space="preserve">Projekta pieņemšanu tiks pilnībā </w:t>
            </w:r>
            <w:r w:rsidR="00025B69">
              <w:rPr>
                <w:sz w:val="22"/>
                <w:szCs w:val="22"/>
              </w:rPr>
              <w:t xml:space="preserve">atrisināta pašreizējā situācija un Centrs būs tiesīgs iekasēt </w:t>
            </w:r>
            <w:r w:rsidR="004D6319">
              <w:rPr>
                <w:sz w:val="22"/>
                <w:szCs w:val="22"/>
              </w:rPr>
              <w:t xml:space="preserve">Projektā noteikto un </w:t>
            </w:r>
            <w:r w:rsidR="00025B69">
              <w:rPr>
                <w:sz w:val="22"/>
                <w:szCs w:val="22"/>
              </w:rPr>
              <w:t xml:space="preserve">Filmu likuma </w:t>
            </w:r>
            <w:r w:rsidR="004D6319">
              <w:rPr>
                <w:sz w:val="22"/>
                <w:szCs w:val="22"/>
              </w:rPr>
              <w:t xml:space="preserve">5.pantā paredzēto maksu par tādu filmu izmantošanu, kuru autortiesības vai blakustiesības pieder vai piekrīt valstij. </w:t>
            </w:r>
            <w:r w:rsidR="004D6319">
              <w:br/>
            </w:r>
          </w:p>
        </w:tc>
      </w:tr>
      <w:tr w:rsidR="00314501" w:rsidRPr="003074D4" w:rsidTr="00314501">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lastRenderedPageBreak/>
              <w:t>5.</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Projekta izstrādē iesaistītās institūcijas</w:t>
            </w:r>
          </w:p>
        </w:tc>
        <w:tc>
          <w:tcPr>
            <w:tcW w:w="5939" w:type="dxa"/>
          </w:tcPr>
          <w:p w:rsidR="00314501" w:rsidRPr="003074D4" w:rsidRDefault="00265C4F" w:rsidP="00314501">
            <w:pPr>
              <w:jc w:val="both"/>
              <w:rPr>
                <w:sz w:val="22"/>
                <w:szCs w:val="22"/>
              </w:rPr>
            </w:pPr>
            <w:r>
              <w:rPr>
                <w:sz w:val="22"/>
                <w:szCs w:val="22"/>
              </w:rPr>
              <w:t xml:space="preserve">Projektu izstrādāja Kultūras ministrijas padotībā esošā valsts pārvaldes iestāde – Nacionālais kino centrs, kurš saskaņā ar Filmu likuma 5.panta pirmajā daļā noteikto ir atbildīgā institūcija </w:t>
            </w:r>
            <w:r w:rsidR="00E35F26">
              <w:rPr>
                <w:sz w:val="22"/>
                <w:szCs w:val="22"/>
              </w:rPr>
              <w:t xml:space="preserve">par licenču izsniegšanu tādu filmu izmantošanai, kuru autortiesības vai blakustiesības pieder vai piekrīt valstij. </w:t>
            </w:r>
          </w:p>
        </w:tc>
      </w:tr>
      <w:tr w:rsidR="00314501" w:rsidRPr="003074D4" w:rsidTr="00314501">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6.</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Iemesli, kādēļ netika nodrošināta sabiedrības līdzdalība</w:t>
            </w:r>
          </w:p>
        </w:tc>
        <w:tc>
          <w:tcPr>
            <w:tcW w:w="5939" w:type="dxa"/>
          </w:tcPr>
          <w:p w:rsidR="00314501" w:rsidRPr="003074D4" w:rsidRDefault="00314501" w:rsidP="00314501">
            <w:pPr>
              <w:jc w:val="both"/>
              <w:rPr>
                <w:sz w:val="22"/>
                <w:szCs w:val="22"/>
              </w:rPr>
            </w:pPr>
            <w:r w:rsidRPr="003074D4">
              <w:rPr>
                <w:sz w:val="22"/>
                <w:szCs w:val="22"/>
              </w:rPr>
              <w:t>Nav attiecināms.</w:t>
            </w:r>
          </w:p>
        </w:tc>
      </w:tr>
      <w:tr w:rsidR="00314501" w:rsidRPr="003074D4" w:rsidTr="00314501">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7.</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Cita informācija</w:t>
            </w:r>
          </w:p>
        </w:tc>
        <w:tc>
          <w:tcPr>
            <w:tcW w:w="5939" w:type="dxa"/>
          </w:tcPr>
          <w:p w:rsidR="00314501" w:rsidRPr="003074D4" w:rsidRDefault="002943FA" w:rsidP="00314501">
            <w:pPr>
              <w:jc w:val="both"/>
              <w:rPr>
                <w:sz w:val="22"/>
                <w:szCs w:val="22"/>
              </w:rPr>
            </w:pPr>
            <w:r>
              <w:rPr>
                <w:sz w:val="22"/>
                <w:szCs w:val="22"/>
              </w:rPr>
              <w:t>Nav.</w:t>
            </w:r>
          </w:p>
        </w:tc>
      </w:tr>
    </w:tbl>
    <w:p w:rsidR="00314501" w:rsidRPr="00CD3986" w:rsidRDefault="00314501" w:rsidP="0031450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314501" w:rsidRPr="003074D4" w:rsidTr="00314501">
        <w:tc>
          <w:tcPr>
            <w:tcW w:w="9539" w:type="dxa"/>
            <w:gridSpan w:val="3"/>
          </w:tcPr>
          <w:p w:rsidR="00314501" w:rsidRPr="003074D4" w:rsidRDefault="00314501" w:rsidP="00314501">
            <w:pPr>
              <w:jc w:val="center"/>
              <w:rPr>
                <w:b/>
                <w:sz w:val="22"/>
                <w:szCs w:val="22"/>
              </w:rPr>
            </w:pPr>
            <w:r w:rsidRPr="003074D4">
              <w:rPr>
                <w:b/>
                <w:sz w:val="22"/>
                <w:szCs w:val="22"/>
              </w:rPr>
              <w:lastRenderedPageBreak/>
              <w:t>II. Tiesību akta projekta ietekme uz sabiedrību</w:t>
            </w:r>
          </w:p>
        </w:tc>
      </w:tr>
      <w:tr w:rsidR="00314501" w:rsidRPr="003074D4" w:rsidTr="00FA3F17">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1.</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Sabiedrības mērķgrupa</w:t>
            </w:r>
          </w:p>
        </w:tc>
        <w:tc>
          <w:tcPr>
            <w:tcW w:w="5939" w:type="dxa"/>
          </w:tcPr>
          <w:p w:rsidR="00140682" w:rsidRPr="003074D4" w:rsidRDefault="00AE749F" w:rsidP="00E04A10">
            <w:pPr>
              <w:pStyle w:val="naiskr"/>
              <w:spacing w:before="0" w:after="0"/>
              <w:jc w:val="both"/>
              <w:rPr>
                <w:sz w:val="22"/>
                <w:szCs w:val="22"/>
              </w:rPr>
            </w:pPr>
            <w:r>
              <w:rPr>
                <w:sz w:val="22"/>
                <w:szCs w:val="22"/>
              </w:rPr>
              <w:t xml:space="preserve">Galvenā </w:t>
            </w:r>
            <w:r w:rsidR="00140682">
              <w:rPr>
                <w:sz w:val="22"/>
                <w:szCs w:val="22"/>
              </w:rPr>
              <w:t>mēr</w:t>
            </w:r>
            <w:r w:rsidR="00B76A92">
              <w:rPr>
                <w:sz w:val="22"/>
                <w:szCs w:val="22"/>
              </w:rPr>
              <w:t>ķgrupa</w:t>
            </w:r>
            <w:r w:rsidR="00140682">
              <w:rPr>
                <w:sz w:val="22"/>
                <w:szCs w:val="22"/>
              </w:rPr>
              <w:t xml:space="preserve"> ir elektroniskie plašsaziņas </w:t>
            </w:r>
            <w:r w:rsidR="00B76A92">
              <w:rPr>
                <w:sz w:val="22"/>
                <w:szCs w:val="22"/>
              </w:rPr>
              <w:t>līdzekļi</w:t>
            </w:r>
            <w:r w:rsidR="00140682">
              <w:rPr>
                <w:sz w:val="22"/>
                <w:szCs w:val="22"/>
              </w:rPr>
              <w:t>, kuri izmanto filmas iekļaušanai savās programmās un raidīšanai ēterā</w:t>
            </w:r>
            <w:r>
              <w:rPr>
                <w:sz w:val="22"/>
                <w:szCs w:val="22"/>
              </w:rPr>
              <w:t xml:space="preserve"> (vidēji gadā saskaņā ar Centra apkopoto statistiku tiek pārraidītas </w:t>
            </w:r>
            <w:r w:rsidR="00E04A10">
              <w:rPr>
                <w:sz w:val="22"/>
                <w:szCs w:val="22"/>
              </w:rPr>
              <w:t>1</w:t>
            </w:r>
            <w:r w:rsidR="005261F7">
              <w:rPr>
                <w:sz w:val="22"/>
                <w:szCs w:val="22"/>
              </w:rPr>
              <w:t>0 filmas</w:t>
            </w:r>
            <w:r w:rsidR="00777FF5">
              <w:rPr>
                <w:sz w:val="22"/>
                <w:szCs w:val="22"/>
              </w:rPr>
              <w:t>, kuru autortiesības vai blakustiesības pieder vai piekrīt valstij</w:t>
            </w:r>
            <w:r w:rsidR="00F928D2">
              <w:rPr>
                <w:sz w:val="22"/>
                <w:szCs w:val="22"/>
              </w:rPr>
              <w:t>; raidīšana ēterā šobrīd ir visbiežāk izmantotais filmu izmantošanas veids</w:t>
            </w:r>
            <w:r w:rsidR="005261F7">
              <w:rPr>
                <w:sz w:val="22"/>
                <w:szCs w:val="22"/>
              </w:rPr>
              <w:t>)</w:t>
            </w:r>
            <w:r w:rsidR="00140682">
              <w:rPr>
                <w:sz w:val="22"/>
                <w:szCs w:val="22"/>
              </w:rPr>
              <w:t xml:space="preserve">. </w:t>
            </w:r>
          </w:p>
        </w:tc>
      </w:tr>
      <w:tr w:rsidR="00314501" w:rsidRPr="003074D4" w:rsidTr="00FA3F17">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2.</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Citas sabiedrības grupas (bez mērķgrupas), kuras tiesiskais regulējums arī ietekmē vai varētu ietekmēt</w:t>
            </w:r>
          </w:p>
        </w:tc>
        <w:tc>
          <w:tcPr>
            <w:tcW w:w="5939" w:type="dxa"/>
          </w:tcPr>
          <w:p w:rsidR="00314501" w:rsidRPr="003074D4" w:rsidRDefault="00CD6292" w:rsidP="00314501">
            <w:pPr>
              <w:jc w:val="both"/>
              <w:rPr>
                <w:sz w:val="22"/>
                <w:szCs w:val="22"/>
              </w:rPr>
            </w:pPr>
            <w:r>
              <w:rPr>
                <w:sz w:val="22"/>
                <w:szCs w:val="22"/>
              </w:rPr>
              <w:t>Projekts attiecas uz jebkuru privātpersonu vai atvasinātu publisku personu, kura vēlēsies izmantot filmas, kuru autortiesības vai blakustiesības pieder vai piekrīt valstij.</w:t>
            </w:r>
          </w:p>
        </w:tc>
      </w:tr>
      <w:tr w:rsidR="00314501" w:rsidRPr="003074D4" w:rsidTr="00FA3F17">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3.</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Tiesiskā regulējuma finansiālā ietekme</w:t>
            </w:r>
          </w:p>
        </w:tc>
        <w:tc>
          <w:tcPr>
            <w:tcW w:w="5939" w:type="dxa"/>
          </w:tcPr>
          <w:p w:rsidR="001A571E" w:rsidRPr="003074D4" w:rsidRDefault="00C87DE8" w:rsidP="002943FA">
            <w:pPr>
              <w:jc w:val="both"/>
              <w:rPr>
                <w:sz w:val="22"/>
                <w:szCs w:val="22"/>
              </w:rPr>
            </w:pPr>
            <w:r>
              <w:rPr>
                <w:sz w:val="22"/>
                <w:szCs w:val="22"/>
              </w:rPr>
              <w:t xml:space="preserve">Ņemot vērā, ka saskaņā ar Filmu likuma 5.panta otro daļu un Pārejas noteikumu 2.punktu, </w:t>
            </w:r>
            <w:r w:rsidR="000F6085">
              <w:rPr>
                <w:sz w:val="22"/>
                <w:szCs w:val="22"/>
              </w:rPr>
              <w:t xml:space="preserve">maksa par filmu izmantošanu piemērojama </w:t>
            </w:r>
            <w:r>
              <w:rPr>
                <w:sz w:val="22"/>
                <w:szCs w:val="22"/>
              </w:rPr>
              <w:t>no 2011.gada 1.jūlija</w:t>
            </w:r>
            <w:r w:rsidR="008F01E2">
              <w:rPr>
                <w:sz w:val="22"/>
                <w:szCs w:val="22"/>
              </w:rPr>
              <w:t xml:space="preserve">, </w:t>
            </w:r>
            <w:r w:rsidR="000F6085">
              <w:rPr>
                <w:sz w:val="22"/>
                <w:szCs w:val="22"/>
              </w:rPr>
              <w:t xml:space="preserve">attiecīgi </w:t>
            </w:r>
            <w:r>
              <w:rPr>
                <w:sz w:val="22"/>
                <w:szCs w:val="22"/>
              </w:rPr>
              <w:t xml:space="preserve">paredzama pozitīva finansiāla ietekme uz </w:t>
            </w:r>
            <w:r w:rsidR="002943FA">
              <w:rPr>
                <w:sz w:val="22"/>
                <w:szCs w:val="22"/>
              </w:rPr>
              <w:t xml:space="preserve">valsts budžetu. </w:t>
            </w:r>
          </w:p>
        </w:tc>
      </w:tr>
      <w:tr w:rsidR="00314501" w:rsidRPr="003074D4" w:rsidTr="00FA3F17">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4.</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Tiesiskā regulējuma nefinansiālā ietekme</w:t>
            </w:r>
          </w:p>
        </w:tc>
        <w:tc>
          <w:tcPr>
            <w:tcW w:w="5939" w:type="dxa"/>
          </w:tcPr>
          <w:p w:rsidR="00314501" w:rsidRPr="003074D4" w:rsidRDefault="00C83626" w:rsidP="00C83626">
            <w:pPr>
              <w:jc w:val="both"/>
              <w:rPr>
                <w:sz w:val="22"/>
                <w:szCs w:val="22"/>
              </w:rPr>
            </w:pPr>
            <w:r>
              <w:rPr>
                <w:sz w:val="22"/>
                <w:szCs w:val="22"/>
              </w:rPr>
              <w:t>Turpinot filmu izejmateriālu iegādi un restaurāciju, kā arī nosakot konkrētus izcenojumus par šo filmu izmantošanu, p</w:t>
            </w:r>
            <w:r w:rsidR="00D40E80">
              <w:rPr>
                <w:sz w:val="22"/>
                <w:szCs w:val="22"/>
              </w:rPr>
              <w:t xml:space="preserve">alielināsies sabiedrībai pieejamo filmu skaits. </w:t>
            </w:r>
          </w:p>
        </w:tc>
      </w:tr>
      <w:tr w:rsidR="00314501" w:rsidRPr="003074D4" w:rsidTr="00FA3F17">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5.</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Administratīvās procedūras raksturojums</w:t>
            </w:r>
          </w:p>
        </w:tc>
        <w:tc>
          <w:tcPr>
            <w:tcW w:w="5939" w:type="dxa"/>
          </w:tcPr>
          <w:p w:rsidR="008F01E2" w:rsidRDefault="00E64909" w:rsidP="00061F81">
            <w:pPr>
              <w:jc w:val="both"/>
              <w:rPr>
                <w:sz w:val="22"/>
                <w:szCs w:val="22"/>
              </w:rPr>
            </w:pPr>
            <w:r>
              <w:rPr>
                <w:sz w:val="22"/>
                <w:szCs w:val="22"/>
              </w:rPr>
              <w:t>Lai varētu veikt filmu izmantošanu, personām nepieciešams saņemt Nacionālā kino centra izsniegtu licenci. Lai izmantotājs saņemtu licenci, Nacionālajā kino centrā būs jāiesniedz iesniegu</w:t>
            </w:r>
            <w:r w:rsidR="008F01E2">
              <w:rPr>
                <w:sz w:val="22"/>
                <w:szCs w:val="22"/>
              </w:rPr>
              <w:t>ms, norādot izmantojamās filmas un</w:t>
            </w:r>
            <w:r>
              <w:rPr>
                <w:sz w:val="22"/>
                <w:szCs w:val="22"/>
              </w:rPr>
              <w:t xml:space="preserve"> izmantošanas veidu. </w:t>
            </w:r>
          </w:p>
          <w:p w:rsidR="00E64909" w:rsidRDefault="00E64909" w:rsidP="00061F81">
            <w:pPr>
              <w:jc w:val="both"/>
              <w:rPr>
                <w:sz w:val="22"/>
                <w:szCs w:val="22"/>
              </w:rPr>
            </w:pPr>
            <w:r>
              <w:rPr>
                <w:sz w:val="22"/>
                <w:szCs w:val="22"/>
              </w:rPr>
              <w:t xml:space="preserve">Pēc iesnieguma saņemšanas Nacionālais kino centrs veiks pārbaudi par to, vai </w:t>
            </w:r>
            <w:r w:rsidR="008F01E2">
              <w:rPr>
                <w:sz w:val="22"/>
                <w:szCs w:val="22"/>
              </w:rPr>
              <w:t xml:space="preserve">attiecīgās </w:t>
            </w:r>
            <w:r>
              <w:rPr>
                <w:sz w:val="22"/>
                <w:szCs w:val="22"/>
              </w:rPr>
              <w:t xml:space="preserve">filmas </w:t>
            </w:r>
            <w:r w:rsidR="008F01E2">
              <w:rPr>
                <w:sz w:val="22"/>
                <w:szCs w:val="22"/>
              </w:rPr>
              <w:t xml:space="preserve">autortiesības vai blakustiesības </w:t>
            </w:r>
            <w:r>
              <w:rPr>
                <w:sz w:val="22"/>
                <w:szCs w:val="22"/>
              </w:rPr>
              <w:t xml:space="preserve">atrodas valsts īpašumā un </w:t>
            </w:r>
            <w:r w:rsidR="008F01E2">
              <w:rPr>
                <w:sz w:val="22"/>
                <w:szCs w:val="22"/>
              </w:rPr>
              <w:t>gadījumā, ja tiks šīs tiesības tiks konstatētas</w:t>
            </w:r>
            <w:r>
              <w:rPr>
                <w:sz w:val="22"/>
                <w:szCs w:val="22"/>
              </w:rPr>
              <w:t xml:space="preserve">, izsniegs </w:t>
            </w:r>
            <w:r w:rsidR="008F01E2">
              <w:rPr>
                <w:sz w:val="22"/>
                <w:szCs w:val="22"/>
              </w:rPr>
              <w:t xml:space="preserve">attiecīgajām personām </w:t>
            </w:r>
            <w:r w:rsidR="00A311F4">
              <w:rPr>
                <w:sz w:val="22"/>
                <w:szCs w:val="22"/>
              </w:rPr>
              <w:t xml:space="preserve">izmantošanas </w:t>
            </w:r>
            <w:r w:rsidR="002452F6">
              <w:rPr>
                <w:sz w:val="22"/>
                <w:szCs w:val="22"/>
              </w:rPr>
              <w:t>licenci</w:t>
            </w:r>
            <w:r w:rsidR="00C83626">
              <w:rPr>
                <w:sz w:val="22"/>
                <w:szCs w:val="22"/>
              </w:rPr>
              <w:t>, iekasējot Projektā paredzēto maksu</w:t>
            </w:r>
            <w:r w:rsidR="002452F6">
              <w:rPr>
                <w:sz w:val="22"/>
                <w:szCs w:val="22"/>
              </w:rPr>
              <w:t>.</w:t>
            </w:r>
          </w:p>
          <w:p w:rsidR="00314501" w:rsidRPr="00772D0C" w:rsidRDefault="00061F81" w:rsidP="00E64909">
            <w:pPr>
              <w:jc w:val="both"/>
              <w:rPr>
                <w:sz w:val="22"/>
                <w:szCs w:val="22"/>
              </w:rPr>
            </w:pPr>
            <w:r w:rsidRPr="00772D0C">
              <w:rPr>
                <w:sz w:val="22"/>
                <w:szCs w:val="22"/>
              </w:rPr>
              <w:t xml:space="preserve">Pēc </w:t>
            </w:r>
            <w:r w:rsidR="00E64909">
              <w:rPr>
                <w:sz w:val="22"/>
                <w:szCs w:val="22"/>
              </w:rPr>
              <w:t xml:space="preserve">licences </w:t>
            </w:r>
            <w:r w:rsidRPr="00772D0C">
              <w:rPr>
                <w:sz w:val="22"/>
                <w:szCs w:val="22"/>
              </w:rPr>
              <w:t xml:space="preserve">saņemšanas </w:t>
            </w:r>
            <w:r w:rsidR="00E64909">
              <w:rPr>
                <w:sz w:val="22"/>
                <w:szCs w:val="22"/>
              </w:rPr>
              <w:t xml:space="preserve">izmantotājs </w:t>
            </w:r>
            <w:r w:rsidRPr="00772D0C">
              <w:rPr>
                <w:sz w:val="22"/>
                <w:szCs w:val="22"/>
              </w:rPr>
              <w:t xml:space="preserve">varēs </w:t>
            </w:r>
            <w:r w:rsidR="00E64909">
              <w:rPr>
                <w:sz w:val="22"/>
                <w:szCs w:val="22"/>
              </w:rPr>
              <w:t xml:space="preserve">izmantot filmas licencē norādītajos veidos un apmērā. Jāatzīmē, ka Nacionālā kino centra izsniegtā licence </w:t>
            </w:r>
            <w:r w:rsidR="00A311F4">
              <w:rPr>
                <w:sz w:val="22"/>
                <w:szCs w:val="22"/>
              </w:rPr>
              <w:t xml:space="preserve">tādu filmu izmantošanai, kuru autortiesības vai blakustiesības pieder vai piekrīt valstij, </w:t>
            </w:r>
            <w:r w:rsidR="00E64909">
              <w:rPr>
                <w:sz w:val="22"/>
                <w:szCs w:val="22"/>
              </w:rPr>
              <w:t>neaizstāj fizisko personu – autoru un/vai blakustiesību subjektu atļauju filmas izmantošanai un otrādi.</w:t>
            </w:r>
          </w:p>
        </w:tc>
      </w:tr>
      <w:tr w:rsidR="00314501" w:rsidRPr="003074D4" w:rsidTr="00FA3F17">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6.</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Administratīvo i</w:t>
            </w:r>
            <w:smartTag w:uri="urn:schemas-microsoft-com:office:smarttags" w:element="PersonName">
              <w:r w:rsidRPr="003074D4">
                <w:rPr>
                  <w:sz w:val="22"/>
                  <w:szCs w:val="22"/>
                </w:rPr>
                <w:t>zm</w:t>
              </w:r>
            </w:smartTag>
            <w:r w:rsidRPr="003074D4">
              <w:rPr>
                <w:sz w:val="22"/>
                <w:szCs w:val="22"/>
              </w:rPr>
              <w:t>aksu monetārs novērtējums</w:t>
            </w:r>
          </w:p>
        </w:tc>
        <w:tc>
          <w:tcPr>
            <w:tcW w:w="5939" w:type="dxa"/>
          </w:tcPr>
          <w:p w:rsidR="00314501" w:rsidRPr="003074D4" w:rsidRDefault="00314501" w:rsidP="00314501">
            <w:pPr>
              <w:jc w:val="both"/>
              <w:rPr>
                <w:sz w:val="22"/>
                <w:szCs w:val="22"/>
              </w:rPr>
            </w:pPr>
            <w:r w:rsidRPr="003074D4">
              <w:rPr>
                <w:sz w:val="22"/>
                <w:szCs w:val="22"/>
              </w:rPr>
              <w:t>Nav attiecināms.</w:t>
            </w:r>
            <w:r w:rsidR="00AE1B6E">
              <w:rPr>
                <w:sz w:val="22"/>
                <w:szCs w:val="22"/>
              </w:rPr>
              <w:t xml:space="preserve"> </w:t>
            </w:r>
          </w:p>
        </w:tc>
      </w:tr>
      <w:tr w:rsidR="00314501" w:rsidRPr="003074D4" w:rsidTr="00FA3F17">
        <w:tc>
          <w:tcPr>
            <w:tcW w:w="540" w:type="dxa"/>
          </w:tcPr>
          <w:p w:rsidR="00314501" w:rsidRPr="003074D4" w:rsidRDefault="00314501" w:rsidP="00314501">
            <w:pPr>
              <w:pStyle w:val="naislab"/>
              <w:spacing w:before="0" w:after="0"/>
              <w:jc w:val="center"/>
              <w:outlineLvl w:val="0"/>
              <w:rPr>
                <w:sz w:val="22"/>
                <w:szCs w:val="22"/>
              </w:rPr>
            </w:pPr>
            <w:r w:rsidRPr="003074D4">
              <w:rPr>
                <w:sz w:val="22"/>
                <w:szCs w:val="22"/>
              </w:rPr>
              <w:t>7.</w:t>
            </w:r>
          </w:p>
        </w:tc>
        <w:tc>
          <w:tcPr>
            <w:tcW w:w="3060" w:type="dxa"/>
          </w:tcPr>
          <w:p w:rsidR="00314501" w:rsidRPr="003074D4" w:rsidRDefault="00314501" w:rsidP="00314501">
            <w:pPr>
              <w:pStyle w:val="naislab"/>
              <w:spacing w:before="0" w:after="0"/>
              <w:jc w:val="both"/>
              <w:outlineLvl w:val="0"/>
              <w:rPr>
                <w:sz w:val="22"/>
                <w:szCs w:val="22"/>
              </w:rPr>
            </w:pPr>
            <w:r w:rsidRPr="003074D4">
              <w:rPr>
                <w:sz w:val="22"/>
                <w:szCs w:val="22"/>
              </w:rPr>
              <w:t>Cita informācija</w:t>
            </w:r>
          </w:p>
        </w:tc>
        <w:tc>
          <w:tcPr>
            <w:tcW w:w="5939" w:type="dxa"/>
          </w:tcPr>
          <w:p w:rsidR="00314501" w:rsidRPr="00F42C60" w:rsidRDefault="00AB1A7C" w:rsidP="00314501">
            <w:pPr>
              <w:jc w:val="both"/>
              <w:rPr>
                <w:sz w:val="22"/>
                <w:szCs w:val="22"/>
              </w:rPr>
            </w:pPr>
            <w:r>
              <w:rPr>
                <w:sz w:val="22"/>
                <w:szCs w:val="22"/>
              </w:rPr>
              <w:t>Nav</w:t>
            </w:r>
          </w:p>
        </w:tc>
      </w:tr>
    </w:tbl>
    <w:p w:rsidR="00314501" w:rsidRPr="00CD3986" w:rsidRDefault="00314501" w:rsidP="00314501"/>
    <w:tbl>
      <w:tblPr>
        <w:tblW w:w="954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277"/>
        <w:gridCol w:w="1278"/>
        <w:gridCol w:w="1272"/>
        <w:gridCol w:w="1272"/>
        <w:gridCol w:w="1272"/>
      </w:tblGrid>
      <w:tr w:rsidR="001851F9" w:rsidRPr="00AF66EB" w:rsidTr="003A6CE3">
        <w:tc>
          <w:tcPr>
            <w:tcW w:w="9542" w:type="dxa"/>
            <w:gridSpan w:val="6"/>
          </w:tcPr>
          <w:p w:rsidR="001851F9" w:rsidRPr="00AF66EB" w:rsidRDefault="00FB60FE" w:rsidP="00AF66EB">
            <w:pPr>
              <w:jc w:val="center"/>
              <w:rPr>
                <w:b/>
                <w:iCs/>
                <w:sz w:val="22"/>
                <w:szCs w:val="22"/>
              </w:rPr>
            </w:pPr>
            <w:r w:rsidRPr="00AF66EB">
              <w:rPr>
                <w:b/>
                <w:bCs/>
                <w:sz w:val="22"/>
                <w:szCs w:val="22"/>
              </w:rPr>
              <w:t>III. Tiesību akta projekta ietekme uz valsts budžetu un pašvaldību budžetiem</w:t>
            </w:r>
          </w:p>
        </w:tc>
      </w:tr>
      <w:tr w:rsidR="0019473A" w:rsidRPr="00AF66EB" w:rsidTr="003A6CE3">
        <w:tc>
          <w:tcPr>
            <w:tcW w:w="3171" w:type="dxa"/>
            <w:vMerge w:val="restart"/>
          </w:tcPr>
          <w:p w:rsidR="0019473A" w:rsidRPr="00AF66EB" w:rsidRDefault="0019473A" w:rsidP="00AF66EB">
            <w:pPr>
              <w:jc w:val="center"/>
              <w:rPr>
                <w:b/>
                <w:iCs/>
              </w:rPr>
            </w:pPr>
            <w:r w:rsidRPr="007C0F2C">
              <w:rPr>
                <w:b/>
                <w:sz w:val="22"/>
                <w:szCs w:val="22"/>
              </w:rPr>
              <w:t>Rādītāji</w:t>
            </w:r>
          </w:p>
        </w:tc>
        <w:tc>
          <w:tcPr>
            <w:tcW w:w="2555" w:type="dxa"/>
            <w:gridSpan w:val="2"/>
            <w:vMerge w:val="restart"/>
          </w:tcPr>
          <w:p w:rsidR="0019473A" w:rsidRPr="00AF66EB" w:rsidRDefault="0049687F" w:rsidP="00AF66EB">
            <w:pPr>
              <w:jc w:val="center"/>
              <w:rPr>
                <w:b/>
                <w:iCs/>
              </w:rPr>
            </w:pPr>
            <w:r>
              <w:rPr>
                <w:b/>
                <w:sz w:val="22"/>
                <w:szCs w:val="22"/>
              </w:rPr>
              <w:t>2011</w:t>
            </w:r>
            <w:r w:rsidR="0019473A">
              <w:rPr>
                <w:b/>
                <w:sz w:val="22"/>
                <w:szCs w:val="22"/>
              </w:rPr>
              <w:t>.gads</w:t>
            </w:r>
          </w:p>
        </w:tc>
        <w:tc>
          <w:tcPr>
            <w:tcW w:w="3816" w:type="dxa"/>
            <w:gridSpan w:val="3"/>
          </w:tcPr>
          <w:p w:rsidR="0019473A" w:rsidRPr="00AF66EB" w:rsidRDefault="0019473A" w:rsidP="00AF66EB">
            <w:pPr>
              <w:jc w:val="center"/>
              <w:rPr>
                <w:b/>
                <w:iCs/>
              </w:rPr>
            </w:pPr>
            <w:r w:rsidRPr="007C0F2C">
              <w:rPr>
                <w:sz w:val="22"/>
                <w:szCs w:val="22"/>
              </w:rPr>
              <w:t>Turpmākie trīs gadi (tūkst</w:t>
            </w:r>
            <w:smartTag w:uri="schemas-tilde-lv/tildestengine" w:element="currency2">
              <w:smartTagPr>
                <w:attr w:name="currency_text" w:val="latu"/>
                <w:attr w:name="currency_value" w:val="."/>
                <w:attr w:name="currency_key" w:val="LVL"/>
                <w:attr w:name="currency_id" w:val="48"/>
              </w:smartTagPr>
              <w:r w:rsidRPr="007C0F2C">
                <w:rPr>
                  <w:sz w:val="22"/>
                  <w:szCs w:val="22"/>
                </w:rPr>
                <w:t>. latu</w:t>
              </w:r>
            </w:smartTag>
            <w:r w:rsidRPr="007C0F2C">
              <w:rPr>
                <w:sz w:val="22"/>
                <w:szCs w:val="22"/>
              </w:rPr>
              <w:t>)</w:t>
            </w:r>
          </w:p>
        </w:tc>
      </w:tr>
      <w:tr w:rsidR="0019473A" w:rsidRPr="00AF66EB" w:rsidTr="003A6CE3">
        <w:tc>
          <w:tcPr>
            <w:tcW w:w="3171" w:type="dxa"/>
            <w:vMerge/>
          </w:tcPr>
          <w:p w:rsidR="0019473A" w:rsidRPr="00AF66EB" w:rsidRDefault="0019473A" w:rsidP="00AF66EB">
            <w:pPr>
              <w:jc w:val="center"/>
              <w:rPr>
                <w:b/>
                <w:iCs/>
              </w:rPr>
            </w:pPr>
          </w:p>
        </w:tc>
        <w:tc>
          <w:tcPr>
            <w:tcW w:w="2555" w:type="dxa"/>
            <w:gridSpan w:val="2"/>
            <w:vMerge/>
          </w:tcPr>
          <w:p w:rsidR="0019473A" w:rsidRPr="00AF66EB" w:rsidRDefault="0019473A" w:rsidP="00AF66EB">
            <w:pPr>
              <w:jc w:val="center"/>
              <w:rPr>
                <w:b/>
                <w:iCs/>
              </w:rPr>
            </w:pPr>
          </w:p>
        </w:tc>
        <w:tc>
          <w:tcPr>
            <w:tcW w:w="1272" w:type="dxa"/>
            <w:vAlign w:val="center"/>
          </w:tcPr>
          <w:p w:rsidR="0019473A" w:rsidRPr="007C0F2C" w:rsidRDefault="0019473A" w:rsidP="0049687F">
            <w:pPr>
              <w:pStyle w:val="naisf"/>
              <w:spacing w:before="0" w:after="0"/>
              <w:ind w:firstLine="0"/>
              <w:jc w:val="center"/>
              <w:rPr>
                <w:b/>
                <w:i/>
                <w:sz w:val="22"/>
                <w:szCs w:val="22"/>
              </w:rPr>
            </w:pPr>
            <w:r>
              <w:rPr>
                <w:b/>
                <w:bCs/>
                <w:sz w:val="22"/>
                <w:szCs w:val="22"/>
              </w:rPr>
              <w:t>201</w:t>
            </w:r>
            <w:r w:rsidR="0049687F">
              <w:rPr>
                <w:b/>
                <w:bCs/>
                <w:sz w:val="22"/>
                <w:szCs w:val="22"/>
              </w:rPr>
              <w:t>2</w:t>
            </w:r>
            <w:r>
              <w:rPr>
                <w:b/>
                <w:bCs/>
                <w:sz w:val="22"/>
                <w:szCs w:val="22"/>
              </w:rPr>
              <w:t>.gads</w:t>
            </w:r>
          </w:p>
        </w:tc>
        <w:tc>
          <w:tcPr>
            <w:tcW w:w="1272" w:type="dxa"/>
            <w:vAlign w:val="center"/>
          </w:tcPr>
          <w:p w:rsidR="0019473A" w:rsidRPr="007C0F2C" w:rsidRDefault="0019473A" w:rsidP="0049687F">
            <w:pPr>
              <w:pStyle w:val="naisf"/>
              <w:spacing w:before="0" w:after="0"/>
              <w:ind w:firstLine="0"/>
              <w:jc w:val="center"/>
              <w:rPr>
                <w:b/>
                <w:i/>
                <w:sz w:val="22"/>
                <w:szCs w:val="22"/>
              </w:rPr>
            </w:pPr>
            <w:r>
              <w:rPr>
                <w:b/>
                <w:bCs/>
                <w:sz w:val="22"/>
                <w:szCs w:val="22"/>
              </w:rPr>
              <w:t>201</w:t>
            </w:r>
            <w:r w:rsidR="0049687F">
              <w:rPr>
                <w:b/>
                <w:bCs/>
                <w:sz w:val="22"/>
                <w:szCs w:val="22"/>
              </w:rPr>
              <w:t>3</w:t>
            </w:r>
            <w:r>
              <w:rPr>
                <w:b/>
                <w:bCs/>
                <w:sz w:val="22"/>
                <w:szCs w:val="22"/>
              </w:rPr>
              <w:t>.gads</w:t>
            </w:r>
          </w:p>
        </w:tc>
        <w:tc>
          <w:tcPr>
            <w:tcW w:w="1272" w:type="dxa"/>
            <w:vAlign w:val="center"/>
          </w:tcPr>
          <w:p w:rsidR="0019473A" w:rsidRPr="007C0F2C" w:rsidRDefault="0049687F" w:rsidP="00E320D0">
            <w:pPr>
              <w:pStyle w:val="naisf"/>
              <w:spacing w:before="0" w:after="0"/>
              <w:ind w:firstLine="0"/>
              <w:jc w:val="center"/>
              <w:rPr>
                <w:b/>
                <w:i/>
                <w:sz w:val="22"/>
                <w:szCs w:val="22"/>
              </w:rPr>
            </w:pPr>
            <w:r>
              <w:rPr>
                <w:b/>
                <w:bCs/>
                <w:sz w:val="22"/>
                <w:szCs w:val="22"/>
              </w:rPr>
              <w:t>2014</w:t>
            </w:r>
            <w:r w:rsidR="0019473A">
              <w:rPr>
                <w:b/>
                <w:bCs/>
                <w:sz w:val="22"/>
                <w:szCs w:val="22"/>
              </w:rPr>
              <w:t>.gads</w:t>
            </w:r>
          </w:p>
        </w:tc>
      </w:tr>
      <w:tr w:rsidR="0019473A" w:rsidRPr="00AF66EB" w:rsidTr="003A6CE3">
        <w:tc>
          <w:tcPr>
            <w:tcW w:w="3171" w:type="dxa"/>
            <w:vMerge/>
          </w:tcPr>
          <w:p w:rsidR="0019473A" w:rsidRPr="00AF66EB" w:rsidRDefault="0019473A" w:rsidP="00AF66EB">
            <w:pPr>
              <w:jc w:val="center"/>
              <w:rPr>
                <w:b/>
                <w:iCs/>
              </w:rPr>
            </w:pPr>
          </w:p>
        </w:tc>
        <w:tc>
          <w:tcPr>
            <w:tcW w:w="1277" w:type="dxa"/>
          </w:tcPr>
          <w:p w:rsidR="0019473A" w:rsidRPr="00AF66EB" w:rsidRDefault="0019473A" w:rsidP="00AF66EB">
            <w:pPr>
              <w:jc w:val="center"/>
              <w:rPr>
                <w:b/>
                <w:iCs/>
              </w:rPr>
            </w:pPr>
            <w:r w:rsidRPr="007C0F2C">
              <w:rPr>
                <w:sz w:val="22"/>
                <w:szCs w:val="22"/>
              </w:rPr>
              <w:t>Saskaņā ar valsts budžetu kārtējam gadam</w:t>
            </w:r>
          </w:p>
        </w:tc>
        <w:tc>
          <w:tcPr>
            <w:tcW w:w="1278" w:type="dxa"/>
          </w:tcPr>
          <w:p w:rsidR="0019473A" w:rsidRPr="00AF66EB" w:rsidRDefault="0019473A" w:rsidP="00AF66EB">
            <w:pPr>
              <w:jc w:val="center"/>
              <w:rPr>
                <w:b/>
                <w:iCs/>
              </w:rPr>
            </w:pPr>
            <w:r w:rsidRPr="007C0F2C">
              <w:rPr>
                <w:sz w:val="22"/>
                <w:szCs w:val="22"/>
              </w:rPr>
              <w:t>I</w:t>
            </w:r>
            <w:smartTag w:uri="urn:schemas-microsoft-com:office:smarttags" w:element="PersonName">
              <w:r w:rsidRPr="007C0F2C">
                <w:rPr>
                  <w:sz w:val="22"/>
                  <w:szCs w:val="22"/>
                </w:rPr>
                <w:t>zm</w:t>
              </w:r>
            </w:smartTag>
            <w:r w:rsidRPr="007C0F2C">
              <w:rPr>
                <w:sz w:val="22"/>
                <w:szCs w:val="22"/>
              </w:rPr>
              <w:t>aiņas kārtējā gadā, salīdzinot ar budžetu kārtējam gadam</w:t>
            </w:r>
          </w:p>
        </w:tc>
        <w:tc>
          <w:tcPr>
            <w:tcW w:w="1272" w:type="dxa"/>
          </w:tcPr>
          <w:p w:rsidR="0019473A" w:rsidRPr="00AF66EB" w:rsidRDefault="0019473A" w:rsidP="00AF66EB">
            <w:pPr>
              <w:jc w:val="center"/>
              <w:rPr>
                <w:b/>
                <w:iCs/>
              </w:rPr>
            </w:pPr>
            <w:r w:rsidRPr="007C0F2C">
              <w:rPr>
                <w:sz w:val="22"/>
                <w:szCs w:val="22"/>
              </w:rPr>
              <w:t>Izmaiņas, salīdzinot ar kārtējo (</w:t>
            </w:r>
            <w:r w:rsidR="0049687F">
              <w:rPr>
                <w:sz w:val="22"/>
                <w:szCs w:val="22"/>
              </w:rPr>
              <w:t>2011</w:t>
            </w:r>
            <w:r>
              <w:rPr>
                <w:sz w:val="22"/>
                <w:szCs w:val="22"/>
              </w:rPr>
              <w:t>.</w:t>
            </w:r>
            <w:r w:rsidRPr="007C0F2C">
              <w:rPr>
                <w:sz w:val="22"/>
                <w:szCs w:val="22"/>
              </w:rPr>
              <w:t>) gadu</w:t>
            </w:r>
          </w:p>
        </w:tc>
        <w:tc>
          <w:tcPr>
            <w:tcW w:w="1272" w:type="dxa"/>
          </w:tcPr>
          <w:p w:rsidR="0019473A" w:rsidRPr="00AF66EB" w:rsidRDefault="0019473A" w:rsidP="00AF66EB">
            <w:pPr>
              <w:jc w:val="center"/>
              <w:rPr>
                <w:b/>
                <w:iCs/>
              </w:rPr>
            </w:pPr>
            <w:r w:rsidRPr="007C0F2C">
              <w:rPr>
                <w:sz w:val="22"/>
                <w:szCs w:val="22"/>
              </w:rPr>
              <w:t>Izmaiņas, salīdzinot ar kārtējo (</w:t>
            </w:r>
            <w:r w:rsidR="0049687F">
              <w:rPr>
                <w:sz w:val="22"/>
                <w:szCs w:val="22"/>
              </w:rPr>
              <w:t>2011</w:t>
            </w:r>
            <w:r>
              <w:rPr>
                <w:sz w:val="22"/>
                <w:szCs w:val="22"/>
              </w:rPr>
              <w:t>.</w:t>
            </w:r>
            <w:r w:rsidRPr="007C0F2C">
              <w:rPr>
                <w:sz w:val="22"/>
                <w:szCs w:val="22"/>
              </w:rPr>
              <w:t>) gadu</w:t>
            </w:r>
          </w:p>
        </w:tc>
        <w:tc>
          <w:tcPr>
            <w:tcW w:w="1272" w:type="dxa"/>
          </w:tcPr>
          <w:p w:rsidR="0019473A" w:rsidRPr="00AF66EB" w:rsidRDefault="0019473A" w:rsidP="0049687F">
            <w:pPr>
              <w:jc w:val="center"/>
              <w:rPr>
                <w:b/>
                <w:iCs/>
              </w:rPr>
            </w:pPr>
            <w:r w:rsidRPr="007C0F2C">
              <w:rPr>
                <w:sz w:val="22"/>
                <w:szCs w:val="22"/>
              </w:rPr>
              <w:t>Izmaiņas, salīdzinot ar kārtējo (</w:t>
            </w:r>
            <w:r>
              <w:rPr>
                <w:sz w:val="22"/>
                <w:szCs w:val="22"/>
              </w:rPr>
              <w:t>201</w:t>
            </w:r>
            <w:r w:rsidR="0049687F">
              <w:rPr>
                <w:sz w:val="22"/>
                <w:szCs w:val="22"/>
              </w:rPr>
              <w:t>1</w:t>
            </w:r>
            <w:r>
              <w:rPr>
                <w:sz w:val="22"/>
                <w:szCs w:val="22"/>
              </w:rPr>
              <w:t>.</w:t>
            </w:r>
            <w:r w:rsidRPr="007C0F2C">
              <w:rPr>
                <w:sz w:val="22"/>
                <w:szCs w:val="22"/>
              </w:rPr>
              <w:t>) gadu</w:t>
            </w:r>
          </w:p>
        </w:tc>
      </w:tr>
      <w:tr w:rsidR="0019473A" w:rsidRPr="00AF66EB" w:rsidTr="003A6CE3">
        <w:tc>
          <w:tcPr>
            <w:tcW w:w="3171" w:type="dxa"/>
            <w:vAlign w:val="center"/>
          </w:tcPr>
          <w:p w:rsidR="0019473A" w:rsidRPr="007C0F2C" w:rsidRDefault="0019473A" w:rsidP="00E320D0">
            <w:pPr>
              <w:pStyle w:val="naisf"/>
              <w:spacing w:before="0" w:after="0"/>
              <w:ind w:firstLine="0"/>
              <w:jc w:val="center"/>
              <w:rPr>
                <w:bCs/>
                <w:sz w:val="22"/>
                <w:szCs w:val="22"/>
              </w:rPr>
            </w:pPr>
            <w:r w:rsidRPr="007C0F2C">
              <w:rPr>
                <w:bCs/>
                <w:sz w:val="22"/>
                <w:szCs w:val="22"/>
              </w:rPr>
              <w:t>1</w:t>
            </w:r>
          </w:p>
        </w:tc>
        <w:tc>
          <w:tcPr>
            <w:tcW w:w="1277" w:type="dxa"/>
            <w:vAlign w:val="center"/>
          </w:tcPr>
          <w:p w:rsidR="0019473A" w:rsidRPr="007C0F2C" w:rsidRDefault="0019473A" w:rsidP="00E320D0">
            <w:pPr>
              <w:pStyle w:val="naisf"/>
              <w:spacing w:before="0" w:after="0"/>
              <w:ind w:firstLine="0"/>
              <w:jc w:val="center"/>
              <w:rPr>
                <w:bCs/>
                <w:sz w:val="22"/>
                <w:szCs w:val="22"/>
              </w:rPr>
            </w:pPr>
            <w:r w:rsidRPr="007C0F2C">
              <w:rPr>
                <w:bCs/>
                <w:sz w:val="22"/>
                <w:szCs w:val="22"/>
              </w:rPr>
              <w:t>2</w:t>
            </w:r>
          </w:p>
        </w:tc>
        <w:tc>
          <w:tcPr>
            <w:tcW w:w="1278" w:type="dxa"/>
            <w:vAlign w:val="center"/>
          </w:tcPr>
          <w:p w:rsidR="0019473A" w:rsidRPr="007C0F2C" w:rsidRDefault="0019473A" w:rsidP="00E320D0">
            <w:pPr>
              <w:pStyle w:val="naisf"/>
              <w:spacing w:before="0" w:after="0"/>
              <w:ind w:firstLine="0"/>
              <w:jc w:val="center"/>
              <w:rPr>
                <w:bCs/>
                <w:sz w:val="22"/>
                <w:szCs w:val="22"/>
              </w:rPr>
            </w:pPr>
            <w:r w:rsidRPr="007C0F2C">
              <w:rPr>
                <w:bCs/>
                <w:sz w:val="22"/>
                <w:szCs w:val="22"/>
              </w:rPr>
              <w:t>3</w:t>
            </w:r>
          </w:p>
        </w:tc>
        <w:tc>
          <w:tcPr>
            <w:tcW w:w="1272" w:type="dxa"/>
            <w:vAlign w:val="center"/>
          </w:tcPr>
          <w:p w:rsidR="0019473A" w:rsidRPr="007C0F2C" w:rsidRDefault="0019473A" w:rsidP="00E320D0">
            <w:pPr>
              <w:pStyle w:val="naisf"/>
              <w:spacing w:before="0" w:after="0"/>
              <w:ind w:firstLine="0"/>
              <w:jc w:val="center"/>
              <w:rPr>
                <w:bCs/>
                <w:sz w:val="22"/>
                <w:szCs w:val="22"/>
              </w:rPr>
            </w:pPr>
            <w:r w:rsidRPr="007C0F2C">
              <w:rPr>
                <w:bCs/>
                <w:sz w:val="22"/>
                <w:szCs w:val="22"/>
              </w:rPr>
              <w:t>4</w:t>
            </w:r>
          </w:p>
        </w:tc>
        <w:tc>
          <w:tcPr>
            <w:tcW w:w="1272" w:type="dxa"/>
            <w:vAlign w:val="center"/>
          </w:tcPr>
          <w:p w:rsidR="0019473A" w:rsidRPr="007C0F2C" w:rsidRDefault="0019473A" w:rsidP="00E320D0">
            <w:pPr>
              <w:pStyle w:val="naisf"/>
              <w:spacing w:before="0" w:after="0"/>
              <w:ind w:firstLine="0"/>
              <w:jc w:val="center"/>
              <w:rPr>
                <w:bCs/>
                <w:sz w:val="22"/>
                <w:szCs w:val="22"/>
              </w:rPr>
            </w:pPr>
            <w:r w:rsidRPr="007C0F2C">
              <w:rPr>
                <w:bCs/>
                <w:sz w:val="22"/>
                <w:szCs w:val="22"/>
              </w:rPr>
              <w:t>5</w:t>
            </w:r>
          </w:p>
        </w:tc>
        <w:tc>
          <w:tcPr>
            <w:tcW w:w="1272" w:type="dxa"/>
            <w:vAlign w:val="center"/>
          </w:tcPr>
          <w:p w:rsidR="0019473A" w:rsidRPr="007C0F2C" w:rsidRDefault="0019473A" w:rsidP="00E320D0">
            <w:pPr>
              <w:pStyle w:val="naisf"/>
              <w:spacing w:before="0" w:after="0"/>
              <w:ind w:firstLine="0"/>
              <w:jc w:val="center"/>
              <w:rPr>
                <w:bCs/>
                <w:sz w:val="22"/>
                <w:szCs w:val="22"/>
              </w:rPr>
            </w:pPr>
            <w:r w:rsidRPr="007C0F2C">
              <w:rPr>
                <w:bCs/>
                <w:sz w:val="22"/>
                <w:szCs w:val="22"/>
              </w:rPr>
              <w:t>6</w:t>
            </w:r>
          </w:p>
        </w:tc>
      </w:tr>
      <w:tr w:rsidR="0019473A" w:rsidRPr="00AF66EB" w:rsidTr="003A6CE3">
        <w:tc>
          <w:tcPr>
            <w:tcW w:w="3171" w:type="dxa"/>
          </w:tcPr>
          <w:p w:rsidR="0019473A" w:rsidRPr="00AF66EB" w:rsidRDefault="0019473A" w:rsidP="0019473A">
            <w:pPr>
              <w:jc w:val="both"/>
              <w:rPr>
                <w:b/>
                <w:iCs/>
              </w:rPr>
            </w:pPr>
            <w:r w:rsidRPr="007C0F2C">
              <w:rPr>
                <w:sz w:val="22"/>
                <w:szCs w:val="22"/>
              </w:rPr>
              <w:t>1. Budžeta ieņēmumi:</w:t>
            </w:r>
          </w:p>
        </w:tc>
        <w:tc>
          <w:tcPr>
            <w:tcW w:w="1277" w:type="dxa"/>
          </w:tcPr>
          <w:p w:rsidR="0019473A" w:rsidRPr="00B403B9" w:rsidRDefault="00FA68F4" w:rsidP="00015541">
            <w:pPr>
              <w:rPr>
                <w:iCs/>
              </w:rPr>
            </w:pPr>
            <w:r>
              <w:rPr>
                <w:iCs/>
              </w:rPr>
              <w:t>1044,01</w:t>
            </w:r>
          </w:p>
        </w:tc>
        <w:tc>
          <w:tcPr>
            <w:tcW w:w="1278" w:type="dxa"/>
          </w:tcPr>
          <w:p w:rsidR="0019473A" w:rsidRPr="00B403B9" w:rsidRDefault="00FA68F4" w:rsidP="00AF66EB">
            <w:pPr>
              <w:jc w:val="center"/>
              <w:rPr>
                <w:iCs/>
              </w:rPr>
            </w:pPr>
            <w:r>
              <w:rPr>
                <w:iCs/>
              </w:rPr>
              <w:t>+3,</w:t>
            </w:r>
            <w:r w:rsidR="00715EE0">
              <w:rPr>
                <w:iCs/>
              </w:rPr>
              <w:t>31</w:t>
            </w:r>
          </w:p>
        </w:tc>
        <w:tc>
          <w:tcPr>
            <w:tcW w:w="1272" w:type="dxa"/>
          </w:tcPr>
          <w:p w:rsidR="0019473A" w:rsidRPr="00CD3986" w:rsidRDefault="00FA68F4" w:rsidP="00AF66EB">
            <w:pPr>
              <w:jc w:val="center"/>
              <w:rPr>
                <w:iCs/>
              </w:rPr>
            </w:pPr>
            <w:r>
              <w:rPr>
                <w:iCs/>
              </w:rPr>
              <w:t>+6,</w:t>
            </w:r>
            <w:r w:rsidR="002E0A98">
              <w:rPr>
                <w:iCs/>
              </w:rPr>
              <w:t>63</w:t>
            </w:r>
          </w:p>
        </w:tc>
        <w:tc>
          <w:tcPr>
            <w:tcW w:w="1272" w:type="dxa"/>
          </w:tcPr>
          <w:p w:rsidR="0019473A" w:rsidRPr="00CD3986" w:rsidRDefault="00FA68F4" w:rsidP="00AF66EB">
            <w:pPr>
              <w:jc w:val="center"/>
              <w:rPr>
                <w:iCs/>
              </w:rPr>
            </w:pPr>
            <w:r>
              <w:rPr>
                <w:iCs/>
              </w:rPr>
              <w:t>+6,</w:t>
            </w:r>
            <w:r w:rsidR="002E0A98">
              <w:rPr>
                <w:iCs/>
              </w:rPr>
              <w:t>63</w:t>
            </w:r>
          </w:p>
        </w:tc>
        <w:tc>
          <w:tcPr>
            <w:tcW w:w="1272" w:type="dxa"/>
          </w:tcPr>
          <w:p w:rsidR="0019473A" w:rsidRPr="00CD3986" w:rsidRDefault="00FA68F4" w:rsidP="00AF66EB">
            <w:pPr>
              <w:jc w:val="center"/>
              <w:rPr>
                <w:iCs/>
              </w:rPr>
            </w:pPr>
            <w:r>
              <w:rPr>
                <w:iCs/>
              </w:rPr>
              <w:t>+6,</w:t>
            </w:r>
            <w:r w:rsidR="002E0A98">
              <w:rPr>
                <w:iCs/>
              </w:rPr>
              <w:t>63</w:t>
            </w:r>
          </w:p>
        </w:tc>
      </w:tr>
      <w:tr w:rsidR="0019473A" w:rsidRPr="00AF66EB" w:rsidTr="003A6CE3">
        <w:tc>
          <w:tcPr>
            <w:tcW w:w="3171" w:type="dxa"/>
          </w:tcPr>
          <w:p w:rsidR="0019473A" w:rsidRPr="00015541" w:rsidRDefault="0019473A" w:rsidP="0019473A">
            <w:pPr>
              <w:jc w:val="both"/>
              <w:rPr>
                <w:b/>
                <w:iCs/>
              </w:rPr>
            </w:pPr>
            <w:r w:rsidRPr="00015541">
              <w:rPr>
                <w:sz w:val="22"/>
                <w:szCs w:val="22"/>
              </w:rPr>
              <w:t>1.1. valsts pamatbudžets, tai sk</w:t>
            </w:r>
            <w:r w:rsidR="009A3C68" w:rsidRPr="00015541">
              <w:rPr>
                <w:sz w:val="22"/>
                <w:szCs w:val="22"/>
              </w:rPr>
              <w:t>aitā ieņēmumi no maksas pakalpo</w:t>
            </w:r>
            <w:r w:rsidRPr="00015541">
              <w:rPr>
                <w:sz w:val="22"/>
                <w:szCs w:val="22"/>
              </w:rPr>
              <w:t>jumiem un citi pašu ieņēmumi</w:t>
            </w:r>
          </w:p>
        </w:tc>
        <w:tc>
          <w:tcPr>
            <w:tcW w:w="1277" w:type="dxa"/>
          </w:tcPr>
          <w:p w:rsidR="0019473A" w:rsidRPr="00B403B9" w:rsidRDefault="00FA68F4" w:rsidP="00015541">
            <w:pPr>
              <w:rPr>
                <w:iCs/>
              </w:rPr>
            </w:pPr>
            <w:r>
              <w:rPr>
                <w:iCs/>
              </w:rPr>
              <w:t>1044,01</w:t>
            </w:r>
          </w:p>
        </w:tc>
        <w:tc>
          <w:tcPr>
            <w:tcW w:w="1278" w:type="dxa"/>
          </w:tcPr>
          <w:p w:rsidR="0019473A" w:rsidRPr="00B403B9" w:rsidRDefault="002E0A98" w:rsidP="002E0A98">
            <w:pPr>
              <w:jc w:val="center"/>
              <w:rPr>
                <w:iCs/>
              </w:rPr>
            </w:pPr>
            <w:r>
              <w:rPr>
                <w:iCs/>
              </w:rPr>
              <w:t>+3</w:t>
            </w:r>
            <w:r w:rsidR="00FA68F4">
              <w:rPr>
                <w:iCs/>
              </w:rPr>
              <w:t>,</w:t>
            </w:r>
            <w:r>
              <w:rPr>
                <w:iCs/>
              </w:rPr>
              <w:t>31</w:t>
            </w:r>
          </w:p>
        </w:tc>
        <w:tc>
          <w:tcPr>
            <w:tcW w:w="1272" w:type="dxa"/>
          </w:tcPr>
          <w:p w:rsidR="0019473A" w:rsidRPr="00CD3986" w:rsidRDefault="00FA68F4" w:rsidP="00AF66EB">
            <w:pPr>
              <w:jc w:val="center"/>
              <w:rPr>
                <w:iCs/>
              </w:rPr>
            </w:pPr>
            <w:r>
              <w:rPr>
                <w:iCs/>
              </w:rPr>
              <w:t>+6,</w:t>
            </w:r>
            <w:r w:rsidR="002E0A98">
              <w:rPr>
                <w:iCs/>
              </w:rPr>
              <w:t>63</w:t>
            </w:r>
          </w:p>
        </w:tc>
        <w:tc>
          <w:tcPr>
            <w:tcW w:w="1272" w:type="dxa"/>
          </w:tcPr>
          <w:p w:rsidR="0019473A" w:rsidRPr="00CD3986" w:rsidRDefault="00FA68F4" w:rsidP="00AF66EB">
            <w:pPr>
              <w:jc w:val="center"/>
              <w:rPr>
                <w:iCs/>
              </w:rPr>
            </w:pPr>
            <w:r>
              <w:rPr>
                <w:iCs/>
              </w:rPr>
              <w:t>+6,</w:t>
            </w:r>
            <w:r w:rsidR="002E0A98">
              <w:rPr>
                <w:iCs/>
              </w:rPr>
              <w:t>63</w:t>
            </w:r>
          </w:p>
        </w:tc>
        <w:tc>
          <w:tcPr>
            <w:tcW w:w="1272" w:type="dxa"/>
          </w:tcPr>
          <w:p w:rsidR="0019473A" w:rsidRPr="00CD3986" w:rsidRDefault="00FA68F4" w:rsidP="00AF66EB">
            <w:pPr>
              <w:jc w:val="center"/>
              <w:rPr>
                <w:iCs/>
              </w:rPr>
            </w:pPr>
            <w:r>
              <w:rPr>
                <w:iCs/>
              </w:rPr>
              <w:t>+6,</w:t>
            </w:r>
            <w:r w:rsidR="002E0A98">
              <w:rPr>
                <w:iCs/>
              </w:rPr>
              <w:t>63</w:t>
            </w:r>
          </w:p>
        </w:tc>
      </w:tr>
      <w:tr w:rsidR="0019473A" w:rsidRPr="00AF66EB" w:rsidTr="003A6CE3">
        <w:tc>
          <w:tcPr>
            <w:tcW w:w="3171" w:type="dxa"/>
          </w:tcPr>
          <w:p w:rsidR="0019473A" w:rsidRPr="00015541" w:rsidRDefault="0019473A" w:rsidP="0019473A">
            <w:pPr>
              <w:jc w:val="both"/>
              <w:rPr>
                <w:b/>
                <w:iCs/>
              </w:rPr>
            </w:pPr>
            <w:r w:rsidRPr="00015541">
              <w:rPr>
                <w:sz w:val="22"/>
                <w:szCs w:val="22"/>
              </w:rPr>
              <w:lastRenderedPageBreak/>
              <w:t>1.2. valsts speciālais budžets</w:t>
            </w:r>
          </w:p>
        </w:tc>
        <w:tc>
          <w:tcPr>
            <w:tcW w:w="1277" w:type="dxa"/>
          </w:tcPr>
          <w:p w:rsidR="0019473A" w:rsidRPr="00B403B9" w:rsidRDefault="00715EE0" w:rsidP="00015541">
            <w:pPr>
              <w:rPr>
                <w:iCs/>
              </w:rPr>
            </w:pPr>
            <w:r>
              <w:rPr>
                <w:iCs/>
              </w:rPr>
              <w:t>0</w:t>
            </w:r>
          </w:p>
        </w:tc>
        <w:tc>
          <w:tcPr>
            <w:tcW w:w="1278" w:type="dxa"/>
          </w:tcPr>
          <w:p w:rsidR="0019473A" w:rsidRPr="00B403B9" w:rsidRDefault="00715EE0" w:rsidP="00AF66EB">
            <w:pPr>
              <w:jc w:val="center"/>
              <w:rPr>
                <w:iCs/>
              </w:rPr>
            </w:pPr>
            <w:r>
              <w:rPr>
                <w:iCs/>
              </w:rPr>
              <w:t>0</w:t>
            </w:r>
          </w:p>
        </w:tc>
        <w:tc>
          <w:tcPr>
            <w:tcW w:w="1272" w:type="dxa"/>
          </w:tcPr>
          <w:p w:rsidR="0019473A" w:rsidRPr="00CD3986" w:rsidRDefault="00715EE0" w:rsidP="00AF66EB">
            <w:pPr>
              <w:jc w:val="center"/>
              <w:rPr>
                <w:iCs/>
              </w:rPr>
            </w:pPr>
            <w:r>
              <w:rPr>
                <w:iCs/>
              </w:rPr>
              <w:t>0</w:t>
            </w:r>
          </w:p>
        </w:tc>
        <w:tc>
          <w:tcPr>
            <w:tcW w:w="1272" w:type="dxa"/>
          </w:tcPr>
          <w:p w:rsidR="0019473A" w:rsidRPr="00CD3986" w:rsidRDefault="00715EE0" w:rsidP="00AF66EB">
            <w:pPr>
              <w:jc w:val="center"/>
              <w:rPr>
                <w:iCs/>
              </w:rPr>
            </w:pPr>
            <w:r>
              <w:rPr>
                <w:iCs/>
              </w:rPr>
              <w:t>0</w:t>
            </w:r>
          </w:p>
        </w:tc>
        <w:tc>
          <w:tcPr>
            <w:tcW w:w="1272" w:type="dxa"/>
          </w:tcPr>
          <w:p w:rsidR="0019473A" w:rsidRPr="00CD3986" w:rsidRDefault="00715EE0" w:rsidP="00AF66EB">
            <w:pPr>
              <w:jc w:val="center"/>
              <w:rPr>
                <w:iCs/>
              </w:rPr>
            </w:pPr>
            <w:r>
              <w:rPr>
                <w:iCs/>
              </w:rPr>
              <w:t>0</w:t>
            </w:r>
          </w:p>
        </w:tc>
      </w:tr>
      <w:tr w:rsidR="0019473A" w:rsidRPr="00AF66EB" w:rsidTr="003A6CE3">
        <w:tc>
          <w:tcPr>
            <w:tcW w:w="3171" w:type="dxa"/>
          </w:tcPr>
          <w:p w:rsidR="0019473A" w:rsidRPr="00015541" w:rsidRDefault="0019473A" w:rsidP="0019473A">
            <w:pPr>
              <w:jc w:val="both"/>
              <w:rPr>
                <w:b/>
                <w:iCs/>
              </w:rPr>
            </w:pPr>
            <w:r w:rsidRPr="00015541">
              <w:rPr>
                <w:sz w:val="22"/>
                <w:szCs w:val="22"/>
              </w:rPr>
              <w:t>1.3. pašvaldību budžets</w:t>
            </w:r>
          </w:p>
        </w:tc>
        <w:tc>
          <w:tcPr>
            <w:tcW w:w="1277" w:type="dxa"/>
          </w:tcPr>
          <w:p w:rsidR="0019473A" w:rsidRPr="00B403B9" w:rsidRDefault="00715EE0" w:rsidP="00015541">
            <w:pPr>
              <w:rPr>
                <w:iCs/>
              </w:rPr>
            </w:pPr>
            <w:r>
              <w:rPr>
                <w:iCs/>
              </w:rPr>
              <w:t>0</w:t>
            </w:r>
          </w:p>
        </w:tc>
        <w:tc>
          <w:tcPr>
            <w:tcW w:w="1278" w:type="dxa"/>
          </w:tcPr>
          <w:p w:rsidR="0019473A" w:rsidRPr="00B403B9" w:rsidRDefault="00715EE0" w:rsidP="00AF66EB">
            <w:pPr>
              <w:jc w:val="center"/>
              <w:rPr>
                <w:iCs/>
              </w:rPr>
            </w:pPr>
            <w:r>
              <w:rPr>
                <w:iCs/>
              </w:rPr>
              <w:t>0</w:t>
            </w:r>
          </w:p>
        </w:tc>
        <w:tc>
          <w:tcPr>
            <w:tcW w:w="1272" w:type="dxa"/>
          </w:tcPr>
          <w:p w:rsidR="0019473A" w:rsidRPr="00CD3986" w:rsidRDefault="00715EE0" w:rsidP="00AF66EB">
            <w:pPr>
              <w:jc w:val="center"/>
              <w:rPr>
                <w:iCs/>
              </w:rPr>
            </w:pPr>
            <w:r>
              <w:rPr>
                <w:iCs/>
              </w:rPr>
              <w:t>0</w:t>
            </w:r>
          </w:p>
        </w:tc>
        <w:tc>
          <w:tcPr>
            <w:tcW w:w="1272" w:type="dxa"/>
          </w:tcPr>
          <w:p w:rsidR="0019473A" w:rsidRPr="00CD3986" w:rsidRDefault="00715EE0" w:rsidP="00AF66EB">
            <w:pPr>
              <w:jc w:val="center"/>
              <w:rPr>
                <w:iCs/>
              </w:rPr>
            </w:pPr>
            <w:r>
              <w:rPr>
                <w:iCs/>
              </w:rPr>
              <w:t>0</w:t>
            </w:r>
          </w:p>
        </w:tc>
        <w:tc>
          <w:tcPr>
            <w:tcW w:w="1272" w:type="dxa"/>
          </w:tcPr>
          <w:p w:rsidR="0019473A" w:rsidRPr="00CD3986" w:rsidRDefault="00715EE0" w:rsidP="00AF66EB">
            <w:pPr>
              <w:jc w:val="center"/>
              <w:rPr>
                <w:iCs/>
              </w:rPr>
            </w:pPr>
            <w:r>
              <w:rPr>
                <w:iCs/>
              </w:rPr>
              <w:t>0</w:t>
            </w:r>
          </w:p>
        </w:tc>
      </w:tr>
      <w:tr w:rsidR="00EF40BF" w:rsidRPr="00AF66EB" w:rsidTr="003A6CE3">
        <w:tc>
          <w:tcPr>
            <w:tcW w:w="3171" w:type="dxa"/>
          </w:tcPr>
          <w:p w:rsidR="00EF40BF" w:rsidRPr="00AF66EB" w:rsidRDefault="00EF40BF" w:rsidP="0019473A">
            <w:pPr>
              <w:jc w:val="both"/>
              <w:rPr>
                <w:b/>
                <w:iCs/>
              </w:rPr>
            </w:pPr>
            <w:r w:rsidRPr="007C0F2C">
              <w:rPr>
                <w:sz w:val="22"/>
                <w:szCs w:val="22"/>
              </w:rPr>
              <w:t>2. Budžeta izdevumi:</w:t>
            </w:r>
          </w:p>
        </w:tc>
        <w:tc>
          <w:tcPr>
            <w:tcW w:w="1277" w:type="dxa"/>
          </w:tcPr>
          <w:p w:rsidR="00EF40BF" w:rsidRPr="00B403B9" w:rsidRDefault="00EF40BF" w:rsidP="00A766BE">
            <w:pPr>
              <w:rPr>
                <w:iCs/>
              </w:rPr>
            </w:pPr>
            <w:r>
              <w:rPr>
                <w:iCs/>
              </w:rPr>
              <w:t>1044,01</w:t>
            </w:r>
          </w:p>
        </w:tc>
        <w:tc>
          <w:tcPr>
            <w:tcW w:w="1278" w:type="dxa"/>
          </w:tcPr>
          <w:p w:rsidR="00EF40BF" w:rsidRPr="00B403B9" w:rsidRDefault="00EF40BF" w:rsidP="00A766BE">
            <w:pPr>
              <w:jc w:val="center"/>
              <w:rPr>
                <w:iCs/>
              </w:rPr>
            </w:pPr>
            <w:r>
              <w:rPr>
                <w:iCs/>
              </w:rPr>
              <w:t>+3,31</w:t>
            </w:r>
          </w:p>
        </w:tc>
        <w:tc>
          <w:tcPr>
            <w:tcW w:w="1272" w:type="dxa"/>
          </w:tcPr>
          <w:p w:rsidR="00EF40BF" w:rsidRPr="00CD3986" w:rsidRDefault="00EF40BF" w:rsidP="00A766BE">
            <w:pPr>
              <w:jc w:val="center"/>
              <w:rPr>
                <w:iCs/>
              </w:rPr>
            </w:pPr>
            <w:r>
              <w:rPr>
                <w:iCs/>
              </w:rPr>
              <w:t>+6,63</w:t>
            </w:r>
          </w:p>
        </w:tc>
        <w:tc>
          <w:tcPr>
            <w:tcW w:w="1272" w:type="dxa"/>
          </w:tcPr>
          <w:p w:rsidR="00EF40BF" w:rsidRPr="00CD3986" w:rsidRDefault="00EF40BF" w:rsidP="00A766BE">
            <w:pPr>
              <w:jc w:val="center"/>
              <w:rPr>
                <w:iCs/>
              </w:rPr>
            </w:pPr>
            <w:r>
              <w:rPr>
                <w:iCs/>
              </w:rPr>
              <w:t>+6,63</w:t>
            </w:r>
          </w:p>
        </w:tc>
        <w:tc>
          <w:tcPr>
            <w:tcW w:w="1272" w:type="dxa"/>
          </w:tcPr>
          <w:p w:rsidR="00EF40BF" w:rsidRPr="00CD3986" w:rsidRDefault="00EF40BF" w:rsidP="00A766BE">
            <w:pPr>
              <w:jc w:val="center"/>
              <w:rPr>
                <w:iCs/>
              </w:rPr>
            </w:pPr>
            <w:r>
              <w:rPr>
                <w:iCs/>
              </w:rPr>
              <w:t>+6,63</w:t>
            </w:r>
          </w:p>
        </w:tc>
      </w:tr>
      <w:tr w:rsidR="00EF40BF" w:rsidRPr="00AF66EB" w:rsidTr="003A6CE3">
        <w:tc>
          <w:tcPr>
            <w:tcW w:w="3171" w:type="dxa"/>
          </w:tcPr>
          <w:p w:rsidR="00EF40BF" w:rsidRPr="00015541" w:rsidRDefault="00EF40BF" w:rsidP="0019473A">
            <w:pPr>
              <w:jc w:val="both"/>
              <w:rPr>
                <w:b/>
                <w:iCs/>
              </w:rPr>
            </w:pPr>
            <w:r w:rsidRPr="00015541">
              <w:rPr>
                <w:sz w:val="22"/>
                <w:szCs w:val="22"/>
              </w:rPr>
              <w:t>2.1. valsts pamatbudžets</w:t>
            </w:r>
          </w:p>
        </w:tc>
        <w:tc>
          <w:tcPr>
            <w:tcW w:w="1277" w:type="dxa"/>
          </w:tcPr>
          <w:p w:rsidR="00EF40BF" w:rsidRPr="00B403B9" w:rsidRDefault="00EF40BF" w:rsidP="00A766BE">
            <w:pPr>
              <w:rPr>
                <w:iCs/>
              </w:rPr>
            </w:pPr>
            <w:r>
              <w:rPr>
                <w:iCs/>
              </w:rPr>
              <w:t>1044,01</w:t>
            </w:r>
          </w:p>
        </w:tc>
        <w:tc>
          <w:tcPr>
            <w:tcW w:w="1278" w:type="dxa"/>
          </w:tcPr>
          <w:p w:rsidR="00EF40BF" w:rsidRPr="00B403B9" w:rsidRDefault="00EF40BF" w:rsidP="00A766BE">
            <w:pPr>
              <w:jc w:val="center"/>
              <w:rPr>
                <w:iCs/>
              </w:rPr>
            </w:pPr>
            <w:r>
              <w:rPr>
                <w:iCs/>
              </w:rPr>
              <w:t>+3,31</w:t>
            </w:r>
          </w:p>
        </w:tc>
        <w:tc>
          <w:tcPr>
            <w:tcW w:w="1272" w:type="dxa"/>
          </w:tcPr>
          <w:p w:rsidR="00EF40BF" w:rsidRPr="00CD3986" w:rsidRDefault="00EF40BF" w:rsidP="00A766BE">
            <w:pPr>
              <w:jc w:val="center"/>
              <w:rPr>
                <w:iCs/>
              </w:rPr>
            </w:pPr>
            <w:r>
              <w:rPr>
                <w:iCs/>
              </w:rPr>
              <w:t>+6,63</w:t>
            </w:r>
          </w:p>
        </w:tc>
        <w:tc>
          <w:tcPr>
            <w:tcW w:w="1272" w:type="dxa"/>
          </w:tcPr>
          <w:p w:rsidR="00EF40BF" w:rsidRPr="00CD3986" w:rsidRDefault="00EF40BF" w:rsidP="00A766BE">
            <w:pPr>
              <w:jc w:val="center"/>
              <w:rPr>
                <w:iCs/>
              </w:rPr>
            </w:pPr>
            <w:r>
              <w:rPr>
                <w:iCs/>
              </w:rPr>
              <w:t>+6,63</w:t>
            </w:r>
          </w:p>
        </w:tc>
        <w:tc>
          <w:tcPr>
            <w:tcW w:w="1272" w:type="dxa"/>
          </w:tcPr>
          <w:p w:rsidR="00EF40BF" w:rsidRPr="00CD3986" w:rsidRDefault="00EF40BF" w:rsidP="00A766BE">
            <w:pPr>
              <w:jc w:val="center"/>
              <w:rPr>
                <w:iCs/>
              </w:rPr>
            </w:pPr>
            <w:r>
              <w:rPr>
                <w:iCs/>
              </w:rPr>
              <w:t>+6,63</w:t>
            </w:r>
          </w:p>
        </w:tc>
      </w:tr>
      <w:tr w:rsidR="0019473A" w:rsidRPr="00AF66EB" w:rsidTr="003A6CE3">
        <w:tc>
          <w:tcPr>
            <w:tcW w:w="3171" w:type="dxa"/>
          </w:tcPr>
          <w:p w:rsidR="0019473A" w:rsidRPr="007C0F2C" w:rsidRDefault="0019473A" w:rsidP="00E320D0">
            <w:pPr>
              <w:jc w:val="both"/>
              <w:rPr>
                <w:sz w:val="22"/>
                <w:szCs w:val="22"/>
              </w:rPr>
            </w:pPr>
            <w:r w:rsidRPr="007C0F2C">
              <w:rPr>
                <w:sz w:val="22"/>
                <w:szCs w:val="22"/>
              </w:rPr>
              <w:t>2.2. valsts speciālais budžets</w:t>
            </w:r>
          </w:p>
        </w:tc>
        <w:tc>
          <w:tcPr>
            <w:tcW w:w="1277" w:type="dxa"/>
          </w:tcPr>
          <w:p w:rsidR="0019473A" w:rsidRPr="00AE418F" w:rsidRDefault="00AE418F" w:rsidP="00AE418F">
            <w:pPr>
              <w:jc w:val="center"/>
              <w:rPr>
                <w:iCs/>
              </w:rPr>
            </w:pPr>
            <w:r w:rsidRPr="00AE418F">
              <w:rPr>
                <w:iCs/>
              </w:rPr>
              <w:t>0</w:t>
            </w:r>
          </w:p>
        </w:tc>
        <w:tc>
          <w:tcPr>
            <w:tcW w:w="1278"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r>
      <w:tr w:rsidR="0019473A" w:rsidRPr="00AF66EB" w:rsidTr="003A6CE3">
        <w:tc>
          <w:tcPr>
            <w:tcW w:w="3171" w:type="dxa"/>
          </w:tcPr>
          <w:p w:rsidR="0019473A" w:rsidRPr="007C0F2C" w:rsidRDefault="0019473A" w:rsidP="00E320D0">
            <w:pPr>
              <w:jc w:val="both"/>
              <w:rPr>
                <w:sz w:val="22"/>
                <w:szCs w:val="22"/>
              </w:rPr>
            </w:pPr>
            <w:r w:rsidRPr="007C0F2C">
              <w:rPr>
                <w:sz w:val="22"/>
                <w:szCs w:val="22"/>
              </w:rPr>
              <w:t xml:space="preserve">2.3. pašvaldību budžets </w:t>
            </w:r>
          </w:p>
        </w:tc>
        <w:tc>
          <w:tcPr>
            <w:tcW w:w="1277" w:type="dxa"/>
          </w:tcPr>
          <w:p w:rsidR="0019473A" w:rsidRPr="00AE418F" w:rsidRDefault="00AE418F" w:rsidP="00AE418F">
            <w:pPr>
              <w:jc w:val="center"/>
              <w:rPr>
                <w:iCs/>
              </w:rPr>
            </w:pPr>
            <w:r w:rsidRPr="00AE418F">
              <w:rPr>
                <w:iCs/>
              </w:rPr>
              <w:t>0</w:t>
            </w:r>
          </w:p>
        </w:tc>
        <w:tc>
          <w:tcPr>
            <w:tcW w:w="1278"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r>
      <w:tr w:rsidR="0019473A" w:rsidRPr="00AF66EB" w:rsidTr="003A6CE3">
        <w:tc>
          <w:tcPr>
            <w:tcW w:w="3171" w:type="dxa"/>
          </w:tcPr>
          <w:p w:rsidR="0019473A" w:rsidRPr="007C0F2C" w:rsidRDefault="0019473A" w:rsidP="00E320D0">
            <w:pPr>
              <w:jc w:val="both"/>
              <w:rPr>
                <w:sz w:val="22"/>
                <w:szCs w:val="22"/>
              </w:rPr>
            </w:pPr>
            <w:r w:rsidRPr="007C0F2C">
              <w:rPr>
                <w:sz w:val="22"/>
                <w:szCs w:val="22"/>
              </w:rPr>
              <w:t>3. Finansiālā ietekme:</w:t>
            </w:r>
          </w:p>
        </w:tc>
        <w:tc>
          <w:tcPr>
            <w:tcW w:w="1277" w:type="dxa"/>
          </w:tcPr>
          <w:p w:rsidR="0019473A" w:rsidRPr="00AE418F" w:rsidRDefault="00AE418F" w:rsidP="00AE418F">
            <w:pPr>
              <w:jc w:val="center"/>
              <w:rPr>
                <w:iCs/>
              </w:rPr>
            </w:pPr>
            <w:r w:rsidRPr="00AE418F">
              <w:rPr>
                <w:iCs/>
              </w:rPr>
              <w:t>0</w:t>
            </w:r>
          </w:p>
        </w:tc>
        <w:tc>
          <w:tcPr>
            <w:tcW w:w="1278"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r>
      <w:tr w:rsidR="0019473A" w:rsidRPr="00AF66EB" w:rsidTr="003A6CE3">
        <w:tc>
          <w:tcPr>
            <w:tcW w:w="3171" w:type="dxa"/>
          </w:tcPr>
          <w:p w:rsidR="0019473A" w:rsidRPr="007C0F2C" w:rsidRDefault="0019473A" w:rsidP="00E320D0">
            <w:pPr>
              <w:jc w:val="both"/>
              <w:rPr>
                <w:sz w:val="22"/>
                <w:szCs w:val="22"/>
              </w:rPr>
            </w:pPr>
            <w:r w:rsidRPr="007C0F2C">
              <w:rPr>
                <w:sz w:val="22"/>
                <w:szCs w:val="22"/>
              </w:rPr>
              <w:t>3.1. valsts pamatbudžets</w:t>
            </w:r>
          </w:p>
        </w:tc>
        <w:tc>
          <w:tcPr>
            <w:tcW w:w="1277" w:type="dxa"/>
          </w:tcPr>
          <w:p w:rsidR="0019473A" w:rsidRPr="00AE418F" w:rsidRDefault="00AE418F" w:rsidP="00AE418F">
            <w:pPr>
              <w:jc w:val="center"/>
              <w:rPr>
                <w:iCs/>
              </w:rPr>
            </w:pPr>
            <w:r w:rsidRPr="00AE418F">
              <w:rPr>
                <w:iCs/>
              </w:rPr>
              <w:t>0</w:t>
            </w:r>
          </w:p>
        </w:tc>
        <w:tc>
          <w:tcPr>
            <w:tcW w:w="1278"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r>
      <w:tr w:rsidR="0019473A" w:rsidRPr="00AF66EB" w:rsidTr="003A6CE3">
        <w:tc>
          <w:tcPr>
            <w:tcW w:w="3171" w:type="dxa"/>
          </w:tcPr>
          <w:p w:rsidR="0019473A" w:rsidRPr="007C0F2C" w:rsidRDefault="0019473A" w:rsidP="00E320D0">
            <w:pPr>
              <w:jc w:val="both"/>
              <w:rPr>
                <w:sz w:val="22"/>
                <w:szCs w:val="22"/>
              </w:rPr>
            </w:pPr>
            <w:r w:rsidRPr="007C0F2C">
              <w:rPr>
                <w:sz w:val="22"/>
                <w:szCs w:val="22"/>
              </w:rPr>
              <w:t>3.2. speciālais budžets</w:t>
            </w:r>
          </w:p>
        </w:tc>
        <w:tc>
          <w:tcPr>
            <w:tcW w:w="1277" w:type="dxa"/>
          </w:tcPr>
          <w:p w:rsidR="0019473A" w:rsidRPr="00AE418F" w:rsidRDefault="00AE418F" w:rsidP="00AE418F">
            <w:pPr>
              <w:jc w:val="center"/>
              <w:rPr>
                <w:iCs/>
              </w:rPr>
            </w:pPr>
            <w:r w:rsidRPr="00AE418F">
              <w:rPr>
                <w:iCs/>
              </w:rPr>
              <w:t>0</w:t>
            </w:r>
          </w:p>
        </w:tc>
        <w:tc>
          <w:tcPr>
            <w:tcW w:w="1278"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r>
      <w:tr w:rsidR="0019473A" w:rsidRPr="00AF66EB" w:rsidTr="003A6CE3">
        <w:tc>
          <w:tcPr>
            <w:tcW w:w="3171" w:type="dxa"/>
          </w:tcPr>
          <w:p w:rsidR="0019473A" w:rsidRPr="007C0F2C" w:rsidRDefault="0019473A" w:rsidP="00E320D0">
            <w:pPr>
              <w:jc w:val="both"/>
              <w:rPr>
                <w:sz w:val="22"/>
                <w:szCs w:val="22"/>
              </w:rPr>
            </w:pPr>
            <w:r w:rsidRPr="007C0F2C">
              <w:rPr>
                <w:sz w:val="22"/>
                <w:szCs w:val="22"/>
              </w:rPr>
              <w:t xml:space="preserve">3.3. pašvaldību budžets </w:t>
            </w:r>
          </w:p>
        </w:tc>
        <w:tc>
          <w:tcPr>
            <w:tcW w:w="1277" w:type="dxa"/>
          </w:tcPr>
          <w:p w:rsidR="0019473A" w:rsidRPr="00AE418F" w:rsidRDefault="00AE418F" w:rsidP="00AE418F">
            <w:pPr>
              <w:jc w:val="center"/>
              <w:rPr>
                <w:iCs/>
              </w:rPr>
            </w:pPr>
            <w:r w:rsidRPr="00AE418F">
              <w:rPr>
                <w:iCs/>
              </w:rPr>
              <w:t>0</w:t>
            </w:r>
          </w:p>
        </w:tc>
        <w:tc>
          <w:tcPr>
            <w:tcW w:w="1278"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c>
          <w:tcPr>
            <w:tcW w:w="1272" w:type="dxa"/>
          </w:tcPr>
          <w:p w:rsidR="0019473A" w:rsidRPr="00AE418F" w:rsidRDefault="00AE418F" w:rsidP="00AE418F">
            <w:pPr>
              <w:jc w:val="center"/>
              <w:rPr>
                <w:iCs/>
              </w:rPr>
            </w:pPr>
            <w:r w:rsidRPr="00AE418F">
              <w:rPr>
                <w:iCs/>
              </w:rPr>
              <w:t>0</w:t>
            </w:r>
          </w:p>
        </w:tc>
      </w:tr>
      <w:tr w:rsidR="0019473A" w:rsidRPr="00AF66EB" w:rsidTr="003A6CE3">
        <w:tc>
          <w:tcPr>
            <w:tcW w:w="3171" w:type="dxa"/>
          </w:tcPr>
          <w:p w:rsidR="0019473A" w:rsidRPr="00AF66EB" w:rsidRDefault="0019473A" w:rsidP="0019473A">
            <w:pPr>
              <w:jc w:val="both"/>
              <w:rPr>
                <w:b/>
                <w:iCs/>
              </w:rPr>
            </w:pPr>
            <w:r w:rsidRPr="007C0F2C">
              <w:rPr>
                <w:sz w:val="22"/>
                <w:szCs w:val="22"/>
              </w:rPr>
              <w:t>4. Finanšu līdzekļi papildu izde</w:t>
            </w:r>
            <w:r w:rsidRPr="007C0F2C">
              <w:rPr>
                <w:sz w:val="22"/>
                <w:szCs w:val="22"/>
              </w:rPr>
              <w:softHyphen/>
              <w:t>vumu finansēšanai (kompensējošu izdevumu samazinājumu norāda ar "+" zīmi)</w:t>
            </w:r>
          </w:p>
        </w:tc>
        <w:tc>
          <w:tcPr>
            <w:tcW w:w="1277" w:type="dxa"/>
          </w:tcPr>
          <w:p w:rsidR="0019473A" w:rsidRPr="00FD1477" w:rsidRDefault="00015541" w:rsidP="00AF66EB">
            <w:pPr>
              <w:jc w:val="center"/>
              <w:rPr>
                <w:iCs/>
              </w:rPr>
            </w:pPr>
            <w:r w:rsidRPr="00FD1477">
              <w:rPr>
                <w:iCs/>
              </w:rPr>
              <w:t>0</w:t>
            </w:r>
          </w:p>
        </w:tc>
        <w:tc>
          <w:tcPr>
            <w:tcW w:w="1278" w:type="dxa"/>
          </w:tcPr>
          <w:p w:rsidR="0019473A" w:rsidRPr="00FD1477" w:rsidRDefault="00015541" w:rsidP="00AF66EB">
            <w:pPr>
              <w:jc w:val="center"/>
              <w:rPr>
                <w:iCs/>
              </w:rPr>
            </w:pPr>
            <w:r w:rsidRPr="00FD1477">
              <w:rPr>
                <w:iCs/>
              </w:rPr>
              <w:t>0</w:t>
            </w:r>
          </w:p>
        </w:tc>
        <w:tc>
          <w:tcPr>
            <w:tcW w:w="1272" w:type="dxa"/>
          </w:tcPr>
          <w:p w:rsidR="0019473A" w:rsidRPr="00FD1477" w:rsidRDefault="00015541" w:rsidP="00AF66EB">
            <w:pPr>
              <w:jc w:val="center"/>
              <w:rPr>
                <w:iCs/>
              </w:rPr>
            </w:pPr>
            <w:r w:rsidRPr="00FD1477">
              <w:rPr>
                <w:iCs/>
              </w:rPr>
              <w:t>0</w:t>
            </w:r>
          </w:p>
        </w:tc>
        <w:tc>
          <w:tcPr>
            <w:tcW w:w="1272" w:type="dxa"/>
          </w:tcPr>
          <w:p w:rsidR="0019473A" w:rsidRPr="00FD1477" w:rsidRDefault="00015541" w:rsidP="00AF66EB">
            <w:pPr>
              <w:jc w:val="center"/>
              <w:rPr>
                <w:iCs/>
              </w:rPr>
            </w:pPr>
            <w:r w:rsidRPr="00FD1477">
              <w:rPr>
                <w:iCs/>
              </w:rPr>
              <w:t>0</w:t>
            </w:r>
          </w:p>
        </w:tc>
        <w:tc>
          <w:tcPr>
            <w:tcW w:w="1272" w:type="dxa"/>
          </w:tcPr>
          <w:p w:rsidR="0019473A" w:rsidRPr="00FD1477" w:rsidRDefault="00015541" w:rsidP="00AF66EB">
            <w:pPr>
              <w:jc w:val="center"/>
              <w:rPr>
                <w:iCs/>
              </w:rPr>
            </w:pPr>
            <w:r w:rsidRPr="00FD1477">
              <w:rPr>
                <w:iCs/>
              </w:rPr>
              <w:t>0</w:t>
            </w:r>
          </w:p>
        </w:tc>
      </w:tr>
      <w:tr w:rsidR="003A6CE3" w:rsidRPr="00AF66EB" w:rsidTr="003A6CE3">
        <w:tc>
          <w:tcPr>
            <w:tcW w:w="3171" w:type="dxa"/>
          </w:tcPr>
          <w:p w:rsidR="003A6CE3" w:rsidRPr="007C0F2C" w:rsidRDefault="003A6CE3" w:rsidP="00E320D0">
            <w:pPr>
              <w:jc w:val="both"/>
              <w:rPr>
                <w:sz w:val="22"/>
                <w:szCs w:val="22"/>
              </w:rPr>
            </w:pPr>
            <w:r w:rsidRPr="007C0F2C">
              <w:rPr>
                <w:sz w:val="22"/>
                <w:szCs w:val="22"/>
              </w:rPr>
              <w:t>5. Precizēta finansiālā ietekme:</w:t>
            </w:r>
          </w:p>
        </w:tc>
        <w:tc>
          <w:tcPr>
            <w:tcW w:w="1277" w:type="dxa"/>
            <w:shd w:val="clear" w:color="auto" w:fill="auto"/>
          </w:tcPr>
          <w:p w:rsidR="003A6CE3" w:rsidRPr="00FD1477" w:rsidRDefault="00015541" w:rsidP="00AF66EB">
            <w:pPr>
              <w:jc w:val="center"/>
              <w:rPr>
                <w:iCs/>
              </w:rPr>
            </w:pPr>
            <w:r w:rsidRPr="00FD1477">
              <w:rPr>
                <w:iCs/>
              </w:rPr>
              <w:t>0</w:t>
            </w:r>
          </w:p>
        </w:tc>
        <w:tc>
          <w:tcPr>
            <w:tcW w:w="1278"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r>
      <w:tr w:rsidR="003A6CE3" w:rsidRPr="00AF66EB" w:rsidTr="003A6CE3">
        <w:tc>
          <w:tcPr>
            <w:tcW w:w="3171" w:type="dxa"/>
          </w:tcPr>
          <w:p w:rsidR="003A6CE3" w:rsidRPr="007C0F2C" w:rsidRDefault="003A6CE3" w:rsidP="00E320D0">
            <w:pPr>
              <w:jc w:val="both"/>
              <w:rPr>
                <w:sz w:val="22"/>
                <w:szCs w:val="22"/>
              </w:rPr>
            </w:pPr>
            <w:r w:rsidRPr="007C0F2C">
              <w:rPr>
                <w:sz w:val="22"/>
                <w:szCs w:val="22"/>
              </w:rPr>
              <w:t>5.1. valsts pamatbudžets</w:t>
            </w:r>
          </w:p>
        </w:tc>
        <w:tc>
          <w:tcPr>
            <w:tcW w:w="1277" w:type="dxa"/>
            <w:shd w:val="clear" w:color="auto" w:fill="auto"/>
          </w:tcPr>
          <w:p w:rsidR="003A6CE3" w:rsidRPr="00FD1477" w:rsidRDefault="00015541" w:rsidP="00AF66EB">
            <w:pPr>
              <w:jc w:val="center"/>
              <w:rPr>
                <w:iCs/>
              </w:rPr>
            </w:pPr>
            <w:r w:rsidRPr="00FD1477">
              <w:rPr>
                <w:iCs/>
              </w:rPr>
              <w:t>0</w:t>
            </w:r>
          </w:p>
        </w:tc>
        <w:tc>
          <w:tcPr>
            <w:tcW w:w="1278"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r>
      <w:tr w:rsidR="003A6CE3" w:rsidRPr="00AF66EB" w:rsidTr="003A6CE3">
        <w:tc>
          <w:tcPr>
            <w:tcW w:w="3171" w:type="dxa"/>
          </w:tcPr>
          <w:p w:rsidR="003A6CE3" w:rsidRPr="007C0F2C" w:rsidRDefault="003A6CE3" w:rsidP="00E320D0">
            <w:pPr>
              <w:jc w:val="both"/>
              <w:rPr>
                <w:sz w:val="22"/>
                <w:szCs w:val="22"/>
              </w:rPr>
            </w:pPr>
            <w:r w:rsidRPr="007C0F2C">
              <w:rPr>
                <w:sz w:val="22"/>
                <w:szCs w:val="22"/>
              </w:rPr>
              <w:t>5.2. speciālais budžets</w:t>
            </w:r>
          </w:p>
        </w:tc>
        <w:tc>
          <w:tcPr>
            <w:tcW w:w="1277" w:type="dxa"/>
            <w:shd w:val="clear" w:color="auto" w:fill="auto"/>
          </w:tcPr>
          <w:p w:rsidR="003A6CE3" w:rsidRPr="00FD1477" w:rsidRDefault="00015541" w:rsidP="00AF66EB">
            <w:pPr>
              <w:jc w:val="center"/>
              <w:rPr>
                <w:iCs/>
              </w:rPr>
            </w:pPr>
            <w:r w:rsidRPr="00FD1477">
              <w:rPr>
                <w:iCs/>
              </w:rPr>
              <w:t>0</w:t>
            </w:r>
          </w:p>
        </w:tc>
        <w:tc>
          <w:tcPr>
            <w:tcW w:w="1278"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r>
      <w:tr w:rsidR="003A6CE3" w:rsidRPr="00AF66EB" w:rsidTr="003A6CE3">
        <w:tc>
          <w:tcPr>
            <w:tcW w:w="3171" w:type="dxa"/>
          </w:tcPr>
          <w:p w:rsidR="003A6CE3" w:rsidRPr="007C0F2C" w:rsidRDefault="003A6CE3" w:rsidP="00E320D0">
            <w:pPr>
              <w:jc w:val="both"/>
              <w:rPr>
                <w:sz w:val="22"/>
                <w:szCs w:val="22"/>
              </w:rPr>
            </w:pPr>
            <w:r w:rsidRPr="007C0F2C">
              <w:rPr>
                <w:sz w:val="22"/>
                <w:szCs w:val="22"/>
              </w:rPr>
              <w:t xml:space="preserve">5.3. pašvaldību budžets </w:t>
            </w:r>
          </w:p>
        </w:tc>
        <w:tc>
          <w:tcPr>
            <w:tcW w:w="1277" w:type="dxa"/>
            <w:shd w:val="clear" w:color="auto" w:fill="auto"/>
          </w:tcPr>
          <w:p w:rsidR="003A6CE3" w:rsidRPr="00FD1477" w:rsidRDefault="00015541" w:rsidP="00AF66EB">
            <w:pPr>
              <w:jc w:val="center"/>
              <w:rPr>
                <w:iCs/>
              </w:rPr>
            </w:pPr>
            <w:r w:rsidRPr="00FD1477">
              <w:rPr>
                <w:iCs/>
              </w:rPr>
              <w:t>0</w:t>
            </w:r>
          </w:p>
        </w:tc>
        <w:tc>
          <w:tcPr>
            <w:tcW w:w="1278"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c>
          <w:tcPr>
            <w:tcW w:w="1272" w:type="dxa"/>
          </w:tcPr>
          <w:p w:rsidR="003A6CE3" w:rsidRPr="00FD1477" w:rsidRDefault="00015541" w:rsidP="00AF66EB">
            <w:pPr>
              <w:jc w:val="center"/>
              <w:rPr>
                <w:iCs/>
              </w:rPr>
            </w:pPr>
            <w:r w:rsidRPr="00FD1477">
              <w:rPr>
                <w:iCs/>
              </w:rPr>
              <w:t>0</w:t>
            </w:r>
          </w:p>
        </w:tc>
      </w:tr>
      <w:tr w:rsidR="005441F2" w:rsidRPr="00AF66EB" w:rsidTr="00A360E8">
        <w:tc>
          <w:tcPr>
            <w:tcW w:w="3171" w:type="dxa"/>
          </w:tcPr>
          <w:p w:rsidR="005441F2" w:rsidRPr="007C0F2C" w:rsidRDefault="005441F2" w:rsidP="00E320D0">
            <w:pPr>
              <w:jc w:val="both"/>
              <w:rPr>
                <w:sz w:val="22"/>
                <w:szCs w:val="22"/>
              </w:rPr>
            </w:pPr>
            <w:r w:rsidRPr="007C0F2C">
              <w:rPr>
                <w:sz w:val="22"/>
                <w:szCs w:val="22"/>
              </w:rPr>
              <w:t>6. Detalizēts ieņēmumu un izdevu</w:t>
            </w:r>
            <w:r w:rsidRPr="007C0F2C">
              <w:rPr>
                <w:sz w:val="22"/>
                <w:szCs w:val="22"/>
              </w:rPr>
              <w:softHyphen/>
              <w:t>mu aprēķins (ja nepieciešams, detalizētu ieņēmumu un izdevumu aprēķinu var pievienot anotācijas pielikumā):</w:t>
            </w:r>
          </w:p>
        </w:tc>
        <w:tc>
          <w:tcPr>
            <w:tcW w:w="6371" w:type="dxa"/>
            <w:gridSpan w:val="5"/>
          </w:tcPr>
          <w:p w:rsidR="005441F2" w:rsidRPr="00C83626" w:rsidRDefault="001E25F4" w:rsidP="00C83626">
            <w:pPr>
              <w:rPr>
                <w:iCs/>
              </w:rPr>
            </w:pPr>
            <w:r>
              <w:rPr>
                <w:iCs/>
              </w:rPr>
              <w:t xml:space="preserve">Skat sākotnējās ietekmes novērtējuma ziņojuma (anotācijas) pielikumu. </w:t>
            </w:r>
          </w:p>
        </w:tc>
      </w:tr>
      <w:tr w:rsidR="005720F3" w:rsidRPr="00AF66EB" w:rsidTr="00140306">
        <w:tc>
          <w:tcPr>
            <w:tcW w:w="3171" w:type="dxa"/>
          </w:tcPr>
          <w:p w:rsidR="005720F3" w:rsidRPr="007C0F2C" w:rsidRDefault="005720F3" w:rsidP="00E320D0">
            <w:pPr>
              <w:jc w:val="both"/>
              <w:rPr>
                <w:sz w:val="22"/>
                <w:szCs w:val="22"/>
              </w:rPr>
            </w:pPr>
            <w:r w:rsidRPr="007C0F2C">
              <w:rPr>
                <w:sz w:val="22"/>
                <w:szCs w:val="22"/>
              </w:rPr>
              <w:t>6.1. detalizēts ieņēmumu aprēķins</w:t>
            </w:r>
          </w:p>
        </w:tc>
        <w:tc>
          <w:tcPr>
            <w:tcW w:w="6371" w:type="dxa"/>
            <w:gridSpan w:val="5"/>
          </w:tcPr>
          <w:p w:rsidR="000B4ABC" w:rsidRDefault="000B4ABC" w:rsidP="000B4ABC">
            <w:pPr>
              <w:jc w:val="both"/>
            </w:pPr>
            <w:r>
              <w:t xml:space="preserve">Saskaņā ar likumu „Par valsts budžetu 2011.gadam” Kultūras ministrijas budžeta programmā 19.03.00 „Filmu nozare” tiek plānoti ieņēmumi no maksas pakalpojumiem un citi pašu ieņēmumi LVL 72 000 apmērā, kas veidojas no NKC piesaistītajiem projektu līdzekļiem. Ieņēmumi no maksas pakalpojumiem par valstij piederošo vai piekrītošo filmu autortiesību vai blakustiesību izmantošanu 2011.gadā netika plānoti. </w:t>
            </w:r>
          </w:p>
          <w:p w:rsidR="000B4ABC" w:rsidRDefault="000B4ABC" w:rsidP="000B4ABC">
            <w:pPr>
              <w:jc w:val="both"/>
            </w:pPr>
            <w:r>
              <w:t xml:space="preserve">Tādejādi iekasējot maksu par filmu izmantošanu plānotajā apmērā, 2011.gadā laika periodā no 1.jūlija līdz 31.decembrim tiek plānots ieņēmumu un izdevumu pieaugums LVL 3317.95 apmērā (LVL 6635.90 (gada ieņēmumi) : 12 mēneši x 6 mēneši). </w:t>
            </w:r>
          </w:p>
          <w:p w:rsidR="000B4ABC" w:rsidRDefault="000B4ABC" w:rsidP="000B4ABC">
            <w:pPr>
              <w:jc w:val="both"/>
              <w:rPr>
                <w:b/>
              </w:rPr>
            </w:pPr>
            <w:r w:rsidRPr="00CD3986">
              <w:rPr>
                <w:iCs/>
              </w:rPr>
              <w:t>201</w:t>
            </w:r>
            <w:r>
              <w:rPr>
                <w:iCs/>
              </w:rPr>
              <w:t>2</w:t>
            </w:r>
            <w:r w:rsidRPr="00CD3986">
              <w:rPr>
                <w:iCs/>
              </w:rPr>
              <w:t>.</w:t>
            </w:r>
            <w:r>
              <w:rPr>
                <w:iCs/>
              </w:rPr>
              <w:t xml:space="preserve"> un turpmākajos gados</w:t>
            </w:r>
            <w:r>
              <w:t>, iekasējot</w:t>
            </w:r>
            <w:r w:rsidRPr="00CD3986">
              <w:t xml:space="preserve"> </w:t>
            </w:r>
            <w:r>
              <w:t xml:space="preserve">maksu par filmu izmantošanu plānots ieņemt </w:t>
            </w:r>
            <w:r w:rsidRPr="00CD3986">
              <w:rPr>
                <w:b/>
              </w:rPr>
              <w:t>L</w:t>
            </w:r>
            <w:r>
              <w:rPr>
                <w:b/>
              </w:rPr>
              <w:t>VL 6635.90</w:t>
            </w:r>
            <w:r w:rsidRPr="00ED667D">
              <w:t>, tai skaitā:</w:t>
            </w:r>
          </w:p>
          <w:p w:rsidR="000B4ABC" w:rsidRDefault="000B4ABC" w:rsidP="000B4ABC">
            <w:pPr>
              <w:jc w:val="both"/>
            </w:pPr>
            <w:r w:rsidRPr="00ED667D">
              <w:t>1) maksa par filmas publisku izpildījumu (demonstrēšanu) kinoteātros, festivālos u.c. līdzīgās vietās</w:t>
            </w:r>
            <w:r>
              <w:t xml:space="preserve"> gadā</w:t>
            </w:r>
            <w:r w:rsidRPr="00ED667D">
              <w:t>- LVL</w:t>
            </w:r>
            <w:r>
              <w:t xml:space="preserve"> 456.00;</w:t>
            </w:r>
          </w:p>
          <w:p w:rsidR="000B4ABC" w:rsidRDefault="000B4ABC" w:rsidP="000B4ABC">
            <w:pPr>
              <w:jc w:val="both"/>
            </w:pPr>
            <w:r>
              <w:t>2) maksa par filmas raidīšanu elektroniskajos plašsaziņas līdzekļos gadā – LVL 1516.90;</w:t>
            </w:r>
          </w:p>
          <w:p w:rsidR="000B4ABC" w:rsidRDefault="000B4ABC" w:rsidP="000B4ABC">
            <w:pPr>
              <w:jc w:val="both"/>
            </w:pPr>
            <w:r>
              <w:t>3) maksa par filmas reproducēšanu (pavairošanu) tirdzniecībai vai nekomerciālai izplatīšanai gadā – LVL 1550.00;</w:t>
            </w:r>
          </w:p>
          <w:p w:rsidR="000B4ABC" w:rsidRDefault="000B4ABC" w:rsidP="000B4ABC">
            <w:pPr>
              <w:jc w:val="both"/>
            </w:pPr>
            <w:r>
              <w:t>4) maksa par filmas publiskošanu tiešsaistē interneta tīklā gadā- LVL- 1557.00;</w:t>
            </w:r>
          </w:p>
          <w:p w:rsidR="005720F3" w:rsidRPr="00B403B9" w:rsidRDefault="000B4ABC" w:rsidP="000B4ABC">
            <w:pPr>
              <w:jc w:val="both"/>
            </w:pPr>
            <w:r>
              <w:t xml:space="preserve">5) maksa par filmas fragmentu izmantošanu, iekļaujot tos jaunā audiovizuālā darbā gadā- LVL 1556.00. </w:t>
            </w:r>
          </w:p>
        </w:tc>
      </w:tr>
      <w:tr w:rsidR="00B403B9" w:rsidRPr="00AF66EB" w:rsidTr="00140306">
        <w:tc>
          <w:tcPr>
            <w:tcW w:w="3171" w:type="dxa"/>
          </w:tcPr>
          <w:p w:rsidR="00B403B9" w:rsidRPr="007C0F2C" w:rsidRDefault="00B403B9" w:rsidP="00E320D0">
            <w:pPr>
              <w:jc w:val="both"/>
              <w:rPr>
                <w:sz w:val="22"/>
                <w:szCs w:val="22"/>
              </w:rPr>
            </w:pPr>
            <w:r w:rsidRPr="007C0F2C">
              <w:rPr>
                <w:sz w:val="22"/>
                <w:szCs w:val="22"/>
              </w:rPr>
              <w:lastRenderedPageBreak/>
              <w:t>6.2. detalizēts izdevumu aprēķins</w:t>
            </w:r>
          </w:p>
        </w:tc>
        <w:tc>
          <w:tcPr>
            <w:tcW w:w="6371" w:type="dxa"/>
            <w:gridSpan w:val="5"/>
          </w:tcPr>
          <w:p w:rsidR="00DC3FA9" w:rsidRDefault="00DC3FA9" w:rsidP="00174BB7">
            <w:pPr>
              <w:jc w:val="both"/>
            </w:pPr>
            <w:r>
              <w:t xml:space="preserve">2011.gadā izdevumi </w:t>
            </w:r>
            <w:r w:rsidR="00D03DCE">
              <w:t xml:space="preserve">tiek plānoti </w:t>
            </w:r>
            <w:r w:rsidR="008856F8">
              <w:t xml:space="preserve">maksas pakalpojumu ieņēmumu apmērā </w:t>
            </w:r>
            <w:r w:rsidR="00666659">
              <w:t xml:space="preserve">3317.95 </w:t>
            </w:r>
            <w:r>
              <w:t xml:space="preserve">lati un to sadalījums ekonomiskās klasifikācijas kodu (EKK) griezumā: </w:t>
            </w:r>
          </w:p>
          <w:p w:rsidR="00DC3FA9" w:rsidRDefault="00EF31A3" w:rsidP="00174BB7">
            <w:pPr>
              <w:jc w:val="both"/>
            </w:pPr>
            <w:r>
              <w:t xml:space="preserve">EKK 2200 </w:t>
            </w:r>
            <w:r w:rsidRPr="00EF31A3">
              <w:rPr>
                <w:i/>
              </w:rPr>
              <w:t>Pakalpojumi</w:t>
            </w:r>
            <w:r w:rsidR="002D08B3">
              <w:t xml:space="preserve"> - 3317.95 LVL. </w:t>
            </w:r>
          </w:p>
          <w:p w:rsidR="00B403B9" w:rsidRPr="00134F8C" w:rsidRDefault="002D08B3" w:rsidP="002D08B3">
            <w:pPr>
              <w:jc w:val="both"/>
              <w:rPr>
                <w:b/>
                <w:highlight w:val="yellow"/>
              </w:rPr>
            </w:pPr>
            <w:r>
              <w:t xml:space="preserve">Ieņēmumus no gūtajiem maksas pakalpojumiem NKC plāno novirzīt un izmantot filmu, kuru autortiesības pieder vai piekrīt valstij, tehnisko nesēju iegādei un renovācijai. </w:t>
            </w:r>
          </w:p>
        </w:tc>
      </w:tr>
      <w:tr w:rsidR="003A6CE3" w:rsidRPr="00AF66EB" w:rsidTr="003A6CE3">
        <w:tc>
          <w:tcPr>
            <w:tcW w:w="3171" w:type="dxa"/>
          </w:tcPr>
          <w:p w:rsidR="003A6CE3" w:rsidRPr="007C0F2C" w:rsidRDefault="003A6CE3" w:rsidP="00E320D0">
            <w:pPr>
              <w:jc w:val="both"/>
              <w:rPr>
                <w:sz w:val="22"/>
                <w:szCs w:val="22"/>
              </w:rPr>
            </w:pPr>
            <w:r w:rsidRPr="007C0F2C">
              <w:rPr>
                <w:sz w:val="22"/>
                <w:szCs w:val="22"/>
              </w:rPr>
              <w:t>7. Cita informācija</w:t>
            </w:r>
          </w:p>
        </w:tc>
        <w:tc>
          <w:tcPr>
            <w:tcW w:w="6371" w:type="dxa"/>
            <w:gridSpan w:val="5"/>
          </w:tcPr>
          <w:p w:rsidR="003A1F95" w:rsidRPr="00ED667D" w:rsidRDefault="000B4ABC" w:rsidP="003A1F95">
            <w:pPr>
              <w:jc w:val="both"/>
              <w:rPr>
                <w:iCs/>
                <w:highlight w:val="yellow"/>
              </w:rPr>
            </w:pPr>
            <w:r>
              <w:rPr>
                <w:iCs/>
              </w:rPr>
              <w:t>Nav</w:t>
            </w:r>
            <w:r w:rsidR="003A1F95">
              <w:t xml:space="preserve"> </w:t>
            </w:r>
          </w:p>
        </w:tc>
      </w:tr>
    </w:tbl>
    <w:p w:rsidR="00507906" w:rsidRPr="00CD3986" w:rsidRDefault="00507906" w:rsidP="0031450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80"/>
        <w:gridCol w:w="6119"/>
      </w:tblGrid>
      <w:tr w:rsidR="00314501" w:rsidRPr="003074D4" w:rsidTr="00314501">
        <w:trPr>
          <w:trHeight w:val="279"/>
        </w:trPr>
        <w:tc>
          <w:tcPr>
            <w:tcW w:w="9539" w:type="dxa"/>
            <w:gridSpan w:val="3"/>
          </w:tcPr>
          <w:p w:rsidR="00314501" w:rsidRPr="003074D4" w:rsidRDefault="00314501" w:rsidP="00314501">
            <w:pPr>
              <w:jc w:val="center"/>
              <w:rPr>
                <w:b/>
                <w:sz w:val="22"/>
                <w:szCs w:val="22"/>
              </w:rPr>
            </w:pPr>
            <w:r w:rsidRPr="003074D4">
              <w:rPr>
                <w:b/>
                <w:sz w:val="22"/>
                <w:szCs w:val="22"/>
              </w:rPr>
              <w:t>IV. Tiesību akta projekta ietekme uz spēkā esošo tiesību normu sistēmu</w:t>
            </w:r>
          </w:p>
        </w:tc>
      </w:tr>
      <w:tr w:rsidR="00314501" w:rsidRPr="003074D4" w:rsidTr="00BF1E68">
        <w:trPr>
          <w:trHeight w:val="279"/>
        </w:trPr>
        <w:tc>
          <w:tcPr>
            <w:tcW w:w="540" w:type="dxa"/>
          </w:tcPr>
          <w:p w:rsidR="00314501" w:rsidRPr="003074D4" w:rsidRDefault="00314501" w:rsidP="00314501">
            <w:pPr>
              <w:jc w:val="both"/>
              <w:rPr>
                <w:sz w:val="22"/>
                <w:szCs w:val="22"/>
              </w:rPr>
            </w:pPr>
            <w:r w:rsidRPr="003074D4">
              <w:rPr>
                <w:sz w:val="22"/>
                <w:szCs w:val="22"/>
              </w:rPr>
              <w:t>1.</w:t>
            </w:r>
          </w:p>
        </w:tc>
        <w:tc>
          <w:tcPr>
            <w:tcW w:w="2880" w:type="dxa"/>
          </w:tcPr>
          <w:p w:rsidR="00314501" w:rsidRPr="003074D4" w:rsidRDefault="00314501" w:rsidP="00314501">
            <w:pPr>
              <w:jc w:val="both"/>
              <w:rPr>
                <w:sz w:val="22"/>
                <w:szCs w:val="22"/>
              </w:rPr>
            </w:pPr>
            <w:r w:rsidRPr="003074D4">
              <w:rPr>
                <w:sz w:val="22"/>
                <w:szCs w:val="22"/>
              </w:rPr>
              <w:t>Nepieciešamie saistītie tiesību aktu projekti</w:t>
            </w:r>
          </w:p>
        </w:tc>
        <w:tc>
          <w:tcPr>
            <w:tcW w:w="6119" w:type="dxa"/>
          </w:tcPr>
          <w:p w:rsidR="00664D0D" w:rsidRPr="00D71C18" w:rsidRDefault="00C64374" w:rsidP="00531193">
            <w:pPr>
              <w:jc w:val="both"/>
              <w:rPr>
                <w:sz w:val="22"/>
                <w:szCs w:val="22"/>
              </w:rPr>
            </w:pPr>
            <w:r>
              <w:rPr>
                <w:sz w:val="22"/>
                <w:szCs w:val="22"/>
              </w:rPr>
              <w:t>Ministru kabineta noteikumu projekts „</w:t>
            </w:r>
            <w:r w:rsidR="00531193">
              <w:rPr>
                <w:sz w:val="22"/>
                <w:szCs w:val="22"/>
              </w:rPr>
              <w:t>Noteikumi par kārtību, kādā Nacionālais kino centrs aprēķina maksu par filmu izmantošanu, kuru autortiesības vai blakustiesības pieder vai piekrīt valstij</w:t>
            </w:r>
            <w:r>
              <w:rPr>
                <w:sz w:val="22"/>
                <w:szCs w:val="22"/>
              </w:rPr>
              <w:t xml:space="preserve">”. Atbildīgā iestāde- Nacionālais kino centrs. Sagatavots un tiek virzīts reizē ar Projektu. </w:t>
            </w:r>
          </w:p>
        </w:tc>
      </w:tr>
      <w:tr w:rsidR="00314501" w:rsidRPr="003074D4" w:rsidTr="00BF1E68">
        <w:trPr>
          <w:trHeight w:val="279"/>
        </w:trPr>
        <w:tc>
          <w:tcPr>
            <w:tcW w:w="540" w:type="dxa"/>
          </w:tcPr>
          <w:p w:rsidR="00314501" w:rsidRPr="003074D4" w:rsidRDefault="00314501" w:rsidP="00314501">
            <w:pPr>
              <w:jc w:val="both"/>
              <w:rPr>
                <w:sz w:val="22"/>
                <w:szCs w:val="22"/>
              </w:rPr>
            </w:pPr>
            <w:r w:rsidRPr="003074D4">
              <w:rPr>
                <w:sz w:val="22"/>
                <w:szCs w:val="22"/>
              </w:rPr>
              <w:t>2.</w:t>
            </w:r>
          </w:p>
        </w:tc>
        <w:tc>
          <w:tcPr>
            <w:tcW w:w="2880" w:type="dxa"/>
          </w:tcPr>
          <w:p w:rsidR="00314501" w:rsidRPr="003074D4" w:rsidRDefault="00314501" w:rsidP="00314501">
            <w:pPr>
              <w:jc w:val="both"/>
              <w:rPr>
                <w:sz w:val="22"/>
                <w:szCs w:val="22"/>
              </w:rPr>
            </w:pPr>
            <w:r w:rsidRPr="003074D4">
              <w:rPr>
                <w:sz w:val="22"/>
                <w:szCs w:val="22"/>
              </w:rPr>
              <w:t>Cita informācija</w:t>
            </w:r>
          </w:p>
        </w:tc>
        <w:tc>
          <w:tcPr>
            <w:tcW w:w="6119" w:type="dxa"/>
          </w:tcPr>
          <w:p w:rsidR="00314501" w:rsidRPr="003074D4" w:rsidRDefault="00314501" w:rsidP="00314501">
            <w:pPr>
              <w:jc w:val="both"/>
              <w:rPr>
                <w:sz w:val="22"/>
                <w:szCs w:val="22"/>
              </w:rPr>
            </w:pPr>
            <w:r w:rsidRPr="00AE3322">
              <w:rPr>
                <w:sz w:val="22"/>
                <w:szCs w:val="22"/>
              </w:rPr>
              <w:t>Nav</w:t>
            </w:r>
            <w:r w:rsidR="00AE3322">
              <w:rPr>
                <w:sz w:val="22"/>
                <w:szCs w:val="22"/>
              </w:rPr>
              <w:t>.</w:t>
            </w:r>
          </w:p>
        </w:tc>
      </w:tr>
    </w:tbl>
    <w:p w:rsidR="00CD3986" w:rsidRDefault="00CD3986" w:rsidP="00314501"/>
    <w:p w:rsidR="00A10BB3" w:rsidRDefault="00A10BB3" w:rsidP="00314501">
      <w:r>
        <w:t xml:space="preserve">Anotācijas V sadaļa- nav attiecināms. </w:t>
      </w:r>
    </w:p>
    <w:p w:rsidR="00AB271C" w:rsidRPr="00CD3986" w:rsidRDefault="00AB271C" w:rsidP="0031450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314501" w:rsidRPr="003074D4" w:rsidTr="00314501">
        <w:trPr>
          <w:trHeight w:val="279"/>
        </w:trPr>
        <w:tc>
          <w:tcPr>
            <w:tcW w:w="9539" w:type="dxa"/>
            <w:gridSpan w:val="3"/>
          </w:tcPr>
          <w:p w:rsidR="00314501" w:rsidRPr="003074D4" w:rsidRDefault="00314501" w:rsidP="00314501">
            <w:pPr>
              <w:jc w:val="center"/>
              <w:rPr>
                <w:b/>
                <w:sz w:val="22"/>
                <w:szCs w:val="22"/>
              </w:rPr>
            </w:pPr>
            <w:r w:rsidRPr="003074D4">
              <w:rPr>
                <w:b/>
                <w:sz w:val="22"/>
                <w:szCs w:val="22"/>
              </w:rPr>
              <w:t>VI. Sabiedrības līdzdalība un šīs līdzdalības rezultāti</w:t>
            </w:r>
          </w:p>
        </w:tc>
      </w:tr>
      <w:tr w:rsidR="00314501" w:rsidRPr="003074D4" w:rsidTr="00314501">
        <w:trPr>
          <w:trHeight w:val="279"/>
        </w:trPr>
        <w:tc>
          <w:tcPr>
            <w:tcW w:w="540" w:type="dxa"/>
          </w:tcPr>
          <w:p w:rsidR="00314501" w:rsidRPr="003074D4" w:rsidRDefault="00314501" w:rsidP="00314501">
            <w:pPr>
              <w:jc w:val="both"/>
              <w:rPr>
                <w:sz w:val="22"/>
                <w:szCs w:val="22"/>
              </w:rPr>
            </w:pPr>
            <w:r w:rsidRPr="003074D4">
              <w:rPr>
                <w:sz w:val="22"/>
                <w:szCs w:val="22"/>
              </w:rPr>
              <w:t>1.</w:t>
            </w:r>
          </w:p>
        </w:tc>
        <w:tc>
          <w:tcPr>
            <w:tcW w:w="3060" w:type="dxa"/>
          </w:tcPr>
          <w:p w:rsidR="00314501" w:rsidRPr="003074D4" w:rsidRDefault="00314501" w:rsidP="00314501">
            <w:pPr>
              <w:jc w:val="both"/>
              <w:rPr>
                <w:sz w:val="22"/>
                <w:szCs w:val="22"/>
              </w:rPr>
            </w:pPr>
            <w:r w:rsidRPr="003074D4">
              <w:rPr>
                <w:sz w:val="22"/>
                <w:szCs w:val="22"/>
              </w:rPr>
              <w:t>Sabiedrības informēšana par projekta izstrādes uzsākšanu</w:t>
            </w:r>
          </w:p>
        </w:tc>
        <w:tc>
          <w:tcPr>
            <w:tcW w:w="5939" w:type="dxa"/>
          </w:tcPr>
          <w:p w:rsidR="00314501" w:rsidRPr="003074D4" w:rsidRDefault="00C642D3" w:rsidP="00314501">
            <w:pPr>
              <w:jc w:val="both"/>
              <w:rPr>
                <w:sz w:val="22"/>
                <w:szCs w:val="22"/>
              </w:rPr>
            </w:pPr>
            <w:r>
              <w:rPr>
                <w:sz w:val="22"/>
                <w:szCs w:val="22"/>
              </w:rPr>
              <w:t>Nav attiecināms</w:t>
            </w:r>
          </w:p>
        </w:tc>
      </w:tr>
      <w:tr w:rsidR="00314501" w:rsidRPr="003074D4" w:rsidTr="00314501">
        <w:trPr>
          <w:trHeight w:val="279"/>
        </w:trPr>
        <w:tc>
          <w:tcPr>
            <w:tcW w:w="540" w:type="dxa"/>
          </w:tcPr>
          <w:p w:rsidR="00314501" w:rsidRPr="003074D4" w:rsidRDefault="00314501" w:rsidP="00314501">
            <w:pPr>
              <w:jc w:val="both"/>
              <w:rPr>
                <w:sz w:val="22"/>
                <w:szCs w:val="22"/>
              </w:rPr>
            </w:pPr>
            <w:r w:rsidRPr="003074D4">
              <w:rPr>
                <w:sz w:val="22"/>
                <w:szCs w:val="22"/>
              </w:rPr>
              <w:t>2.</w:t>
            </w:r>
          </w:p>
        </w:tc>
        <w:tc>
          <w:tcPr>
            <w:tcW w:w="3060" w:type="dxa"/>
          </w:tcPr>
          <w:p w:rsidR="00314501" w:rsidRPr="003074D4" w:rsidRDefault="00314501" w:rsidP="00314501">
            <w:pPr>
              <w:jc w:val="both"/>
              <w:rPr>
                <w:sz w:val="22"/>
                <w:szCs w:val="22"/>
              </w:rPr>
            </w:pPr>
            <w:r w:rsidRPr="003074D4">
              <w:rPr>
                <w:sz w:val="22"/>
                <w:szCs w:val="22"/>
              </w:rPr>
              <w:t>Sabiedrības līdzdalība projekta izstrādē</w:t>
            </w:r>
          </w:p>
        </w:tc>
        <w:tc>
          <w:tcPr>
            <w:tcW w:w="5939" w:type="dxa"/>
          </w:tcPr>
          <w:p w:rsidR="00314501" w:rsidRPr="003074D4" w:rsidRDefault="00C642D3" w:rsidP="00DE4F3D">
            <w:pPr>
              <w:pStyle w:val="naiskr"/>
              <w:spacing w:before="0" w:after="0"/>
              <w:jc w:val="both"/>
              <w:rPr>
                <w:sz w:val="22"/>
                <w:szCs w:val="22"/>
              </w:rPr>
            </w:pPr>
            <w:r w:rsidRPr="00CC2A4B">
              <w:t xml:space="preserve">Projekta izstrādes gaitā notika konsultācijas ar filmu nozares organizācijām- Latvijas Kinematogrāfistu savienību, Latvijas </w:t>
            </w:r>
            <w:proofErr w:type="spellStart"/>
            <w:r w:rsidRPr="00CC2A4B">
              <w:t>Kinoproducentu</w:t>
            </w:r>
            <w:proofErr w:type="spellEnd"/>
            <w:r w:rsidRPr="00CC2A4B">
              <w:t xml:space="preserve"> apvienību un neatkarīgiem filmu producentiem, ņemot vērā, ka minētās organizācijas praktiski nodarbojas ar sev piederošo filmu izplatīšanu un izmantošanu. Projekts elektroniski nosūtīts 06.05.2011., kopīga sanāksme par Projektu, kā arī Nacionālā kino centra cenrādi notika 10.05.2011</w:t>
            </w:r>
            <w:r>
              <w:rPr>
                <w:sz w:val="22"/>
                <w:szCs w:val="22"/>
              </w:rPr>
              <w:t>.</w:t>
            </w:r>
          </w:p>
        </w:tc>
      </w:tr>
      <w:tr w:rsidR="00314501" w:rsidRPr="003074D4" w:rsidTr="00314501">
        <w:trPr>
          <w:trHeight w:val="279"/>
        </w:trPr>
        <w:tc>
          <w:tcPr>
            <w:tcW w:w="540" w:type="dxa"/>
          </w:tcPr>
          <w:p w:rsidR="00314501" w:rsidRPr="003074D4" w:rsidRDefault="00314501" w:rsidP="00314501">
            <w:pPr>
              <w:jc w:val="both"/>
              <w:rPr>
                <w:sz w:val="22"/>
                <w:szCs w:val="22"/>
              </w:rPr>
            </w:pPr>
            <w:r w:rsidRPr="003074D4">
              <w:rPr>
                <w:sz w:val="22"/>
                <w:szCs w:val="22"/>
              </w:rPr>
              <w:t>3.</w:t>
            </w:r>
          </w:p>
        </w:tc>
        <w:tc>
          <w:tcPr>
            <w:tcW w:w="3060" w:type="dxa"/>
          </w:tcPr>
          <w:p w:rsidR="00314501" w:rsidRPr="003074D4" w:rsidRDefault="00314501" w:rsidP="00314501">
            <w:pPr>
              <w:jc w:val="both"/>
              <w:rPr>
                <w:sz w:val="22"/>
                <w:szCs w:val="22"/>
              </w:rPr>
            </w:pPr>
            <w:r w:rsidRPr="003074D4">
              <w:rPr>
                <w:sz w:val="22"/>
                <w:szCs w:val="22"/>
              </w:rPr>
              <w:t>Sabiedrības līdzdalības rezultāti</w:t>
            </w:r>
          </w:p>
        </w:tc>
        <w:tc>
          <w:tcPr>
            <w:tcW w:w="5939" w:type="dxa"/>
          </w:tcPr>
          <w:p w:rsidR="00AD18D5" w:rsidRPr="003074D4" w:rsidRDefault="00C642D3" w:rsidP="00206805">
            <w:pPr>
              <w:pStyle w:val="naiskr"/>
              <w:spacing w:before="0" w:after="0"/>
              <w:jc w:val="both"/>
              <w:rPr>
                <w:sz w:val="22"/>
                <w:szCs w:val="22"/>
              </w:rPr>
            </w:pPr>
            <w:r w:rsidRPr="00CC2A4B">
              <w:t>Projekts tika atbalstīts. Projekta apspriešanas gaitā tika izteikts priekšlikums Projektu papildināt ar pielikumu, kurā noteikts izsmeļošs filmu saraksts, kuru autortiesības vai blakustiesības pieder vai piekrīt valstij, taču šāda saraksta apstiprināšanai Ministru kabinetam nav pilnvarojuma.</w:t>
            </w:r>
          </w:p>
        </w:tc>
      </w:tr>
      <w:tr w:rsidR="00314501" w:rsidRPr="003074D4" w:rsidTr="00314501">
        <w:trPr>
          <w:trHeight w:val="279"/>
        </w:trPr>
        <w:tc>
          <w:tcPr>
            <w:tcW w:w="540" w:type="dxa"/>
          </w:tcPr>
          <w:p w:rsidR="00314501" w:rsidRPr="003074D4" w:rsidRDefault="00314501" w:rsidP="00314501">
            <w:pPr>
              <w:jc w:val="both"/>
              <w:rPr>
                <w:sz w:val="22"/>
                <w:szCs w:val="22"/>
              </w:rPr>
            </w:pPr>
            <w:r w:rsidRPr="003074D4">
              <w:rPr>
                <w:sz w:val="22"/>
                <w:szCs w:val="22"/>
              </w:rPr>
              <w:t>4.</w:t>
            </w:r>
          </w:p>
        </w:tc>
        <w:tc>
          <w:tcPr>
            <w:tcW w:w="3060" w:type="dxa"/>
          </w:tcPr>
          <w:p w:rsidR="00314501" w:rsidRPr="003074D4" w:rsidRDefault="00314501" w:rsidP="00314501">
            <w:pPr>
              <w:jc w:val="both"/>
              <w:rPr>
                <w:sz w:val="22"/>
                <w:szCs w:val="22"/>
              </w:rPr>
            </w:pPr>
            <w:r w:rsidRPr="003074D4">
              <w:rPr>
                <w:sz w:val="22"/>
                <w:szCs w:val="22"/>
              </w:rPr>
              <w:t>Saeimas un ekspertu līdzdalība</w:t>
            </w:r>
          </w:p>
        </w:tc>
        <w:tc>
          <w:tcPr>
            <w:tcW w:w="5939" w:type="dxa"/>
          </w:tcPr>
          <w:p w:rsidR="005D4CE6" w:rsidRPr="003074D4" w:rsidRDefault="00057DF3" w:rsidP="005D4CE6">
            <w:pPr>
              <w:pStyle w:val="naiskr"/>
              <w:spacing w:before="0" w:after="0"/>
              <w:jc w:val="both"/>
              <w:rPr>
                <w:sz w:val="22"/>
                <w:szCs w:val="22"/>
              </w:rPr>
            </w:pPr>
            <w:r w:rsidRPr="00016FE9">
              <w:t>Nav attiecināms.</w:t>
            </w:r>
          </w:p>
        </w:tc>
      </w:tr>
      <w:tr w:rsidR="00314501" w:rsidRPr="003074D4" w:rsidTr="00314501">
        <w:trPr>
          <w:trHeight w:val="279"/>
        </w:trPr>
        <w:tc>
          <w:tcPr>
            <w:tcW w:w="540" w:type="dxa"/>
          </w:tcPr>
          <w:p w:rsidR="00314501" w:rsidRPr="003074D4" w:rsidRDefault="00314501" w:rsidP="00314501">
            <w:pPr>
              <w:jc w:val="both"/>
              <w:rPr>
                <w:sz w:val="22"/>
                <w:szCs w:val="22"/>
              </w:rPr>
            </w:pPr>
            <w:r w:rsidRPr="003074D4">
              <w:rPr>
                <w:sz w:val="22"/>
                <w:szCs w:val="22"/>
              </w:rPr>
              <w:t>5.</w:t>
            </w:r>
          </w:p>
        </w:tc>
        <w:tc>
          <w:tcPr>
            <w:tcW w:w="3060" w:type="dxa"/>
          </w:tcPr>
          <w:p w:rsidR="00314501" w:rsidRPr="003074D4" w:rsidRDefault="00314501" w:rsidP="00314501">
            <w:pPr>
              <w:jc w:val="both"/>
              <w:rPr>
                <w:sz w:val="22"/>
                <w:szCs w:val="22"/>
              </w:rPr>
            </w:pPr>
            <w:r w:rsidRPr="003074D4">
              <w:rPr>
                <w:sz w:val="22"/>
                <w:szCs w:val="22"/>
              </w:rPr>
              <w:t>Cita informācija</w:t>
            </w:r>
          </w:p>
        </w:tc>
        <w:tc>
          <w:tcPr>
            <w:tcW w:w="5939" w:type="dxa"/>
          </w:tcPr>
          <w:p w:rsidR="00314501" w:rsidRPr="003074D4" w:rsidRDefault="00314501" w:rsidP="00314501">
            <w:pPr>
              <w:jc w:val="both"/>
              <w:rPr>
                <w:sz w:val="22"/>
                <w:szCs w:val="22"/>
              </w:rPr>
            </w:pPr>
            <w:r w:rsidRPr="003074D4">
              <w:rPr>
                <w:sz w:val="22"/>
                <w:szCs w:val="22"/>
              </w:rPr>
              <w:t>Nav.</w:t>
            </w:r>
          </w:p>
        </w:tc>
      </w:tr>
    </w:tbl>
    <w:p w:rsidR="00314501" w:rsidRPr="00CD3986" w:rsidRDefault="00314501" w:rsidP="0031450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4859"/>
      </w:tblGrid>
      <w:tr w:rsidR="00314501" w:rsidRPr="003074D4" w:rsidTr="00314501">
        <w:trPr>
          <w:trHeight w:val="279"/>
        </w:trPr>
        <w:tc>
          <w:tcPr>
            <w:tcW w:w="9539" w:type="dxa"/>
            <w:gridSpan w:val="3"/>
          </w:tcPr>
          <w:p w:rsidR="00314501" w:rsidRPr="003074D4" w:rsidRDefault="00314501" w:rsidP="00314501">
            <w:pPr>
              <w:jc w:val="center"/>
              <w:rPr>
                <w:b/>
              </w:rPr>
            </w:pPr>
            <w:r w:rsidRPr="003074D4">
              <w:rPr>
                <w:b/>
              </w:rPr>
              <w:t>VII. Tiesību akta projekta izpildes nodrošināšana un tās ietekme uz institūcijām</w:t>
            </w:r>
          </w:p>
        </w:tc>
      </w:tr>
      <w:tr w:rsidR="00314501" w:rsidRPr="00016FE9" w:rsidTr="00FB60FE">
        <w:trPr>
          <w:trHeight w:val="279"/>
        </w:trPr>
        <w:tc>
          <w:tcPr>
            <w:tcW w:w="540" w:type="dxa"/>
          </w:tcPr>
          <w:p w:rsidR="00314501" w:rsidRPr="00016FE9" w:rsidRDefault="00314501" w:rsidP="00314501">
            <w:pPr>
              <w:jc w:val="both"/>
            </w:pPr>
            <w:r w:rsidRPr="00016FE9">
              <w:t>1.</w:t>
            </w:r>
          </w:p>
        </w:tc>
        <w:tc>
          <w:tcPr>
            <w:tcW w:w="4140" w:type="dxa"/>
          </w:tcPr>
          <w:p w:rsidR="00314501" w:rsidRPr="00016FE9" w:rsidRDefault="00314501" w:rsidP="00314501">
            <w:pPr>
              <w:jc w:val="both"/>
            </w:pPr>
            <w:r w:rsidRPr="003074D4">
              <w:rPr>
                <w:sz w:val="22"/>
                <w:szCs w:val="22"/>
              </w:rPr>
              <w:t>Projekta izpildē iesaistītās institūcijas</w:t>
            </w:r>
          </w:p>
        </w:tc>
        <w:tc>
          <w:tcPr>
            <w:tcW w:w="4859" w:type="dxa"/>
          </w:tcPr>
          <w:p w:rsidR="00314501" w:rsidRPr="009B0E1F" w:rsidRDefault="0061110D" w:rsidP="006F0ED8">
            <w:pPr>
              <w:jc w:val="both"/>
              <w:rPr>
                <w:sz w:val="22"/>
                <w:szCs w:val="22"/>
              </w:rPr>
            </w:pPr>
            <w:r w:rsidRPr="00CC2A4B">
              <w:t>Izpildi saskaņā ar Filmu likuma 5.panta pirmo daļu un 10.panta otrās daļas 9.punktu nodrošinās Kultūras ministrijas padotībā esošā valsts pārvaldes iestāde Nacionālais kino centrs.</w:t>
            </w:r>
          </w:p>
        </w:tc>
      </w:tr>
      <w:tr w:rsidR="00314501" w:rsidRPr="00016FE9" w:rsidTr="00FB60FE">
        <w:trPr>
          <w:trHeight w:val="279"/>
        </w:trPr>
        <w:tc>
          <w:tcPr>
            <w:tcW w:w="540" w:type="dxa"/>
          </w:tcPr>
          <w:p w:rsidR="00314501" w:rsidRPr="00016FE9" w:rsidRDefault="00314501" w:rsidP="00314501">
            <w:pPr>
              <w:jc w:val="both"/>
            </w:pPr>
            <w:r w:rsidRPr="00016FE9">
              <w:t>2.</w:t>
            </w:r>
          </w:p>
        </w:tc>
        <w:tc>
          <w:tcPr>
            <w:tcW w:w="4140" w:type="dxa"/>
          </w:tcPr>
          <w:p w:rsidR="00314501" w:rsidRPr="00016FE9" w:rsidRDefault="00314501" w:rsidP="00314501">
            <w:pPr>
              <w:jc w:val="both"/>
            </w:pPr>
            <w:r w:rsidRPr="003074D4">
              <w:rPr>
                <w:sz w:val="22"/>
                <w:szCs w:val="22"/>
              </w:rPr>
              <w:t>Projekta izpildes ietekme uz pārvaldes funkcijām</w:t>
            </w:r>
          </w:p>
        </w:tc>
        <w:tc>
          <w:tcPr>
            <w:tcW w:w="4859" w:type="dxa"/>
            <w:shd w:val="clear" w:color="auto" w:fill="auto"/>
          </w:tcPr>
          <w:p w:rsidR="00314501" w:rsidRPr="009B0E1F" w:rsidRDefault="00F016AF" w:rsidP="00F016AF">
            <w:pPr>
              <w:jc w:val="both"/>
              <w:rPr>
                <w:sz w:val="22"/>
                <w:szCs w:val="22"/>
              </w:rPr>
            </w:pPr>
            <w:r w:rsidRPr="00CC2A4B">
              <w:t xml:space="preserve">Nacionālā kino centra funkcijas netiek paplašinātas. </w:t>
            </w:r>
          </w:p>
        </w:tc>
      </w:tr>
      <w:tr w:rsidR="00314501" w:rsidRPr="00016FE9" w:rsidTr="00FB60FE">
        <w:trPr>
          <w:trHeight w:val="279"/>
        </w:trPr>
        <w:tc>
          <w:tcPr>
            <w:tcW w:w="540" w:type="dxa"/>
          </w:tcPr>
          <w:p w:rsidR="00314501" w:rsidRPr="00016FE9" w:rsidRDefault="00314501" w:rsidP="00314501">
            <w:pPr>
              <w:jc w:val="both"/>
            </w:pPr>
            <w:r w:rsidRPr="00016FE9">
              <w:t>3.</w:t>
            </w:r>
          </w:p>
        </w:tc>
        <w:tc>
          <w:tcPr>
            <w:tcW w:w="4140" w:type="dxa"/>
          </w:tcPr>
          <w:p w:rsidR="00314501" w:rsidRPr="003074D4" w:rsidRDefault="00314501" w:rsidP="00314501">
            <w:pPr>
              <w:pStyle w:val="naisf"/>
              <w:spacing w:before="0" w:after="0"/>
              <w:ind w:left="57" w:right="57" w:firstLine="0"/>
              <w:jc w:val="left"/>
              <w:rPr>
                <w:sz w:val="22"/>
                <w:szCs w:val="22"/>
              </w:rPr>
            </w:pPr>
            <w:r w:rsidRPr="003074D4">
              <w:rPr>
                <w:sz w:val="22"/>
                <w:szCs w:val="22"/>
              </w:rPr>
              <w:t>Projekta izpildes ietekme uz pārvaldes institucionālo struktūru.</w:t>
            </w:r>
          </w:p>
          <w:p w:rsidR="00314501" w:rsidRPr="003074D4" w:rsidRDefault="00314501" w:rsidP="00314501">
            <w:pPr>
              <w:jc w:val="both"/>
              <w:rPr>
                <w:sz w:val="22"/>
                <w:szCs w:val="22"/>
              </w:rPr>
            </w:pPr>
            <w:r w:rsidRPr="003074D4">
              <w:rPr>
                <w:sz w:val="22"/>
                <w:szCs w:val="22"/>
              </w:rPr>
              <w:t>Jaunu institūciju izveide</w:t>
            </w:r>
          </w:p>
        </w:tc>
        <w:tc>
          <w:tcPr>
            <w:tcW w:w="4859" w:type="dxa"/>
          </w:tcPr>
          <w:p w:rsidR="00314501" w:rsidRPr="009B0E1F" w:rsidRDefault="00F016AF" w:rsidP="00314501">
            <w:pPr>
              <w:jc w:val="both"/>
              <w:rPr>
                <w:sz w:val="22"/>
                <w:szCs w:val="22"/>
              </w:rPr>
            </w:pPr>
            <w:r w:rsidRPr="00CC2A4B">
              <w:t>Noteikuma projekta izpilde iespējama uzreiz pēc stāšanas spēkā. Jaunas valsts institūcijas netiek radītas.</w:t>
            </w:r>
          </w:p>
        </w:tc>
      </w:tr>
      <w:tr w:rsidR="00314501" w:rsidRPr="00016FE9" w:rsidTr="00FB60FE">
        <w:trPr>
          <w:trHeight w:val="279"/>
        </w:trPr>
        <w:tc>
          <w:tcPr>
            <w:tcW w:w="540" w:type="dxa"/>
          </w:tcPr>
          <w:p w:rsidR="00314501" w:rsidRPr="00016FE9" w:rsidRDefault="00314501" w:rsidP="00314501">
            <w:pPr>
              <w:jc w:val="both"/>
            </w:pPr>
            <w:r w:rsidRPr="00016FE9">
              <w:t>4.</w:t>
            </w:r>
          </w:p>
        </w:tc>
        <w:tc>
          <w:tcPr>
            <w:tcW w:w="4140" w:type="dxa"/>
          </w:tcPr>
          <w:p w:rsidR="00314501" w:rsidRPr="003074D4" w:rsidRDefault="00314501" w:rsidP="00314501">
            <w:pPr>
              <w:pStyle w:val="naisf"/>
              <w:spacing w:before="0" w:after="0"/>
              <w:ind w:left="57" w:right="57" w:firstLine="0"/>
              <w:jc w:val="left"/>
              <w:rPr>
                <w:sz w:val="22"/>
                <w:szCs w:val="22"/>
              </w:rPr>
            </w:pPr>
            <w:r w:rsidRPr="003074D4">
              <w:rPr>
                <w:sz w:val="22"/>
                <w:szCs w:val="22"/>
              </w:rPr>
              <w:t>Projekta izpildes ietekme uz pārvaldes institucionālo struktūru.</w:t>
            </w:r>
          </w:p>
          <w:p w:rsidR="00314501" w:rsidRPr="003074D4" w:rsidRDefault="00314501" w:rsidP="00314501">
            <w:pPr>
              <w:jc w:val="both"/>
              <w:rPr>
                <w:sz w:val="22"/>
                <w:szCs w:val="22"/>
              </w:rPr>
            </w:pPr>
            <w:r w:rsidRPr="003074D4">
              <w:rPr>
                <w:sz w:val="22"/>
                <w:szCs w:val="22"/>
              </w:rPr>
              <w:lastRenderedPageBreak/>
              <w:t>Esošu institūciju likvidācija</w:t>
            </w:r>
          </w:p>
        </w:tc>
        <w:tc>
          <w:tcPr>
            <w:tcW w:w="4859" w:type="dxa"/>
          </w:tcPr>
          <w:p w:rsidR="00314501" w:rsidRPr="009B0E1F" w:rsidRDefault="00314501" w:rsidP="00314501">
            <w:pPr>
              <w:jc w:val="both"/>
              <w:rPr>
                <w:sz w:val="22"/>
                <w:szCs w:val="22"/>
              </w:rPr>
            </w:pPr>
            <w:r w:rsidRPr="009B0E1F">
              <w:rPr>
                <w:sz w:val="22"/>
                <w:szCs w:val="22"/>
              </w:rPr>
              <w:lastRenderedPageBreak/>
              <w:t>Nav attiecināms.</w:t>
            </w:r>
          </w:p>
        </w:tc>
      </w:tr>
      <w:tr w:rsidR="00314501" w:rsidRPr="00016FE9" w:rsidTr="00FB60FE">
        <w:trPr>
          <w:trHeight w:val="279"/>
        </w:trPr>
        <w:tc>
          <w:tcPr>
            <w:tcW w:w="540" w:type="dxa"/>
          </w:tcPr>
          <w:p w:rsidR="00314501" w:rsidRPr="00016FE9" w:rsidRDefault="00314501" w:rsidP="00314501">
            <w:pPr>
              <w:jc w:val="both"/>
            </w:pPr>
            <w:r w:rsidRPr="00016FE9">
              <w:lastRenderedPageBreak/>
              <w:t>5.</w:t>
            </w:r>
          </w:p>
        </w:tc>
        <w:tc>
          <w:tcPr>
            <w:tcW w:w="4140" w:type="dxa"/>
          </w:tcPr>
          <w:p w:rsidR="00314501" w:rsidRPr="003074D4" w:rsidRDefault="00314501" w:rsidP="00314501">
            <w:pPr>
              <w:pStyle w:val="naisf"/>
              <w:spacing w:before="0" w:after="0"/>
              <w:ind w:left="57" w:right="57" w:firstLine="0"/>
              <w:jc w:val="left"/>
              <w:rPr>
                <w:sz w:val="22"/>
                <w:szCs w:val="22"/>
              </w:rPr>
            </w:pPr>
            <w:r w:rsidRPr="003074D4">
              <w:rPr>
                <w:sz w:val="22"/>
                <w:szCs w:val="22"/>
              </w:rPr>
              <w:t>Projekta izpildes ietekme uz pārvaldes institucionālo struktūru.</w:t>
            </w:r>
          </w:p>
          <w:p w:rsidR="00314501" w:rsidRPr="003074D4" w:rsidRDefault="00314501" w:rsidP="00314501">
            <w:pPr>
              <w:jc w:val="both"/>
              <w:rPr>
                <w:sz w:val="22"/>
                <w:szCs w:val="22"/>
              </w:rPr>
            </w:pPr>
            <w:r w:rsidRPr="003074D4">
              <w:rPr>
                <w:sz w:val="22"/>
                <w:szCs w:val="22"/>
              </w:rPr>
              <w:t>Esošu institūciju reorganizācija</w:t>
            </w:r>
          </w:p>
        </w:tc>
        <w:tc>
          <w:tcPr>
            <w:tcW w:w="4859" w:type="dxa"/>
          </w:tcPr>
          <w:p w:rsidR="00314501" w:rsidRPr="009B0E1F" w:rsidRDefault="00314501" w:rsidP="00314501">
            <w:pPr>
              <w:jc w:val="both"/>
              <w:rPr>
                <w:sz w:val="22"/>
                <w:szCs w:val="22"/>
              </w:rPr>
            </w:pPr>
            <w:r w:rsidRPr="009B0E1F">
              <w:rPr>
                <w:sz w:val="22"/>
                <w:szCs w:val="22"/>
              </w:rPr>
              <w:t>Nav attiecināms.</w:t>
            </w:r>
          </w:p>
        </w:tc>
      </w:tr>
      <w:tr w:rsidR="00314501" w:rsidRPr="00016FE9" w:rsidTr="00FB60FE">
        <w:trPr>
          <w:trHeight w:val="279"/>
        </w:trPr>
        <w:tc>
          <w:tcPr>
            <w:tcW w:w="540" w:type="dxa"/>
          </w:tcPr>
          <w:p w:rsidR="00314501" w:rsidRPr="00016FE9" w:rsidRDefault="00314501" w:rsidP="00314501">
            <w:pPr>
              <w:jc w:val="both"/>
            </w:pPr>
            <w:r w:rsidRPr="00016FE9">
              <w:t>6.</w:t>
            </w:r>
          </w:p>
        </w:tc>
        <w:tc>
          <w:tcPr>
            <w:tcW w:w="4140" w:type="dxa"/>
          </w:tcPr>
          <w:p w:rsidR="00314501" w:rsidRPr="00016FE9" w:rsidRDefault="00314501" w:rsidP="00314501">
            <w:pPr>
              <w:jc w:val="both"/>
            </w:pPr>
            <w:r w:rsidRPr="003074D4">
              <w:rPr>
                <w:sz w:val="22"/>
                <w:szCs w:val="22"/>
              </w:rPr>
              <w:t>Cita informācija</w:t>
            </w:r>
          </w:p>
        </w:tc>
        <w:tc>
          <w:tcPr>
            <w:tcW w:w="4859" w:type="dxa"/>
          </w:tcPr>
          <w:p w:rsidR="00314501" w:rsidRPr="00016FE9" w:rsidRDefault="00314501" w:rsidP="00314501">
            <w:pPr>
              <w:jc w:val="both"/>
            </w:pPr>
            <w:r w:rsidRPr="003074D4">
              <w:rPr>
                <w:sz w:val="22"/>
                <w:szCs w:val="22"/>
              </w:rPr>
              <w:t>Nav.</w:t>
            </w:r>
          </w:p>
        </w:tc>
      </w:tr>
    </w:tbl>
    <w:p w:rsidR="00C63C0F" w:rsidRPr="00B57326" w:rsidRDefault="00C63C0F" w:rsidP="00C83D19">
      <w:pPr>
        <w:jc w:val="both"/>
      </w:pPr>
    </w:p>
    <w:p w:rsidR="00314501" w:rsidRPr="00B57326" w:rsidRDefault="002A0676" w:rsidP="00314501">
      <w:pPr>
        <w:ind w:firstLine="709"/>
        <w:jc w:val="both"/>
      </w:pPr>
      <w:r w:rsidRPr="00B57326">
        <w:t>Kultūras ministre</w:t>
      </w:r>
      <w:r w:rsidR="009A0840" w:rsidRPr="00B57326">
        <w:t xml:space="preserve"> </w:t>
      </w:r>
      <w:r w:rsidR="009A0840" w:rsidRPr="00B57326">
        <w:tab/>
      </w:r>
      <w:r w:rsidR="009A0840" w:rsidRPr="00B57326">
        <w:tab/>
      </w:r>
      <w:r w:rsidR="009A0840" w:rsidRPr="00B57326">
        <w:tab/>
      </w:r>
      <w:r w:rsidR="009A0840" w:rsidRPr="00B57326">
        <w:tab/>
      </w:r>
      <w:r w:rsidR="00C63C0F" w:rsidRPr="00B57326">
        <w:tab/>
      </w:r>
      <w:r w:rsidRPr="00B57326">
        <w:t>S.Ēlerte</w:t>
      </w:r>
    </w:p>
    <w:p w:rsidR="00C83D19" w:rsidRPr="00B57326" w:rsidRDefault="00C83D19" w:rsidP="00314501"/>
    <w:p w:rsidR="00C83D19" w:rsidRPr="00B57326" w:rsidRDefault="00F83F51" w:rsidP="00314501">
      <w:r>
        <w:tab/>
        <w:t xml:space="preserve">Vīza: Valsts sekretāra </w:t>
      </w:r>
      <w:proofErr w:type="spellStart"/>
      <w:r>
        <w:t>p.i</w:t>
      </w:r>
      <w:proofErr w:type="spellEnd"/>
      <w:r>
        <w:t>.</w:t>
      </w:r>
      <w:r w:rsidR="00DF511B" w:rsidRPr="00B57326">
        <w:tab/>
      </w:r>
      <w:r w:rsidR="00DF511B" w:rsidRPr="00B57326">
        <w:tab/>
      </w:r>
      <w:r w:rsidR="00DF511B" w:rsidRPr="00B57326">
        <w:tab/>
      </w:r>
      <w:r w:rsidR="00DF511B" w:rsidRPr="00B57326">
        <w:tab/>
      </w:r>
      <w:proofErr w:type="spellStart"/>
      <w:r>
        <w:t>U.Lielpēters</w:t>
      </w:r>
      <w:proofErr w:type="spellEnd"/>
    </w:p>
    <w:p w:rsidR="00C83D19" w:rsidRPr="00DF511B" w:rsidRDefault="00C83D19" w:rsidP="00314501">
      <w:pPr>
        <w:rPr>
          <w:sz w:val="28"/>
          <w:szCs w:val="28"/>
        </w:rPr>
      </w:pPr>
    </w:p>
    <w:p w:rsidR="00DE4B75" w:rsidRPr="00822DE2" w:rsidRDefault="00F83F51" w:rsidP="00DE4B75">
      <w:pPr>
        <w:rPr>
          <w:sz w:val="20"/>
          <w:szCs w:val="20"/>
        </w:rPr>
      </w:pPr>
      <w:r>
        <w:rPr>
          <w:sz w:val="20"/>
          <w:szCs w:val="20"/>
        </w:rPr>
        <w:t>20</w:t>
      </w:r>
      <w:r w:rsidR="00DE4B75" w:rsidRPr="00822DE2">
        <w:rPr>
          <w:sz w:val="20"/>
          <w:szCs w:val="20"/>
        </w:rPr>
        <w:t>.0</w:t>
      </w:r>
      <w:r w:rsidR="00BC5B17">
        <w:rPr>
          <w:sz w:val="20"/>
          <w:szCs w:val="20"/>
        </w:rPr>
        <w:t>6</w:t>
      </w:r>
      <w:r w:rsidR="00DE4B75" w:rsidRPr="00822DE2">
        <w:rPr>
          <w:sz w:val="20"/>
          <w:szCs w:val="20"/>
        </w:rPr>
        <w:t>.2011. 1</w:t>
      </w:r>
      <w:r w:rsidR="00E2372F">
        <w:rPr>
          <w:sz w:val="20"/>
          <w:szCs w:val="20"/>
        </w:rPr>
        <w:t>0</w:t>
      </w:r>
      <w:r w:rsidR="00DE4B75" w:rsidRPr="00822DE2">
        <w:rPr>
          <w:sz w:val="20"/>
          <w:szCs w:val="20"/>
        </w:rPr>
        <w:t xml:space="preserve">:43 </w:t>
      </w:r>
    </w:p>
    <w:p w:rsidR="00DE4B75" w:rsidRPr="00822DE2" w:rsidRDefault="00BC5B17" w:rsidP="00DE4B75">
      <w:pPr>
        <w:rPr>
          <w:sz w:val="20"/>
          <w:szCs w:val="20"/>
        </w:rPr>
      </w:pPr>
      <w:r>
        <w:rPr>
          <w:sz w:val="20"/>
          <w:szCs w:val="20"/>
        </w:rPr>
        <w:t>174</w:t>
      </w:r>
      <w:r w:rsidR="00F83F51">
        <w:rPr>
          <w:sz w:val="20"/>
          <w:szCs w:val="20"/>
        </w:rPr>
        <w:t>3</w:t>
      </w:r>
    </w:p>
    <w:p w:rsidR="00DE4B75" w:rsidRPr="00822DE2" w:rsidRDefault="00DE4B75" w:rsidP="00DE4B75">
      <w:pPr>
        <w:rPr>
          <w:sz w:val="20"/>
          <w:szCs w:val="20"/>
          <w:lang w:val="pl-PL"/>
        </w:rPr>
      </w:pPr>
      <w:r w:rsidRPr="00822DE2">
        <w:rPr>
          <w:sz w:val="20"/>
          <w:szCs w:val="20"/>
          <w:lang w:val="pl-PL"/>
        </w:rPr>
        <w:t>S.Voldiņš</w:t>
      </w:r>
    </w:p>
    <w:p w:rsidR="00DE4B75" w:rsidRPr="00822DE2" w:rsidRDefault="00DE4B75" w:rsidP="00DE4B75">
      <w:pPr>
        <w:rPr>
          <w:sz w:val="20"/>
          <w:szCs w:val="20"/>
        </w:rPr>
      </w:pPr>
      <w:r w:rsidRPr="00822DE2">
        <w:rPr>
          <w:sz w:val="20"/>
          <w:szCs w:val="20"/>
          <w:lang w:val="pl-PL"/>
        </w:rPr>
        <w:t>67</w:t>
      </w:r>
      <w:r>
        <w:rPr>
          <w:sz w:val="20"/>
          <w:szCs w:val="20"/>
          <w:lang w:val="pl-PL"/>
        </w:rPr>
        <w:t>358859</w:t>
      </w:r>
      <w:r w:rsidRPr="00822DE2">
        <w:rPr>
          <w:sz w:val="20"/>
          <w:szCs w:val="20"/>
          <w:lang w:val="pl-PL"/>
        </w:rPr>
        <w:t>, Sandis.Voldins@nfc.gov.lv</w:t>
      </w:r>
    </w:p>
    <w:p w:rsidR="00C83D19" w:rsidRPr="00CD3986" w:rsidRDefault="00C83D19" w:rsidP="00314501"/>
    <w:sectPr w:rsidR="00C83D19" w:rsidRPr="00CD3986" w:rsidSect="00BD59F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237" w:rsidRDefault="00714237">
      <w:r>
        <w:separator/>
      </w:r>
    </w:p>
  </w:endnote>
  <w:endnote w:type="continuationSeparator" w:id="1">
    <w:p w:rsidR="00714237" w:rsidRDefault="00714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16" w:rsidRDefault="00CA4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F2" w:rsidRPr="00ED6BF2" w:rsidRDefault="00CA4716" w:rsidP="00ED6BF2">
    <w:pPr>
      <w:jc w:val="both"/>
      <w:rPr>
        <w:sz w:val="20"/>
        <w:szCs w:val="20"/>
      </w:rPr>
    </w:pPr>
    <w:r w:rsidRPr="00CA4716">
      <w:rPr>
        <w:sz w:val="20"/>
        <w:szCs w:val="20"/>
      </w:rPr>
      <w:t>KMAnot_130611_VSS532</w:t>
    </w:r>
    <w:r w:rsidR="00ED6BF2" w:rsidRPr="00ED6BF2">
      <w:rPr>
        <w:b/>
        <w:sz w:val="20"/>
        <w:szCs w:val="20"/>
      </w:rPr>
      <w:t xml:space="preserve">; </w:t>
    </w:r>
    <w:r w:rsidR="00ED6BF2" w:rsidRPr="00ED6BF2">
      <w:rPr>
        <w:rStyle w:val="Strong"/>
        <w:b w:val="0"/>
        <w:sz w:val="20"/>
        <w:szCs w:val="20"/>
      </w:rPr>
      <w:t xml:space="preserve">Ministru kabineta noteikumu projekta „Noteikumi par Nacionālā kino centra maksas pakalpojumu cenrādi” </w:t>
    </w:r>
    <w:r w:rsidR="00ED6BF2" w:rsidRPr="00ED6BF2">
      <w:rPr>
        <w:b/>
        <w:sz w:val="20"/>
        <w:szCs w:val="20"/>
      </w:rPr>
      <w:t>s</w:t>
    </w:r>
    <w:r w:rsidR="00ED6BF2" w:rsidRPr="00ED6BF2">
      <w:rPr>
        <w:sz w:val="20"/>
        <w:szCs w:val="20"/>
      </w:rPr>
      <w:t xml:space="preserve">ākotnējās ietekmes novērtējuma </w:t>
    </w:r>
    <w:smartTag w:uri="schemas-tilde-lv/tildestengine" w:element="veidnes">
      <w:smartTagPr>
        <w:attr w:name="text" w:val="ziņojums"/>
        <w:attr w:name="baseform" w:val="ziņojums"/>
        <w:attr w:name="id" w:val="-1"/>
      </w:smartTagPr>
      <w:r w:rsidR="00ED6BF2" w:rsidRPr="00ED6BF2">
        <w:rPr>
          <w:sz w:val="20"/>
          <w:szCs w:val="20"/>
        </w:rPr>
        <w:t>ziņojums</w:t>
      </w:r>
    </w:smartTag>
    <w:r w:rsidR="00ED6BF2" w:rsidRPr="00ED6BF2">
      <w:rPr>
        <w:sz w:val="20"/>
        <w:szCs w:val="20"/>
      </w:rPr>
      <w:t xml:space="preserve"> (anotācija)</w:t>
    </w:r>
  </w:p>
  <w:p w:rsidR="00714237" w:rsidRPr="00ED6BF2" w:rsidRDefault="00714237" w:rsidP="00ED6BF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F2" w:rsidRPr="00ED6BF2" w:rsidRDefault="00CA4716" w:rsidP="00ED6BF2">
    <w:pPr>
      <w:jc w:val="both"/>
      <w:rPr>
        <w:sz w:val="20"/>
        <w:szCs w:val="20"/>
      </w:rPr>
    </w:pPr>
    <w:bookmarkStart w:id="1" w:name="OLE_LINK1"/>
    <w:bookmarkStart w:id="2" w:name="OLE_LINK2"/>
    <w:r w:rsidRPr="00CA4716">
      <w:rPr>
        <w:sz w:val="20"/>
        <w:szCs w:val="20"/>
      </w:rPr>
      <w:t>KMAnot_130611_VSS532</w:t>
    </w:r>
    <w:bookmarkEnd w:id="1"/>
    <w:bookmarkEnd w:id="2"/>
    <w:r w:rsidR="00714237" w:rsidRPr="00ED6BF2">
      <w:rPr>
        <w:b/>
        <w:sz w:val="20"/>
        <w:szCs w:val="20"/>
      </w:rPr>
      <w:t xml:space="preserve">; </w:t>
    </w:r>
    <w:r w:rsidR="00ED6BF2" w:rsidRPr="00ED6BF2">
      <w:rPr>
        <w:rStyle w:val="Strong"/>
        <w:b w:val="0"/>
        <w:sz w:val="20"/>
        <w:szCs w:val="20"/>
      </w:rPr>
      <w:t xml:space="preserve">Ministru kabineta noteikumu projekta „Noteikumi par Nacionālā kino centra maksas pakalpojumu cenrādi” </w:t>
    </w:r>
    <w:r w:rsidR="00ED6BF2" w:rsidRPr="00ED6BF2">
      <w:rPr>
        <w:b/>
        <w:sz w:val="20"/>
        <w:szCs w:val="20"/>
      </w:rPr>
      <w:t>s</w:t>
    </w:r>
    <w:r w:rsidR="00ED6BF2" w:rsidRPr="00ED6BF2">
      <w:rPr>
        <w:sz w:val="20"/>
        <w:szCs w:val="20"/>
      </w:rPr>
      <w:t xml:space="preserve">ākotnējās ietekmes novērtējuma </w:t>
    </w:r>
    <w:smartTag w:uri="schemas-tilde-lv/tildestengine" w:element="veidnes">
      <w:smartTagPr>
        <w:attr w:name="text" w:val="ziņojums"/>
        <w:attr w:name="baseform" w:val="ziņojums"/>
        <w:attr w:name="id" w:val="-1"/>
      </w:smartTagPr>
      <w:r w:rsidR="00ED6BF2" w:rsidRPr="00ED6BF2">
        <w:rPr>
          <w:sz w:val="20"/>
          <w:szCs w:val="20"/>
        </w:rPr>
        <w:t>ziņojums</w:t>
      </w:r>
    </w:smartTag>
    <w:r w:rsidR="00ED6BF2" w:rsidRPr="00ED6BF2">
      <w:rPr>
        <w:sz w:val="20"/>
        <w:szCs w:val="20"/>
      </w:rPr>
      <w:t xml:space="preserve"> (anotācija)</w:t>
    </w:r>
  </w:p>
  <w:p w:rsidR="007156D0" w:rsidRPr="007156D0" w:rsidRDefault="007156D0" w:rsidP="007156D0">
    <w:pPr>
      <w:jc w:val="both"/>
      <w:rPr>
        <w:sz w:val="20"/>
        <w:szCs w:val="20"/>
      </w:rPr>
    </w:pPr>
  </w:p>
  <w:p w:rsidR="00714237" w:rsidRPr="00C05E32" w:rsidRDefault="00714237" w:rsidP="00D12505">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237" w:rsidRDefault="00714237">
      <w:r>
        <w:separator/>
      </w:r>
    </w:p>
  </w:footnote>
  <w:footnote w:type="continuationSeparator" w:id="1">
    <w:p w:rsidR="00714237" w:rsidRDefault="00714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37" w:rsidRDefault="00F5491C" w:rsidP="00314501">
    <w:pPr>
      <w:pStyle w:val="Header"/>
      <w:framePr w:wrap="around" w:vAnchor="text" w:hAnchor="margin" w:xAlign="center" w:y="1"/>
      <w:rPr>
        <w:rStyle w:val="PageNumber"/>
      </w:rPr>
    </w:pPr>
    <w:r>
      <w:rPr>
        <w:rStyle w:val="PageNumber"/>
      </w:rPr>
      <w:fldChar w:fldCharType="begin"/>
    </w:r>
    <w:r w:rsidR="00714237">
      <w:rPr>
        <w:rStyle w:val="PageNumber"/>
      </w:rPr>
      <w:instrText xml:space="preserve">PAGE  </w:instrText>
    </w:r>
    <w:r>
      <w:rPr>
        <w:rStyle w:val="PageNumber"/>
      </w:rPr>
      <w:fldChar w:fldCharType="end"/>
    </w:r>
  </w:p>
  <w:p w:rsidR="00714237" w:rsidRDefault="00714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37" w:rsidRDefault="00F5491C" w:rsidP="00314501">
    <w:pPr>
      <w:pStyle w:val="Header"/>
      <w:framePr w:wrap="around" w:vAnchor="text" w:hAnchor="margin" w:xAlign="center" w:y="1"/>
      <w:rPr>
        <w:rStyle w:val="PageNumber"/>
      </w:rPr>
    </w:pPr>
    <w:r>
      <w:rPr>
        <w:rStyle w:val="PageNumber"/>
      </w:rPr>
      <w:fldChar w:fldCharType="begin"/>
    </w:r>
    <w:r w:rsidR="00714237">
      <w:rPr>
        <w:rStyle w:val="PageNumber"/>
      </w:rPr>
      <w:instrText xml:space="preserve">PAGE  </w:instrText>
    </w:r>
    <w:r>
      <w:rPr>
        <w:rStyle w:val="PageNumber"/>
      </w:rPr>
      <w:fldChar w:fldCharType="separate"/>
    </w:r>
    <w:r w:rsidR="00F83F51">
      <w:rPr>
        <w:rStyle w:val="PageNumber"/>
        <w:noProof/>
      </w:rPr>
      <w:t>6</w:t>
    </w:r>
    <w:r>
      <w:rPr>
        <w:rStyle w:val="PageNumber"/>
      </w:rPr>
      <w:fldChar w:fldCharType="end"/>
    </w:r>
  </w:p>
  <w:p w:rsidR="00714237" w:rsidRDefault="00714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16" w:rsidRDefault="00CA4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4603"/>
    <w:multiLevelType w:val="hybridMultilevel"/>
    <w:tmpl w:val="7EC8561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14501"/>
    <w:rsid w:val="00010002"/>
    <w:rsid w:val="00011D3F"/>
    <w:rsid w:val="00015541"/>
    <w:rsid w:val="00020113"/>
    <w:rsid w:val="0002049C"/>
    <w:rsid w:val="0002118F"/>
    <w:rsid w:val="000255D5"/>
    <w:rsid w:val="00025A56"/>
    <w:rsid w:val="00025B69"/>
    <w:rsid w:val="00045B85"/>
    <w:rsid w:val="0005144E"/>
    <w:rsid w:val="00055AE0"/>
    <w:rsid w:val="00057DF3"/>
    <w:rsid w:val="00061F81"/>
    <w:rsid w:val="00062DA7"/>
    <w:rsid w:val="00082EF0"/>
    <w:rsid w:val="00082FD3"/>
    <w:rsid w:val="0008799E"/>
    <w:rsid w:val="000A15B9"/>
    <w:rsid w:val="000A4BA7"/>
    <w:rsid w:val="000B4ABC"/>
    <w:rsid w:val="000B61ED"/>
    <w:rsid w:val="000C2531"/>
    <w:rsid w:val="000C4192"/>
    <w:rsid w:val="000C531E"/>
    <w:rsid w:val="000C56C9"/>
    <w:rsid w:val="000C6618"/>
    <w:rsid w:val="000D0EC8"/>
    <w:rsid w:val="000D309D"/>
    <w:rsid w:val="000D38DB"/>
    <w:rsid w:val="000D5688"/>
    <w:rsid w:val="000D7F28"/>
    <w:rsid w:val="000E1100"/>
    <w:rsid w:val="000E30F9"/>
    <w:rsid w:val="000E4F93"/>
    <w:rsid w:val="000E687C"/>
    <w:rsid w:val="000F0179"/>
    <w:rsid w:val="000F15FB"/>
    <w:rsid w:val="000F25AD"/>
    <w:rsid w:val="000F3C77"/>
    <w:rsid w:val="000F580E"/>
    <w:rsid w:val="000F6085"/>
    <w:rsid w:val="00100E2E"/>
    <w:rsid w:val="00105C84"/>
    <w:rsid w:val="00110FF5"/>
    <w:rsid w:val="001159A4"/>
    <w:rsid w:val="001169FE"/>
    <w:rsid w:val="00116EEA"/>
    <w:rsid w:val="00122390"/>
    <w:rsid w:val="001307E1"/>
    <w:rsid w:val="00133011"/>
    <w:rsid w:val="00134F8C"/>
    <w:rsid w:val="00140306"/>
    <w:rsid w:val="00140682"/>
    <w:rsid w:val="00141E0F"/>
    <w:rsid w:val="00143C15"/>
    <w:rsid w:val="00145D90"/>
    <w:rsid w:val="00146DB4"/>
    <w:rsid w:val="0015103B"/>
    <w:rsid w:val="00156B2D"/>
    <w:rsid w:val="0015750F"/>
    <w:rsid w:val="00162B14"/>
    <w:rsid w:val="00165BDF"/>
    <w:rsid w:val="001724A3"/>
    <w:rsid w:val="00174BB7"/>
    <w:rsid w:val="00180641"/>
    <w:rsid w:val="001851F9"/>
    <w:rsid w:val="00192A08"/>
    <w:rsid w:val="0019473A"/>
    <w:rsid w:val="00196C94"/>
    <w:rsid w:val="001A1034"/>
    <w:rsid w:val="001A35D5"/>
    <w:rsid w:val="001A52E5"/>
    <w:rsid w:val="001A571E"/>
    <w:rsid w:val="001B1FFE"/>
    <w:rsid w:val="001B21C6"/>
    <w:rsid w:val="001B2AA2"/>
    <w:rsid w:val="001B56C9"/>
    <w:rsid w:val="001C40F8"/>
    <w:rsid w:val="001C656E"/>
    <w:rsid w:val="001D33FA"/>
    <w:rsid w:val="001D4A83"/>
    <w:rsid w:val="001E25F4"/>
    <w:rsid w:val="001E7450"/>
    <w:rsid w:val="001E7E40"/>
    <w:rsid w:val="001F1D71"/>
    <w:rsid w:val="001F2BB4"/>
    <w:rsid w:val="001F69D3"/>
    <w:rsid w:val="002038E0"/>
    <w:rsid w:val="00206805"/>
    <w:rsid w:val="0020735D"/>
    <w:rsid w:val="00207F5B"/>
    <w:rsid w:val="00217C1E"/>
    <w:rsid w:val="0023628B"/>
    <w:rsid w:val="002377ED"/>
    <w:rsid w:val="0024312A"/>
    <w:rsid w:val="002452F6"/>
    <w:rsid w:val="002500AE"/>
    <w:rsid w:val="0025559E"/>
    <w:rsid w:val="00255800"/>
    <w:rsid w:val="00261A61"/>
    <w:rsid w:val="00263E47"/>
    <w:rsid w:val="00265C4F"/>
    <w:rsid w:val="0026673C"/>
    <w:rsid w:val="00276B7B"/>
    <w:rsid w:val="002810A2"/>
    <w:rsid w:val="00281377"/>
    <w:rsid w:val="0028321A"/>
    <w:rsid w:val="00285ABC"/>
    <w:rsid w:val="002920B2"/>
    <w:rsid w:val="00293692"/>
    <w:rsid w:val="002943FA"/>
    <w:rsid w:val="002968C9"/>
    <w:rsid w:val="002A0676"/>
    <w:rsid w:val="002A1D55"/>
    <w:rsid w:val="002A3460"/>
    <w:rsid w:val="002B0487"/>
    <w:rsid w:val="002B3B1D"/>
    <w:rsid w:val="002B574A"/>
    <w:rsid w:val="002D08B3"/>
    <w:rsid w:val="002E0A98"/>
    <w:rsid w:val="002E48C1"/>
    <w:rsid w:val="002E6B50"/>
    <w:rsid w:val="002F1C99"/>
    <w:rsid w:val="002F4AAC"/>
    <w:rsid w:val="002F7343"/>
    <w:rsid w:val="00307CDD"/>
    <w:rsid w:val="003125EF"/>
    <w:rsid w:val="00313C36"/>
    <w:rsid w:val="00314501"/>
    <w:rsid w:val="00316065"/>
    <w:rsid w:val="00316D74"/>
    <w:rsid w:val="00330383"/>
    <w:rsid w:val="003314E5"/>
    <w:rsid w:val="00333288"/>
    <w:rsid w:val="0034224F"/>
    <w:rsid w:val="003425FD"/>
    <w:rsid w:val="003430D0"/>
    <w:rsid w:val="00343DCB"/>
    <w:rsid w:val="0034461F"/>
    <w:rsid w:val="003466F2"/>
    <w:rsid w:val="003468D1"/>
    <w:rsid w:val="00350C8C"/>
    <w:rsid w:val="00350D6F"/>
    <w:rsid w:val="00351660"/>
    <w:rsid w:val="00370C84"/>
    <w:rsid w:val="00375C22"/>
    <w:rsid w:val="00391FE8"/>
    <w:rsid w:val="003A0C41"/>
    <w:rsid w:val="003A1324"/>
    <w:rsid w:val="003A1F95"/>
    <w:rsid w:val="003A6CE3"/>
    <w:rsid w:val="003B28F3"/>
    <w:rsid w:val="003C0BB1"/>
    <w:rsid w:val="003C17D6"/>
    <w:rsid w:val="003C4D95"/>
    <w:rsid w:val="003C6374"/>
    <w:rsid w:val="003D7081"/>
    <w:rsid w:val="003F19AE"/>
    <w:rsid w:val="004031CA"/>
    <w:rsid w:val="00404FA7"/>
    <w:rsid w:val="004062BD"/>
    <w:rsid w:val="00411132"/>
    <w:rsid w:val="00414AE6"/>
    <w:rsid w:val="00425E7A"/>
    <w:rsid w:val="00430378"/>
    <w:rsid w:val="00453576"/>
    <w:rsid w:val="004617F1"/>
    <w:rsid w:val="00464719"/>
    <w:rsid w:val="00470B59"/>
    <w:rsid w:val="00472982"/>
    <w:rsid w:val="004777C3"/>
    <w:rsid w:val="00477989"/>
    <w:rsid w:val="00480A39"/>
    <w:rsid w:val="004876F7"/>
    <w:rsid w:val="00494197"/>
    <w:rsid w:val="004957B7"/>
    <w:rsid w:val="0049687F"/>
    <w:rsid w:val="004B03E0"/>
    <w:rsid w:val="004B0974"/>
    <w:rsid w:val="004B0E65"/>
    <w:rsid w:val="004B1FF5"/>
    <w:rsid w:val="004B32E7"/>
    <w:rsid w:val="004B41B9"/>
    <w:rsid w:val="004B7E0F"/>
    <w:rsid w:val="004C011F"/>
    <w:rsid w:val="004C16E3"/>
    <w:rsid w:val="004C1896"/>
    <w:rsid w:val="004C208A"/>
    <w:rsid w:val="004C2C55"/>
    <w:rsid w:val="004C47CB"/>
    <w:rsid w:val="004C56FB"/>
    <w:rsid w:val="004D24A3"/>
    <w:rsid w:val="004D60BC"/>
    <w:rsid w:val="004D6319"/>
    <w:rsid w:val="004E1BAB"/>
    <w:rsid w:val="004F407E"/>
    <w:rsid w:val="004F5BDF"/>
    <w:rsid w:val="00505D39"/>
    <w:rsid w:val="00507906"/>
    <w:rsid w:val="0052026F"/>
    <w:rsid w:val="005261F7"/>
    <w:rsid w:val="00530809"/>
    <w:rsid w:val="00531193"/>
    <w:rsid w:val="00532B03"/>
    <w:rsid w:val="00532D09"/>
    <w:rsid w:val="00533167"/>
    <w:rsid w:val="00537D27"/>
    <w:rsid w:val="005441F2"/>
    <w:rsid w:val="005462AC"/>
    <w:rsid w:val="00560A62"/>
    <w:rsid w:val="00562DED"/>
    <w:rsid w:val="005720F3"/>
    <w:rsid w:val="00577A9F"/>
    <w:rsid w:val="00581A17"/>
    <w:rsid w:val="00584ED2"/>
    <w:rsid w:val="005862CF"/>
    <w:rsid w:val="005879A9"/>
    <w:rsid w:val="00596728"/>
    <w:rsid w:val="005A7965"/>
    <w:rsid w:val="005B1C14"/>
    <w:rsid w:val="005B242F"/>
    <w:rsid w:val="005B322B"/>
    <w:rsid w:val="005B42EF"/>
    <w:rsid w:val="005B4A69"/>
    <w:rsid w:val="005C2338"/>
    <w:rsid w:val="005C48EB"/>
    <w:rsid w:val="005D4CE6"/>
    <w:rsid w:val="005D7426"/>
    <w:rsid w:val="005E0F0D"/>
    <w:rsid w:val="005E4810"/>
    <w:rsid w:val="005F0CAF"/>
    <w:rsid w:val="005F2A1B"/>
    <w:rsid w:val="006106A8"/>
    <w:rsid w:val="00610CA1"/>
    <w:rsid w:val="00610D63"/>
    <w:rsid w:val="0061110D"/>
    <w:rsid w:val="0061344A"/>
    <w:rsid w:val="0062292A"/>
    <w:rsid w:val="006263F2"/>
    <w:rsid w:val="00627D33"/>
    <w:rsid w:val="00631034"/>
    <w:rsid w:val="00634802"/>
    <w:rsid w:val="00637B0F"/>
    <w:rsid w:val="00646AE1"/>
    <w:rsid w:val="006625D0"/>
    <w:rsid w:val="00664654"/>
    <w:rsid w:val="00664D0D"/>
    <w:rsid w:val="00666659"/>
    <w:rsid w:val="00671BF2"/>
    <w:rsid w:val="00672B7C"/>
    <w:rsid w:val="00681EED"/>
    <w:rsid w:val="00682E73"/>
    <w:rsid w:val="00683464"/>
    <w:rsid w:val="006849DB"/>
    <w:rsid w:val="006857DB"/>
    <w:rsid w:val="0068769C"/>
    <w:rsid w:val="00691595"/>
    <w:rsid w:val="00693305"/>
    <w:rsid w:val="00693803"/>
    <w:rsid w:val="0069446C"/>
    <w:rsid w:val="00694711"/>
    <w:rsid w:val="00695736"/>
    <w:rsid w:val="006960E3"/>
    <w:rsid w:val="00696177"/>
    <w:rsid w:val="00697564"/>
    <w:rsid w:val="006A08BC"/>
    <w:rsid w:val="006A6DE1"/>
    <w:rsid w:val="006C276C"/>
    <w:rsid w:val="006C2F0B"/>
    <w:rsid w:val="006C3E47"/>
    <w:rsid w:val="006C52FC"/>
    <w:rsid w:val="006D1A5E"/>
    <w:rsid w:val="006D6460"/>
    <w:rsid w:val="006F0B51"/>
    <w:rsid w:val="006F0ED8"/>
    <w:rsid w:val="006F202E"/>
    <w:rsid w:val="006F4167"/>
    <w:rsid w:val="00700D93"/>
    <w:rsid w:val="00702785"/>
    <w:rsid w:val="007055E7"/>
    <w:rsid w:val="00713DD0"/>
    <w:rsid w:val="00713F04"/>
    <w:rsid w:val="00714237"/>
    <w:rsid w:val="007156D0"/>
    <w:rsid w:val="00715EE0"/>
    <w:rsid w:val="00725F79"/>
    <w:rsid w:val="00730DF1"/>
    <w:rsid w:val="00736785"/>
    <w:rsid w:val="00743BDA"/>
    <w:rsid w:val="00747FE5"/>
    <w:rsid w:val="00752489"/>
    <w:rsid w:val="00752D68"/>
    <w:rsid w:val="0075341E"/>
    <w:rsid w:val="00757866"/>
    <w:rsid w:val="00757D70"/>
    <w:rsid w:val="007601B8"/>
    <w:rsid w:val="00764716"/>
    <w:rsid w:val="00765B06"/>
    <w:rsid w:val="00772D0C"/>
    <w:rsid w:val="00772E47"/>
    <w:rsid w:val="00774688"/>
    <w:rsid w:val="00777FF5"/>
    <w:rsid w:val="00785A13"/>
    <w:rsid w:val="00785F57"/>
    <w:rsid w:val="00791CA5"/>
    <w:rsid w:val="00797770"/>
    <w:rsid w:val="007A1464"/>
    <w:rsid w:val="007A6B31"/>
    <w:rsid w:val="007B3C57"/>
    <w:rsid w:val="007B735D"/>
    <w:rsid w:val="007D7904"/>
    <w:rsid w:val="007F7DC5"/>
    <w:rsid w:val="0080132A"/>
    <w:rsid w:val="00804E04"/>
    <w:rsid w:val="0080636D"/>
    <w:rsid w:val="008130DD"/>
    <w:rsid w:val="00814F09"/>
    <w:rsid w:val="00815094"/>
    <w:rsid w:val="0081698A"/>
    <w:rsid w:val="0082011A"/>
    <w:rsid w:val="008219D1"/>
    <w:rsid w:val="00823801"/>
    <w:rsid w:val="008255DD"/>
    <w:rsid w:val="00827C61"/>
    <w:rsid w:val="008300A6"/>
    <w:rsid w:val="0083422B"/>
    <w:rsid w:val="00836A0E"/>
    <w:rsid w:val="00842E05"/>
    <w:rsid w:val="0084715C"/>
    <w:rsid w:val="00850A0C"/>
    <w:rsid w:val="00850A3E"/>
    <w:rsid w:val="00862383"/>
    <w:rsid w:val="008707F9"/>
    <w:rsid w:val="008800D2"/>
    <w:rsid w:val="00880611"/>
    <w:rsid w:val="008813E0"/>
    <w:rsid w:val="008816C7"/>
    <w:rsid w:val="008856F8"/>
    <w:rsid w:val="00892830"/>
    <w:rsid w:val="00893272"/>
    <w:rsid w:val="008968C2"/>
    <w:rsid w:val="008A104A"/>
    <w:rsid w:val="008A6244"/>
    <w:rsid w:val="008B0BEE"/>
    <w:rsid w:val="008C2365"/>
    <w:rsid w:val="008C71AF"/>
    <w:rsid w:val="008E126B"/>
    <w:rsid w:val="008E41C5"/>
    <w:rsid w:val="008F01E2"/>
    <w:rsid w:val="008F441F"/>
    <w:rsid w:val="00901685"/>
    <w:rsid w:val="00905823"/>
    <w:rsid w:val="009070B2"/>
    <w:rsid w:val="00907749"/>
    <w:rsid w:val="00910017"/>
    <w:rsid w:val="0091146F"/>
    <w:rsid w:val="009123D7"/>
    <w:rsid w:val="00912B02"/>
    <w:rsid w:val="009135D8"/>
    <w:rsid w:val="009245B0"/>
    <w:rsid w:val="00926154"/>
    <w:rsid w:val="00930723"/>
    <w:rsid w:val="00931F4F"/>
    <w:rsid w:val="009341AA"/>
    <w:rsid w:val="00936D97"/>
    <w:rsid w:val="00947F3B"/>
    <w:rsid w:val="009503BF"/>
    <w:rsid w:val="00960B1E"/>
    <w:rsid w:val="0096325B"/>
    <w:rsid w:val="00965283"/>
    <w:rsid w:val="009679E5"/>
    <w:rsid w:val="00972F50"/>
    <w:rsid w:val="0098081B"/>
    <w:rsid w:val="009877D0"/>
    <w:rsid w:val="00991A52"/>
    <w:rsid w:val="00993C38"/>
    <w:rsid w:val="009A0840"/>
    <w:rsid w:val="009A3C68"/>
    <w:rsid w:val="009B0E1F"/>
    <w:rsid w:val="009B21D4"/>
    <w:rsid w:val="009B3173"/>
    <w:rsid w:val="009C784F"/>
    <w:rsid w:val="009D0DEA"/>
    <w:rsid w:val="009E3CE6"/>
    <w:rsid w:val="009E5E0F"/>
    <w:rsid w:val="009F1A30"/>
    <w:rsid w:val="009F74AB"/>
    <w:rsid w:val="00A00081"/>
    <w:rsid w:val="00A004A2"/>
    <w:rsid w:val="00A0225E"/>
    <w:rsid w:val="00A04FF1"/>
    <w:rsid w:val="00A06101"/>
    <w:rsid w:val="00A066EE"/>
    <w:rsid w:val="00A10BB3"/>
    <w:rsid w:val="00A113F0"/>
    <w:rsid w:val="00A12406"/>
    <w:rsid w:val="00A209A9"/>
    <w:rsid w:val="00A22FE6"/>
    <w:rsid w:val="00A25216"/>
    <w:rsid w:val="00A25C38"/>
    <w:rsid w:val="00A27B04"/>
    <w:rsid w:val="00A311F4"/>
    <w:rsid w:val="00A324AB"/>
    <w:rsid w:val="00A35255"/>
    <w:rsid w:val="00A37D36"/>
    <w:rsid w:val="00A509CE"/>
    <w:rsid w:val="00A57CC4"/>
    <w:rsid w:val="00A617C7"/>
    <w:rsid w:val="00A6401B"/>
    <w:rsid w:val="00A817F8"/>
    <w:rsid w:val="00A821EF"/>
    <w:rsid w:val="00A83AF8"/>
    <w:rsid w:val="00A85D5D"/>
    <w:rsid w:val="00A95A49"/>
    <w:rsid w:val="00A97AD8"/>
    <w:rsid w:val="00AA0C11"/>
    <w:rsid w:val="00AA1E1A"/>
    <w:rsid w:val="00AB1A7C"/>
    <w:rsid w:val="00AB271C"/>
    <w:rsid w:val="00AB3E04"/>
    <w:rsid w:val="00AB4052"/>
    <w:rsid w:val="00AB5869"/>
    <w:rsid w:val="00AB661C"/>
    <w:rsid w:val="00AB6DDC"/>
    <w:rsid w:val="00AC1876"/>
    <w:rsid w:val="00AD1096"/>
    <w:rsid w:val="00AD18D5"/>
    <w:rsid w:val="00AD2BBA"/>
    <w:rsid w:val="00AD68A4"/>
    <w:rsid w:val="00AE1B6E"/>
    <w:rsid w:val="00AE3322"/>
    <w:rsid w:val="00AE418F"/>
    <w:rsid w:val="00AE73FE"/>
    <w:rsid w:val="00AE749F"/>
    <w:rsid w:val="00AF1FE2"/>
    <w:rsid w:val="00AF66EB"/>
    <w:rsid w:val="00B04125"/>
    <w:rsid w:val="00B05FE1"/>
    <w:rsid w:val="00B073C2"/>
    <w:rsid w:val="00B10028"/>
    <w:rsid w:val="00B1615B"/>
    <w:rsid w:val="00B2057C"/>
    <w:rsid w:val="00B403B9"/>
    <w:rsid w:val="00B424E5"/>
    <w:rsid w:val="00B53A18"/>
    <w:rsid w:val="00B57326"/>
    <w:rsid w:val="00B577CF"/>
    <w:rsid w:val="00B602C5"/>
    <w:rsid w:val="00B60FA9"/>
    <w:rsid w:val="00B660A4"/>
    <w:rsid w:val="00B76317"/>
    <w:rsid w:val="00B76A92"/>
    <w:rsid w:val="00B776AF"/>
    <w:rsid w:val="00B806CC"/>
    <w:rsid w:val="00B82990"/>
    <w:rsid w:val="00B8736F"/>
    <w:rsid w:val="00B934C6"/>
    <w:rsid w:val="00B9408E"/>
    <w:rsid w:val="00BA0884"/>
    <w:rsid w:val="00BA1556"/>
    <w:rsid w:val="00BA4CA9"/>
    <w:rsid w:val="00BA6D8E"/>
    <w:rsid w:val="00BB1F07"/>
    <w:rsid w:val="00BC0F08"/>
    <w:rsid w:val="00BC3E72"/>
    <w:rsid w:val="00BC5B17"/>
    <w:rsid w:val="00BD09DA"/>
    <w:rsid w:val="00BD59FF"/>
    <w:rsid w:val="00BE50EB"/>
    <w:rsid w:val="00BE7EFC"/>
    <w:rsid w:val="00BF1E68"/>
    <w:rsid w:val="00BF27BA"/>
    <w:rsid w:val="00BF2FE4"/>
    <w:rsid w:val="00BF5B99"/>
    <w:rsid w:val="00C00D55"/>
    <w:rsid w:val="00C05853"/>
    <w:rsid w:val="00C120A0"/>
    <w:rsid w:val="00C14326"/>
    <w:rsid w:val="00C16A71"/>
    <w:rsid w:val="00C22772"/>
    <w:rsid w:val="00C256AA"/>
    <w:rsid w:val="00C35209"/>
    <w:rsid w:val="00C42B3E"/>
    <w:rsid w:val="00C5101F"/>
    <w:rsid w:val="00C5103E"/>
    <w:rsid w:val="00C51A63"/>
    <w:rsid w:val="00C63C0F"/>
    <w:rsid w:val="00C642D3"/>
    <w:rsid w:val="00C64374"/>
    <w:rsid w:val="00C67A79"/>
    <w:rsid w:val="00C829F3"/>
    <w:rsid w:val="00C83626"/>
    <w:rsid w:val="00C83D19"/>
    <w:rsid w:val="00C85F7C"/>
    <w:rsid w:val="00C87DE8"/>
    <w:rsid w:val="00C96AFA"/>
    <w:rsid w:val="00C97375"/>
    <w:rsid w:val="00C97C6F"/>
    <w:rsid w:val="00CA2AE8"/>
    <w:rsid w:val="00CA2DD1"/>
    <w:rsid w:val="00CA44C4"/>
    <w:rsid w:val="00CA4716"/>
    <w:rsid w:val="00CA7DB8"/>
    <w:rsid w:val="00CB1E45"/>
    <w:rsid w:val="00CB4C8B"/>
    <w:rsid w:val="00CB5773"/>
    <w:rsid w:val="00CB6BEC"/>
    <w:rsid w:val="00CC260D"/>
    <w:rsid w:val="00CD3986"/>
    <w:rsid w:val="00CD6292"/>
    <w:rsid w:val="00CE1CA2"/>
    <w:rsid w:val="00CF28BF"/>
    <w:rsid w:val="00D03DCE"/>
    <w:rsid w:val="00D072DB"/>
    <w:rsid w:val="00D12505"/>
    <w:rsid w:val="00D336AD"/>
    <w:rsid w:val="00D374DD"/>
    <w:rsid w:val="00D40E80"/>
    <w:rsid w:val="00D45504"/>
    <w:rsid w:val="00D46BC3"/>
    <w:rsid w:val="00D54A96"/>
    <w:rsid w:val="00D56DC7"/>
    <w:rsid w:val="00D5796D"/>
    <w:rsid w:val="00D66358"/>
    <w:rsid w:val="00D71779"/>
    <w:rsid w:val="00D71C18"/>
    <w:rsid w:val="00D733C8"/>
    <w:rsid w:val="00D741B5"/>
    <w:rsid w:val="00D76838"/>
    <w:rsid w:val="00D845D1"/>
    <w:rsid w:val="00D9166E"/>
    <w:rsid w:val="00D92747"/>
    <w:rsid w:val="00D942F3"/>
    <w:rsid w:val="00D95821"/>
    <w:rsid w:val="00D96392"/>
    <w:rsid w:val="00DA16A9"/>
    <w:rsid w:val="00DA1D6B"/>
    <w:rsid w:val="00DA7553"/>
    <w:rsid w:val="00DC014B"/>
    <w:rsid w:val="00DC1FC5"/>
    <w:rsid w:val="00DC3FA9"/>
    <w:rsid w:val="00DC73C3"/>
    <w:rsid w:val="00DD02B9"/>
    <w:rsid w:val="00DD0C95"/>
    <w:rsid w:val="00DE1DED"/>
    <w:rsid w:val="00DE3A5E"/>
    <w:rsid w:val="00DE4B75"/>
    <w:rsid w:val="00DE4F3D"/>
    <w:rsid w:val="00DE6433"/>
    <w:rsid w:val="00DF511B"/>
    <w:rsid w:val="00DF5B5E"/>
    <w:rsid w:val="00E04A10"/>
    <w:rsid w:val="00E06242"/>
    <w:rsid w:val="00E11A1C"/>
    <w:rsid w:val="00E15FC5"/>
    <w:rsid w:val="00E208CE"/>
    <w:rsid w:val="00E2372F"/>
    <w:rsid w:val="00E23C34"/>
    <w:rsid w:val="00E27BE4"/>
    <w:rsid w:val="00E320D0"/>
    <w:rsid w:val="00E35F26"/>
    <w:rsid w:val="00E365D7"/>
    <w:rsid w:val="00E377AE"/>
    <w:rsid w:val="00E44C65"/>
    <w:rsid w:val="00E46534"/>
    <w:rsid w:val="00E51FF7"/>
    <w:rsid w:val="00E53311"/>
    <w:rsid w:val="00E54FA1"/>
    <w:rsid w:val="00E62556"/>
    <w:rsid w:val="00E63BF9"/>
    <w:rsid w:val="00E64909"/>
    <w:rsid w:val="00E763B8"/>
    <w:rsid w:val="00E80986"/>
    <w:rsid w:val="00E83C68"/>
    <w:rsid w:val="00E967EE"/>
    <w:rsid w:val="00EA1798"/>
    <w:rsid w:val="00EB1F32"/>
    <w:rsid w:val="00EB5F6E"/>
    <w:rsid w:val="00EC1213"/>
    <w:rsid w:val="00EC136F"/>
    <w:rsid w:val="00EC1C2B"/>
    <w:rsid w:val="00ED667D"/>
    <w:rsid w:val="00ED6BF2"/>
    <w:rsid w:val="00EE1186"/>
    <w:rsid w:val="00EE5F99"/>
    <w:rsid w:val="00EF0626"/>
    <w:rsid w:val="00EF31A3"/>
    <w:rsid w:val="00EF40BF"/>
    <w:rsid w:val="00EF4C17"/>
    <w:rsid w:val="00F0122C"/>
    <w:rsid w:val="00F016AF"/>
    <w:rsid w:val="00F040A6"/>
    <w:rsid w:val="00F07A53"/>
    <w:rsid w:val="00F17983"/>
    <w:rsid w:val="00F3184B"/>
    <w:rsid w:val="00F32841"/>
    <w:rsid w:val="00F35B2D"/>
    <w:rsid w:val="00F41009"/>
    <w:rsid w:val="00F42C60"/>
    <w:rsid w:val="00F5491C"/>
    <w:rsid w:val="00F568CE"/>
    <w:rsid w:val="00F57D16"/>
    <w:rsid w:val="00F61153"/>
    <w:rsid w:val="00F6134B"/>
    <w:rsid w:val="00F64318"/>
    <w:rsid w:val="00F801D6"/>
    <w:rsid w:val="00F828C1"/>
    <w:rsid w:val="00F83516"/>
    <w:rsid w:val="00F83F51"/>
    <w:rsid w:val="00F840D5"/>
    <w:rsid w:val="00F928D2"/>
    <w:rsid w:val="00FA3F17"/>
    <w:rsid w:val="00FA68F4"/>
    <w:rsid w:val="00FA6977"/>
    <w:rsid w:val="00FB0B39"/>
    <w:rsid w:val="00FB60FE"/>
    <w:rsid w:val="00FB650A"/>
    <w:rsid w:val="00FC5443"/>
    <w:rsid w:val="00FC6F44"/>
    <w:rsid w:val="00FD1477"/>
    <w:rsid w:val="00FD4511"/>
    <w:rsid w:val="00FD4629"/>
    <w:rsid w:val="00FD6853"/>
    <w:rsid w:val="00FD6AC3"/>
    <w:rsid w:val="00FE17D8"/>
    <w:rsid w:val="00FE1B66"/>
    <w:rsid w:val="00FE2BC3"/>
    <w:rsid w:val="00FF15A3"/>
    <w:rsid w:val="00FF2C8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F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4501"/>
    <w:pPr>
      <w:spacing w:before="75" w:after="75"/>
      <w:jc w:val="right"/>
    </w:pPr>
  </w:style>
  <w:style w:type="paragraph" w:customStyle="1" w:styleId="naiskr">
    <w:name w:val="naiskr"/>
    <w:basedOn w:val="Normal"/>
    <w:rsid w:val="00314501"/>
    <w:pPr>
      <w:spacing w:before="75" w:after="75"/>
    </w:pPr>
  </w:style>
  <w:style w:type="paragraph" w:styleId="Header">
    <w:name w:val="header"/>
    <w:basedOn w:val="Normal"/>
    <w:rsid w:val="00314501"/>
    <w:pPr>
      <w:tabs>
        <w:tab w:val="center" w:pos="4153"/>
        <w:tab w:val="right" w:pos="8306"/>
      </w:tabs>
    </w:pPr>
  </w:style>
  <w:style w:type="character" w:styleId="PageNumber">
    <w:name w:val="page number"/>
    <w:basedOn w:val="DefaultParagraphFont"/>
    <w:rsid w:val="00314501"/>
  </w:style>
  <w:style w:type="paragraph" w:customStyle="1" w:styleId="naisnod">
    <w:name w:val="naisnod"/>
    <w:basedOn w:val="Normal"/>
    <w:rsid w:val="00314501"/>
    <w:pPr>
      <w:spacing w:before="150" w:after="150"/>
      <w:jc w:val="center"/>
    </w:pPr>
    <w:rPr>
      <w:b/>
      <w:bCs/>
    </w:rPr>
  </w:style>
  <w:style w:type="paragraph" w:customStyle="1" w:styleId="naisf">
    <w:name w:val="naisf"/>
    <w:basedOn w:val="Normal"/>
    <w:rsid w:val="00314501"/>
    <w:pPr>
      <w:spacing w:before="75" w:after="75"/>
      <w:ind w:firstLine="375"/>
      <w:jc w:val="both"/>
    </w:pPr>
  </w:style>
  <w:style w:type="paragraph" w:styleId="Footer">
    <w:name w:val="footer"/>
    <w:basedOn w:val="Normal"/>
    <w:rsid w:val="00314501"/>
    <w:pPr>
      <w:tabs>
        <w:tab w:val="center" w:pos="4153"/>
        <w:tab w:val="right" w:pos="8306"/>
      </w:tabs>
    </w:pPr>
  </w:style>
  <w:style w:type="character" w:styleId="Hyperlink">
    <w:name w:val="Hyperlink"/>
    <w:basedOn w:val="DefaultParagraphFont"/>
    <w:rsid w:val="00C256AA"/>
    <w:rPr>
      <w:color w:val="0000FF"/>
      <w:u w:val="single"/>
    </w:rPr>
  </w:style>
  <w:style w:type="paragraph" w:styleId="NormalWeb">
    <w:name w:val="Normal (Web)"/>
    <w:basedOn w:val="Normal"/>
    <w:rsid w:val="00C256AA"/>
    <w:pPr>
      <w:spacing w:before="100" w:beforeAutospacing="1" w:after="100" w:afterAutospacing="1"/>
    </w:pPr>
  </w:style>
  <w:style w:type="paragraph" w:styleId="BalloonText">
    <w:name w:val="Balloon Text"/>
    <w:basedOn w:val="Normal"/>
    <w:semiHidden/>
    <w:rsid w:val="00E83C68"/>
    <w:rPr>
      <w:rFonts w:ascii="Tahoma" w:hAnsi="Tahoma" w:cs="Tahoma"/>
      <w:sz w:val="16"/>
      <w:szCs w:val="16"/>
    </w:rPr>
  </w:style>
  <w:style w:type="character" w:styleId="Strong">
    <w:name w:val="Strong"/>
    <w:basedOn w:val="DefaultParagraphFont"/>
    <w:qFormat/>
    <w:rsid w:val="00061F81"/>
    <w:rPr>
      <w:b/>
      <w:bCs/>
    </w:rPr>
  </w:style>
  <w:style w:type="table" w:styleId="TableGrid">
    <w:name w:val="Table Grid"/>
    <w:basedOn w:val="TableNormal"/>
    <w:rsid w:val="00185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2880">
      <w:bodyDiv w:val="1"/>
      <w:marLeft w:val="0"/>
      <w:marRight w:val="0"/>
      <w:marTop w:val="0"/>
      <w:marBottom w:val="0"/>
      <w:divBdr>
        <w:top w:val="none" w:sz="0" w:space="0" w:color="auto"/>
        <w:left w:val="none" w:sz="0" w:space="0" w:color="auto"/>
        <w:bottom w:val="none" w:sz="0" w:space="0" w:color="auto"/>
        <w:right w:val="none" w:sz="0" w:space="0" w:color="auto"/>
      </w:divBdr>
      <w:divsChild>
        <w:div w:id="1781298151">
          <w:marLeft w:val="0"/>
          <w:marRight w:val="0"/>
          <w:marTop w:val="0"/>
          <w:marBottom w:val="0"/>
          <w:divBdr>
            <w:top w:val="none" w:sz="0" w:space="0" w:color="auto"/>
            <w:left w:val="none" w:sz="0" w:space="0" w:color="auto"/>
            <w:bottom w:val="none" w:sz="0" w:space="0" w:color="auto"/>
            <w:right w:val="none" w:sz="0" w:space="0" w:color="auto"/>
          </w:divBdr>
          <w:divsChild>
            <w:div w:id="7337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9237">
      <w:bodyDiv w:val="1"/>
      <w:marLeft w:val="0"/>
      <w:marRight w:val="0"/>
      <w:marTop w:val="0"/>
      <w:marBottom w:val="0"/>
      <w:divBdr>
        <w:top w:val="none" w:sz="0" w:space="0" w:color="auto"/>
        <w:left w:val="none" w:sz="0" w:space="0" w:color="auto"/>
        <w:bottom w:val="none" w:sz="0" w:space="0" w:color="auto"/>
        <w:right w:val="none" w:sz="0" w:space="0" w:color="auto"/>
      </w:divBdr>
      <w:divsChild>
        <w:div w:id="12813000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39424592">
      <w:bodyDiv w:val="1"/>
      <w:marLeft w:val="0"/>
      <w:marRight w:val="0"/>
      <w:marTop w:val="0"/>
      <w:marBottom w:val="0"/>
      <w:divBdr>
        <w:top w:val="none" w:sz="0" w:space="0" w:color="auto"/>
        <w:left w:val="none" w:sz="0" w:space="0" w:color="auto"/>
        <w:bottom w:val="none" w:sz="0" w:space="0" w:color="auto"/>
        <w:right w:val="none" w:sz="0" w:space="0" w:color="auto"/>
      </w:divBdr>
      <w:divsChild>
        <w:div w:id="1083261092">
          <w:marLeft w:val="0"/>
          <w:marRight w:val="0"/>
          <w:marTop w:val="0"/>
          <w:marBottom w:val="0"/>
          <w:divBdr>
            <w:top w:val="none" w:sz="0" w:space="0" w:color="auto"/>
            <w:left w:val="none" w:sz="0" w:space="0" w:color="auto"/>
            <w:bottom w:val="none" w:sz="0" w:space="0" w:color="auto"/>
            <w:right w:val="none" w:sz="0" w:space="0" w:color="auto"/>
          </w:divBdr>
          <w:divsChild>
            <w:div w:id="1119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1743</Words>
  <Characters>11655</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Augu šķirņu aizsardzības likumā</vt:lpstr>
      <vt:lpstr> Grozījumi Augu šķirņu aizsardzības likumā</vt:lpstr>
    </vt:vector>
  </TitlesOfParts>
  <Manager>I.Gailīte-Holmberga</Manager>
  <Company>Nacionālais kino centrs, Kultūras ministrija</Company>
  <LinksUpToDate>false</LinksUpToDate>
  <CharactersWithSpaces>13372</CharactersWithSpaces>
  <SharedDoc>false</SharedDoc>
  <HLinks>
    <vt:vector size="6" baseType="variant">
      <vt:variant>
        <vt:i4>1179674</vt:i4>
      </vt:variant>
      <vt:variant>
        <vt:i4>0</vt:i4>
      </vt:variant>
      <vt:variant>
        <vt:i4>0</vt:i4>
      </vt:variant>
      <vt:variant>
        <vt:i4>5</vt:i4>
      </vt:variant>
      <vt:variant>
        <vt:lpwstr>http://www.zm.gov.lv/?sadala=1352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KMAnot_130611_VSS532</dc:title>
  <dc:subject>Anotācija</dc:subject>
  <dc:creator>S.Voldiņš</dc:creator>
  <dc:description>Sandis.Voldins@nfc.gov.lv; 67358859</dc:description>
  <cp:lastModifiedBy>SandisV</cp:lastModifiedBy>
  <cp:revision>371</cp:revision>
  <cp:lastPrinted>2010-03-18T09:13:00Z</cp:lastPrinted>
  <dcterms:created xsi:type="dcterms:W3CDTF">2010-10-20T09:16:00Z</dcterms:created>
  <dcterms:modified xsi:type="dcterms:W3CDTF">2011-06-20T08:40:00Z</dcterms:modified>
</cp:coreProperties>
</file>