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7" w:rsidRPr="00F926EC" w:rsidRDefault="007373D4" w:rsidP="00F92877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  <w:r w:rsidRPr="00F926EC">
        <w:rPr>
          <w:rFonts w:ascii="Times New Roman" w:hAnsi="Times New Roman"/>
          <w:b/>
          <w:sz w:val="28"/>
          <w:szCs w:val="28"/>
        </w:rPr>
        <w:t xml:space="preserve">Ministru kabineta </w:t>
      </w:r>
      <w:r w:rsidR="007B669B" w:rsidRPr="00F926EC">
        <w:rPr>
          <w:rFonts w:ascii="Times New Roman" w:hAnsi="Times New Roman"/>
          <w:b/>
          <w:sz w:val="28"/>
          <w:szCs w:val="28"/>
        </w:rPr>
        <w:t xml:space="preserve">rīkojuma </w:t>
      </w:r>
      <w:r w:rsidRPr="00F926EC">
        <w:rPr>
          <w:rFonts w:ascii="Times New Roman" w:hAnsi="Times New Roman"/>
          <w:b/>
          <w:sz w:val="28"/>
          <w:szCs w:val="28"/>
        </w:rPr>
        <w:t>projekta</w:t>
      </w:r>
      <w:r w:rsidR="00742B39" w:rsidRPr="00F926EC">
        <w:rPr>
          <w:rFonts w:ascii="Times New Roman" w:hAnsi="Times New Roman"/>
          <w:b/>
          <w:sz w:val="28"/>
          <w:szCs w:val="28"/>
        </w:rPr>
        <w:t xml:space="preserve"> </w:t>
      </w:r>
    </w:p>
    <w:p w:rsidR="007373D4" w:rsidRPr="00F926EC" w:rsidRDefault="00FB758A" w:rsidP="00F92877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F926EC">
        <w:rPr>
          <w:rFonts w:ascii="Times New Roman" w:hAnsi="Times New Roman"/>
          <w:b/>
          <w:sz w:val="28"/>
          <w:szCs w:val="28"/>
        </w:rPr>
        <w:t xml:space="preserve">„Grozījums Ministru kabineta 2011.gada 20.oktobra rīkojumā Nr.542 </w:t>
      </w:r>
      <w:r w:rsidR="003E6D79" w:rsidRPr="00F926EC">
        <w:rPr>
          <w:rFonts w:ascii="Times New Roman" w:hAnsi="Times New Roman"/>
          <w:b/>
          <w:sz w:val="28"/>
          <w:szCs w:val="28"/>
        </w:rPr>
        <w:t>„</w:t>
      </w:r>
      <w:r w:rsidRPr="00F926EC">
        <w:rPr>
          <w:rFonts w:ascii="Times New Roman" w:hAnsi="Times New Roman"/>
          <w:b/>
          <w:sz w:val="28"/>
          <w:szCs w:val="28"/>
        </w:rPr>
        <w:t xml:space="preserve">Par Nacionālās identitātes, pilsoniskās sabiedrības un integrācijas politikas </w:t>
      </w:r>
      <w:r w:rsidR="00F92877" w:rsidRPr="00F926EC">
        <w:rPr>
          <w:rFonts w:ascii="Times New Roman" w:hAnsi="Times New Roman"/>
          <w:b/>
          <w:sz w:val="28"/>
          <w:szCs w:val="28"/>
        </w:rPr>
        <w:t>pamatnostādnēm 2012.–</w:t>
      </w:r>
      <w:r w:rsidRPr="00F926EC">
        <w:rPr>
          <w:rFonts w:ascii="Times New Roman" w:hAnsi="Times New Roman"/>
          <w:b/>
          <w:sz w:val="28"/>
          <w:szCs w:val="28"/>
        </w:rPr>
        <w:t>2018.gadam</w:t>
      </w:r>
      <w:r w:rsidR="003E6D79" w:rsidRPr="00F926EC">
        <w:rPr>
          <w:rFonts w:ascii="Times New Roman" w:hAnsi="Times New Roman"/>
          <w:b/>
          <w:sz w:val="28"/>
          <w:szCs w:val="28"/>
        </w:rPr>
        <w:t>”</w:t>
      </w:r>
      <w:r w:rsidRPr="00F926EC">
        <w:rPr>
          <w:rFonts w:ascii="Times New Roman" w:hAnsi="Times New Roman"/>
          <w:b/>
          <w:sz w:val="28"/>
          <w:szCs w:val="28"/>
        </w:rPr>
        <w:t>”</w:t>
      </w:r>
      <w:r w:rsidR="00F92877" w:rsidRPr="00F926EC">
        <w:rPr>
          <w:rFonts w:ascii="Times New Roman" w:hAnsi="Times New Roman"/>
          <w:b/>
          <w:sz w:val="28"/>
          <w:szCs w:val="28"/>
        </w:rPr>
        <w:t xml:space="preserve"> </w:t>
      </w:r>
      <w:r w:rsidR="007373D4" w:rsidRPr="00F926EC">
        <w:rPr>
          <w:rFonts w:ascii="Times New Roman" w:hAnsi="Times New Roman"/>
          <w:b/>
          <w:sz w:val="28"/>
          <w:szCs w:val="28"/>
        </w:rPr>
        <w:t>sākotnējās ietekmes novērtējuma ziņojums (anotācija)</w:t>
      </w:r>
    </w:p>
    <w:bookmarkEnd w:id="0"/>
    <w:bookmarkEnd w:id="1"/>
    <w:p w:rsidR="00FE24E0" w:rsidRPr="00F926EC" w:rsidRDefault="00FE24E0" w:rsidP="007373D4">
      <w:pPr>
        <w:jc w:val="center"/>
        <w:rPr>
          <w:sz w:val="28"/>
          <w:szCs w:val="28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4"/>
        <w:gridCol w:w="2368"/>
        <w:gridCol w:w="6424"/>
      </w:tblGrid>
      <w:tr w:rsidR="007373D4" w:rsidRPr="00F926EC" w:rsidTr="00F9287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D4" w:rsidRPr="00F926EC" w:rsidRDefault="007373D4" w:rsidP="00F714A9">
            <w:pPr>
              <w:spacing w:before="60" w:after="60"/>
              <w:jc w:val="center"/>
              <w:rPr>
                <w:sz w:val="28"/>
                <w:szCs w:val="28"/>
                <w:lang w:eastAsia="en-US"/>
              </w:rPr>
            </w:pPr>
            <w:r w:rsidRPr="00F926EC">
              <w:rPr>
                <w:b/>
                <w:bCs/>
                <w:sz w:val="28"/>
                <w:szCs w:val="28"/>
                <w:lang w:eastAsia="en-US"/>
              </w:rPr>
              <w:t>I.</w:t>
            </w:r>
            <w:r w:rsidR="007A193F" w:rsidRPr="00F926EC">
              <w:rPr>
                <w:b/>
                <w:bCs/>
                <w:sz w:val="28"/>
                <w:szCs w:val="28"/>
                <w:lang w:eastAsia="en-US"/>
              </w:rPr>
              <w:t> </w:t>
            </w:r>
            <w:r w:rsidRPr="00F926EC">
              <w:rPr>
                <w:b/>
                <w:bCs/>
                <w:sz w:val="28"/>
                <w:szCs w:val="28"/>
                <w:lang w:eastAsia="en-US"/>
              </w:rPr>
              <w:t>Tiesību akta projekta izstrādes nepieciešamība</w:t>
            </w:r>
          </w:p>
        </w:tc>
      </w:tr>
      <w:tr w:rsidR="007373D4" w:rsidRPr="00F926EC" w:rsidTr="00F92877">
        <w:trPr>
          <w:trHeight w:val="630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Pamatojums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641" w:rsidRDefault="006A4489" w:rsidP="007B1C72">
            <w:pPr>
              <w:spacing w:before="60"/>
              <w:ind w:left="79" w:firstLine="425"/>
              <w:jc w:val="both"/>
              <w:rPr>
                <w:sz w:val="28"/>
                <w:szCs w:val="28"/>
              </w:rPr>
            </w:pPr>
            <w:r w:rsidRPr="00A12EA0">
              <w:rPr>
                <w:sz w:val="28"/>
                <w:szCs w:val="28"/>
              </w:rPr>
              <w:t xml:space="preserve">Kultūras ministrija, izpildot Ministru prezidenta 2012.gada 29.oktobra rezolūcijā Nr.18/TA-2286 doto uzdevumu, ir izvērtējusi Valsts kancelejas Juridiskā departamenta </w:t>
            </w:r>
            <w:r w:rsidRPr="00A12EA0">
              <w:rPr>
                <w:color w:val="000000" w:themeColor="text1"/>
                <w:sz w:val="28"/>
                <w:szCs w:val="28"/>
              </w:rPr>
              <w:t xml:space="preserve">2012.gada 10.oktobra atzinumu Nr.91/TA-2286 un </w:t>
            </w:r>
            <w:r>
              <w:rPr>
                <w:color w:val="000000" w:themeColor="text1"/>
                <w:sz w:val="28"/>
                <w:szCs w:val="28"/>
              </w:rPr>
              <w:t xml:space="preserve">sagatavojusi </w:t>
            </w:r>
            <w:r w:rsidRPr="00A12EA0">
              <w:rPr>
                <w:sz w:val="28"/>
                <w:szCs w:val="28"/>
              </w:rPr>
              <w:t>Ministru kabineta rīkojuma projektu „Grozījums Ministru kabineta 2011.gada 20.oktobra rīkojumā Nr.542 „Par Nacionālās identitātes, pilsoniskās sabiedrības un integrācijas politikas pamatnostādnēm 2012.-2018.gadam”” (turpmāk – Projekts).</w:t>
            </w:r>
          </w:p>
          <w:p w:rsidR="002E2563" w:rsidRPr="00F926EC" w:rsidRDefault="002E2563" w:rsidP="002E2563">
            <w:pPr>
              <w:ind w:left="79" w:firstLine="4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373D4" w:rsidRPr="00F926EC" w:rsidTr="00F92877">
        <w:trPr>
          <w:trHeight w:val="277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Pašreizējā situācija un problēmas</w:t>
            </w:r>
            <w:r w:rsidR="0074682B" w:rsidRPr="00F926E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73" w:rsidRPr="00DB1F3E" w:rsidRDefault="006A4489" w:rsidP="007B1C72">
            <w:pPr>
              <w:pStyle w:val="ParastaisWeb"/>
              <w:spacing w:before="60" w:beforeAutospacing="0" w:after="0" w:afterAutospacing="0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Valsts kancelejas 2012.gada 10.oktobra atzinumā</w:t>
            </w:r>
            <w:r w:rsidR="007B1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6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Nr.91/TA-2286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kurš </w:t>
            </w:r>
            <w:r>
              <w:rPr>
                <w:rFonts w:ascii="Times New Roman" w:hAnsi="Times New Roman"/>
                <w:sz w:val="28"/>
                <w:szCs w:val="28"/>
              </w:rPr>
              <w:t>sniegts par</w:t>
            </w:r>
            <w:r w:rsidR="00CF7529" w:rsidRPr="00F926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Ministru kabineta rīkojuma projektu “Grozījumi Nacionālās identitātes, pilsoniskās sabiedrības un integrācijas politikas pamatnostādnēs 2012.-2018.gadam” (VSS-695</w:t>
            </w:r>
            <w:r w:rsidR="0071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713CBA" w:rsidRPr="00F926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iesniegts izskatīšanai Ministru kabineta sēdē</w:t>
            </w:r>
            <w:r w:rsidR="00CF7529" w:rsidRPr="00F926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sniegts priekšlikums </w:t>
            </w:r>
            <w:r w:rsidR="00DB1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sagatavot un vienlaicīgi ar Ministru kabineta rīkojuma projektu virzīt izskatīšanai Ministru kabineta sēdē grozījumus </w:t>
            </w:r>
            <w:r w:rsidR="00CF7529" w:rsidRPr="00F926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Ministru kabineta 2011.gada 20.oktobra rīkojum</w:t>
            </w:r>
            <w:r w:rsidR="00DB1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ā</w:t>
            </w:r>
            <w:r w:rsidR="00CF7529" w:rsidRPr="00F926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Nr.542 „Par Nacionālās identitātes, pilsoniskās sabiedrības un integrācijas politikas pamatnostādnēm 2012.-20</w:t>
            </w:r>
            <w:r w:rsidR="0071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18.gadam”</w:t>
            </w:r>
            <w:r w:rsidR="00237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(turpmāk – MK rīkojums </w:t>
            </w:r>
            <w:r w:rsidR="00237B2F" w:rsidRPr="00237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Nr.542</w:t>
            </w:r>
            <w:r w:rsidR="00237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345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precizējot rīkojuma redakciju saistībā ar pamatnostādnēs iekļauto pasākumu īstenošanu 2012. un 2013.gadā valsts budžeta līdzekļu ietvaros un papildus budžeta līdzekļu piešķiršanu 2014.gadā un turpmākajos gados.</w:t>
            </w:r>
          </w:p>
          <w:p w:rsidR="00237B2F" w:rsidRDefault="009C7573" w:rsidP="00237B2F">
            <w:pPr>
              <w:pStyle w:val="Parastais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6EC">
              <w:rPr>
                <w:rFonts w:ascii="Times New Roman" w:hAnsi="Times New Roman"/>
                <w:sz w:val="28"/>
                <w:szCs w:val="28"/>
              </w:rPr>
              <w:t>Pamatnostādņu rīcības plāna īstenošanai nepieciešamais finansējums ik gadu tiek izskatīts valsts budžeta likumprojekta kārtējam gadam sagatavošanas procesā.</w:t>
            </w:r>
            <w:r w:rsidR="00DB1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MK rīkojuma </w:t>
            </w:r>
            <w:r w:rsidR="00237B2F" w:rsidRPr="00237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Nr.542</w:t>
            </w:r>
            <w:r w:rsidR="00237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37B2F" w:rsidRPr="00237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3.punkts</w:t>
            </w:r>
            <w:r w:rsidR="00237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nosaka, ka </w:t>
            </w:r>
            <w:r w:rsidR="00237B2F" w:rsidRPr="00237B2F">
              <w:rPr>
                <w:rFonts w:ascii="Times New Roman" w:hAnsi="Times New Roman"/>
                <w:sz w:val="28"/>
                <w:szCs w:val="28"/>
              </w:rPr>
              <w:t xml:space="preserve">Kultūras ministrijai un citām pamatnostādņu īstenošanā iesaistītajām institūcijām </w:t>
            </w:r>
            <w:r w:rsidR="00237B2F" w:rsidRPr="001B7711">
              <w:rPr>
                <w:rFonts w:ascii="Times New Roman" w:hAnsi="Times New Roman"/>
                <w:b/>
                <w:sz w:val="28"/>
                <w:szCs w:val="28"/>
              </w:rPr>
              <w:t>2012.gadā</w:t>
            </w:r>
            <w:r w:rsidR="00237B2F" w:rsidRPr="00237B2F">
              <w:rPr>
                <w:rFonts w:ascii="Times New Roman" w:hAnsi="Times New Roman"/>
                <w:sz w:val="28"/>
                <w:szCs w:val="28"/>
              </w:rPr>
              <w:t xml:space="preserve"> pamatnostādnēs </w:t>
            </w:r>
            <w:r w:rsidR="00237B2F" w:rsidRPr="00237B2F">
              <w:rPr>
                <w:rFonts w:ascii="Times New Roman" w:hAnsi="Times New Roman"/>
                <w:sz w:val="28"/>
                <w:szCs w:val="28"/>
              </w:rPr>
              <w:lastRenderedPageBreak/>
              <w:t>ietvertos pasākumus īstenot tām piešķirto valsts budžeta līdzekļu ietvaros. Jautājumu par pamatnostādnēs ietverto pasākumu īstenošanai papildus nepieciešamo finansējumu turpmākajos gados izskatīt Ministru kabinetā valsts budžeta likumprojekta kārtējam gadam sagatavošanas procesā.</w:t>
            </w:r>
            <w:r w:rsidR="00237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7711" w:rsidRPr="001B7711" w:rsidRDefault="009C7573" w:rsidP="00237B2F">
            <w:pPr>
              <w:pStyle w:val="Parastais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711">
              <w:rPr>
                <w:rFonts w:ascii="Times New Roman" w:hAnsi="Times New Roman"/>
                <w:sz w:val="28"/>
                <w:szCs w:val="28"/>
              </w:rPr>
              <w:t>Ņemot vērā</w:t>
            </w:r>
            <w:r w:rsidR="00237B2F" w:rsidRPr="001B7711">
              <w:rPr>
                <w:rFonts w:ascii="Times New Roman" w:hAnsi="Times New Roman"/>
                <w:sz w:val="28"/>
                <w:szCs w:val="28"/>
              </w:rPr>
              <w:t xml:space="preserve"> iepriekš minēto</w:t>
            </w:r>
            <w:r w:rsidR="001B7711" w:rsidRPr="001B7711">
              <w:rPr>
                <w:rFonts w:ascii="Times New Roman" w:hAnsi="Times New Roman"/>
                <w:sz w:val="28"/>
                <w:szCs w:val="28"/>
              </w:rPr>
              <w:t xml:space="preserve">, nepieciešams veikt grozījumus </w:t>
            </w:r>
            <w:r w:rsidR="001B7711" w:rsidRPr="001B77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MK rīkojumā Nr.542</w:t>
            </w:r>
            <w:r w:rsidR="001B7711" w:rsidRPr="001B7711">
              <w:rPr>
                <w:rFonts w:ascii="Times New Roman" w:hAnsi="Times New Roman"/>
                <w:sz w:val="28"/>
                <w:szCs w:val="28"/>
              </w:rPr>
              <w:t xml:space="preserve"> 3.punktā,</w:t>
            </w:r>
            <w:r w:rsidR="002E2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711" w:rsidRPr="001B7711">
              <w:rPr>
                <w:rFonts w:ascii="Times New Roman" w:hAnsi="Times New Roman"/>
                <w:sz w:val="28"/>
                <w:szCs w:val="28"/>
              </w:rPr>
              <w:t>norādot, ka pamatnostādņu rīcības plāns arī 2013.gadā tiek finansēts piešķirto valsts budžeta līdzekļu ietvaros</w:t>
            </w:r>
            <w:r w:rsidR="002E25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B2F" w:rsidRPr="00F926EC" w:rsidRDefault="00237B2F" w:rsidP="001B7711">
            <w:pPr>
              <w:pStyle w:val="ParastaisWeb"/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3D4" w:rsidRPr="00F926EC" w:rsidTr="00F92877">
        <w:trPr>
          <w:trHeight w:val="813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lastRenderedPageBreak/>
              <w:t> 3.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Saistītie politikas ietekmes novērtējumi un pētījumi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372790" w:rsidP="0055127C">
            <w:pPr>
              <w:spacing w:before="60" w:after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Projekts šo jomu neskar.</w:t>
            </w:r>
          </w:p>
        </w:tc>
      </w:tr>
      <w:tr w:rsidR="007373D4" w:rsidRPr="00F926EC" w:rsidTr="00F92877">
        <w:trPr>
          <w:trHeight w:val="121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 4.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Tiesiskā regulējuma mērķis un būtība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93F" w:rsidRDefault="007A193F" w:rsidP="00390FD6">
            <w:pPr>
              <w:pStyle w:val="naisf"/>
              <w:spacing w:before="60" w:after="60"/>
              <w:ind w:firstLine="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 xml:space="preserve">Projekts paredz izdarīt grozījumu Ministru kabineta 2011.gada 20.oktobra rīkojumā Nr.542 </w:t>
            </w:r>
            <w:r w:rsidR="003E6D79" w:rsidRPr="00F926EC">
              <w:rPr>
                <w:sz w:val="28"/>
                <w:szCs w:val="28"/>
              </w:rPr>
              <w:t>„</w:t>
            </w:r>
            <w:r w:rsidRPr="00F926EC">
              <w:rPr>
                <w:sz w:val="28"/>
                <w:szCs w:val="28"/>
              </w:rPr>
              <w:t>Par Nacionālās identitātes, pilsoniskās sabiedrības un integrācijas politikas pamatnostādnēm 2012.-2018.gadam</w:t>
            </w:r>
            <w:r w:rsidR="003E6D79" w:rsidRPr="00F926EC">
              <w:rPr>
                <w:sz w:val="28"/>
                <w:szCs w:val="28"/>
              </w:rPr>
              <w:t>”</w:t>
            </w:r>
            <w:r w:rsidRPr="00F926EC">
              <w:rPr>
                <w:sz w:val="28"/>
                <w:szCs w:val="28"/>
              </w:rPr>
              <w:t>”</w:t>
            </w:r>
            <w:r w:rsidR="008C353B" w:rsidRPr="00F926EC">
              <w:rPr>
                <w:sz w:val="28"/>
                <w:szCs w:val="28"/>
              </w:rPr>
              <w:t xml:space="preserve">, </w:t>
            </w:r>
            <w:r w:rsidR="00390FD6" w:rsidRPr="00F926EC">
              <w:rPr>
                <w:sz w:val="28"/>
                <w:szCs w:val="28"/>
              </w:rPr>
              <w:t>norādot, ka pamatnostādņu rīcības plāns arī 2013.gadā tiek finansēts piešķirto valsts budžeta līdzekļu ietvaros</w:t>
            </w:r>
            <w:r w:rsidRPr="00F926EC">
              <w:rPr>
                <w:sz w:val="28"/>
                <w:szCs w:val="28"/>
              </w:rPr>
              <w:t>.</w:t>
            </w:r>
          </w:p>
          <w:p w:rsidR="002E2563" w:rsidRPr="00F926EC" w:rsidRDefault="002E2563" w:rsidP="00390FD6">
            <w:pPr>
              <w:pStyle w:val="naisf"/>
              <w:spacing w:before="60" w:after="60"/>
              <w:ind w:firstLine="0"/>
              <w:rPr>
                <w:sz w:val="28"/>
                <w:szCs w:val="28"/>
                <w:highlight w:val="yellow"/>
              </w:rPr>
            </w:pPr>
          </w:p>
        </w:tc>
      </w:tr>
      <w:tr w:rsidR="007373D4" w:rsidRPr="00F926EC" w:rsidTr="00F92877">
        <w:trPr>
          <w:trHeight w:val="476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 5.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Projekta izstrādē iesaistītās institūcijas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372790" w:rsidP="0055127C">
            <w:pPr>
              <w:spacing w:before="60" w:after="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Projekts šo jomu neskar</w:t>
            </w:r>
            <w:r w:rsidR="002E256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373D4" w:rsidRPr="00F926EC" w:rsidTr="00F92877">
        <w:trPr>
          <w:trHeight w:val="794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 6.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Iemesli, kādēļ netika nodrošināta sabiedrības līdzdalīb</w:t>
            </w:r>
            <w:r w:rsidR="00CB7695" w:rsidRPr="00F926EC">
              <w:rPr>
                <w:sz w:val="28"/>
                <w:szCs w:val="28"/>
                <w:lang w:eastAsia="en-US"/>
              </w:rPr>
              <w:t>a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B1796D" w:rsidP="0055127C">
            <w:pPr>
              <w:spacing w:before="60" w:after="60"/>
              <w:jc w:val="both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</w:rPr>
              <w:t>Sabiedrības līdzdalība netika nodrošināta, ņemot vērā grozījuma tehnisko raksturu.</w:t>
            </w:r>
          </w:p>
        </w:tc>
      </w:tr>
      <w:tr w:rsidR="007373D4" w:rsidRPr="00F926EC" w:rsidTr="00F92877">
        <w:trPr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 7.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F926EC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 Cita informācija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55127C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6EC">
              <w:rPr>
                <w:sz w:val="28"/>
                <w:szCs w:val="28"/>
                <w:lang w:eastAsia="en-US"/>
              </w:rPr>
              <w:t>Nav</w:t>
            </w:r>
            <w:r w:rsidR="002E2563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373D4" w:rsidRPr="00F926EC" w:rsidRDefault="007373D4" w:rsidP="00F714A9">
      <w:pPr>
        <w:spacing w:before="60" w:after="60"/>
        <w:ind w:firstLine="375"/>
        <w:jc w:val="both"/>
        <w:rPr>
          <w:sz w:val="28"/>
          <w:szCs w:val="28"/>
          <w:lang w:eastAsia="en-US"/>
        </w:rPr>
      </w:pPr>
    </w:p>
    <w:p w:rsidR="00F92877" w:rsidRPr="00F926EC" w:rsidRDefault="00F92877" w:rsidP="00F92877">
      <w:pPr>
        <w:spacing w:before="60" w:after="60"/>
        <w:jc w:val="both"/>
        <w:rPr>
          <w:i/>
          <w:sz w:val="28"/>
          <w:szCs w:val="28"/>
          <w:lang w:eastAsia="en-US"/>
        </w:rPr>
      </w:pPr>
      <w:r w:rsidRPr="00F926EC">
        <w:rPr>
          <w:i/>
          <w:sz w:val="28"/>
          <w:szCs w:val="28"/>
        </w:rPr>
        <w:t>Anotācijas II, III, IV, V un VI sadaļa – Projekts šīs jomas neskar.</w:t>
      </w:r>
    </w:p>
    <w:p w:rsidR="007373D4" w:rsidRPr="00F926EC" w:rsidRDefault="007373D4" w:rsidP="00F714A9">
      <w:pPr>
        <w:spacing w:before="60" w:after="60"/>
        <w:rPr>
          <w:i/>
          <w:iCs/>
          <w:sz w:val="28"/>
          <w:szCs w:val="28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4"/>
        <w:gridCol w:w="4042"/>
        <w:gridCol w:w="4750"/>
      </w:tblGrid>
      <w:tr w:rsidR="007373D4" w:rsidRPr="00F926EC" w:rsidTr="00F9287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CB7695" w:rsidP="00F714A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926EC">
              <w:rPr>
                <w:b/>
                <w:bCs/>
                <w:sz w:val="28"/>
                <w:szCs w:val="28"/>
              </w:rPr>
              <w:t>VII. </w:t>
            </w:r>
            <w:r w:rsidR="007373D4" w:rsidRPr="00F926EC">
              <w:rPr>
                <w:b/>
                <w:bCs/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7373D4" w:rsidRPr="00F926EC" w:rsidTr="00F92877">
        <w:trPr>
          <w:trHeight w:val="427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 1.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89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55127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Kultūras ministrija</w:t>
            </w:r>
            <w:r w:rsidR="003F478E" w:rsidRPr="00F926EC">
              <w:rPr>
                <w:sz w:val="28"/>
                <w:szCs w:val="28"/>
              </w:rPr>
              <w:t>.</w:t>
            </w:r>
          </w:p>
        </w:tc>
      </w:tr>
      <w:tr w:rsidR="007373D4" w:rsidRPr="00F926EC" w:rsidTr="00F92877">
        <w:trPr>
          <w:trHeight w:val="463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lastRenderedPageBreak/>
              <w:t> 2.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89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8E5D4B" w:rsidP="0055127C">
            <w:pPr>
              <w:spacing w:before="60" w:after="60"/>
              <w:ind w:right="70"/>
              <w:jc w:val="both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Projekts šo jomu neskar.</w:t>
            </w:r>
          </w:p>
        </w:tc>
      </w:tr>
      <w:tr w:rsidR="007373D4" w:rsidRPr="00F926EC" w:rsidTr="00F92877">
        <w:trPr>
          <w:trHeight w:val="277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 3.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89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 Projekta izpildes ietekme uz pārvaldes institucionālo struktūru.</w:t>
            </w:r>
            <w:r w:rsidR="00F714A9" w:rsidRPr="00F926EC">
              <w:rPr>
                <w:sz w:val="28"/>
                <w:szCs w:val="28"/>
              </w:rPr>
              <w:br/>
            </w:r>
            <w:r w:rsidRPr="00F926EC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8E5D4B" w:rsidP="0055127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Projekts šo jomu neskar.</w:t>
            </w:r>
          </w:p>
        </w:tc>
      </w:tr>
      <w:tr w:rsidR="007373D4" w:rsidRPr="00F926EC" w:rsidTr="00F92877">
        <w:trPr>
          <w:trHeight w:val="780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 4.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89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Projekta izpildes ietekme uz pārvaldes institucionālo struktūru.</w:t>
            </w:r>
            <w:r w:rsidR="00F714A9" w:rsidRPr="00F926EC">
              <w:rPr>
                <w:sz w:val="28"/>
                <w:szCs w:val="28"/>
              </w:rPr>
              <w:br/>
            </w:r>
            <w:r w:rsidRPr="00F926EC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8E5D4B" w:rsidP="0055127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Projekts šo jomu neskar.</w:t>
            </w:r>
          </w:p>
        </w:tc>
      </w:tr>
      <w:tr w:rsidR="007373D4" w:rsidRPr="00F926EC" w:rsidTr="00F92877">
        <w:trPr>
          <w:trHeight w:val="277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5.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3EE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Projekta izpildes ietekme uz pārvaldes institucionālo struktūru.</w:t>
            </w:r>
            <w:r w:rsidR="004E03EE" w:rsidRPr="00F926EC">
              <w:rPr>
                <w:sz w:val="28"/>
                <w:szCs w:val="28"/>
              </w:rPr>
              <w:t xml:space="preserve"> </w:t>
            </w:r>
            <w:r w:rsidR="00F714A9" w:rsidRPr="00F926EC">
              <w:rPr>
                <w:sz w:val="28"/>
                <w:szCs w:val="28"/>
              </w:rPr>
              <w:br/>
            </w:r>
            <w:r w:rsidRPr="00F926EC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8E5D4B" w:rsidP="0055127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Projekts šo jomu neskar.</w:t>
            </w:r>
          </w:p>
        </w:tc>
      </w:tr>
      <w:tr w:rsidR="007373D4" w:rsidRPr="00F926EC" w:rsidTr="00F92877">
        <w:trPr>
          <w:trHeight w:val="289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 6.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3EE" w:rsidRPr="00F926EC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6EC">
              <w:rPr>
                <w:sz w:val="28"/>
                <w:szCs w:val="28"/>
              </w:rPr>
              <w:t> Cita informācija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C41B9F" w:rsidRDefault="00C41B9F" w:rsidP="0055127C">
            <w:pPr>
              <w:tabs>
                <w:tab w:val="left" w:pos="1320"/>
              </w:tabs>
              <w:spacing w:before="60" w:after="60"/>
              <w:rPr>
                <w:sz w:val="28"/>
                <w:szCs w:val="28"/>
              </w:rPr>
            </w:pPr>
            <w:r w:rsidRPr="00C41B9F">
              <w:rPr>
                <w:sz w:val="28"/>
                <w:szCs w:val="28"/>
              </w:rPr>
              <w:t>Ministru kabineta sēdē Projekts skatāms vienlaicīgi ar Ministru kabineta rīkojuma projektu „Grozījumi Nacionālās identitātes, pilsoniskās sabiedrības un integrācijas politikas pamatnostādnēs 2012.-2018.gadam” (VSS-695).</w:t>
            </w:r>
          </w:p>
        </w:tc>
      </w:tr>
    </w:tbl>
    <w:p w:rsidR="007373D4" w:rsidRPr="00F926EC" w:rsidRDefault="007373D4" w:rsidP="00FB758A">
      <w:pPr>
        <w:jc w:val="both"/>
        <w:rPr>
          <w:sz w:val="28"/>
          <w:szCs w:val="28"/>
        </w:rPr>
      </w:pPr>
    </w:p>
    <w:p w:rsidR="00F92877" w:rsidRPr="00F926EC" w:rsidRDefault="00F92877" w:rsidP="00FB758A">
      <w:pPr>
        <w:jc w:val="both"/>
        <w:rPr>
          <w:sz w:val="28"/>
          <w:szCs w:val="28"/>
        </w:rPr>
      </w:pPr>
    </w:p>
    <w:p w:rsidR="007373D4" w:rsidRPr="00F926EC" w:rsidRDefault="007373D4" w:rsidP="00F92877">
      <w:pPr>
        <w:pStyle w:val="Pamattekstsaratkpi"/>
        <w:tabs>
          <w:tab w:val="left" w:pos="142"/>
        </w:tabs>
        <w:spacing w:after="0"/>
        <w:ind w:left="0"/>
        <w:rPr>
          <w:sz w:val="28"/>
          <w:szCs w:val="28"/>
        </w:rPr>
      </w:pPr>
      <w:r w:rsidRPr="00F926EC">
        <w:rPr>
          <w:sz w:val="28"/>
          <w:szCs w:val="28"/>
        </w:rPr>
        <w:t>Kultūras ministre</w:t>
      </w:r>
      <w:r w:rsidR="00F92877" w:rsidRPr="00F926EC">
        <w:rPr>
          <w:sz w:val="28"/>
          <w:szCs w:val="28"/>
        </w:rPr>
        <w:tab/>
      </w:r>
      <w:r w:rsidR="00F92877" w:rsidRPr="00F926EC">
        <w:rPr>
          <w:sz w:val="28"/>
          <w:szCs w:val="28"/>
        </w:rPr>
        <w:tab/>
      </w:r>
      <w:r w:rsidR="00F92877" w:rsidRPr="00F926EC">
        <w:rPr>
          <w:sz w:val="28"/>
          <w:szCs w:val="28"/>
        </w:rPr>
        <w:tab/>
      </w:r>
      <w:r w:rsidR="00F92877" w:rsidRPr="00F926EC">
        <w:rPr>
          <w:sz w:val="28"/>
          <w:szCs w:val="28"/>
        </w:rPr>
        <w:tab/>
      </w:r>
      <w:r w:rsidR="00F92877" w:rsidRPr="00F926EC">
        <w:rPr>
          <w:sz w:val="28"/>
          <w:szCs w:val="28"/>
        </w:rPr>
        <w:tab/>
      </w:r>
      <w:r w:rsidR="00F92877" w:rsidRPr="00F926EC">
        <w:rPr>
          <w:sz w:val="28"/>
          <w:szCs w:val="28"/>
        </w:rPr>
        <w:tab/>
      </w:r>
      <w:r w:rsidR="00F92877" w:rsidRPr="00F926EC">
        <w:rPr>
          <w:sz w:val="28"/>
          <w:szCs w:val="28"/>
        </w:rPr>
        <w:tab/>
        <w:t>Ž.Jaunzeme</w:t>
      </w:r>
      <w:r w:rsidR="00A23868">
        <w:rPr>
          <w:sz w:val="28"/>
          <w:szCs w:val="28"/>
        </w:rPr>
        <w:t>-</w:t>
      </w:r>
      <w:r w:rsidR="00FB758A" w:rsidRPr="00F926EC">
        <w:rPr>
          <w:sz w:val="28"/>
          <w:szCs w:val="28"/>
        </w:rPr>
        <w:t>Grende</w:t>
      </w:r>
    </w:p>
    <w:p w:rsidR="007373D4" w:rsidRPr="00F926EC" w:rsidRDefault="007373D4" w:rsidP="00F92877">
      <w:pPr>
        <w:pStyle w:val="Pamattekstsaratkpi"/>
        <w:tabs>
          <w:tab w:val="left" w:pos="142"/>
          <w:tab w:val="left" w:pos="6840"/>
          <w:tab w:val="left" w:pos="7020"/>
        </w:tabs>
        <w:spacing w:after="0"/>
        <w:ind w:left="0"/>
        <w:rPr>
          <w:sz w:val="28"/>
          <w:szCs w:val="28"/>
        </w:rPr>
      </w:pPr>
    </w:p>
    <w:p w:rsidR="007373D4" w:rsidRPr="00F926EC" w:rsidRDefault="007373D4" w:rsidP="00372790">
      <w:pPr>
        <w:pStyle w:val="Pamattekstsaratkpi"/>
        <w:tabs>
          <w:tab w:val="left" w:pos="142"/>
          <w:tab w:val="left" w:pos="6840"/>
          <w:tab w:val="left" w:pos="7020"/>
        </w:tabs>
        <w:spacing w:after="0"/>
        <w:ind w:left="0"/>
        <w:rPr>
          <w:sz w:val="28"/>
          <w:szCs w:val="28"/>
        </w:rPr>
      </w:pPr>
      <w:r w:rsidRPr="00F926EC">
        <w:rPr>
          <w:sz w:val="28"/>
          <w:szCs w:val="28"/>
        </w:rPr>
        <w:t>Vīza:</w:t>
      </w:r>
      <w:r w:rsidR="00F92877" w:rsidRPr="00F926EC">
        <w:rPr>
          <w:sz w:val="28"/>
          <w:szCs w:val="28"/>
        </w:rPr>
        <w:t xml:space="preserve"> </w:t>
      </w:r>
      <w:r w:rsidR="00F926EC">
        <w:rPr>
          <w:sz w:val="28"/>
          <w:szCs w:val="28"/>
        </w:rPr>
        <w:t>v</w:t>
      </w:r>
      <w:r w:rsidRPr="00F926EC">
        <w:rPr>
          <w:sz w:val="28"/>
          <w:szCs w:val="28"/>
        </w:rPr>
        <w:t>alsts sekretār</w:t>
      </w:r>
      <w:r w:rsidR="00390FD6" w:rsidRPr="00F926EC">
        <w:rPr>
          <w:sz w:val="28"/>
          <w:szCs w:val="28"/>
        </w:rPr>
        <w:t>s</w:t>
      </w:r>
      <w:r w:rsidR="00F92877" w:rsidRPr="00F926EC">
        <w:rPr>
          <w:sz w:val="28"/>
          <w:szCs w:val="28"/>
        </w:rPr>
        <w:t>                                                    </w:t>
      </w:r>
      <w:r w:rsidR="00390FD6" w:rsidRPr="00F926EC">
        <w:rPr>
          <w:sz w:val="28"/>
          <w:szCs w:val="28"/>
        </w:rPr>
        <w:t xml:space="preserve">  </w:t>
      </w:r>
      <w:r w:rsidR="00F926EC">
        <w:rPr>
          <w:sz w:val="28"/>
          <w:szCs w:val="28"/>
        </w:rPr>
        <w:t xml:space="preserve"> </w:t>
      </w:r>
      <w:r w:rsidR="00390FD6" w:rsidRPr="00F926EC">
        <w:rPr>
          <w:sz w:val="28"/>
          <w:szCs w:val="28"/>
        </w:rPr>
        <w:t xml:space="preserve">   G.Puķītis</w:t>
      </w:r>
    </w:p>
    <w:p w:rsidR="003157B0" w:rsidRPr="00F926EC" w:rsidRDefault="003157B0" w:rsidP="00F92877">
      <w:pPr>
        <w:pStyle w:val="Pamattekstaatkpe3"/>
        <w:spacing w:after="0"/>
        <w:ind w:left="0"/>
        <w:rPr>
          <w:sz w:val="28"/>
          <w:szCs w:val="28"/>
          <w:lang w:val="lv-LV"/>
        </w:rPr>
      </w:pPr>
    </w:p>
    <w:p w:rsidR="007373D4" w:rsidRPr="00F926EC" w:rsidRDefault="007373D4" w:rsidP="00F92877">
      <w:pPr>
        <w:pStyle w:val="Pamattekstaatkpe3"/>
        <w:tabs>
          <w:tab w:val="left" w:pos="1999"/>
        </w:tabs>
        <w:spacing w:after="0"/>
        <w:ind w:left="0"/>
        <w:rPr>
          <w:sz w:val="28"/>
          <w:szCs w:val="28"/>
          <w:lang w:val="lv-LV"/>
        </w:rPr>
      </w:pPr>
    </w:p>
    <w:p w:rsidR="00F92877" w:rsidRPr="00F92877" w:rsidRDefault="00F92877" w:rsidP="00F92877">
      <w:pPr>
        <w:pStyle w:val="Pamattekstaatkpe3"/>
        <w:tabs>
          <w:tab w:val="left" w:pos="1999"/>
        </w:tabs>
        <w:spacing w:after="0"/>
        <w:ind w:left="0"/>
        <w:rPr>
          <w:sz w:val="22"/>
          <w:szCs w:val="22"/>
          <w:lang w:val="lv-LV"/>
        </w:rPr>
      </w:pPr>
    </w:p>
    <w:p w:rsidR="007373D4" w:rsidRPr="00F92877" w:rsidRDefault="00D1559F" w:rsidP="00F92877">
      <w:pPr>
        <w:pStyle w:val="Pamattekstaatkpe3"/>
        <w:spacing w:after="0"/>
        <w:ind w:left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13</w:t>
      </w:r>
      <w:r w:rsidR="00390FD6">
        <w:rPr>
          <w:sz w:val="22"/>
          <w:szCs w:val="22"/>
          <w:lang w:val="lv-LV"/>
        </w:rPr>
        <w:t>.11</w:t>
      </w:r>
      <w:r w:rsidR="007373D4" w:rsidRPr="00F92877">
        <w:rPr>
          <w:sz w:val="22"/>
          <w:szCs w:val="22"/>
          <w:lang w:val="lv-LV"/>
        </w:rPr>
        <w:t>.</w:t>
      </w:r>
      <w:r w:rsidR="00FB758A" w:rsidRPr="00F92877">
        <w:rPr>
          <w:sz w:val="22"/>
          <w:szCs w:val="22"/>
          <w:lang w:val="lv-LV"/>
        </w:rPr>
        <w:t>2</w:t>
      </w:r>
      <w:r w:rsidR="007373D4" w:rsidRPr="00F92877">
        <w:rPr>
          <w:sz w:val="22"/>
          <w:szCs w:val="22"/>
          <w:lang w:val="lv-LV"/>
        </w:rPr>
        <w:t>01</w:t>
      </w:r>
      <w:r w:rsidR="00FB758A" w:rsidRPr="00F92877">
        <w:rPr>
          <w:sz w:val="22"/>
          <w:szCs w:val="22"/>
          <w:lang w:val="lv-LV"/>
        </w:rPr>
        <w:t>2</w:t>
      </w:r>
      <w:r w:rsidR="007373D4" w:rsidRPr="00F92877">
        <w:rPr>
          <w:sz w:val="22"/>
          <w:szCs w:val="22"/>
          <w:lang w:val="lv-LV"/>
        </w:rPr>
        <w:t xml:space="preserve">. </w:t>
      </w:r>
      <w:r w:rsidR="0039268C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>0</w:t>
      </w:r>
      <w:r w:rsidR="009C7573">
        <w:rPr>
          <w:sz w:val="22"/>
          <w:szCs w:val="22"/>
          <w:lang w:val="lv-LV"/>
        </w:rPr>
        <w:t>:4</w:t>
      </w:r>
      <w:r w:rsidR="0039268C">
        <w:rPr>
          <w:sz w:val="22"/>
          <w:szCs w:val="22"/>
          <w:lang w:val="lv-LV"/>
        </w:rPr>
        <w:t>5</w:t>
      </w:r>
    </w:p>
    <w:p w:rsidR="007373D4" w:rsidRPr="00F92877" w:rsidRDefault="002F326F" w:rsidP="00F92877">
      <w:pPr>
        <w:pStyle w:val="Pamattekstaatkpe3"/>
        <w:tabs>
          <w:tab w:val="left" w:pos="1332"/>
          <w:tab w:val="left" w:pos="2604"/>
        </w:tabs>
        <w:spacing w:after="0"/>
        <w:ind w:left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470</w:t>
      </w:r>
    </w:p>
    <w:p w:rsidR="00F92877" w:rsidRPr="00F92877" w:rsidRDefault="00F92877" w:rsidP="00F92877">
      <w:pPr>
        <w:pStyle w:val="Bezatstarpm"/>
        <w:rPr>
          <w:rFonts w:ascii="Times New Roman" w:hAnsi="Times New Roman"/>
        </w:rPr>
      </w:pPr>
      <w:r w:rsidRPr="00F92877">
        <w:rPr>
          <w:rFonts w:ascii="Times New Roman" w:hAnsi="Times New Roman"/>
        </w:rPr>
        <w:t>G.Robežniece</w:t>
      </w:r>
    </w:p>
    <w:p w:rsidR="00F92877" w:rsidRPr="00F92877" w:rsidRDefault="00F92877" w:rsidP="00F92877">
      <w:pPr>
        <w:pStyle w:val="Bezatstarpm"/>
        <w:rPr>
          <w:rFonts w:ascii="Times New Roman" w:hAnsi="Times New Roman"/>
        </w:rPr>
      </w:pPr>
      <w:r w:rsidRPr="00F92877">
        <w:rPr>
          <w:rFonts w:ascii="Times New Roman" w:hAnsi="Times New Roman"/>
        </w:rPr>
        <w:t>Tālr.67330325; fakss 67227916</w:t>
      </w:r>
    </w:p>
    <w:p w:rsidR="00F92877" w:rsidRPr="00F92877" w:rsidRDefault="00595253" w:rsidP="00F92877">
      <w:pPr>
        <w:pStyle w:val="Bezatstarpm"/>
        <w:rPr>
          <w:rFonts w:ascii="Times New Roman" w:hAnsi="Times New Roman"/>
        </w:rPr>
      </w:pPr>
      <w:hyperlink r:id="rId8" w:history="1">
        <w:r w:rsidR="00F92877" w:rsidRPr="00F92877">
          <w:rPr>
            <w:rStyle w:val="Hipersaite"/>
            <w:rFonts w:ascii="Times New Roman" w:hAnsi="Times New Roman"/>
          </w:rPr>
          <w:t>Gunta.Robezniece@km.gov.lv</w:t>
        </w:r>
      </w:hyperlink>
    </w:p>
    <w:p w:rsidR="00DC678F" w:rsidRPr="003157B0" w:rsidRDefault="00DC678F" w:rsidP="00F92877">
      <w:pPr>
        <w:ind w:left="-142"/>
        <w:jc w:val="both"/>
        <w:rPr>
          <w:sz w:val="20"/>
          <w:szCs w:val="20"/>
        </w:rPr>
      </w:pPr>
    </w:p>
    <w:sectPr w:rsidR="00DC678F" w:rsidRPr="003157B0" w:rsidSect="00FA47B6">
      <w:headerReference w:type="default" r:id="rId9"/>
      <w:footerReference w:type="default" r:id="rId10"/>
      <w:footerReference w:type="first" r:id="rId11"/>
      <w:pgSz w:w="11907" w:h="16839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2F" w:rsidRDefault="00237B2F" w:rsidP="00742B39">
      <w:r>
        <w:separator/>
      </w:r>
    </w:p>
  </w:endnote>
  <w:endnote w:type="continuationSeparator" w:id="0">
    <w:p w:rsidR="00237B2F" w:rsidRDefault="00237B2F" w:rsidP="0074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2F" w:rsidRPr="00612AA3" w:rsidRDefault="00237B2F" w:rsidP="00F92877">
    <w:pPr>
      <w:pStyle w:val="Bezatstarpm"/>
      <w:jc w:val="both"/>
      <w:rPr>
        <w:rFonts w:ascii="Times New Roman" w:hAnsi="Times New Roman"/>
      </w:rPr>
    </w:pPr>
    <w:r w:rsidRPr="00F92877">
      <w:rPr>
        <w:rFonts w:ascii="Times New Roman" w:hAnsi="Times New Roman"/>
      </w:rPr>
      <w:t>KMAnot_</w:t>
    </w:r>
    <w:r w:rsidR="00217091">
      <w:rPr>
        <w:rFonts w:ascii="Times New Roman" w:hAnsi="Times New Roman"/>
      </w:rPr>
      <w:t>13</w:t>
    </w:r>
    <w:r>
      <w:rPr>
        <w:rFonts w:ascii="Times New Roman" w:hAnsi="Times New Roman"/>
      </w:rPr>
      <w:t>11</w:t>
    </w:r>
    <w:r w:rsidRPr="00F92877">
      <w:rPr>
        <w:rFonts w:ascii="Times New Roman" w:hAnsi="Times New Roman"/>
      </w:rPr>
      <w:t>12_sab_integr; Ministru kabineta rīkojuma projekta „Grozījums Ministru kabineta 2011.gada 20.oktobra rīkojumā Nr.542 „Par Nacionālās identitātes, pilsoniskās sabiedrības un integrācijas politikas pamatnostādnēm 2012.-2018.gadam””</w:t>
    </w:r>
    <w:r>
      <w:rPr>
        <w:rFonts w:ascii="Times New Roman" w:hAnsi="Times New Roman"/>
      </w:rPr>
      <w:t xml:space="preserve"> </w:t>
    </w:r>
    <w:r w:rsidRPr="00F92877">
      <w:rPr>
        <w:rFonts w:ascii="Times New Roman" w:hAnsi="Times New Roman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2F" w:rsidRPr="00F92877" w:rsidRDefault="00237B2F" w:rsidP="007458E6">
    <w:pPr>
      <w:pStyle w:val="Bezatstarpm"/>
      <w:jc w:val="both"/>
    </w:pPr>
    <w:r w:rsidRPr="00F92877">
      <w:rPr>
        <w:rFonts w:ascii="Times New Roman" w:hAnsi="Times New Roman"/>
      </w:rPr>
      <w:t>KMAnot_</w:t>
    </w:r>
    <w:r w:rsidR="00217091">
      <w:rPr>
        <w:rFonts w:ascii="Times New Roman" w:hAnsi="Times New Roman"/>
      </w:rPr>
      <w:t>13</w:t>
    </w:r>
    <w:r>
      <w:rPr>
        <w:rFonts w:ascii="Times New Roman" w:hAnsi="Times New Roman"/>
      </w:rPr>
      <w:t>11</w:t>
    </w:r>
    <w:r w:rsidRPr="00F92877">
      <w:rPr>
        <w:rFonts w:ascii="Times New Roman" w:hAnsi="Times New Roman"/>
      </w:rPr>
      <w:t>12_sab_integr; Ministru kabineta rīkojuma projekta „Grozījums Ministru kabineta 2011.gada 20.oktobra rīkojumā Nr.542 „Par Nacionālās identitātes, pilsoniskās sabiedrības un integrācijas politikas pamatnostādnēm 2012.-2018.gadam””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2F" w:rsidRDefault="00237B2F" w:rsidP="00742B39">
      <w:r>
        <w:separator/>
      </w:r>
    </w:p>
  </w:footnote>
  <w:footnote w:type="continuationSeparator" w:id="0">
    <w:p w:rsidR="00237B2F" w:rsidRDefault="00237B2F" w:rsidP="0074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2F" w:rsidRPr="00F92877" w:rsidRDefault="00595253">
    <w:pPr>
      <w:pStyle w:val="Galvene"/>
      <w:jc w:val="center"/>
      <w:rPr>
        <w:sz w:val="22"/>
        <w:szCs w:val="22"/>
      </w:rPr>
    </w:pPr>
    <w:r w:rsidRPr="00F92877">
      <w:rPr>
        <w:sz w:val="22"/>
        <w:szCs w:val="22"/>
      </w:rPr>
      <w:fldChar w:fldCharType="begin"/>
    </w:r>
    <w:r w:rsidR="00237B2F" w:rsidRPr="00F92877">
      <w:rPr>
        <w:sz w:val="22"/>
        <w:szCs w:val="22"/>
      </w:rPr>
      <w:instrText xml:space="preserve"> PAGE   \* MERGEFORMAT </w:instrText>
    </w:r>
    <w:r w:rsidRPr="00F92877">
      <w:rPr>
        <w:sz w:val="22"/>
        <w:szCs w:val="22"/>
      </w:rPr>
      <w:fldChar w:fldCharType="separate"/>
    </w:r>
    <w:r w:rsidR="00D1559F">
      <w:rPr>
        <w:noProof/>
        <w:sz w:val="22"/>
        <w:szCs w:val="22"/>
      </w:rPr>
      <w:t>3</w:t>
    </w:r>
    <w:r w:rsidRPr="00F92877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236"/>
    <w:multiLevelType w:val="hybridMultilevel"/>
    <w:tmpl w:val="943EB902"/>
    <w:lvl w:ilvl="0" w:tplc="C68C604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7373D4"/>
    <w:rsid w:val="00012BB1"/>
    <w:rsid w:val="00034E5E"/>
    <w:rsid w:val="000529B2"/>
    <w:rsid w:val="0006056E"/>
    <w:rsid w:val="000658DD"/>
    <w:rsid w:val="00090B74"/>
    <w:rsid w:val="000A78D6"/>
    <w:rsid w:val="001316A6"/>
    <w:rsid w:val="0015007C"/>
    <w:rsid w:val="001500A0"/>
    <w:rsid w:val="00171891"/>
    <w:rsid w:val="00177AC7"/>
    <w:rsid w:val="001B7711"/>
    <w:rsid w:val="001C4341"/>
    <w:rsid w:val="002047C3"/>
    <w:rsid w:val="00217091"/>
    <w:rsid w:val="00237B2F"/>
    <w:rsid w:val="00277089"/>
    <w:rsid w:val="00277F13"/>
    <w:rsid w:val="00292641"/>
    <w:rsid w:val="002C6ACE"/>
    <w:rsid w:val="002D4F12"/>
    <w:rsid w:val="002E2563"/>
    <w:rsid w:val="002E5CF3"/>
    <w:rsid w:val="002F326F"/>
    <w:rsid w:val="003122E4"/>
    <w:rsid w:val="003157B0"/>
    <w:rsid w:val="00343EA9"/>
    <w:rsid w:val="00345105"/>
    <w:rsid w:val="0035617C"/>
    <w:rsid w:val="00372790"/>
    <w:rsid w:val="00387ED7"/>
    <w:rsid w:val="00390FD6"/>
    <w:rsid w:val="0039268C"/>
    <w:rsid w:val="003D5307"/>
    <w:rsid w:val="003E6D79"/>
    <w:rsid w:val="003F2D54"/>
    <w:rsid w:val="003F478E"/>
    <w:rsid w:val="003F61B0"/>
    <w:rsid w:val="004016F2"/>
    <w:rsid w:val="00423CDD"/>
    <w:rsid w:val="004412E8"/>
    <w:rsid w:val="0045144C"/>
    <w:rsid w:val="00484BC5"/>
    <w:rsid w:val="0049436C"/>
    <w:rsid w:val="004B42C5"/>
    <w:rsid w:val="004E03EE"/>
    <w:rsid w:val="004E04A5"/>
    <w:rsid w:val="00503878"/>
    <w:rsid w:val="00520699"/>
    <w:rsid w:val="00530369"/>
    <w:rsid w:val="00543A94"/>
    <w:rsid w:val="0055127C"/>
    <w:rsid w:val="00551995"/>
    <w:rsid w:val="00562072"/>
    <w:rsid w:val="00582193"/>
    <w:rsid w:val="00595253"/>
    <w:rsid w:val="005B28A3"/>
    <w:rsid w:val="005C435D"/>
    <w:rsid w:val="0061047F"/>
    <w:rsid w:val="00612AA3"/>
    <w:rsid w:val="006411D3"/>
    <w:rsid w:val="00646F7C"/>
    <w:rsid w:val="006610D5"/>
    <w:rsid w:val="00687529"/>
    <w:rsid w:val="006921FA"/>
    <w:rsid w:val="00694228"/>
    <w:rsid w:val="006A4489"/>
    <w:rsid w:val="006B16CE"/>
    <w:rsid w:val="006F54B2"/>
    <w:rsid w:val="006F6FB9"/>
    <w:rsid w:val="00713CBA"/>
    <w:rsid w:val="00722CDE"/>
    <w:rsid w:val="00724763"/>
    <w:rsid w:val="007373D4"/>
    <w:rsid w:val="00742B39"/>
    <w:rsid w:val="007458E6"/>
    <w:rsid w:val="0074682B"/>
    <w:rsid w:val="0075052F"/>
    <w:rsid w:val="00762E85"/>
    <w:rsid w:val="007820D6"/>
    <w:rsid w:val="007A193F"/>
    <w:rsid w:val="007A5259"/>
    <w:rsid w:val="007B1031"/>
    <w:rsid w:val="007B1C72"/>
    <w:rsid w:val="007B669B"/>
    <w:rsid w:val="007E6AA0"/>
    <w:rsid w:val="00822525"/>
    <w:rsid w:val="00855D3F"/>
    <w:rsid w:val="00857397"/>
    <w:rsid w:val="008A492F"/>
    <w:rsid w:val="008C353B"/>
    <w:rsid w:val="008D5DD5"/>
    <w:rsid w:val="008D6D8A"/>
    <w:rsid w:val="008E4087"/>
    <w:rsid w:val="008E5D4B"/>
    <w:rsid w:val="008E66CE"/>
    <w:rsid w:val="00944B57"/>
    <w:rsid w:val="00966965"/>
    <w:rsid w:val="009719BE"/>
    <w:rsid w:val="009A75CA"/>
    <w:rsid w:val="009B5B7F"/>
    <w:rsid w:val="009C05C7"/>
    <w:rsid w:val="009C1E4C"/>
    <w:rsid w:val="009C7573"/>
    <w:rsid w:val="00A23868"/>
    <w:rsid w:val="00A40158"/>
    <w:rsid w:val="00AA316B"/>
    <w:rsid w:val="00AB5607"/>
    <w:rsid w:val="00AB6891"/>
    <w:rsid w:val="00AD028D"/>
    <w:rsid w:val="00AF67EF"/>
    <w:rsid w:val="00B143EE"/>
    <w:rsid w:val="00B1796D"/>
    <w:rsid w:val="00B31988"/>
    <w:rsid w:val="00B57E91"/>
    <w:rsid w:val="00B93C9D"/>
    <w:rsid w:val="00BA73A1"/>
    <w:rsid w:val="00BB446A"/>
    <w:rsid w:val="00BB7432"/>
    <w:rsid w:val="00C41B9F"/>
    <w:rsid w:val="00C53336"/>
    <w:rsid w:val="00C72FC9"/>
    <w:rsid w:val="00C74A19"/>
    <w:rsid w:val="00CB7695"/>
    <w:rsid w:val="00CF7529"/>
    <w:rsid w:val="00D043D9"/>
    <w:rsid w:val="00D1559F"/>
    <w:rsid w:val="00D21649"/>
    <w:rsid w:val="00D354AF"/>
    <w:rsid w:val="00D6742E"/>
    <w:rsid w:val="00D90C17"/>
    <w:rsid w:val="00DB1F3E"/>
    <w:rsid w:val="00DB2C4A"/>
    <w:rsid w:val="00DB6A25"/>
    <w:rsid w:val="00DC4615"/>
    <w:rsid w:val="00DC56E5"/>
    <w:rsid w:val="00DC5FF2"/>
    <w:rsid w:val="00DC678F"/>
    <w:rsid w:val="00DE4D47"/>
    <w:rsid w:val="00E20744"/>
    <w:rsid w:val="00E27475"/>
    <w:rsid w:val="00E52D7A"/>
    <w:rsid w:val="00E5508E"/>
    <w:rsid w:val="00E7621A"/>
    <w:rsid w:val="00E97F03"/>
    <w:rsid w:val="00EC1CB3"/>
    <w:rsid w:val="00EE40A2"/>
    <w:rsid w:val="00F17766"/>
    <w:rsid w:val="00F714A9"/>
    <w:rsid w:val="00F926EC"/>
    <w:rsid w:val="00F92877"/>
    <w:rsid w:val="00FA47B6"/>
    <w:rsid w:val="00FB758A"/>
    <w:rsid w:val="00FE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3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7A19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7373D4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nhideWhenUsed/>
    <w:rsid w:val="007373D4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nhideWhenUsed/>
    <w:rsid w:val="007373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ais"/>
    <w:link w:val="Pamattekstaatkpe3Rakstz"/>
    <w:rsid w:val="007373D4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7373D4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Pamattekstsaratkpi">
    <w:name w:val="Body Text Indent"/>
    <w:basedOn w:val="Parastais"/>
    <w:link w:val="PamattekstsaratkpiRakstz"/>
    <w:rsid w:val="007373D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7373D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ezatstarpm">
    <w:name w:val="No Spacing"/>
    <w:uiPriority w:val="1"/>
    <w:qFormat/>
    <w:rsid w:val="00742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7A193F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61B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61B0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316A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316A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316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16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1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obez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EA49-1393-43F9-A376-F203D08B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2772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sākotnējās ietekmes novērtējuma ziņojums (anotācija)</vt:lpstr>
      <vt:lpstr>Ministru kabineta noteikumu projekta „Grozījums Ministru kabineta 2003.gada 29.aprīļa noteikumos Nr.241 "Kultūras ministrijas nolikums"sākotnējās ietekmes novērtējuma ziņojums (anotācija)</vt:lpstr>
    </vt:vector>
  </TitlesOfParts>
  <Manager>R.Klimkāne</Manager>
  <Company>Kultūras ministrija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MKAnot_051112_sab_integr</dc:subject>
  <dc:creator>G.Robežniece</dc:creator>
  <dc:description>G.Robežniece_x000d_
Tālr.67330325; fakss 67227916_x000d_
Gunta.Robezniece@km.gov.lv</dc:description>
  <cp:lastModifiedBy>Gunta Robežniece</cp:lastModifiedBy>
  <cp:revision>4</cp:revision>
  <cp:lastPrinted>2012-11-06T11:12:00Z</cp:lastPrinted>
  <dcterms:created xsi:type="dcterms:W3CDTF">2012-11-13T08:45:00Z</dcterms:created>
  <dcterms:modified xsi:type="dcterms:W3CDTF">2012-11-13T08:46:00Z</dcterms:modified>
</cp:coreProperties>
</file>