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DA" w:rsidRDefault="00F611DA" w:rsidP="00F611DA">
      <w:pPr>
        <w:pStyle w:val="naisc"/>
        <w:spacing w:before="0" w:after="0"/>
        <w:rPr>
          <w:b/>
          <w:sz w:val="28"/>
          <w:szCs w:val="28"/>
        </w:rPr>
      </w:pPr>
      <w:r w:rsidRPr="00F611DA">
        <w:rPr>
          <w:b/>
          <w:sz w:val="28"/>
          <w:szCs w:val="28"/>
        </w:rPr>
        <w:t xml:space="preserve">Ministru kabineta noteikumu projekta </w:t>
      </w:r>
    </w:p>
    <w:p w:rsidR="00634120" w:rsidRPr="00F611DA" w:rsidRDefault="00F611DA" w:rsidP="00F611DA">
      <w:pPr>
        <w:pStyle w:val="naisc"/>
        <w:spacing w:before="0" w:after="0"/>
        <w:rPr>
          <w:b/>
          <w:bCs/>
          <w:sz w:val="28"/>
          <w:szCs w:val="28"/>
        </w:rPr>
      </w:pPr>
      <w:r w:rsidRPr="00F611DA">
        <w:rPr>
          <w:b/>
          <w:sz w:val="28"/>
          <w:szCs w:val="28"/>
        </w:rPr>
        <w:t>„Grozījumi Ministru kabineta 2009.gada 22.septembra noteikumos Nr.1074 “Noteikumi par valsts statistikas apkopošanu kultūras jomā””</w:t>
      </w:r>
      <w:r w:rsidRPr="00F611DA">
        <w:rPr>
          <w:b/>
          <w:bCs/>
          <w:sz w:val="28"/>
          <w:szCs w:val="28"/>
        </w:rPr>
        <w:t xml:space="preserve"> sākotnējās ietekmes novērtējuma ziņojums (anotācija)</w:t>
      </w:r>
    </w:p>
    <w:p w:rsidR="00F611DA" w:rsidRPr="00D91AC1" w:rsidRDefault="00F611DA" w:rsidP="00634120">
      <w:pPr>
        <w:pStyle w:val="naisc"/>
        <w:spacing w:before="0" w:after="0"/>
        <w:jc w:val="left"/>
        <w:rPr>
          <w:b/>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976"/>
        <w:gridCol w:w="5684"/>
      </w:tblGrid>
      <w:tr w:rsidR="00634120" w:rsidRPr="00D91AC1" w:rsidTr="00DF1CDD">
        <w:trPr>
          <w:trHeight w:val="53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634120" w:rsidRPr="00D91AC1" w:rsidRDefault="00634120" w:rsidP="00DF1CDD">
            <w:pPr>
              <w:spacing w:before="100" w:beforeAutospacing="1" w:after="100" w:afterAutospacing="1"/>
              <w:jc w:val="center"/>
              <w:rPr>
                <w:sz w:val="28"/>
                <w:szCs w:val="28"/>
              </w:rPr>
            </w:pPr>
            <w:bookmarkStart w:id="0" w:name="OLE_LINK3"/>
            <w:bookmarkStart w:id="1" w:name="OLE_LINK1"/>
            <w:bookmarkStart w:id="2" w:name="OLE_LINK2"/>
            <w:bookmarkStart w:id="3" w:name="OLE_LINK4"/>
            <w:r w:rsidRPr="00D91AC1">
              <w:rPr>
                <w:b/>
                <w:bCs/>
                <w:sz w:val="28"/>
                <w:szCs w:val="28"/>
              </w:rPr>
              <w:t>I. Tiesību akta projekta izstrādes nepieciešamība</w:t>
            </w:r>
          </w:p>
        </w:tc>
      </w:tr>
      <w:tr w:rsidR="00634120" w:rsidRPr="00D91AC1" w:rsidTr="00DF1CDD">
        <w:trPr>
          <w:trHeight w:val="2078"/>
          <w:tblCellSpacing w:w="0" w:type="dxa"/>
        </w:trPr>
        <w:tc>
          <w:tcPr>
            <w:tcW w:w="441"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spacing w:before="100" w:beforeAutospacing="1" w:after="100" w:afterAutospacing="1"/>
              <w:rPr>
                <w:sz w:val="28"/>
                <w:szCs w:val="28"/>
              </w:rPr>
            </w:pPr>
            <w:r w:rsidRPr="00D91AC1">
              <w:rPr>
                <w:sz w:val="28"/>
                <w:szCs w:val="28"/>
              </w:rPr>
              <w:t> 1.</w:t>
            </w:r>
          </w:p>
        </w:tc>
        <w:tc>
          <w:tcPr>
            <w:tcW w:w="2976"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spacing w:before="100" w:beforeAutospacing="1" w:after="100" w:afterAutospacing="1"/>
              <w:rPr>
                <w:sz w:val="28"/>
                <w:szCs w:val="28"/>
              </w:rPr>
            </w:pPr>
            <w:r w:rsidRPr="00D91AC1">
              <w:rPr>
                <w:sz w:val="28"/>
                <w:szCs w:val="28"/>
              </w:rPr>
              <w:t> Pamatojums</w:t>
            </w:r>
          </w:p>
        </w:tc>
        <w:tc>
          <w:tcPr>
            <w:tcW w:w="5684" w:type="dxa"/>
            <w:tcBorders>
              <w:top w:val="outset" w:sz="6" w:space="0" w:color="auto"/>
              <w:left w:val="outset" w:sz="6" w:space="0" w:color="auto"/>
              <w:bottom w:val="outset" w:sz="6" w:space="0" w:color="auto"/>
              <w:right w:val="outset" w:sz="6" w:space="0" w:color="auto"/>
            </w:tcBorders>
          </w:tcPr>
          <w:p w:rsidR="00634120" w:rsidRPr="00D91AC1" w:rsidRDefault="00AE03A5" w:rsidP="00F22224">
            <w:pPr>
              <w:ind w:left="127" w:firstLine="284"/>
              <w:jc w:val="both"/>
              <w:rPr>
                <w:iCs/>
                <w:sz w:val="28"/>
                <w:szCs w:val="28"/>
                <w:shd w:val="clear" w:color="auto" w:fill="FFFFFF"/>
              </w:rPr>
            </w:pPr>
            <w:r w:rsidRPr="00D91AC1">
              <w:rPr>
                <w:sz w:val="28"/>
                <w:szCs w:val="28"/>
              </w:rPr>
              <w:t xml:space="preserve">Ministru kabineta noteikumu projekts „Grozījumi </w:t>
            </w:r>
            <w:r>
              <w:rPr>
                <w:sz w:val="28"/>
                <w:szCs w:val="28"/>
              </w:rPr>
              <w:t>Ministru kabineta</w:t>
            </w:r>
            <w:r w:rsidRPr="00D91AC1">
              <w:rPr>
                <w:sz w:val="28"/>
                <w:szCs w:val="28"/>
              </w:rPr>
              <w:t xml:space="preserve"> noteikumos Nr.1074 „Noteikumi </w:t>
            </w:r>
            <w:r w:rsidRPr="00D91AC1">
              <w:rPr>
                <w:bCs/>
                <w:sz w:val="28"/>
                <w:szCs w:val="28"/>
                <w:lang w:eastAsia="lv-LV"/>
              </w:rPr>
              <w:t>par valsts statistikas apkopošanu kultūras jomā</w:t>
            </w:r>
            <w:r w:rsidRPr="00D91AC1">
              <w:rPr>
                <w:sz w:val="28"/>
                <w:szCs w:val="28"/>
              </w:rPr>
              <w:t>”</w:t>
            </w:r>
            <w:r>
              <w:rPr>
                <w:sz w:val="28"/>
                <w:szCs w:val="28"/>
              </w:rPr>
              <w:t xml:space="preserve">” </w:t>
            </w:r>
            <w:r w:rsidRPr="00D91AC1">
              <w:rPr>
                <w:sz w:val="28"/>
                <w:szCs w:val="28"/>
              </w:rPr>
              <w:t xml:space="preserve">(turpmāk – Projekts) izstrādāts, </w:t>
            </w:r>
            <w:r w:rsidRPr="00015174">
              <w:rPr>
                <w:sz w:val="28"/>
                <w:szCs w:val="28"/>
              </w:rPr>
              <w:t xml:space="preserve">pamatojoties uz Dziesmu un deju svētku likuma </w:t>
            </w:r>
            <w:r w:rsidRPr="00AD7C53">
              <w:rPr>
                <w:rStyle w:val="apple-converted-space"/>
                <w:iCs/>
                <w:sz w:val="28"/>
                <w:szCs w:val="28"/>
                <w:shd w:val="clear" w:color="auto" w:fill="FFFFFF"/>
              </w:rPr>
              <w:t>7.panta pirmās daļas 7.punktā</w:t>
            </w:r>
            <w:r w:rsidRPr="00015174">
              <w:rPr>
                <w:rStyle w:val="apple-converted-space"/>
                <w:iCs/>
                <w:sz w:val="28"/>
                <w:szCs w:val="28"/>
                <w:shd w:val="clear" w:color="auto" w:fill="FFFFFF"/>
              </w:rPr>
              <w:t xml:space="preserve"> noteiktā uzdevuma izpildi, </w:t>
            </w:r>
            <w:r w:rsidR="00F611DA">
              <w:rPr>
                <w:rStyle w:val="apple-converted-space"/>
                <w:iCs/>
                <w:sz w:val="28"/>
                <w:szCs w:val="28"/>
                <w:shd w:val="clear" w:color="auto" w:fill="FFFFFF"/>
              </w:rPr>
              <w:t xml:space="preserve">Arhīvu likumu, </w:t>
            </w:r>
            <w:r w:rsidR="00D55839" w:rsidRPr="00D55839">
              <w:rPr>
                <w:rStyle w:val="apple-converted-space"/>
                <w:iCs/>
                <w:sz w:val="28"/>
                <w:szCs w:val="28"/>
                <w:shd w:val="clear" w:color="auto" w:fill="FFFFFF"/>
              </w:rPr>
              <w:t xml:space="preserve">kā arī </w:t>
            </w:r>
            <w:r w:rsidR="00F611DA">
              <w:rPr>
                <w:sz w:val="28"/>
                <w:szCs w:val="28"/>
              </w:rPr>
              <w:t>Ministru kabineta 2010.gada 14.decembra</w:t>
            </w:r>
            <w:r w:rsidR="00D55839" w:rsidRPr="00D55839">
              <w:rPr>
                <w:sz w:val="28"/>
                <w:szCs w:val="28"/>
              </w:rPr>
              <w:t xml:space="preserve"> noteikumiem </w:t>
            </w:r>
            <w:r w:rsidR="00CF3756">
              <w:rPr>
                <w:sz w:val="28"/>
                <w:szCs w:val="28"/>
              </w:rPr>
              <w:t xml:space="preserve">Nr.1129 </w:t>
            </w:r>
            <w:r w:rsidR="00D55839" w:rsidRPr="00D55839">
              <w:rPr>
                <w:sz w:val="28"/>
                <w:szCs w:val="28"/>
              </w:rPr>
              <w:t>“Kultūrizglītības un nemateriālā mantojuma centra nolikums”</w:t>
            </w:r>
            <w:r w:rsidR="00F611DA">
              <w:rPr>
                <w:sz w:val="28"/>
                <w:szCs w:val="28"/>
              </w:rPr>
              <w:t>.</w:t>
            </w:r>
          </w:p>
        </w:tc>
      </w:tr>
      <w:tr w:rsidR="00634120" w:rsidRPr="00D91AC1" w:rsidTr="00DF1CDD">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spacing w:before="100" w:beforeAutospacing="1" w:after="100" w:afterAutospacing="1"/>
              <w:rPr>
                <w:sz w:val="28"/>
                <w:szCs w:val="28"/>
              </w:rPr>
            </w:pPr>
            <w:r w:rsidRPr="00D91AC1">
              <w:rPr>
                <w:sz w:val="28"/>
                <w:szCs w:val="28"/>
              </w:rPr>
              <w:t> 2.</w:t>
            </w:r>
          </w:p>
        </w:tc>
        <w:tc>
          <w:tcPr>
            <w:tcW w:w="2976"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spacing w:before="100" w:beforeAutospacing="1" w:after="100" w:afterAutospacing="1"/>
              <w:rPr>
                <w:sz w:val="28"/>
                <w:szCs w:val="28"/>
              </w:rPr>
            </w:pPr>
            <w:r w:rsidRPr="00D91AC1">
              <w:rPr>
                <w:sz w:val="28"/>
                <w:szCs w:val="28"/>
              </w:rPr>
              <w:t> Pašreizējā situācija un problēmas</w:t>
            </w:r>
          </w:p>
        </w:tc>
        <w:tc>
          <w:tcPr>
            <w:tcW w:w="5684" w:type="dxa"/>
            <w:tcBorders>
              <w:top w:val="outset" w:sz="6" w:space="0" w:color="auto"/>
              <w:left w:val="outset" w:sz="6" w:space="0" w:color="auto"/>
              <w:bottom w:val="outset" w:sz="6" w:space="0" w:color="auto"/>
              <w:right w:val="outset" w:sz="6" w:space="0" w:color="auto"/>
            </w:tcBorders>
          </w:tcPr>
          <w:p w:rsidR="00634120" w:rsidRPr="005A72B8" w:rsidRDefault="00BB33CC" w:rsidP="005A72B8">
            <w:pPr>
              <w:ind w:firstLine="360"/>
              <w:jc w:val="both"/>
            </w:pPr>
            <w:r w:rsidRPr="00D91AC1">
              <w:rPr>
                <w:sz w:val="28"/>
                <w:szCs w:val="28"/>
              </w:rPr>
              <w:t xml:space="preserve">Pamatojoties uz Dziesmu un deju svētku likuma </w:t>
            </w:r>
            <w:r w:rsidR="00DA2491" w:rsidRPr="00D91AC1">
              <w:rPr>
                <w:rStyle w:val="apple-converted-space"/>
                <w:iCs/>
                <w:sz w:val="28"/>
                <w:szCs w:val="28"/>
                <w:shd w:val="clear" w:color="auto" w:fill="FFFFFF"/>
              </w:rPr>
              <w:t xml:space="preserve">7.panta </w:t>
            </w:r>
            <w:r w:rsidR="00015174">
              <w:rPr>
                <w:rStyle w:val="apple-converted-space"/>
                <w:iCs/>
                <w:sz w:val="28"/>
                <w:szCs w:val="28"/>
                <w:shd w:val="clear" w:color="auto" w:fill="FFFFFF"/>
              </w:rPr>
              <w:t xml:space="preserve">pirmās daļas </w:t>
            </w:r>
            <w:r w:rsidR="00DA2491" w:rsidRPr="00D91AC1">
              <w:rPr>
                <w:rStyle w:val="apple-converted-space"/>
                <w:iCs/>
                <w:sz w:val="28"/>
                <w:szCs w:val="28"/>
                <w:shd w:val="clear" w:color="auto" w:fill="FFFFFF"/>
              </w:rPr>
              <w:t>7.punktu</w:t>
            </w:r>
            <w:r w:rsidRPr="00D91AC1">
              <w:rPr>
                <w:rStyle w:val="apple-converted-space"/>
                <w:iCs/>
                <w:sz w:val="28"/>
                <w:szCs w:val="28"/>
                <w:shd w:val="clear" w:color="auto" w:fill="FFFFFF"/>
              </w:rPr>
              <w:t xml:space="preserve"> </w:t>
            </w:r>
            <w:r w:rsidR="00F611DA">
              <w:rPr>
                <w:rStyle w:val="apple-converted-space"/>
                <w:iCs/>
                <w:sz w:val="28"/>
                <w:szCs w:val="28"/>
                <w:shd w:val="clear" w:color="auto" w:fill="FFFFFF"/>
              </w:rPr>
              <w:t xml:space="preserve">Kultūras ministrija </w:t>
            </w:r>
            <w:r w:rsidR="00015174">
              <w:rPr>
                <w:rStyle w:val="apple-converted-space"/>
                <w:iCs/>
                <w:sz w:val="28"/>
                <w:szCs w:val="28"/>
                <w:shd w:val="clear" w:color="auto" w:fill="FFFFFF"/>
              </w:rPr>
              <w:t>ir</w:t>
            </w:r>
            <w:r w:rsidR="00015174" w:rsidRPr="00D91AC1">
              <w:rPr>
                <w:rStyle w:val="apple-converted-space"/>
                <w:iCs/>
                <w:sz w:val="28"/>
                <w:szCs w:val="28"/>
                <w:shd w:val="clear" w:color="auto" w:fill="FFFFFF"/>
              </w:rPr>
              <w:t xml:space="preserve"> </w:t>
            </w:r>
            <w:r w:rsidRPr="00D91AC1">
              <w:rPr>
                <w:rStyle w:val="apple-converted-space"/>
                <w:iCs/>
                <w:sz w:val="28"/>
                <w:szCs w:val="28"/>
                <w:shd w:val="clear" w:color="auto" w:fill="FFFFFF"/>
              </w:rPr>
              <w:t>izstrādā</w:t>
            </w:r>
            <w:r w:rsidR="00F611DA">
              <w:rPr>
                <w:rStyle w:val="apple-converted-space"/>
                <w:iCs/>
                <w:sz w:val="28"/>
                <w:szCs w:val="28"/>
                <w:shd w:val="clear" w:color="auto" w:fill="FFFFFF"/>
              </w:rPr>
              <w:t>jusi</w:t>
            </w:r>
            <w:r w:rsidRPr="00D91AC1">
              <w:rPr>
                <w:sz w:val="28"/>
                <w:szCs w:val="28"/>
              </w:rPr>
              <w:t xml:space="preserve"> Mini</w:t>
            </w:r>
            <w:r w:rsidR="00F611DA">
              <w:rPr>
                <w:sz w:val="28"/>
                <w:szCs w:val="28"/>
              </w:rPr>
              <w:t>stru kabineta noteikumu projektu</w:t>
            </w:r>
            <w:r w:rsidRPr="00D91AC1">
              <w:rPr>
                <w:sz w:val="28"/>
                <w:szCs w:val="28"/>
              </w:rPr>
              <w:t xml:space="preserve"> „Kārtība, kādā pašvaldībām tiek aprēķināta un sadalīta valsts budžeta mērķdotācija māksliniecisko kolektīvu vadītāju darba samaksai un valsts sociālās apdrošināšanas obligātajām iemaksām”</w:t>
            </w:r>
            <w:r w:rsidR="00F611DA">
              <w:rPr>
                <w:sz w:val="28"/>
                <w:szCs w:val="28"/>
              </w:rPr>
              <w:t>.</w:t>
            </w:r>
            <w:r w:rsidR="00015174">
              <w:rPr>
                <w:sz w:val="28"/>
                <w:szCs w:val="28"/>
              </w:rPr>
              <w:t xml:space="preserve"> </w:t>
            </w:r>
            <w:r w:rsidR="00F611DA">
              <w:rPr>
                <w:sz w:val="28"/>
                <w:szCs w:val="28"/>
              </w:rPr>
              <w:t>Minētā</w:t>
            </w:r>
            <w:r w:rsidR="00015174">
              <w:rPr>
                <w:sz w:val="28"/>
                <w:szCs w:val="28"/>
              </w:rPr>
              <w:t xml:space="preserve"> noteikumu</w:t>
            </w:r>
            <w:r w:rsidR="00DA2491" w:rsidRPr="00D91AC1">
              <w:rPr>
                <w:sz w:val="28"/>
                <w:szCs w:val="28"/>
              </w:rPr>
              <w:t xml:space="preserve"> </w:t>
            </w:r>
            <w:r w:rsidR="00F611DA">
              <w:rPr>
                <w:sz w:val="28"/>
                <w:szCs w:val="28"/>
              </w:rPr>
              <w:t xml:space="preserve">projekta </w:t>
            </w:r>
            <w:r w:rsidR="00DA2491" w:rsidRPr="00D91AC1">
              <w:rPr>
                <w:sz w:val="28"/>
                <w:szCs w:val="28"/>
              </w:rPr>
              <w:t xml:space="preserve">4.punktā </w:t>
            </w:r>
            <w:r w:rsidR="00015174">
              <w:rPr>
                <w:sz w:val="28"/>
                <w:szCs w:val="28"/>
              </w:rPr>
              <w:t>no</w:t>
            </w:r>
            <w:r w:rsidR="00DA2491" w:rsidRPr="00D91AC1">
              <w:rPr>
                <w:sz w:val="28"/>
                <w:szCs w:val="28"/>
              </w:rPr>
              <w:t>teikts, ka m</w:t>
            </w:r>
            <w:r w:rsidRPr="00D91AC1">
              <w:rPr>
                <w:sz w:val="28"/>
                <w:szCs w:val="28"/>
              </w:rPr>
              <w:t xml:space="preserve">ērķdotācijas apmēra aprēķināšanai konkrētai pašvaldībai izmanto </w:t>
            </w:r>
            <w:r w:rsidRPr="00D91AC1">
              <w:rPr>
                <w:sz w:val="28"/>
                <w:szCs w:val="28"/>
                <w:lang w:eastAsia="lv-LV"/>
              </w:rPr>
              <w:t xml:space="preserve">pašvaldību sniegtos datus elektroniskajā datubāzē „Latvijas digitālā kultūras karte” tīmekļa vietnē </w:t>
            </w:r>
            <w:hyperlink r:id="rId7" w:history="1">
              <w:r w:rsidRPr="00D91AC1">
                <w:rPr>
                  <w:rStyle w:val="Hipersaite"/>
                  <w:sz w:val="28"/>
                  <w:szCs w:val="28"/>
                  <w:lang w:eastAsia="lv-LV"/>
                </w:rPr>
                <w:t>www.kulturaskarte.lv</w:t>
              </w:r>
            </w:hyperlink>
            <w:r w:rsidR="00DA2491" w:rsidRPr="00D91AC1">
              <w:t xml:space="preserve">. </w:t>
            </w:r>
            <w:r w:rsidR="00DA2491" w:rsidRPr="00D91AC1">
              <w:rPr>
                <w:sz w:val="28"/>
                <w:szCs w:val="28"/>
              </w:rPr>
              <w:t>L</w:t>
            </w:r>
            <w:r w:rsidR="000A4E42" w:rsidRPr="00D91AC1">
              <w:rPr>
                <w:sz w:val="28"/>
                <w:szCs w:val="28"/>
              </w:rPr>
              <w:t xml:space="preserve">ai nodrošinātu </w:t>
            </w:r>
            <w:r w:rsidR="00DA2491" w:rsidRPr="00D91AC1">
              <w:rPr>
                <w:sz w:val="28"/>
                <w:szCs w:val="28"/>
              </w:rPr>
              <w:t>mērķdotācijas aprēķināšanai nepieciešamos datus par dziesmu un deju svētku procesā iesaistītajiem mākslinieciskajiem kolektīviem, P</w:t>
            </w:r>
            <w:r w:rsidR="000A4E42" w:rsidRPr="00D91AC1">
              <w:rPr>
                <w:sz w:val="28"/>
                <w:szCs w:val="28"/>
              </w:rPr>
              <w:t xml:space="preserve">rojekts tiek papildināts ar </w:t>
            </w:r>
            <w:r w:rsidR="00DA2491" w:rsidRPr="00D91AC1">
              <w:rPr>
                <w:sz w:val="28"/>
                <w:szCs w:val="28"/>
              </w:rPr>
              <w:t>17.pielikumu, kurā definēts māksliniecisko kolektīvu darbības izvērtēšanas datu apjoms.</w:t>
            </w:r>
            <w:r w:rsidR="005A72B8">
              <w:t xml:space="preserve"> </w:t>
            </w:r>
            <w:r w:rsidR="00DA2491" w:rsidRPr="00D91AC1">
              <w:rPr>
                <w:sz w:val="28"/>
                <w:szCs w:val="28"/>
              </w:rPr>
              <w:t>Papildus l</w:t>
            </w:r>
            <w:r w:rsidRPr="00D91AC1">
              <w:rPr>
                <w:sz w:val="28"/>
                <w:szCs w:val="28"/>
              </w:rPr>
              <w:t xml:space="preserve">ai novērstu datu ievades dublēšanu, tiek precizēts </w:t>
            </w:r>
            <w:r w:rsidR="005A72B8">
              <w:rPr>
                <w:sz w:val="28"/>
                <w:szCs w:val="28"/>
              </w:rPr>
              <w:t xml:space="preserve">Ministru kabineta </w:t>
            </w:r>
            <w:r w:rsidR="00F611DA" w:rsidRPr="00F611DA">
              <w:rPr>
                <w:sz w:val="28"/>
                <w:szCs w:val="28"/>
              </w:rPr>
              <w:t xml:space="preserve">2009.gada 22.septembra </w:t>
            </w:r>
            <w:r w:rsidR="005A72B8">
              <w:rPr>
                <w:sz w:val="28"/>
                <w:szCs w:val="28"/>
              </w:rPr>
              <w:t>noteikumu</w:t>
            </w:r>
            <w:r w:rsidR="005A72B8" w:rsidRPr="00D91AC1">
              <w:rPr>
                <w:sz w:val="28"/>
                <w:szCs w:val="28"/>
              </w:rPr>
              <w:t xml:space="preserve"> Nr.1074 „Noteikumi </w:t>
            </w:r>
            <w:r w:rsidR="005A72B8" w:rsidRPr="00D91AC1">
              <w:rPr>
                <w:bCs/>
                <w:sz w:val="28"/>
                <w:szCs w:val="28"/>
                <w:lang w:eastAsia="lv-LV"/>
              </w:rPr>
              <w:t>par valsts statistikas apkopošanu kultūras jomā</w:t>
            </w:r>
            <w:r w:rsidR="005A72B8" w:rsidRPr="00D91AC1">
              <w:rPr>
                <w:sz w:val="28"/>
                <w:szCs w:val="28"/>
              </w:rPr>
              <w:t>”</w:t>
            </w:r>
            <w:r w:rsidR="000A4E42" w:rsidRPr="00D91AC1">
              <w:rPr>
                <w:sz w:val="28"/>
                <w:szCs w:val="28"/>
              </w:rPr>
              <w:t xml:space="preserve"> </w:t>
            </w:r>
            <w:r w:rsidRPr="00D91AC1">
              <w:rPr>
                <w:sz w:val="28"/>
                <w:szCs w:val="28"/>
              </w:rPr>
              <w:t>4.pielikums</w:t>
            </w:r>
            <w:r w:rsidR="000A4E42" w:rsidRPr="00D91AC1">
              <w:rPr>
                <w:sz w:val="28"/>
                <w:szCs w:val="28"/>
              </w:rPr>
              <w:t>, izslēdzot informāciju</w:t>
            </w:r>
            <w:r w:rsidR="00DA2491" w:rsidRPr="00D91AC1">
              <w:rPr>
                <w:sz w:val="28"/>
                <w:szCs w:val="28"/>
              </w:rPr>
              <w:t xml:space="preserve"> par kultūras namu kolektīviem. Turpmāk informācija par mākslinieciskajiem kolektīviem </w:t>
            </w:r>
            <w:r w:rsidR="00DA2491" w:rsidRPr="00D91AC1">
              <w:rPr>
                <w:sz w:val="28"/>
                <w:szCs w:val="28"/>
              </w:rPr>
              <w:lastRenderedPageBreak/>
              <w:t>tiks apkopota saskaņā ar Projekta 17.pielikumu.</w:t>
            </w:r>
          </w:p>
          <w:p w:rsidR="000A4E42" w:rsidRDefault="000A4E42" w:rsidP="00015174">
            <w:pPr>
              <w:ind w:firstLine="360"/>
              <w:jc w:val="both"/>
              <w:rPr>
                <w:sz w:val="28"/>
                <w:szCs w:val="28"/>
              </w:rPr>
            </w:pPr>
            <w:r w:rsidRPr="00D91AC1">
              <w:rPr>
                <w:sz w:val="28"/>
                <w:szCs w:val="28"/>
              </w:rPr>
              <w:t xml:space="preserve">Saskaņā ar </w:t>
            </w:r>
            <w:r w:rsidR="00F611DA">
              <w:rPr>
                <w:rStyle w:val="apple-converted-space"/>
                <w:iCs/>
                <w:sz w:val="28"/>
                <w:szCs w:val="28"/>
                <w:shd w:val="clear" w:color="auto" w:fill="FFFFFF"/>
              </w:rPr>
              <w:t>Arhīvu likumu</w:t>
            </w:r>
            <w:r w:rsidR="00F250BF" w:rsidRPr="00D91AC1">
              <w:rPr>
                <w:rStyle w:val="apple-converted-space"/>
                <w:iCs/>
                <w:sz w:val="28"/>
                <w:szCs w:val="28"/>
                <w:shd w:val="clear" w:color="auto" w:fill="FFFFFF"/>
              </w:rPr>
              <w:t xml:space="preserve">, kas stājās spēkā 2011.gada 1.janvārī, </w:t>
            </w:r>
            <w:r w:rsidR="00F611DA">
              <w:rPr>
                <w:rStyle w:val="apple-converted-space"/>
                <w:iCs/>
                <w:sz w:val="28"/>
                <w:szCs w:val="28"/>
                <w:shd w:val="clear" w:color="auto" w:fill="FFFFFF"/>
              </w:rPr>
              <w:t xml:space="preserve">tika veikta arhīvu </w:t>
            </w:r>
            <w:r w:rsidR="00015174" w:rsidRPr="00D91AC1">
              <w:rPr>
                <w:rStyle w:val="apple-converted-space"/>
                <w:iCs/>
                <w:sz w:val="28"/>
                <w:szCs w:val="28"/>
                <w:shd w:val="clear" w:color="auto" w:fill="FFFFFF"/>
              </w:rPr>
              <w:t>sistēm</w:t>
            </w:r>
            <w:r w:rsidR="00015174">
              <w:rPr>
                <w:rStyle w:val="apple-converted-space"/>
                <w:iCs/>
                <w:sz w:val="28"/>
                <w:szCs w:val="28"/>
                <w:shd w:val="clear" w:color="auto" w:fill="FFFFFF"/>
              </w:rPr>
              <w:t>as</w:t>
            </w:r>
            <w:r w:rsidR="00015174" w:rsidRPr="00D91AC1">
              <w:rPr>
                <w:rStyle w:val="apple-converted-space"/>
                <w:iCs/>
                <w:sz w:val="28"/>
                <w:szCs w:val="28"/>
                <w:shd w:val="clear" w:color="auto" w:fill="FFFFFF"/>
              </w:rPr>
              <w:t xml:space="preserve"> </w:t>
            </w:r>
            <w:r w:rsidR="00F250BF" w:rsidRPr="00D91AC1">
              <w:rPr>
                <w:rStyle w:val="apple-converted-space"/>
                <w:iCs/>
                <w:sz w:val="28"/>
                <w:szCs w:val="28"/>
                <w:shd w:val="clear" w:color="auto" w:fill="FFFFFF"/>
              </w:rPr>
              <w:t>reorg</w:t>
            </w:r>
            <w:r w:rsidR="00F611DA">
              <w:rPr>
                <w:rStyle w:val="apple-converted-space"/>
                <w:iCs/>
                <w:sz w:val="28"/>
                <w:szCs w:val="28"/>
                <w:shd w:val="clear" w:color="auto" w:fill="FFFFFF"/>
              </w:rPr>
              <w:t>anizācija, izveidojot Latvijas N</w:t>
            </w:r>
            <w:r w:rsidR="00F250BF" w:rsidRPr="00D91AC1">
              <w:rPr>
                <w:rStyle w:val="apple-converted-space"/>
                <w:iCs/>
                <w:sz w:val="28"/>
                <w:szCs w:val="28"/>
                <w:shd w:val="clear" w:color="auto" w:fill="FFFFFF"/>
              </w:rPr>
              <w:t xml:space="preserve">acionālo arhīvu. </w:t>
            </w:r>
            <w:r w:rsidR="00015174">
              <w:rPr>
                <w:rStyle w:val="apple-converted-space"/>
                <w:iCs/>
                <w:sz w:val="28"/>
                <w:szCs w:val="28"/>
                <w:shd w:val="clear" w:color="auto" w:fill="FFFFFF"/>
              </w:rPr>
              <w:t>P</w:t>
            </w:r>
            <w:r w:rsidR="00F611DA">
              <w:rPr>
                <w:rStyle w:val="apple-converted-space"/>
                <w:iCs/>
                <w:sz w:val="28"/>
                <w:szCs w:val="28"/>
                <w:shd w:val="clear" w:color="auto" w:fill="FFFFFF"/>
              </w:rPr>
              <w:t>rojekts paredz</w:t>
            </w:r>
            <w:r w:rsidR="00F250BF" w:rsidRPr="00D91AC1">
              <w:rPr>
                <w:rStyle w:val="apple-converted-space"/>
                <w:iCs/>
                <w:sz w:val="28"/>
                <w:szCs w:val="28"/>
                <w:shd w:val="clear" w:color="auto" w:fill="FFFFFF"/>
              </w:rPr>
              <w:t xml:space="preserve"> </w:t>
            </w:r>
            <w:r w:rsidR="00F611DA">
              <w:rPr>
                <w:sz w:val="28"/>
                <w:szCs w:val="28"/>
              </w:rPr>
              <w:t>precizēt</w:t>
            </w:r>
            <w:r w:rsidR="00015174">
              <w:rPr>
                <w:sz w:val="28"/>
                <w:szCs w:val="28"/>
              </w:rPr>
              <w:t xml:space="preserve"> </w:t>
            </w:r>
            <w:r w:rsidR="00F611DA">
              <w:rPr>
                <w:sz w:val="28"/>
                <w:szCs w:val="28"/>
              </w:rPr>
              <w:t xml:space="preserve">Ministru kabineta </w:t>
            </w:r>
            <w:r w:rsidR="00F611DA" w:rsidRPr="00F611DA">
              <w:rPr>
                <w:sz w:val="28"/>
                <w:szCs w:val="28"/>
              </w:rPr>
              <w:t xml:space="preserve">2009.gada 22.septembra </w:t>
            </w:r>
            <w:r w:rsidR="00F611DA">
              <w:rPr>
                <w:sz w:val="28"/>
                <w:szCs w:val="28"/>
              </w:rPr>
              <w:t>noteikumos</w:t>
            </w:r>
            <w:r w:rsidR="00F611DA" w:rsidRPr="00D91AC1">
              <w:rPr>
                <w:sz w:val="28"/>
                <w:szCs w:val="28"/>
              </w:rPr>
              <w:t xml:space="preserve"> Nr.1074 „Noteikumi </w:t>
            </w:r>
            <w:r w:rsidR="00F611DA" w:rsidRPr="00D91AC1">
              <w:rPr>
                <w:bCs/>
                <w:sz w:val="28"/>
                <w:szCs w:val="28"/>
                <w:lang w:eastAsia="lv-LV"/>
              </w:rPr>
              <w:t>par valsts statistikas apkopošanu kultūras jomā</w:t>
            </w:r>
            <w:r w:rsidR="00F611DA" w:rsidRPr="00D91AC1">
              <w:rPr>
                <w:sz w:val="28"/>
                <w:szCs w:val="28"/>
              </w:rPr>
              <w:t xml:space="preserve">” </w:t>
            </w:r>
            <w:r w:rsidR="00F250BF" w:rsidRPr="00D91AC1">
              <w:rPr>
                <w:sz w:val="28"/>
                <w:szCs w:val="28"/>
              </w:rPr>
              <w:t xml:space="preserve">Latvijas Nacionālā arhīva nosaukumu </w:t>
            </w:r>
            <w:r w:rsidR="00F611DA">
              <w:rPr>
                <w:sz w:val="28"/>
                <w:szCs w:val="28"/>
              </w:rPr>
              <w:t>atbilstoši Arhīvu likumā lietotajiem terminiem</w:t>
            </w:r>
            <w:r w:rsidR="00F250BF" w:rsidRPr="00D91AC1">
              <w:rPr>
                <w:sz w:val="28"/>
                <w:szCs w:val="28"/>
              </w:rPr>
              <w:t>.</w:t>
            </w:r>
          </w:p>
          <w:p w:rsidR="00D55839" w:rsidRPr="00D91AC1" w:rsidRDefault="00F611DA" w:rsidP="00CF3756">
            <w:pPr>
              <w:pStyle w:val="Default"/>
              <w:ind w:firstLine="411"/>
              <w:jc w:val="both"/>
              <w:rPr>
                <w:sz w:val="28"/>
                <w:szCs w:val="28"/>
                <w:lang w:eastAsia="lv-LV"/>
              </w:rPr>
            </w:pPr>
            <w:r>
              <w:rPr>
                <w:rFonts w:ascii="Times New Roman" w:hAnsi="Times New Roman" w:cs="Times New Roman"/>
                <w:sz w:val="28"/>
                <w:szCs w:val="28"/>
              </w:rPr>
              <w:t>Saskaņā ar Ministru kabineta 2010.gada 14.decembra</w:t>
            </w:r>
            <w:r w:rsidR="00D55839" w:rsidRPr="0094366C">
              <w:rPr>
                <w:rFonts w:ascii="Times New Roman" w:hAnsi="Times New Roman" w:cs="Times New Roman"/>
                <w:sz w:val="28"/>
                <w:szCs w:val="28"/>
              </w:rPr>
              <w:t xml:space="preserve"> </w:t>
            </w:r>
            <w:r>
              <w:rPr>
                <w:rFonts w:ascii="Times New Roman" w:hAnsi="Times New Roman" w:cs="Times New Roman"/>
                <w:sz w:val="28"/>
                <w:szCs w:val="28"/>
              </w:rPr>
              <w:t xml:space="preserve">noteikumiem </w:t>
            </w:r>
            <w:r w:rsidR="00CF3756" w:rsidRPr="00CF3756">
              <w:rPr>
                <w:rFonts w:ascii="Times New Roman" w:hAnsi="Times New Roman" w:cs="Times New Roman"/>
                <w:sz w:val="28"/>
                <w:szCs w:val="28"/>
              </w:rPr>
              <w:t xml:space="preserve">Nr.1129 </w:t>
            </w:r>
            <w:r w:rsidRPr="00CF3756">
              <w:rPr>
                <w:rFonts w:ascii="Times New Roman" w:hAnsi="Times New Roman" w:cs="Times New Roman"/>
                <w:sz w:val="28"/>
                <w:szCs w:val="28"/>
              </w:rPr>
              <w:t>„</w:t>
            </w:r>
            <w:r w:rsidR="00D55839" w:rsidRPr="00CF3756">
              <w:rPr>
                <w:rFonts w:ascii="Times New Roman" w:hAnsi="Times New Roman" w:cs="Times New Roman"/>
                <w:sz w:val="28"/>
                <w:szCs w:val="28"/>
              </w:rPr>
              <w:t>Kultūrizglītības un nemateriālā mantojuma</w:t>
            </w:r>
            <w:r w:rsidR="00D55839" w:rsidRPr="0094366C">
              <w:rPr>
                <w:rFonts w:ascii="Times New Roman" w:hAnsi="Times New Roman" w:cs="Times New Roman"/>
                <w:sz w:val="28"/>
                <w:szCs w:val="28"/>
              </w:rPr>
              <w:t xml:space="preserve"> centra nolikums” </w:t>
            </w:r>
            <w:r w:rsidR="00380511" w:rsidRPr="00F611DA">
              <w:rPr>
                <w:rFonts w:ascii="Times New Roman" w:hAnsi="Times New Roman" w:cs="Times New Roman"/>
                <w:sz w:val="28"/>
                <w:szCs w:val="28"/>
              </w:rPr>
              <w:t xml:space="preserve">Nemateriālā kultūras mantojuma valsts aģentūra ar </w:t>
            </w:r>
            <w:r w:rsidRPr="00F611DA">
              <w:rPr>
                <w:rStyle w:val="apple-converted-space"/>
                <w:rFonts w:ascii="Times New Roman" w:hAnsi="Times New Roman" w:cs="Times New Roman"/>
                <w:iCs/>
                <w:sz w:val="28"/>
                <w:szCs w:val="28"/>
                <w:shd w:val="clear" w:color="auto" w:fill="FFFFFF"/>
              </w:rPr>
              <w:t>2011.gada 1.janvār</w:t>
            </w:r>
            <w:r>
              <w:rPr>
                <w:rStyle w:val="apple-converted-space"/>
                <w:rFonts w:ascii="Times New Roman" w:hAnsi="Times New Roman" w:cs="Times New Roman"/>
                <w:iCs/>
                <w:sz w:val="28"/>
                <w:szCs w:val="28"/>
                <w:shd w:val="clear" w:color="auto" w:fill="FFFFFF"/>
              </w:rPr>
              <w:t>i</w:t>
            </w:r>
            <w:r w:rsidR="00444A77" w:rsidRPr="00F611DA">
              <w:rPr>
                <w:rFonts w:ascii="Times New Roman" w:hAnsi="Times New Roman" w:cs="Times New Roman"/>
                <w:sz w:val="28"/>
                <w:szCs w:val="28"/>
              </w:rPr>
              <w:t xml:space="preserve"> </w:t>
            </w:r>
            <w:r w:rsidR="00380511" w:rsidRPr="00F611DA">
              <w:rPr>
                <w:rFonts w:ascii="Times New Roman" w:hAnsi="Times New Roman" w:cs="Times New Roman"/>
                <w:sz w:val="28"/>
                <w:szCs w:val="28"/>
              </w:rPr>
              <w:t>tika pārveidota par Kultūrizglītības un nemateriālā mantojuma centru</w:t>
            </w:r>
            <w:r w:rsidR="0094366C" w:rsidRPr="00F611DA">
              <w:rPr>
                <w:rFonts w:ascii="Times New Roman" w:hAnsi="Times New Roman" w:cs="Times New Roman"/>
                <w:sz w:val="28"/>
                <w:szCs w:val="28"/>
              </w:rPr>
              <w:t>.</w:t>
            </w:r>
            <w:r w:rsidR="00380511" w:rsidRPr="00F611DA">
              <w:rPr>
                <w:rFonts w:ascii="Times New Roman" w:hAnsi="Times New Roman" w:cs="Times New Roman"/>
                <w:sz w:val="28"/>
                <w:szCs w:val="28"/>
              </w:rPr>
              <w:t xml:space="preserve"> </w:t>
            </w:r>
            <w:r w:rsidR="00CF3756">
              <w:rPr>
                <w:rFonts w:ascii="Times New Roman" w:hAnsi="Times New Roman" w:cs="Times New Roman"/>
                <w:sz w:val="28"/>
                <w:szCs w:val="28"/>
              </w:rPr>
              <w:t>Projekts</w:t>
            </w:r>
            <w:r w:rsidR="00D55839" w:rsidRPr="00F611DA">
              <w:rPr>
                <w:rFonts w:ascii="Times New Roman" w:hAnsi="Times New Roman" w:cs="Times New Roman"/>
                <w:sz w:val="28"/>
                <w:szCs w:val="28"/>
              </w:rPr>
              <w:t xml:space="preserve"> </w:t>
            </w:r>
            <w:r w:rsidRPr="00F611DA">
              <w:rPr>
                <w:rFonts w:ascii="Times New Roman" w:hAnsi="Times New Roman" w:cs="Times New Roman"/>
                <w:sz w:val="28"/>
                <w:szCs w:val="28"/>
              </w:rPr>
              <w:t xml:space="preserve">paredz noteikt, ka Ministru kabineta 2009.gada 22.septembra noteikumos Nr.1074 „Noteikumi </w:t>
            </w:r>
            <w:r w:rsidRPr="00F611DA">
              <w:rPr>
                <w:rFonts w:ascii="Times New Roman" w:hAnsi="Times New Roman" w:cs="Times New Roman"/>
                <w:bCs/>
                <w:sz w:val="28"/>
                <w:szCs w:val="28"/>
                <w:lang w:eastAsia="lv-LV"/>
              </w:rPr>
              <w:t>par valsts statistikas apkopošanu kultūras jomā</w:t>
            </w:r>
            <w:r w:rsidRPr="00F611DA">
              <w:rPr>
                <w:rFonts w:ascii="Times New Roman" w:hAnsi="Times New Roman" w:cs="Times New Roman"/>
                <w:sz w:val="28"/>
                <w:szCs w:val="28"/>
              </w:rPr>
              <w:t xml:space="preserve">” </w:t>
            </w:r>
            <w:r>
              <w:rPr>
                <w:rFonts w:ascii="Times New Roman" w:hAnsi="Times New Roman" w:cs="Times New Roman"/>
                <w:sz w:val="28"/>
                <w:szCs w:val="28"/>
              </w:rPr>
              <w:t>3.pielikumā</w:t>
            </w:r>
            <w:r w:rsidR="00F3158A" w:rsidRPr="00F611DA">
              <w:rPr>
                <w:rFonts w:ascii="Times New Roman" w:hAnsi="Times New Roman" w:cs="Times New Roman"/>
                <w:sz w:val="28"/>
                <w:szCs w:val="28"/>
              </w:rPr>
              <w:t xml:space="preserve"> minētās ziņas pārbaudīs Kultūrizglītības un nemateriālā mantojuma centrs.</w:t>
            </w:r>
          </w:p>
        </w:tc>
      </w:tr>
      <w:tr w:rsidR="00634120" w:rsidRPr="00D91AC1" w:rsidTr="00DF1CDD">
        <w:trPr>
          <w:trHeight w:val="688"/>
          <w:tblCellSpacing w:w="0" w:type="dxa"/>
        </w:trPr>
        <w:tc>
          <w:tcPr>
            <w:tcW w:w="441"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spacing w:before="100" w:beforeAutospacing="1" w:after="100" w:afterAutospacing="1"/>
              <w:rPr>
                <w:sz w:val="28"/>
                <w:szCs w:val="28"/>
              </w:rPr>
            </w:pPr>
            <w:r w:rsidRPr="00D91AC1">
              <w:rPr>
                <w:sz w:val="28"/>
                <w:szCs w:val="28"/>
              </w:rPr>
              <w:lastRenderedPageBreak/>
              <w:t> 3.</w:t>
            </w:r>
          </w:p>
        </w:tc>
        <w:tc>
          <w:tcPr>
            <w:tcW w:w="2976"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spacing w:before="100" w:beforeAutospacing="1" w:after="100" w:afterAutospacing="1"/>
              <w:rPr>
                <w:sz w:val="28"/>
                <w:szCs w:val="28"/>
              </w:rPr>
            </w:pPr>
            <w:r w:rsidRPr="00D91AC1">
              <w:rPr>
                <w:sz w:val="28"/>
                <w:szCs w:val="28"/>
              </w:rPr>
              <w:t>Saistītie politikas ietekmes novērtējumi un pētījumi</w:t>
            </w:r>
          </w:p>
        </w:tc>
        <w:tc>
          <w:tcPr>
            <w:tcW w:w="5684"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ind w:right="57"/>
              <w:rPr>
                <w:sz w:val="28"/>
                <w:szCs w:val="28"/>
              </w:rPr>
            </w:pPr>
            <w:r w:rsidRPr="00D91AC1">
              <w:rPr>
                <w:sz w:val="28"/>
                <w:szCs w:val="28"/>
              </w:rPr>
              <w:t xml:space="preserve"> Projekts šo jomu neskar.</w:t>
            </w:r>
          </w:p>
        </w:tc>
      </w:tr>
      <w:tr w:rsidR="00634120" w:rsidRPr="00D91AC1" w:rsidTr="00DF1CDD">
        <w:trPr>
          <w:trHeight w:val="384"/>
          <w:tblCellSpacing w:w="0" w:type="dxa"/>
        </w:trPr>
        <w:tc>
          <w:tcPr>
            <w:tcW w:w="441"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spacing w:before="100" w:beforeAutospacing="1" w:after="100" w:afterAutospacing="1"/>
              <w:rPr>
                <w:sz w:val="28"/>
                <w:szCs w:val="28"/>
              </w:rPr>
            </w:pPr>
            <w:r w:rsidRPr="00D91AC1">
              <w:rPr>
                <w:sz w:val="28"/>
                <w:szCs w:val="28"/>
              </w:rPr>
              <w:t> 4.</w:t>
            </w:r>
          </w:p>
        </w:tc>
        <w:tc>
          <w:tcPr>
            <w:tcW w:w="2976"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spacing w:before="100" w:beforeAutospacing="1" w:after="100" w:afterAutospacing="1"/>
              <w:rPr>
                <w:sz w:val="28"/>
                <w:szCs w:val="28"/>
              </w:rPr>
            </w:pPr>
            <w:r w:rsidRPr="00D91AC1">
              <w:rPr>
                <w:sz w:val="28"/>
                <w:szCs w:val="28"/>
              </w:rPr>
              <w:t>Tiesiskā regulējuma mērķis un būtība</w:t>
            </w:r>
          </w:p>
        </w:tc>
        <w:tc>
          <w:tcPr>
            <w:tcW w:w="5684" w:type="dxa"/>
            <w:tcBorders>
              <w:top w:val="outset" w:sz="6" w:space="0" w:color="auto"/>
              <w:left w:val="outset" w:sz="6" w:space="0" w:color="auto"/>
              <w:bottom w:val="outset" w:sz="6" w:space="0" w:color="auto"/>
              <w:right w:val="outset" w:sz="6" w:space="0" w:color="auto"/>
            </w:tcBorders>
          </w:tcPr>
          <w:p w:rsidR="002917F9" w:rsidRPr="00D91AC1" w:rsidRDefault="00D91AC1" w:rsidP="00F611DA">
            <w:pPr>
              <w:jc w:val="both"/>
              <w:rPr>
                <w:sz w:val="28"/>
                <w:szCs w:val="28"/>
              </w:rPr>
            </w:pPr>
            <w:r w:rsidRPr="00D91AC1">
              <w:rPr>
                <w:sz w:val="28"/>
                <w:szCs w:val="28"/>
              </w:rPr>
              <w:t xml:space="preserve">Projekts sagatavots lai nodrošinātu Ministru kabineta noteikumu projekta „Kārtība, kādā pašvaldībām tiek aprēķināta un sadalīta valsts budžeta mērķdotācija māksliniecisko kolektīvu vadītāju darba samaksai un valsts sociālās apdrošināšanas obligātajām iemaksām” </w:t>
            </w:r>
            <w:r w:rsidR="00325911">
              <w:rPr>
                <w:sz w:val="28"/>
                <w:szCs w:val="28"/>
              </w:rPr>
              <w:t>3</w:t>
            </w:r>
            <w:r w:rsidRPr="00D91AC1">
              <w:rPr>
                <w:sz w:val="28"/>
                <w:szCs w:val="28"/>
              </w:rPr>
              <w:t xml:space="preserve">.punktā </w:t>
            </w:r>
            <w:r w:rsidR="00015174">
              <w:rPr>
                <w:sz w:val="28"/>
                <w:szCs w:val="28"/>
              </w:rPr>
              <w:t>noteiktā</w:t>
            </w:r>
            <w:r w:rsidR="00015174" w:rsidRPr="00D91AC1">
              <w:rPr>
                <w:sz w:val="28"/>
                <w:szCs w:val="28"/>
              </w:rPr>
              <w:t xml:space="preserve"> </w:t>
            </w:r>
            <w:r w:rsidRPr="00D91AC1">
              <w:rPr>
                <w:sz w:val="28"/>
                <w:szCs w:val="28"/>
              </w:rPr>
              <w:t xml:space="preserve">uzdevuma </w:t>
            </w:r>
            <w:r w:rsidR="00E21B29">
              <w:rPr>
                <w:sz w:val="28"/>
                <w:szCs w:val="28"/>
              </w:rPr>
              <w:t>–</w:t>
            </w:r>
            <w:r w:rsidRPr="00D91AC1">
              <w:rPr>
                <w:sz w:val="28"/>
                <w:szCs w:val="28"/>
              </w:rPr>
              <w:t xml:space="preserve"> mērķdotācijas apmēra aprēķināšanai konkrētai pašvaldībai izmanto </w:t>
            </w:r>
            <w:r w:rsidRPr="00D91AC1">
              <w:rPr>
                <w:sz w:val="28"/>
                <w:szCs w:val="28"/>
                <w:lang w:eastAsia="lv-LV"/>
              </w:rPr>
              <w:t xml:space="preserve">pašvaldību sniegtos datus elektroniskajā datubāzē „Latvijas digitālā kultūras karte” tīmekļa vietnē </w:t>
            </w:r>
            <w:hyperlink r:id="rId8" w:history="1">
              <w:r w:rsidR="00D56C74" w:rsidRPr="00F552C1">
                <w:rPr>
                  <w:rStyle w:val="Hipersaite"/>
                  <w:sz w:val="28"/>
                  <w:szCs w:val="28"/>
                </w:rPr>
                <w:t>www.kulturaskarte.lv</w:t>
              </w:r>
            </w:hyperlink>
            <w:r w:rsidR="00D56C74">
              <w:rPr>
                <w:sz w:val="28"/>
                <w:szCs w:val="28"/>
              </w:rPr>
              <w:t xml:space="preserve"> </w:t>
            </w:r>
            <w:r w:rsidR="00F611DA">
              <w:rPr>
                <w:sz w:val="28"/>
                <w:szCs w:val="28"/>
              </w:rPr>
              <w:t>–</w:t>
            </w:r>
            <w:r w:rsidRPr="00D91AC1">
              <w:rPr>
                <w:sz w:val="28"/>
                <w:szCs w:val="28"/>
              </w:rPr>
              <w:t xml:space="preserve"> īstenošanu</w:t>
            </w:r>
            <w:r w:rsidR="00F611DA">
              <w:rPr>
                <w:sz w:val="28"/>
                <w:szCs w:val="28"/>
              </w:rPr>
              <w:t>, kā arī aktualizētu noteikumos lietoto</w:t>
            </w:r>
            <w:r w:rsidR="00E21B29">
              <w:rPr>
                <w:sz w:val="28"/>
                <w:szCs w:val="28"/>
              </w:rPr>
              <w:t xml:space="preserve"> iestāžu nosaukumus.</w:t>
            </w:r>
          </w:p>
        </w:tc>
      </w:tr>
      <w:tr w:rsidR="00634120" w:rsidRPr="00D91AC1" w:rsidTr="00DF1CDD">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spacing w:before="100" w:beforeAutospacing="1" w:after="100" w:afterAutospacing="1"/>
              <w:rPr>
                <w:sz w:val="28"/>
                <w:szCs w:val="28"/>
              </w:rPr>
            </w:pPr>
            <w:r w:rsidRPr="00D91AC1">
              <w:rPr>
                <w:sz w:val="28"/>
                <w:szCs w:val="28"/>
              </w:rPr>
              <w:t> 5.</w:t>
            </w:r>
          </w:p>
        </w:tc>
        <w:tc>
          <w:tcPr>
            <w:tcW w:w="2976"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spacing w:before="100" w:beforeAutospacing="1" w:after="100" w:afterAutospacing="1"/>
              <w:rPr>
                <w:sz w:val="28"/>
                <w:szCs w:val="28"/>
              </w:rPr>
            </w:pPr>
            <w:r w:rsidRPr="00D91AC1">
              <w:rPr>
                <w:sz w:val="28"/>
                <w:szCs w:val="28"/>
              </w:rPr>
              <w:t> Projekta izstrādē iesaistītās institūcijas</w:t>
            </w:r>
          </w:p>
        </w:tc>
        <w:tc>
          <w:tcPr>
            <w:tcW w:w="5684"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ind w:left="57" w:right="57"/>
              <w:jc w:val="both"/>
              <w:rPr>
                <w:sz w:val="28"/>
                <w:szCs w:val="28"/>
              </w:rPr>
            </w:pPr>
            <w:r w:rsidRPr="00D91AC1">
              <w:rPr>
                <w:sz w:val="28"/>
                <w:szCs w:val="28"/>
              </w:rPr>
              <w:t>Kultūras ministrija, Kultūrizglītības un nemateriālā mantojuma centrs</w:t>
            </w:r>
            <w:r w:rsidR="009103D4" w:rsidRPr="00D91AC1">
              <w:rPr>
                <w:sz w:val="28"/>
                <w:szCs w:val="28"/>
              </w:rPr>
              <w:t>, Latvijas Pašvaldību savienība</w:t>
            </w:r>
            <w:r w:rsidRPr="00D91AC1">
              <w:rPr>
                <w:sz w:val="28"/>
                <w:szCs w:val="28"/>
              </w:rPr>
              <w:t xml:space="preserve">. </w:t>
            </w:r>
          </w:p>
        </w:tc>
      </w:tr>
      <w:tr w:rsidR="00634120" w:rsidRPr="00D91AC1" w:rsidTr="00DF1CDD">
        <w:trPr>
          <w:trHeight w:val="681"/>
          <w:tblCellSpacing w:w="0" w:type="dxa"/>
        </w:trPr>
        <w:tc>
          <w:tcPr>
            <w:tcW w:w="441"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spacing w:before="100" w:beforeAutospacing="1" w:after="100" w:afterAutospacing="1"/>
              <w:rPr>
                <w:sz w:val="28"/>
                <w:szCs w:val="28"/>
              </w:rPr>
            </w:pPr>
            <w:r w:rsidRPr="00D91AC1">
              <w:rPr>
                <w:sz w:val="28"/>
                <w:szCs w:val="28"/>
              </w:rPr>
              <w:lastRenderedPageBreak/>
              <w:t> 6.</w:t>
            </w:r>
          </w:p>
        </w:tc>
        <w:tc>
          <w:tcPr>
            <w:tcW w:w="2976"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spacing w:before="100" w:beforeAutospacing="1" w:after="100" w:afterAutospacing="1"/>
              <w:rPr>
                <w:sz w:val="28"/>
                <w:szCs w:val="28"/>
              </w:rPr>
            </w:pPr>
            <w:r w:rsidRPr="00D91AC1">
              <w:rPr>
                <w:sz w:val="28"/>
                <w:szCs w:val="28"/>
              </w:rPr>
              <w:t> Iemesli, kādēļ netika nodrošināta sabiedrības līdzdalība</w:t>
            </w:r>
          </w:p>
        </w:tc>
        <w:tc>
          <w:tcPr>
            <w:tcW w:w="5684"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ind w:right="57"/>
              <w:rPr>
                <w:sz w:val="28"/>
                <w:szCs w:val="28"/>
              </w:rPr>
            </w:pPr>
            <w:r w:rsidRPr="00D91AC1">
              <w:rPr>
                <w:sz w:val="28"/>
                <w:szCs w:val="28"/>
              </w:rPr>
              <w:t xml:space="preserve"> Projekts šo jomu neskar.</w:t>
            </w:r>
          </w:p>
        </w:tc>
      </w:tr>
      <w:tr w:rsidR="00634120" w:rsidRPr="00D91AC1" w:rsidTr="00DF1CDD">
        <w:trPr>
          <w:trHeight w:val="506"/>
          <w:tblCellSpacing w:w="0" w:type="dxa"/>
        </w:trPr>
        <w:tc>
          <w:tcPr>
            <w:tcW w:w="441"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spacing w:before="100" w:beforeAutospacing="1" w:after="100" w:afterAutospacing="1"/>
              <w:rPr>
                <w:sz w:val="28"/>
                <w:szCs w:val="28"/>
              </w:rPr>
            </w:pPr>
            <w:r w:rsidRPr="00D91AC1">
              <w:rPr>
                <w:sz w:val="28"/>
                <w:szCs w:val="28"/>
              </w:rPr>
              <w:t> 7.</w:t>
            </w:r>
          </w:p>
        </w:tc>
        <w:tc>
          <w:tcPr>
            <w:tcW w:w="2976"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spacing w:before="100" w:beforeAutospacing="1" w:after="100" w:afterAutospacing="1"/>
              <w:rPr>
                <w:sz w:val="28"/>
                <w:szCs w:val="28"/>
              </w:rPr>
            </w:pPr>
            <w:r w:rsidRPr="00D91AC1">
              <w:rPr>
                <w:sz w:val="28"/>
                <w:szCs w:val="28"/>
              </w:rPr>
              <w:t> Cita informācija</w:t>
            </w:r>
          </w:p>
        </w:tc>
        <w:tc>
          <w:tcPr>
            <w:tcW w:w="5684" w:type="dxa"/>
            <w:tcBorders>
              <w:top w:val="outset" w:sz="6" w:space="0" w:color="auto"/>
              <w:left w:val="outset" w:sz="6" w:space="0" w:color="auto"/>
              <w:bottom w:val="outset" w:sz="6" w:space="0" w:color="auto"/>
              <w:right w:val="outset" w:sz="6" w:space="0" w:color="auto"/>
            </w:tcBorders>
          </w:tcPr>
          <w:p w:rsidR="00634120" w:rsidRPr="00D91AC1" w:rsidRDefault="00634120" w:rsidP="00DF1CDD">
            <w:pPr>
              <w:jc w:val="both"/>
              <w:rPr>
                <w:sz w:val="28"/>
                <w:szCs w:val="28"/>
              </w:rPr>
            </w:pPr>
            <w:r w:rsidRPr="00D91AC1">
              <w:rPr>
                <w:sz w:val="28"/>
                <w:szCs w:val="28"/>
              </w:rPr>
              <w:t xml:space="preserve"> Nav</w:t>
            </w:r>
          </w:p>
        </w:tc>
      </w:tr>
    </w:tbl>
    <w:p w:rsidR="00634120" w:rsidRPr="00D91AC1" w:rsidRDefault="00634120" w:rsidP="00634120">
      <w:pPr>
        <w:jc w:val="both"/>
        <w:rPr>
          <w:sz w:val="28"/>
          <w:szCs w:val="28"/>
        </w:rPr>
      </w:pPr>
    </w:p>
    <w:tbl>
      <w:tblPr>
        <w:tblpPr w:leftFromText="180" w:rightFromText="180" w:vertAnchor="text" w:horzAnchor="margin" w:tblpXSpec="center" w:tblpY="149"/>
        <w:tblW w:w="921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tblPr>
      <w:tblGrid>
        <w:gridCol w:w="572"/>
        <w:gridCol w:w="4253"/>
        <w:gridCol w:w="4394"/>
      </w:tblGrid>
      <w:tr w:rsidR="00634120" w:rsidRPr="00D91AC1" w:rsidTr="00DF1CDD">
        <w:tc>
          <w:tcPr>
            <w:tcW w:w="9219" w:type="dxa"/>
            <w:gridSpan w:val="3"/>
            <w:vAlign w:val="center"/>
          </w:tcPr>
          <w:p w:rsidR="00634120" w:rsidRPr="00D91AC1" w:rsidRDefault="00634120" w:rsidP="00DF1CDD">
            <w:pPr>
              <w:pStyle w:val="naisnod"/>
              <w:spacing w:before="0" w:after="0"/>
              <w:jc w:val="center"/>
              <w:rPr>
                <w:b/>
                <w:sz w:val="28"/>
                <w:szCs w:val="28"/>
              </w:rPr>
            </w:pPr>
            <w:r w:rsidRPr="00D91AC1">
              <w:rPr>
                <w:b/>
                <w:sz w:val="28"/>
                <w:szCs w:val="28"/>
              </w:rPr>
              <w:t>II. Tiesību akta projekta ietekme uz sabiedrību</w:t>
            </w:r>
          </w:p>
        </w:tc>
      </w:tr>
      <w:tr w:rsidR="00634120" w:rsidRPr="00D91AC1" w:rsidTr="00DF1CDD">
        <w:trPr>
          <w:trHeight w:val="467"/>
        </w:trPr>
        <w:tc>
          <w:tcPr>
            <w:tcW w:w="572" w:type="dxa"/>
          </w:tcPr>
          <w:p w:rsidR="00634120" w:rsidRPr="00D91AC1" w:rsidRDefault="00634120" w:rsidP="00DF1CDD">
            <w:pPr>
              <w:pStyle w:val="naiskr"/>
              <w:spacing w:before="0" w:after="0"/>
              <w:rPr>
                <w:sz w:val="28"/>
                <w:szCs w:val="28"/>
              </w:rPr>
            </w:pPr>
            <w:r w:rsidRPr="00D91AC1">
              <w:rPr>
                <w:sz w:val="28"/>
                <w:szCs w:val="28"/>
              </w:rPr>
              <w:t>1.</w:t>
            </w:r>
          </w:p>
        </w:tc>
        <w:tc>
          <w:tcPr>
            <w:tcW w:w="4253" w:type="dxa"/>
          </w:tcPr>
          <w:p w:rsidR="00634120" w:rsidRPr="00D91AC1" w:rsidRDefault="00634120" w:rsidP="00DF1CDD">
            <w:pPr>
              <w:pStyle w:val="naiskr"/>
              <w:spacing w:before="0" w:after="0"/>
              <w:rPr>
                <w:sz w:val="28"/>
                <w:szCs w:val="28"/>
              </w:rPr>
            </w:pPr>
            <w:r w:rsidRPr="00D91AC1">
              <w:rPr>
                <w:sz w:val="28"/>
                <w:szCs w:val="28"/>
              </w:rPr>
              <w:t>Sabiedrības mērķgrupa</w:t>
            </w:r>
          </w:p>
        </w:tc>
        <w:tc>
          <w:tcPr>
            <w:tcW w:w="4394" w:type="dxa"/>
          </w:tcPr>
          <w:p w:rsidR="00634120" w:rsidRPr="00D91AC1" w:rsidRDefault="00634120" w:rsidP="00D91AC1">
            <w:pPr>
              <w:pStyle w:val="naiskr"/>
              <w:spacing w:before="0" w:after="0"/>
              <w:ind w:hanging="57"/>
              <w:jc w:val="both"/>
              <w:rPr>
                <w:iCs/>
                <w:sz w:val="28"/>
                <w:szCs w:val="28"/>
              </w:rPr>
            </w:pPr>
            <w:r w:rsidRPr="00D91AC1">
              <w:rPr>
                <w:iCs/>
                <w:sz w:val="28"/>
                <w:szCs w:val="28"/>
              </w:rPr>
              <w:t xml:space="preserve"> Dziesmu un</w:t>
            </w:r>
            <w:r w:rsidR="00D91AC1" w:rsidRPr="00D91AC1">
              <w:rPr>
                <w:iCs/>
                <w:sz w:val="28"/>
                <w:szCs w:val="28"/>
              </w:rPr>
              <w:t xml:space="preserve"> deju svētku procesā iesaistīto</w:t>
            </w:r>
            <w:r w:rsidRPr="00D91AC1">
              <w:rPr>
                <w:iCs/>
                <w:sz w:val="28"/>
                <w:szCs w:val="28"/>
              </w:rPr>
              <w:t xml:space="preserve"> </w:t>
            </w:r>
            <w:r w:rsidR="00D91AC1" w:rsidRPr="00D91AC1">
              <w:rPr>
                <w:iCs/>
                <w:sz w:val="28"/>
                <w:szCs w:val="28"/>
              </w:rPr>
              <w:t xml:space="preserve"> māksliniecisko kolektīvu dibinātāji -  </w:t>
            </w:r>
            <w:r w:rsidRPr="00D91AC1">
              <w:rPr>
                <w:iCs/>
                <w:sz w:val="28"/>
                <w:szCs w:val="28"/>
              </w:rPr>
              <w:t>pašvaldības</w:t>
            </w:r>
            <w:r w:rsidR="00A96107" w:rsidRPr="00D91AC1">
              <w:rPr>
                <w:iCs/>
                <w:sz w:val="28"/>
                <w:szCs w:val="28"/>
              </w:rPr>
              <w:t>.</w:t>
            </w:r>
          </w:p>
        </w:tc>
      </w:tr>
      <w:tr w:rsidR="00634120" w:rsidRPr="00D91AC1" w:rsidTr="00DF1CDD">
        <w:trPr>
          <w:trHeight w:val="523"/>
        </w:trPr>
        <w:tc>
          <w:tcPr>
            <w:tcW w:w="572" w:type="dxa"/>
          </w:tcPr>
          <w:p w:rsidR="00634120" w:rsidRPr="00D91AC1" w:rsidRDefault="00634120" w:rsidP="00DF1CDD">
            <w:pPr>
              <w:pStyle w:val="naiskr"/>
              <w:spacing w:before="0" w:after="0"/>
              <w:rPr>
                <w:sz w:val="28"/>
                <w:szCs w:val="28"/>
              </w:rPr>
            </w:pPr>
            <w:r w:rsidRPr="00D91AC1">
              <w:rPr>
                <w:sz w:val="28"/>
                <w:szCs w:val="28"/>
              </w:rPr>
              <w:t>2.</w:t>
            </w:r>
          </w:p>
        </w:tc>
        <w:tc>
          <w:tcPr>
            <w:tcW w:w="4253" w:type="dxa"/>
          </w:tcPr>
          <w:p w:rsidR="00634120" w:rsidRPr="00D91AC1" w:rsidRDefault="00634120" w:rsidP="00DF1CDD">
            <w:pPr>
              <w:pStyle w:val="naiskr"/>
              <w:spacing w:before="0" w:after="0"/>
              <w:rPr>
                <w:sz w:val="28"/>
                <w:szCs w:val="28"/>
              </w:rPr>
            </w:pPr>
            <w:r w:rsidRPr="00D91AC1">
              <w:rPr>
                <w:sz w:val="28"/>
                <w:szCs w:val="28"/>
              </w:rPr>
              <w:t>Citas sabiedrības grupas (bez mērķgrupas), kuras tiesiskais regulējums arī ietekmē vai varētu ietekmēt</w:t>
            </w:r>
          </w:p>
        </w:tc>
        <w:tc>
          <w:tcPr>
            <w:tcW w:w="4394" w:type="dxa"/>
          </w:tcPr>
          <w:p w:rsidR="00634120" w:rsidRPr="00D91AC1" w:rsidRDefault="00D91AC1" w:rsidP="00A96107">
            <w:pPr>
              <w:pStyle w:val="naiskr"/>
              <w:jc w:val="both"/>
              <w:rPr>
                <w:sz w:val="28"/>
                <w:szCs w:val="28"/>
              </w:rPr>
            </w:pPr>
            <w:r w:rsidRPr="00D91AC1">
              <w:rPr>
                <w:iCs/>
                <w:sz w:val="28"/>
                <w:szCs w:val="28"/>
              </w:rPr>
              <w:t>Dziesmu un deju svētku procesā iesaistīt</w:t>
            </w:r>
            <w:r w:rsidR="00015174">
              <w:rPr>
                <w:iCs/>
                <w:sz w:val="28"/>
                <w:szCs w:val="28"/>
              </w:rPr>
              <w:t>ie</w:t>
            </w:r>
            <w:r w:rsidRPr="00D91AC1">
              <w:rPr>
                <w:iCs/>
                <w:sz w:val="28"/>
                <w:szCs w:val="28"/>
              </w:rPr>
              <w:t xml:space="preserve"> māksliniecis</w:t>
            </w:r>
            <w:r w:rsidR="00015174">
              <w:rPr>
                <w:iCs/>
                <w:sz w:val="28"/>
                <w:szCs w:val="28"/>
              </w:rPr>
              <w:t>kie</w:t>
            </w:r>
            <w:r w:rsidRPr="00D91AC1">
              <w:rPr>
                <w:iCs/>
                <w:sz w:val="28"/>
                <w:szCs w:val="28"/>
              </w:rPr>
              <w:t xml:space="preserve"> kolektīv</w:t>
            </w:r>
            <w:r w:rsidR="00015174">
              <w:rPr>
                <w:iCs/>
                <w:sz w:val="28"/>
                <w:szCs w:val="28"/>
              </w:rPr>
              <w:t>i.</w:t>
            </w:r>
          </w:p>
        </w:tc>
      </w:tr>
      <w:tr w:rsidR="00634120" w:rsidRPr="00D91AC1" w:rsidTr="00DF1CDD">
        <w:trPr>
          <w:trHeight w:val="517"/>
        </w:trPr>
        <w:tc>
          <w:tcPr>
            <w:tcW w:w="572" w:type="dxa"/>
          </w:tcPr>
          <w:p w:rsidR="00634120" w:rsidRPr="00D91AC1" w:rsidRDefault="00634120" w:rsidP="00DF1CDD">
            <w:pPr>
              <w:pStyle w:val="naiskr"/>
              <w:spacing w:before="0" w:after="0"/>
              <w:rPr>
                <w:sz w:val="28"/>
                <w:szCs w:val="28"/>
              </w:rPr>
            </w:pPr>
            <w:r w:rsidRPr="00D91AC1">
              <w:rPr>
                <w:sz w:val="28"/>
                <w:szCs w:val="28"/>
              </w:rPr>
              <w:t>3.</w:t>
            </w:r>
          </w:p>
        </w:tc>
        <w:tc>
          <w:tcPr>
            <w:tcW w:w="4253" w:type="dxa"/>
          </w:tcPr>
          <w:p w:rsidR="00634120" w:rsidRPr="00D91AC1" w:rsidRDefault="00634120" w:rsidP="00DF1CDD">
            <w:pPr>
              <w:pStyle w:val="naiskr"/>
              <w:spacing w:before="0" w:after="0"/>
              <w:rPr>
                <w:sz w:val="28"/>
                <w:szCs w:val="28"/>
              </w:rPr>
            </w:pPr>
            <w:r w:rsidRPr="00D91AC1">
              <w:rPr>
                <w:sz w:val="28"/>
                <w:szCs w:val="28"/>
              </w:rPr>
              <w:t>Tiesiskā regulējuma finansiālā ietekme</w:t>
            </w:r>
          </w:p>
        </w:tc>
        <w:tc>
          <w:tcPr>
            <w:tcW w:w="4394" w:type="dxa"/>
          </w:tcPr>
          <w:p w:rsidR="00634120" w:rsidRPr="00D91AC1" w:rsidRDefault="00E21B29" w:rsidP="007B6789">
            <w:pPr>
              <w:jc w:val="both"/>
              <w:rPr>
                <w:bCs/>
                <w:sz w:val="28"/>
                <w:szCs w:val="28"/>
              </w:rPr>
            </w:pPr>
            <w:r w:rsidRPr="00D91AC1">
              <w:rPr>
                <w:sz w:val="28"/>
                <w:szCs w:val="28"/>
              </w:rPr>
              <w:t>Projekts šo jomu neskar.</w:t>
            </w:r>
          </w:p>
        </w:tc>
      </w:tr>
      <w:tr w:rsidR="00634120" w:rsidRPr="00D91AC1" w:rsidTr="00DF1CDD">
        <w:trPr>
          <w:trHeight w:val="517"/>
        </w:trPr>
        <w:tc>
          <w:tcPr>
            <w:tcW w:w="572" w:type="dxa"/>
          </w:tcPr>
          <w:p w:rsidR="00634120" w:rsidRPr="00D91AC1" w:rsidRDefault="00634120" w:rsidP="00DF1CDD">
            <w:pPr>
              <w:pStyle w:val="naiskr"/>
              <w:spacing w:before="0" w:after="0"/>
              <w:rPr>
                <w:sz w:val="28"/>
                <w:szCs w:val="28"/>
              </w:rPr>
            </w:pPr>
            <w:r w:rsidRPr="00D91AC1">
              <w:rPr>
                <w:sz w:val="28"/>
                <w:szCs w:val="28"/>
              </w:rPr>
              <w:t>4.</w:t>
            </w:r>
          </w:p>
        </w:tc>
        <w:tc>
          <w:tcPr>
            <w:tcW w:w="4253" w:type="dxa"/>
          </w:tcPr>
          <w:p w:rsidR="00634120" w:rsidRPr="00D91AC1" w:rsidRDefault="00634120" w:rsidP="00DF1CDD">
            <w:pPr>
              <w:pStyle w:val="naiskr"/>
              <w:spacing w:before="0" w:after="0"/>
              <w:rPr>
                <w:sz w:val="28"/>
                <w:szCs w:val="28"/>
              </w:rPr>
            </w:pPr>
            <w:r w:rsidRPr="00D91AC1">
              <w:rPr>
                <w:sz w:val="28"/>
                <w:szCs w:val="28"/>
              </w:rPr>
              <w:t>Tiesiskā regulējuma nefinansiālā ietekme</w:t>
            </w:r>
          </w:p>
        </w:tc>
        <w:tc>
          <w:tcPr>
            <w:tcW w:w="4394" w:type="dxa"/>
          </w:tcPr>
          <w:p w:rsidR="00634120" w:rsidRPr="00D91AC1" w:rsidRDefault="00E21B29" w:rsidP="00DF1CDD">
            <w:pPr>
              <w:pStyle w:val="naiskr"/>
              <w:spacing w:before="0" w:after="0"/>
              <w:rPr>
                <w:sz w:val="28"/>
                <w:szCs w:val="28"/>
              </w:rPr>
            </w:pPr>
            <w:r w:rsidRPr="00D91AC1">
              <w:rPr>
                <w:sz w:val="28"/>
                <w:szCs w:val="28"/>
              </w:rPr>
              <w:t>Projekts šo jomu neskar.</w:t>
            </w:r>
          </w:p>
        </w:tc>
      </w:tr>
      <w:tr w:rsidR="00634120" w:rsidRPr="00D91AC1" w:rsidTr="00DF1CDD">
        <w:trPr>
          <w:trHeight w:val="531"/>
        </w:trPr>
        <w:tc>
          <w:tcPr>
            <w:tcW w:w="572" w:type="dxa"/>
          </w:tcPr>
          <w:p w:rsidR="00634120" w:rsidRPr="00D91AC1" w:rsidRDefault="00634120" w:rsidP="00DF1CDD">
            <w:pPr>
              <w:pStyle w:val="naiskr"/>
              <w:spacing w:before="0" w:after="0"/>
              <w:rPr>
                <w:sz w:val="28"/>
                <w:szCs w:val="28"/>
              </w:rPr>
            </w:pPr>
            <w:r w:rsidRPr="00D91AC1">
              <w:rPr>
                <w:sz w:val="28"/>
                <w:szCs w:val="28"/>
              </w:rPr>
              <w:t>5.</w:t>
            </w:r>
          </w:p>
        </w:tc>
        <w:tc>
          <w:tcPr>
            <w:tcW w:w="4253" w:type="dxa"/>
          </w:tcPr>
          <w:p w:rsidR="00634120" w:rsidRPr="00D91AC1" w:rsidRDefault="00634120" w:rsidP="00DF1CDD">
            <w:pPr>
              <w:pStyle w:val="naiskr"/>
              <w:spacing w:before="0" w:after="0"/>
              <w:rPr>
                <w:sz w:val="28"/>
                <w:szCs w:val="28"/>
              </w:rPr>
            </w:pPr>
            <w:r w:rsidRPr="00D91AC1">
              <w:rPr>
                <w:sz w:val="28"/>
                <w:szCs w:val="28"/>
              </w:rPr>
              <w:t>Administratīvās procedūras raksturojums</w:t>
            </w:r>
          </w:p>
        </w:tc>
        <w:tc>
          <w:tcPr>
            <w:tcW w:w="4394" w:type="dxa"/>
          </w:tcPr>
          <w:p w:rsidR="00634120" w:rsidRPr="00D91AC1" w:rsidRDefault="00E21B29" w:rsidP="00DF1CDD">
            <w:pPr>
              <w:pStyle w:val="naiskr"/>
              <w:spacing w:before="0" w:after="0"/>
              <w:rPr>
                <w:sz w:val="28"/>
                <w:szCs w:val="28"/>
              </w:rPr>
            </w:pPr>
            <w:r w:rsidRPr="00D91AC1">
              <w:rPr>
                <w:sz w:val="28"/>
                <w:szCs w:val="28"/>
              </w:rPr>
              <w:t>Projekts šo jomu neskar.</w:t>
            </w:r>
          </w:p>
        </w:tc>
      </w:tr>
      <w:tr w:rsidR="00634120" w:rsidRPr="00D91AC1" w:rsidTr="00DF1CDD">
        <w:trPr>
          <w:trHeight w:val="357"/>
        </w:trPr>
        <w:tc>
          <w:tcPr>
            <w:tcW w:w="572" w:type="dxa"/>
          </w:tcPr>
          <w:p w:rsidR="00634120" w:rsidRPr="00D91AC1" w:rsidRDefault="00634120" w:rsidP="00DF1CDD">
            <w:pPr>
              <w:pStyle w:val="naiskr"/>
              <w:spacing w:before="0" w:after="0"/>
              <w:rPr>
                <w:sz w:val="28"/>
                <w:szCs w:val="28"/>
              </w:rPr>
            </w:pPr>
            <w:r w:rsidRPr="00D91AC1">
              <w:rPr>
                <w:sz w:val="28"/>
                <w:szCs w:val="28"/>
              </w:rPr>
              <w:t>6.</w:t>
            </w:r>
          </w:p>
        </w:tc>
        <w:tc>
          <w:tcPr>
            <w:tcW w:w="4253" w:type="dxa"/>
          </w:tcPr>
          <w:p w:rsidR="00634120" w:rsidRPr="00D91AC1" w:rsidRDefault="00634120" w:rsidP="00DF1CDD">
            <w:pPr>
              <w:pStyle w:val="naiskr"/>
              <w:spacing w:before="0" w:after="0"/>
              <w:rPr>
                <w:sz w:val="28"/>
                <w:szCs w:val="28"/>
              </w:rPr>
            </w:pPr>
            <w:r w:rsidRPr="00D91AC1">
              <w:rPr>
                <w:sz w:val="28"/>
                <w:szCs w:val="28"/>
              </w:rPr>
              <w:t>Administratīvo izmaksu monetārs novērtējums</w:t>
            </w:r>
          </w:p>
        </w:tc>
        <w:tc>
          <w:tcPr>
            <w:tcW w:w="4394" w:type="dxa"/>
          </w:tcPr>
          <w:p w:rsidR="00634120" w:rsidRPr="00D91AC1" w:rsidRDefault="00E21B29" w:rsidP="00DF1CDD">
            <w:pPr>
              <w:pStyle w:val="naiskr"/>
              <w:spacing w:before="0" w:after="0"/>
              <w:rPr>
                <w:sz w:val="28"/>
                <w:szCs w:val="28"/>
              </w:rPr>
            </w:pPr>
            <w:r w:rsidRPr="00D91AC1">
              <w:rPr>
                <w:sz w:val="28"/>
                <w:szCs w:val="28"/>
              </w:rPr>
              <w:t>Projekts šo jomu neskar.</w:t>
            </w:r>
          </w:p>
        </w:tc>
      </w:tr>
      <w:tr w:rsidR="00634120" w:rsidRPr="00D91AC1" w:rsidTr="00DF1CDD">
        <w:tc>
          <w:tcPr>
            <w:tcW w:w="572" w:type="dxa"/>
          </w:tcPr>
          <w:p w:rsidR="00634120" w:rsidRPr="00D91AC1" w:rsidRDefault="00634120" w:rsidP="00DF1CDD">
            <w:pPr>
              <w:pStyle w:val="naiskr"/>
              <w:spacing w:before="0" w:after="0"/>
              <w:rPr>
                <w:sz w:val="28"/>
                <w:szCs w:val="28"/>
              </w:rPr>
            </w:pPr>
            <w:r w:rsidRPr="00D91AC1">
              <w:rPr>
                <w:sz w:val="28"/>
                <w:szCs w:val="28"/>
              </w:rPr>
              <w:t>7.</w:t>
            </w:r>
          </w:p>
        </w:tc>
        <w:tc>
          <w:tcPr>
            <w:tcW w:w="4253" w:type="dxa"/>
          </w:tcPr>
          <w:p w:rsidR="00634120" w:rsidRPr="00D91AC1" w:rsidRDefault="00634120" w:rsidP="00DF1CDD">
            <w:pPr>
              <w:pStyle w:val="naiskr"/>
              <w:spacing w:before="0" w:after="0"/>
              <w:rPr>
                <w:sz w:val="28"/>
                <w:szCs w:val="28"/>
              </w:rPr>
            </w:pPr>
            <w:r w:rsidRPr="00D91AC1">
              <w:rPr>
                <w:sz w:val="28"/>
                <w:szCs w:val="28"/>
              </w:rPr>
              <w:t>Cita informācija</w:t>
            </w:r>
          </w:p>
        </w:tc>
        <w:tc>
          <w:tcPr>
            <w:tcW w:w="4394" w:type="dxa"/>
          </w:tcPr>
          <w:p w:rsidR="00634120" w:rsidRPr="00D91AC1" w:rsidRDefault="00634120" w:rsidP="00DF1CDD">
            <w:pPr>
              <w:pStyle w:val="naiskr"/>
              <w:spacing w:before="0" w:after="0"/>
              <w:rPr>
                <w:sz w:val="28"/>
                <w:szCs w:val="28"/>
              </w:rPr>
            </w:pPr>
            <w:r w:rsidRPr="00D91AC1">
              <w:rPr>
                <w:sz w:val="28"/>
                <w:szCs w:val="28"/>
              </w:rPr>
              <w:t>Nav</w:t>
            </w:r>
          </w:p>
        </w:tc>
      </w:tr>
    </w:tbl>
    <w:p w:rsidR="00634120" w:rsidRPr="00E21B29" w:rsidRDefault="00634120" w:rsidP="00E21B29">
      <w:pPr>
        <w:jc w:val="both"/>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8"/>
        <w:gridCol w:w="3062"/>
        <w:gridCol w:w="5541"/>
      </w:tblGrid>
      <w:tr w:rsidR="00CF5D37" w:rsidRPr="001D0A49" w:rsidTr="00D55839">
        <w:trPr>
          <w:trHeight w:val="415"/>
          <w:tblCellSpacing w:w="0" w:type="dxa"/>
        </w:trPr>
        <w:tc>
          <w:tcPr>
            <w:tcW w:w="5000" w:type="pct"/>
            <w:gridSpan w:val="3"/>
            <w:tcBorders>
              <w:top w:val="outset" w:sz="6" w:space="0" w:color="auto"/>
              <w:left w:val="inset" w:sz="6" w:space="0" w:color="auto"/>
              <w:bottom w:val="outset" w:sz="6" w:space="0" w:color="auto"/>
            </w:tcBorders>
            <w:vAlign w:val="center"/>
          </w:tcPr>
          <w:p w:rsidR="00CF5D37" w:rsidRPr="001D0A49" w:rsidRDefault="00CF5D37" w:rsidP="00D55839">
            <w:pPr>
              <w:pStyle w:val="naisnod"/>
              <w:jc w:val="center"/>
              <w:rPr>
                <w:b/>
                <w:sz w:val="28"/>
                <w:szCs w:val="28"/>
              </w:rPr>
            </w:pPr>
            <w:r w:rsidRPr="001D0A49">
              <w:rPr>
                <w:b/>
                <w:sz w:val="28"/>
                <w:szCs w:val="28"/>
              </w:rPr>
              <w:t>IV. Tiesību akta projekta ietekme uz spēkā esošo tiesību normu sistēm</w:t>
            </w:r>
            <w:r>
              <w:rPr>
                <w:b/>
                <w:sz w:val="28"/>
                <w:szCs w:val="28"/>
              </w:rPr>
              <w:t>u</w:t>
            </w:r>
          </w:p>
        </w:tc>
      </w:tr>
      <w:tr w:rsidR="00CF5D37" w:rsidRPr="001D0A49" w:rsidTr="00CF5D37">
        <w:trPr>
          <w:trHeight w:val="405"/>
          <w:tblCellSpacing w:w="0" w:type="dxa"/>
        </w:trPr>
        <w:tc>
          <w:tcPr>
            <w:tcW w:w="274" w:type="pct"/>
            <w:tcBorders>
              <w:top w:val="outset" w:sz="6" w:space="0" w:color="auto"/>
              <w:left w:val="inset" w:sz="6" w:space="0" w:color="auto"/>
              <w:bottom w:val="outset" w:sz="6" w:space="0" w:color="auto"/>
              <w:right w:val="outset" w:sz="6" w:space="0" w:color="auto"/>
            </w:tcBorders>
          </w:tcPr>
          <w:p w:rsidR="00CF5D37" w:rsidRPr="001D0A49" w:rsidRDefault="00CF5D37" w:rsidP="00D55839">
            <w:pPr>
              <w:pStyle w:val="naiskr"/>
              <w:rPr>
                <w:sz w:val="28"/>
                <w:szCs w:val="28"/>
              </w:rPr>
            </w:pPr>
            <w:r w:rsidRPr="001D0A49">
              <w:rPr>
                <w:sz w:val="28"/>
                <w:szCs w:val="28"/>
              </w:rPr>
              <w:t>1.</w:t>
            </w:r>
          </w:p>
        </w:tc>
        <w:tc>
          <w:tcPr>
            <w:tcW w:w="1682" w:type="pct"/>
            <w:tcBorders>
              <w:top w:val="outset" w:sz="6" w:space="0" w:color="auto"/>
              <w:left w:val="outset" w:sz="6" w:space="0" w:color="auto"/>
              <w:bottom w:val="outset" w:sz="6" w:space="0" w:color="auto"/>
              <w:right w:val="outset" w:sz="6" w:space="0" w:color="auto"/>
            </w:tcBorders>
          </w:tcPr>
          <w:p w:rsidR="00CF5D37" w:rsidRPr="001D0A49" w:rsidRDefault="00CF5D37" w:rsidP="00D55839">
            <w:pPr>
              <w:pStyle w:val="naiskr"/>
              <w:rPr>
                <w:sz w:val="28"/>
                <w:szCs w:val="28"/>
              </w:rPr>
            </w:pPr>
            <w:r w:rsidRPr="001D0A49">
              <w:rPr>
                <w:sz w:val="28"/>
                <w:szCs w:val="28"/>
              </w:rPr>
              <w:t> Nepieciešamie saistītie tiesību aktu projekti</w:t>
            </w:r>
          </w:p>
        </w:tc>
        <w:tc>
          <w:tcPr>
            <w:tcW w:w="3044" w:type="pct"/>
            <w:tcBorders>
              <w:top w:val="outset" w:sz="6" w:space="0" w:color="auto"/>
              <w:left w:val="outset" w:sz="6" w:space="0" w:color="auto"/>
              <w:bottom w:val="outset" w:sz="6" w:space="0" w:color="auto"/>
            </w:tcBorders>
          </w:tcPr>
          <w:p w:rsidR="00CF5D37" w:rsidRPr="00304FF6" w:rsidRDefault="00CF5D37" w:rsidP="002B6C64">
            <w:pPr>
              <w:ind w:left="136" w:right="142" w:firstLine="357"/>
              <w:contextualSpacing/>
              <w:jc w:val="both"/>
              <w:outlineLvl w:val="3"/>
              <w:rPr>
                <w:rFonts w:ascii="Verdana" w:hAnsi="Verdana"/>
                <w:b/>
                <w:bCs/>
                <w:sz w:val="28"/>
                <w:szCs w:val="28"/>
              </w:rPr>
            </w:pPr>
            <w:r w:rsidRPr="00B226E9">
              <w:rPr>
                <w:sz w:val="28"/>
                <w:szCs w:val="28"/>
              </w:rPr>
              <w:t xml:space="preserve">Vienlaikus ar Projektu izskatīšanai Ministru kabinetā tiek virzīts arī Ministru kabineta noteikumu projekts </w:t>
            </w:r>
            <w:r w:rsidRPr="00D91AC1">
              <w:rPr>
                <w:sz w:val="28"/>
                <w:szCs w:val="28"/>
              </w:rPr>
              <w:t>„Kārtība, kādā pašvaldībām tiek aprēķināta un sadalīta valsts budžeta mērķdotācija māksliniecisko kolektīvu vadītāju darba samaksai un valsts sociālās apdrošināšanas obligātajām iemaksām”</w:t>
            </w:r>
            <w:r w:rsidRPr="00261B27">
              <w:rPr>
                <w:sz w:val="28"/>
                <w:szCs w:val="28"/>
              </w:rPr>
              <w:t>”</w:t>
            </w:r>
            <w:r>
              <w:rPr>
                <w:sz w:val="28"/>
                <w:szCs w:val="28"/>
              </w:rPr>
              <w:t>.</w:t>
            </w:r>
          </w:p>
        </w:tc>
      </w:tr>
      <w:tr w:rsidR="00CF5D37" w:rsidRPr="001D0A49" w:rsidTr="00CF5D37">
        <w:trPr>
          <w:trHeight w:val="450"/>
          <w:tblCellSpacing w:w="0" w:type="dxa"/>
        </w:trPr>
        <w:tc>
          <w:tcPr>
            <w:tcW w:w="274" w:type="pct"/>
            <w:tcBorders>
              <w:top w:val="outset" w:sz="6" w:space="0" w:color="auto"/>
              <w:left w:val="inset" w:sz="6" w:space="0" w:color="auto"/>
              <w:bottom w:val="outset" w:sz="6" w:space="0" w:color="auto"/>
              <w:right w:val="outset" w:sz="6" w:space="0" w:color="auto"/>
            </w:tcBorders>
          </w:tcPr>
          <w:p w:rsidR="00CF5D37" w:rsidRPr="001D0A49" w:rsidRDefault="00CF5D37" w:rsidP="00D55839">
            <w:pPr>
              <w:pStyle w:val="naiskr"/>
              <w:rPr>
                <w:sz w:val="28"/>
                <w:szCs w:val="28"/>
              </w:rPr>
            </w:pPr>
            <w:r w:rsidRPr="001D0A49">
              <w:rPr>
                <w:sz w:val="28"/>
                <w:szCs w:val="28"/>
              </w:rPr>
              <w:t> 2.</w:t>
            </w:r>
          </w:p>
        </w:tc>
        <w:tc>
          <w:tcPr>
            <w:tcW w:w="1682" w:type="pct"/>
            <w:tcBorders>
              <w:top w:val="outset" w:sz="6" w:space="0" w:color="auto"/>
              <w:left w:val="outset" w:sz="6" w:space="0" w:color="auto"/>
              <w:bottom w:val="outset" w:sz="6" w:space="0" w:color="auto"/>
              <w:right w:val="outset" w:sz="6" w:space="0" w:color="auto"/>
            </w:tcBorders>
          </w:tcPr>
          <w:p w:rsidR="00CF5D37" w:rsidRPr="001D0A49" w:rsidRDefault="00CF5D37" w:rsidP="00D55839">
            <w:pPr>
              <w:pStyle w:val="naiskr"/>
              <w:rPr>
                <w:sz w:val="28"/>
                <w:szCs w:val="28"/>
              </w:rPr>
            </w:pPr>
            <w:r w:rsidRPr="001D0A49">
              <w:rPr>
                <w:sz w:val="28"/>
                <w:szCs w:val="28"/>
              </w:rPr>
              <w:t> Cita informācija</w:t>
            </w:r>
          </w:p>
        </w:tc>
        <w:tc>
          <w:tcPr>
            <w:tcW w:w="3044" w:type="pct"/>
            <w:tcBorders>
              <w:top w:val="outset" w:sz="6" w:space="0" w:color="auto"/>
              <w:left w:val="outset" w:sz="6" w:space="0" w:color="auto"/>
              <w:bottom w:val="outset" w:sz="6" w:space="0" w:color="auto"/>
            </w:tcBorders>
          </w:tcPr>
          <w:p w:rsidR="00CF5D37" w:rsidRPr="001D0A49" w:rsidRDefault="002B6C64" w:rsidP="002B6C64">
            <w:pPr>
              <w:pStyle w:val="naiskr"/>
              <w:ind w:firstLine="357"/>
              <w:jc w:val="both"/>
              <w:rPr>
                <w:sz w:val="28"/>
                <w:szCs w:val="28"/>
              </w:rPr>
            </w:pPr>
            <w:r>
              <w:rPr>
                <w:sz w:val="28"/>
                <w:szCs w:val="28"/>
              </w:rPr>
              <w:t xml:space="preserve">Projekts skatāms vienlaikus ar Ministru kabineta noteikumu projektu </w:t>
            </w:r>
            <w:r w:rsidRPr="00D91AC1">
              <w:rPr>
                <w:sz w:val="28"/>
                <w:szCs w:val="28"/>
              </w:rPr>
              <w:t>„Kārtība, kādā pašvaldībām tiek aprēķināta un sadalīta valsts budžeta mērķdotācija māksliniecisko kolektīvu vadītāju darba samaksai un valsts sociālās apdrošināšanas obligātajām iemaksām”</w:t>
            </w:r>
            <w:r w:rsidRPr="00261B27">
              <w:rPr>
                <w:sz w:val="28"/>
                <w:szCs w:val="28"/>
              </w:rPr>
              <w:t>”</w:t>
            </w:r>
            <w:r>
              <w:rPr>
                <w:sz w:val="28"/>
                <w:szCs w:val="28"/>
              </w:rPr>
              <w:t>.</w:t>
            </w:r>
          </w:p>
        </w:tc>
      </w:tr>
    </w:tbl>
    <w:p w:rsidR="00CF5D37" w:rsidRPr="00D91AC1" w:rsidRDefault="00CF5D37" w:rsidP="00634120">
      <w:pPr>
        <w:jc w:val="both"/>
        <w:rPr>
          <w:i/>
          <w:sz w:val="28"/>
          <w:szCs w:val="28"/>
        </w:rPr>
      </w:pPr>
    </w:p>
    <w:p w:rsidR="00CF5D37" w:rsidRDefault="00CF5D37" w:rsidP="00CF5D37">
      <w:pPr>
        <w:jc w:val="both"/>
        <w:rPr>
          <w:i/>
          <w:sz w:val="28"/>
          <w:szCs w:val="28"/>
        </w:rPr>
      </w:pPr>
      <w:r w:rsidRPr="00D91AC1">
        <w:rPr>
          <w:i/>
          <w:color w:val="000000"/>
          <w:sz w:val="28"/>
          <w:szCs w:val="28"/>
        </w:rPr>
        <w:t xml:space="preserve">Anotācijas V sadaļa – </w:t>
      </w:r>
      <w:r w:rsidR="00E21B29">
        <w:rPr>
          <w:i/>
          <w:sz w:val="28"/>
          <w:szCs w:val="28"/>
        </w:rPr>
        <w:t>projekts šo jomu</w:t>
      </w:r>
      <w:r w:rsidRPr="00D91AC1">
        <w:rPr>
          <w:i/>
          <w:sz w:val="28"/>
          <w:szCs w:val="28"/>
        </w:rPr>
        <w:t xml:space="preserve"> neskar.</w:t>
      </w:r>
    </w:p>
    <w:p w:rsidR="00634120" w:rsidRPr="00D91AC1" w:rsidRDefault="00634120" w:rsidP="00634120">
      <w:pPr>
        <w:jc w:val="both"/>
        <w:rPr>
          <w:i/>
          <w:sz w:val="28"/>
          <w:szCs w:val="28"/>
        </w:rPr>
      </w:pPr>
    </w:p>
    <w:tbl>
      <w:tblPr>
        <w:tblW w:w="9414" w:type="dxa"/>
        <w:jc w:val="center"/>
        <w:tblInd w:w="1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tblPr>
      <w:tblGrid>
        <w:gridCol w:w="451"/>
        <w:gridCol w:w="4116"/>
        <w:gridCol w:w="4847"/>
      </w:tblGrid>
      <w:tr w:rsidR="00634120" w:rsidRPr="00D91AC1" w:rsidTr="00DF1CDD">
        <w:trPr>
          <w:jc w:val="center"/>
        </w:trPr>
        <w:tc>
          <w:tcPr>
            <w:tcW w:w="9414" w:type="dxa"/>
            <w:gridSpan w:val="3"/>
          </w:tcPr>
          <w:p w:rsidR="00634120" w:rsidRPr="00D91AC1" w:rsidRDefault="00634120" w:rsidP="00DF1CDD">
            <w:pPr>
              <w:pStyle w:val="naisnod"/>
              <w:spacing w:before="0" w:after="0"/>
              <w:ind w:left="57" w:right="57"/>
              <w:jc w:val="center"/>
              <w:rPr>
                <w:b/>
                <w:sz w:val="28"/>
                <w:szCs w:val="28"/>
              </w:rPr>
            </w:pPr>
            <w:r w:rsidRPr="00D91AC1">
              <w:rPr>
                <w:b/>
                <w:sz w:val="28"/>
                <w:szCs w:val="28"/>
              </w:rPr>
              <w:t>VI. Sabiedrības līdzdalība un šīs līdzdalības rezultāti</w:t>
            </w:r>
          </w:p>
        </w:tc>
      </w:tr>
      <w:tr w:rsidR="00634120" w:rsidRPr="00D91AC1" w:rsidTr="00562EE3">
        <w:trPr>
          <w:trHeight w:val="553"/>
          <w:jc w:val="center"/>
        </w:trPr>
        <w:tc>
          <w:tcPr>
            <w:tcW w:w="451" w:type="dxa"/>
          </w:tcPr>
          <w:p w:rsidR="00634120" w:rsidRPr="00D91AC1" w:rsidRDefault="00634120" w:rsidP="00DF1CDD">
            <w:pPr>
              <w:pStyle w:val="naiskr"/>
              <w:spacing w:before="0" w:after="0"/>
              <w:ind w:left="57" w:right="57"/>
              <w:rPr>
                <w:bCs/>
                <w:sz w:val="28"/>
                <w:szCs w:val="28"/>
              </w:rPr>
            </w:pPr>
            <w:r w:rsidRPr="00D91AC1">
              <w:rPr>
                <w:bCs/>
                <w:sz w:val="28"/>
                <w:szCs w:val="28"/>
              </w:rPr>
              <w:t>1.</w:t>
            </w:r>
          </w:p>
        </w:tc>
        <w:tc>
          <w:tcPr>
            <w:tcW w:w="4116" w:type="dxa"/>
          </w:tcPr>
          <w:p w:rsidR="00634120" w:rsidRPr="00D91AC1" w:rsidRDefault="00634120" w:rsidP="00DF1CDD">
            <w:pPr>
              <w:pStyle w:val="naiskr"/>
              <w:tabs>
                <w:tab w:val="left" w:pos="170"/>
              </w:tabs>
              <w:spacing w:before="0" w:after="0"/>
              <w:ind w:left="57" w:right="57"/>
              <w:rPr>
                <w:sz w:val="28"/>
                <w:szCs w:val="28"/>
              </w:rPr>
            </w:pPr>
            <w:r w:rsidRPr="00D91AC1">
              <w:rPr>
                <w:sz w:val="28"/>
                <w:szCs w:val="28"/>
              </w:rPr>
              <w:t>Sabiedrības informēšana par projekta izstrādes uzsākšanu</w:t>
            </w:r>
          </w:p>
        </w:tc>
        <w:tc>
          <w:tcPr>
            <w:tcW w:w="4847" w:type="dxa"/>
          </w:tcPr>
          <w:p w:rsidR="00634120" w:rsidRPr="00D91AC1" w:rsidRDefault="00634120" w:rsidP="00D91AC1">
            <w:pPr>
              <w:jc w:val="both"/>
              <w:rPr>
                <w:sz w:val="28"/>
                <w:szCs w:val="28"/>
              </w:rPr>
            </w:pPr>
            <w:r w:rsidRPr="00D91AC1">
              <w:rPr>
                <w:sz w:val="28"/>
                <w:szCs w:val="28"/>
              </w:rPr>
              <w:t xml:space="preserve">Kultūras ministrijas </w:t>
            </w:r>
            <w:r w:rsidR="005A72B8">
              <w:rPr>
                <w:sz w:val="28"/>
                <w:szCs w:val="28"/>
              </w:rPr>
              <w:t xml:space="preserve">izveidotajā </w:t>
            </w:r>
            <w:r w:rsidR="00D91AC1" w:rsidRPr="00D91AC1">
              <w:rPr>
                <w:sz w:val="28"/>
                <w:szCs w:val="28"/>
              </w:rPr>
              <w:t>darba grupā</w:t>
            </w:r>
            <w:r w:rsidR="005A72B8">
              <w:rPr>
                <w:sz w:val="28"/>
                <w:szCs w:val="28"/>
              </w:rPr>
              <w:t xml:space="preserve"> (rīkojums Nr.6-1-200, 14.08.2012.)</w:t>
            </w:r>
            <w:r w:rsidR="00D91AC1" w:rsidRPr="00D91AC1">
              <w:rPr>
                <w:sz w:val="28"/>
                <w:szCs w:val="28"/>
              </w:rPr>
              <w:t xml:space="preserve"> pa Ministru kabineta noteikumu projekta „Kārtība, kādā pašvaldībām tiek aprēķināta un sadalīta valsts budžeta mērķdotācija māksliniecisko kolektīvu vadītāju darba samaksai un valsts sociālās apdrošināšanas obligātajām iemaksām” izstrādi ir iesaistīta Latvijas pašvaldību savienība.</w:t>
            </w:r>
          </w:p>
        </w:tc>
      </w:tr>
      <w:tr w:rsidR="00634120" w:rsidRPr="00D91AC1" w:rsidTr="00562EE3">
        <w:trPr>
          <w:trHeight w:val="339"/>
          <w:jc w:val="center"/>
        </w:trPr>
        <w:tc>
          <w:tcPr>
            <w:tcW w:w="451" w:type="dxa"/>
          </w:tcPr>
          <w:p w:rsidR="00634120" w:rsidRPr="00D91AC1" w:rsidRDefault="00634120" w:rsidP="00DF1CDD">
            <w:pPr>
              <w:pStyle w:val="naiskr"/>
              <w:spacing w:before="0" w:after="0"/>
              <w:ind w:left="57" w:right="57"/>
              <w:rPr>
                <w:bCs/>
                <w:sz w:val="28"/>
                <w:szCs w:val="28"/>
              </w:rPr>
            </w:pPr>
            <w:r w:rsidRPr="00D91AC1">
              <w:rPr>
                <w:bCs/>
                <w:sz w:val="28"/>
                <w:szCs w:val="28"/>
              </w:rPr>
              <w:t>2.</w:t>
            </w:r>
          </w:p>
        </w:tc>
        <w:tc>
          <w:tcPr>
            <w:tcW w:w="4116" w:type="dxa"/>
          </w:tcPr>
          <w:p w:rsidR="00634120" w:rsidRPr="00D91AC1" w:rsidRDefault="00634120" w:rsidP="00DF1CDD">
            <w:pPr>
              <w:pStyle w:val="naiskr"/>
              <w:spacing w:before="0" w:after="0"/>
              <w:ind w:left="57" w:right="57"/>
              <w:rPr>
                <w:sz w:val="28"/>
                <w:szCs w:val="28"/>
              </w:rPr>
            </w:pPr>
            <w:r w:rsidRPr="00D91AC1">
              <w:rPr>
                <w:sz w:val="28"/>
                <w:szCs w:val="28"/>
              </w:rPr>
              <w:t xml:space="preserve">Sabiedrības līdzdalība projekta izstrādē </w:t>
            </w:r>
          </w:p>
        </w:tc>
        <w:tc>
          <w:tcPr>
            <w:tcW w:w="4847" w:type="dxa"/>
          </w:tcPr>
          <w:p w:rsidR="00D44FAB" w:rsidRPr="00D91AC1" w:rsidRDefault="00D44FAB" w:rsidP="00DF1CDD">
            <w:pPr>
              <w:jc w:val="both"/>
              <w:rPr>
                <w:sz w:val="28"/>
                <w:szCs w:val="28"/>
              </w:rPr>
            </w:pPr>
            <w:r w:rsidRPr="00D91AC1">
              <w:rPr>
                <w:sz w:val="28"/>
                <w:szCs w:val="28"/>
              </w:rPr>
              <w:t>Latvijas Pašvaldību savienība</w:t>
            </w:r>
            <w:r w:rsidR="00E21B29">
              <w:rPr>
                <w:sz w:val="28"/>
                <w:szCs w:val="28"/>
              </w:rPr>
              <w:t>.</w:t>
            </w:r>
          </w:p>
          <w:p w:rsidR="00D91AC1" w:rsidRPr="00D91AC1" w:rsidRDefault="00D91AC1" w:rsidP="00D91AC1">
            <w:pPr>
              <w:jc w:val="both"/>
              <w:rPr>
                <w:sz w:val="28"/>
                <w:szCs w:val="28"/>
              </w:rPr>
            </w:pPr>
          </w:p>
          <w:p w:rsidR="007B6789" w:rsidRPr="00D91AC1" w:rsidRDefault="007B6789" w:rsidP="007B6789">
            <w:pPr>
              <w:jc w:val="both"/>
              <w:rPr>
                <w:sz w:val="28"/>
                <w:szCs w:val="28"/>
              </w:rPr>
            </w:pPr>
          </w:p>
        </w:tc>
      </w:tr>
      <w:tr w:rsidR="00634120" w:rsidRPr="00D91AC1" w:rsidTr="00562EE3">
        <w:trPr>
          <w:trHeight w:val="375"/>
          <w:jc w:val="center"/>
        </w:trPr>
        <w:tc>
          <w:tcPr>
            <w:tcW w:w="451" w:type="dxa"/>
          </w:tcPr>
          <w:p w:rsidR="00634120" w:rsidRPr="00D91AC1" w:rsidRDefault="00634120" w:rsidP="00DF1CDD">
            <w:pPr>
              <w:pStyle w:val="naiskr"/>
              <w:spacing w:before="0" w:after="0"/>
              <w:ind w:left="57" w:right="57"/>
              <w:rPr>
                <w:bCs/>
                <w:sz w:val="28"/>
                <w:szCs w:val="28"/>
              </w:rPr>
            </w:pPr>
            <w:r w:rsidRPr="00D91AC1">
              <w:rPr>
                <w:bCs/>
                <w:sz w:val="28"/>
                <w:szCs w:val="28"/>
              </w:rPr>
              <w:t>3.</w:t>
            </w:r>
          </w:p>
        </w:tc>
        <w:tc>
          <w:tcPr>
            <w:tcW w:w="4116" w:type="dxa"/>
          </w:tcPr>
          <w:p w:rsidR="00634120" w:rsidRPr="00D91AC1" w:rsidRDefault="00634120" w:rsidP="00DF1CDD">
            <w:pPr>
              <w:pStyle w:val="naiskr"/>
              <w:spacing w:before="0" w:after="0"/>
              <w:ind w:left="57" w:right="57"/>
              <w:rPr>
                <w:sz w:val="28"/>
                <w:szCs w:val="28"/>
              </w:rPr>
            </w:pPr>
            <w:r w:rsidRPr="00D91AC1">
              <w:rPr>
                <w:sz w:val="28"/>
                <w:szCs w:val="28"/>
              </w:rPr>
              <w:t xml:space="preserve">Sabiedrības līdzdalības rezultāti </w:t>
            </w:r>
          </w:p>
        </w:tc>
        <w:tc>
          <w:tcPr>
            <w:tcW w:w="4847" w:type="dxa"/>
          </w:tcPr>
          <w:p w:rsidR="00634120" w:rsidRPr="00D91AC1" w:rsidRDefault="005345BD" w:rsidP="00D44FAB">
            <w:pPr>
              <w:pStyle w:val="naiskr"/>
              <w:ind w:left="57" w:right="57"/>
              <w:jc w:val="both"/>
              <w:rPr>
                <w:sz w:val="28"/>
                <w:szCs w:val="28"/>
              </w:rPr>
            </w:pPr>
            <w:r w:rsidRPr="00D91AC1">
              <w:rPr>
                <w:sz w:val="28"/>
                <w:szCs w:val="28"/>
              </w:rPr>
              <w:t xml:space="preserve">Priekšlikumi </w:t>
            </w:r>
            <w:r w:rsidR="003D3F4B" w:rsidRPr="00D91AC1">
              <w:rPr>
                <w:sz w:val="28"/>
                <w:szCs w:val="28"/>
              </w:rPr>
              <w:t>ir ņemti vērā, izstrādāj</w:t>
            </w:r>
            <w:r w:rsidR="003F0807" w:rsidRPr="00D91AC1">
              <w:rPr>
                <w:sz w:val="28"/>
                <w:szCs w:val="28"/>
              </w:rPr>
              <w:t>o</w:t>
            </w:r>
            <w:r w:rsidR="003D3F4B" w:rsidRPr="00D91AC1">
              <w:rPr>
                <w:sz w:val="28"/>
                <w:szCs w:val="28"/>
              </w:rPr>
              <w:t>t Projektu.</w:t>
            </w:r>
          </w:p>
        </w:tc>
      </w:tr>
      <w:tr w:rsidR="00634120" w:rsidRPr="00D91AC1" w:rsidTr="00562EE3">
        <w:trPr>
          <w:trHeight w:val="397"/>
          <w:jc w:val="center"/>
        </w:trPr>
        <w:tc>
          <w:tcPr>
            <w:tcW w:w="451" w:type="dxa"/>
          </w:tcPr>
          <w:p w:rsidR="00634120" w:rsidRPr="00D91AC1" w:rsidRDefault="00634120" w:rsidP="00DF1CDD">
            <w:pPr>
              <w:pStyle w:val="naiskr"/>
              <w:spacing w:before="0" w:after="0"/>
              <w:ind w:left="57" w:right="57"/>
              <w:rPr>
                <w:bCs/>
                <w:sz w:val="28"/>
                <w:szCs w:val="28"/>
              </w:rPr>
            </w:pPr>
            <w:r w:rsidRPr="00D91AC1">
              <w:rPr>
                <w:bCs/>
                <w:sz w:val="28"/>
                <w:szCs w:val="28"/>
              </w:rPr>
              <w:t>4.</w:t>
            </w:r>
          </w:p>
        </w:tc>
        <w:tc>
          <w:tcPr>
            <w:tcW w:w="4116" w:type="dxa"/>
          </w:tcPr>
          <w:p w:rsidR="00634120" w:rsidRPr="00D91AC1" w:rsidRDefault="00634120" w:rsidP="00DF1CDD">
            <w:pPr>
              <w:pStyle w:val="naiskr"/>
              <w:spacing w:before="0" w:after="0"/>
              <w:ind w:left="57" w:right="57"/>
              <w:rPr>
                <w:sz w:val="28"/>
                <w:szCs w:val="28"/>
              </w:rPr>
            </w:pPr>
            <w:r w:rsidRPr="00D91AC1">
              <w:rPr>
                <w:sz w:val="28"/>
                <w:szCs w:val="28"/>
              </w:rPr>
              <w:t>Saeimas un ekspertu līdzdalība</w:t>
            </w:r>
          </w:p>
        </w:tc>
        <w:tc>
          <w:tcPr>
            <w:tcW w:w="4847" w:type="dxa"/>
          </w:tcPr>
          <w:p w:rsidR="00634120" w:rsidRPr="00D91AC1" w:rsidRDefault="00634120" w:rsidP="00A96107">
            <w:pPr>
              <w:pStyle w:val="naiskr"/>
              <w:ind w:left="57" w:right="57"/>
              <w:jc w:val="both"/>
              <w:rPr>
                <w:sz w:val="28"/>
                <w:szCs w:val="28"/>
              </w:rPr>
            </w:pPr>
            <w:r w:rsidRPr="00D91AC1">
              <w:rPr>
                <w:sz w:val="28"/>
                <w:szCs w:val="28"/>
              </w:rPr>
              <w:t>Kultūras ministrijas darba grupa pieaicināja nozares ekspertus izteikt viedokli.</w:t>
            </w:r>
          </w:p>
        </w:tc>
      </w:tr>
      <w:tr w:rsidR="00634120" w:rsidRPr="00D91AC1" w:rsidTr="00562EE3">
        <w:trPr>
          <w:trHeight w:val="476"/>
          <w:jc w:val="center"/>
        </w:trPr>
        <w:tc>
          <w:tcPr>
            <w:tcW w:w="451" w:type="dxa"/>
          </w:tcPr>
          <w:p w:rsidR="00634120" w:rsidRPr="00D91AC1" w:rsidRDefault="00634120" w:rsidP="00DF1CDD">
            <w:pPr>
              <w:pStyle w:val="naiskr"/>
              <w:spacing w:before="0" w:after="0"/>
              <w:ind w:left="57" w:right="57"/>
              <w:rPr>
                <w:bCs/>
                <w:sz w:val="28"/>
                <w:szCs w:val="28"/>
              </w:rPr>
            </w:pPr>
            <w:r w:rsidRPr="00D91AC1">
              <w:rPr>
                <w:bCs/>
                <w:sz w:val="28"/>
                <w:szCs w:val="28"/>
              </w:rPr>
              <w:t>5.</w:t>
            </w:r>
          </w:p>
        </w:tc>
        <w:tc>
          <w:tcPr>
            <w:tcW w:w="4116" w:type="dxa"/>
          </w:tcPr>
          <w:p w:rsidR="00634120" w:rsidRPr="00D91AC1" w:rsidRDefault="00634120" w:rsidP="00E21B29">
            <w:pPr>
              <w:pStyle w:val="naiskr"/>
              <w:spacing w:before="0" w:after="0"/>
              <w:ind w:left="57" w:right="57"/>
              <w:rPr>
                <w:sz w:val="28"/>
                <w:szCs w:val="28"/>
              </w:rPr>
            </w:pPr>
            <w:r w:rsidRPr="00D91AC1">
              <w:rPr>
                <w:sz w:val="28"/>
                <w:szCs w:val="28"/>
              </w:rPr>
              <w:t>Cita informācija</w:t>
            </w:r>
          </w:p>
        </w:tc>
        <w:tc>
          <w:tcPr>
            <w:tcW w:w="4847" w:type="dxa"/>
          </w:tcPr>
          <w:p w:rsidR="00634120" w:rsidRPr="00D91AC1" w:rsidRDefault="00634120" w:rsidP="00DF1CDD">
            <w:pPr>
              <w:pStyle w:val="naiskr"/>
              <w:spacing w:before="0" w:after="0"/>
              <w:ind w:left="57" w:right="57"/>
              <w:jc w:val="both"/>
              <w:rPr>
                <w:sz w:val="28"/>
                <w:szCs w:val="28"/>
              </w:rPr>
            </w:pPr>
            <w:r w:rsidRPr="00D91AC1">
              <w:rPr>
                <w:iCs/>
                <w:sz w:val="28"/>
                <w:szCs w:val="28"/>
              </w:rPr>
              <w:t>Nav</w:t>
            </w:r>
          </w:p>
        </w:tc>
      </w:tr>
    </w:tbl>
    <w:p w:rsidR="00634120" w:rsidRPr="00D91AC1" w:rsidRDefault="00634120" w:rsidP="00634120">
      <w:pPr>
        <w:jc w:val="both"/>
        <w:rPr>
          <w:sz w:val="28"/>
          <w:szCs w:val="28"/>
        </w:rPr>
      </w:pPr>
    </w:p>
    <w:tbl>
      <w:tblPr>
        <w:tblW w:w="5140"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6"/>
        <w:gridCol w:w="3982"/>
        <w:gridCol w:w="4818"/>
      </w:tblGrid>
      <w:tr w:rsidR="00634120" w:rsidRPr="00D91AC1" w:rsidTr="00DF1CDD">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634120" w:rsidRPr="00D91AC1" w:rsidRDefault="00634120" w:rsidP="00DF1CDD">
            <w:pPr>
              <w:jc w:val="center"/>
              <w:rPr>
                <w:sz w:val="28"/>
                <w:szCs w:val="28"/>
              </w:rPr>
            </w:pPr>
            <w:r w:rsidRPr="00D91AC1">
              <w:rPr>
                <w:b/>
                <w:bCs/>
                <w:sz w:val="28"/>
                <w:szCs w:val="28"/>
              </w:rPr>
              <w:t>VII. Tiesību akta projekta izpildes nodrošināšana un tās ietekme uz institūcijām</w:t>
            </w:r>
          </w:p>
        </w:tc>
      </w:tr>
      <w:tr w:rsidR="00634120" w:rsidRPr="00D91AC1" w:rsidTr="00E21B29">
        <w:trPr>
          <w:trHeight w:val="427"/>
          <w:tblCellSpacing w:w="0" w:type="dxa"/>
        </w:trPr>
        <w:tc>
          <w:tcPr>
            <w:tcW w:w="297" w:type="pct"/>
            <w:tcBorders>
              <w:top w:val="outset" w:sz="6" w:space="0" w:color="auto"/>
              <w:left w:val="outset" w:sz="6" w:space="0" w:color="auto"/>
              <w:bottom w:val="outset" w:sz="6" w:space="0" w:color="auto"/>
              <w:right w:val="outset" w:sz="6" w:space="0" w:color="auto"/>
            </w:tcBorders>
          </w:tcPr>
          <w:p w:rsidR="00634120" w:rsidRPr="00D91AC1" w:rsidRDefault="00634120" w:rsidP="00DF1CDD">
            <w:pPr>
              <w:rPr>
                <w:sz w:val="28"/>
                <w:szCs w:val="28"/>
              </w:rPr>
            </w:pPr>
            <w:r w:rsidRPr="00D91AC1">
              <w:rPr>
                <w:sz w:val="28"/>
                <w:szCs w:val="28"/>
              </w:rPr>
              <w:t> 1.</w:t>
            </w:r>
          </w:p>
        </w:tc>
        <w:tc>
          <w:tcPr>
            <w:tcW w:w="2128" w:type="pct"/>
            <w:tcBorders>
              <w:top w:val="outset" w:sz="6" w:space="0" w:color="auto"/>
              <w:left w:val="outset" w:sz="6" w:space="0" w:color="auto"/>
              <w:bottom w:val="outset" w:sz="6" w:space="0" w:color="auto"/>
              <w:right w:val="outset" w:sz="6" w:space="0" w:color="auto"/>
            </w:tcBorders>
          </w:tcPr>
          <w:p w:rsidR="00634120" w:rsidRPr="00D91AC1" w:rsidRDefault="00634120" w:rsidP="00DF1CDD">
            <w:pPr>
              <w:rPr>
                <w:sz w:val="28"/>
                <w:szCs w:val="28"/>
              </w:rPr>
            </w:pPr>
            <w:r w:rsidRPr="00D91AC1">
              <w:rPr>
                <w:sz w:val="28"/>
                <w:szCs w:val="28"/>
              </w:rPr>
              <w:t> Projekta izpildē iesaistītās institūcijas</w:t>
            </w:r>
          </w:p>
        </w:tc>
        <w:tc>
          <w:tcPr>
            <w:tcW w:w="2575" w:type="pct"/>
            <w:tcBorders>
              <w:top w:val="outset" w:sz="6" w:space="0" w:color="auto"/>
              <w:left w:val="outset" w:sz="6" w:space="0" w:color="auto"/>
              <w:bottom w:val="outset" w:sz="6" w:space="0" w:color="auto"/>
              <w:right w:val="outset" w:sz="6" w:space="0" w:color="auto"/>
            </w:tcBorders>
            <w:vAlign w:val="center"/>
          </w:tcPr>
          <w:p w:rsidR="00634120" w:rsidRPr="00D91AC1" w:rsidRDefault="00E21B29" w:rsidP="00E21B29">
            <w:pPr>
              <w:ind w:right="57"/>
              <w:jc w:val="both"/>
              <w:rPr>
                <w:sz w:val="28"/>
                <w:szCs w:val="28"/>
              </w:rPr>
            </w:pPr>
            <w:r>
              <w:rPr>
                <w:sz w:val="28"/>
                <w:szCs w:val="28"/>
              </w:rPr>
              <w:t xml:space="preserve"> </w:t>
            </w:r>
            <w:r w:rsidR="00634120" w:rsidRPr="00D91AC1">
              <w:rPr>
                <w:sz w:val="28"/>
                <w:szCs w:val="28"/>
              </w:rPr>
              <w:t>Kultūras ministrija</w:t>
            </w:r>
          </w:p>
        </w:tc>
      </w:tr>
      <w:tr w:rsidR="00634120" w:rsidRPr="00D91AC1" w:rsidTr="00E21B29">
        <w:trPr>
          <w:trHeight w:val="463"/>
          <w:tblCellSpacing w:w="0" w:type="dxa"/>
        </w:trPr>
        <w:tc>
          <w:tcPr>
            <w:tcW w:w="297" w:type="pct"/>
            <w:tcBorders>
              <w:top w:val="outset" w:sz="6" w:space="0" w:color="auto"/>
              <w:left w:val="outset" w:sz="6" w:space="0" w:color="auto"/>
              <w:bottom w:val="outset" w:sz="6" w:space="0" w:color="auto"/>
              <w:right w:val="outset" w:sz="6" w:space="0" w:color="auto"/>
            </w:tcBorders>
          </w:tcPr>
          <w:p w:rsidR="00634120" w:rsidRPr="00D91AC1" w:rsidRDefault="00634120" w:rsidP="00DF1CDD">
            <w:pPr>
              <w:rPr>
                <w:sz w:val="28"/>
                <w:szCs w:val="28"/>
              </w:rPr>
            </w:pPr>
            <w:r w:rsidRPr="00D91AC1">
              <w:rPr>
                <w:sz w:val="28"/>
                <w:szCs w:val="28"/>
              </w:rPr>
              <w:t> 2.</w:t>
            </w:r>
          </w:p>
        </w:tc>
        <w:tc>
          <w:tcPr>
            <w:tcW w:w="2128" w:type="pct"/>
            <w:tcBorders>
              <w:top w:val="outset" w:sz="6" w:space="0" w:color="auto"/>
              <w:left w:val="outset" w:sz="6" w:space="0" w:color="auto"/>
              <w:bottom w:val="outset" w:sz="6" w:space="0" w:color="auto"/>
              <w:right w:val="outset" w:sz="6" w:space="0" w:color="auto"/>
            </w:tcBorders>
          </w:tcPr>
          <w:p w:rsidR="00634120" w:rsidRPr="00D91AC1" w:rsidRDefault="00634120" w:rsidP="00DF1CDD">
            <w:pPr>
              <w:rPr>
                <w:sz w:val="28"/>
                <w:szCs w:val="28"/>
              </w:rPr>
            </w:pPr>
            <w:r w:rsidRPr="00D91AC1">
              <w:rPr>
                <w:sz w:val="28"/>
                <w:szCs w:val="28"/>
              </w:rPr>
              <w:t> Projekta izpildes ietekme uz pārvaldes funkcijām</w:t>
            </w:r>
          </w:p>
        </w:tc>
        <w:tc>
          <w:tcPr>
            <w:tcW w:w="2575" w:type="pct"/>
            <w:tcBorders>
              <w:top w:val="outset" w:sz="6" w:space="0" w:color="auto"/>
              <w:left w:val="outset" w:sz="6" w:space="0" w:color="auto"/>
              <w:bottom w:val="outset" w:sz="6" w:space="0" w:color="auto"/>
              <w:right w:val="outset" w:sz="6" w:space="0" w:color="auto"/>
            </w:tcBorders>
          </w:tcPr>
          <w:p w:rsidR="00634120" w:rsidRPr="00D91AC1" w:rsidRDefault="00E21B29" w:rsidP="00E21B29">
            <w:pPr>
              <w:ind w:right="33"/>
              <w:jc w:val="both"/>
              <w:rPr>
                <w:sz w:val="28"/>
                <w:szCs w:val="28"/>
              </w:rPr>
            </w:pPr>
            <w:r>
              <w:rPr>
                <w:sz w:val="28"/>
                <w:szCs w:val="28"/>
              </w:rPr>
              <w:t xml:space="preserve"> </w:t>
            </w:r>
            <w:r w:rsidR="00634120" w:rsidRPr="00D91AC1">
              <w:rPr>
                <w:sz w:val="28"/>
                <w:szCs w:val="28"/>
              </w:rPr>
              <w:t>Projekts šo jomu neskar.</w:t>
            </w:r>
          </w:p>
        </w:tc>
      </w:tr>
      <w:tr w:rsidR="00634120" w:rsidRPr="00D91AC1" w:rsidTr="00E21B29">
        <w:trPr>
          <w:trHeight w:val="725"/>
          <w:tblCellSpacing w:w="0" w:type="dxa"/>
        </w:trPr>
        <w:tc>
          <w:tcPr>
            <w:tcW w:w="297" w:type="pct"/>
            <w:tcBorders>
              <w:top w:val="outset" w:sz="6" w:space="0" w:color="auto"/>
              <w:left w:val="outset" w:sz="6" w:space="0" w:color="auto"/>
              <w:bottom w:val="outset" w:sz="6" w:space="0" w:color="auto"/>
              <w:right w:val="outset" w:sz="6" w:space="0" w:color="auto"/>
            </w:tcBorders>
          </w:tcPr>
          <w:p w:rsidR="00634120" w:rsidRPr="00D91AC1" w:rsidRDefault="00634120" w:rsidP="00DF1CDD">
            <w:pPr>
              <w:rPr>
                <w:sz w:val="28"/>
                <w:szCs w:val="28"/>
              </w:rPr>
            </w:pPr>
            <w:r w:rsidRPr="00D91AC1">
              <w:rPr>
                <w:sz w:val="28"/>
                <w:szCs w:val="28"/>
              </w:rPr>
              <w:t> 3.</w:t>
            </w:r>
          </w:p>
        </w:tc>
        <w:tc>
          <w:tcPr>
            <w:tcW w:w="2128" w:type="pct"/>
            <w:tcBorders>
              <w:top w:val="outset" w:sz="6" w:space="0" w:color="auto"/>
              <w:left w:val="outset" w:sz="6" w:space="0" w:color="auto"/>
              <w:bottom w:val="outset" w:sz="6" w:space="0" w:color="auto"/>
              <w:right w:val="outset" w:sz="6" w:space="0" w:color="auto"/>
            </w:tcBorders>
          </w:tcPr>
          <w:p w:rsidR="00634120" w:rsidRPr="00D91AC1" w:rsidRDefault="00634120" w:rsidP="00DF1CDD">
            <w:pPr>
              <w:rPr>
                <w:sz w:val="28"/>
                <w:szCs w:val="28"/>
              </w:rPr>
            </w:pPr>
            <w:r w:rsidRPr="00D91AC1">
              <w:rPr>
                <w:sz w:val="28"/>
                <w:szCs w:val="28"/>
              </w:rPr>
              <w:t> Projekta izpildes ietekme uz pārvaldes institucionālo struktūru.</w:t>
            </w:r>
          </w:p>
          <w:p w:rsidR="00634120" w:rsidRPr="00D91AC1" w:rsidRDefault="00634120" w:rsidP="00DF1CDD">
            <w:pPr>
              <w:rPr>
                <w:sz w:val="28"/>
                <w:szCs w:val="28"/>
              </w:rPr>
            </w:pPr>
            <w:r w:rsidRPr="00D91AC1">
              <w:rPr>
                <w:sz w:val="28"/>
                <w:szCs w:val="28"/>
              </w:rPr>
              <w:t>Jaunu institūciju izveide</w:t>
            </w:r>
          </w:p>
        </w:tc>
        <w:tc>
          <w:tcPr>
            <w:tcW w:w="2575" w:type="pct"/>
            <w:tcBorders>
              <w:top w:val="outset" w:sz="6" w:space="0" w:color="auto"/>
              <w:left w:val="outset" w:sz="6" w:space="0" w:color="auto"/>
              <w:bottom w:val="outset" w:sz="6" w:space="0" w:color="auto"/>
              <w:right w:val="outset" w:sz="6" w:space="0" w:color="auto"/>
            </w:tcBorders>
          </w:tcPr>
          <w:p w:rsidR="00634120" w:rsidRPr="00D91AC1" w:rsidRDefault="00634120" w:rsidP="00DF1CDD">
            <w:pPr>
              <w:ind w:right="57"/>
              <w:rPr>
                <w:sz w:val="28"/>
                <w:szCs w:val="28"/>
              </w:rPr>
            </w:pPr>
            <w:r w:rsidRPr="00D91AC1">
              <w:rPr>
                <w:sz w:val="28"/>
                <w:szCs w:val="28"/>
              </w:rPr>
              <w:t xml:space="preserve"> Projekts šo jomu neskar.</w:t>
            </w:r>
          </w:p>
        </w:tc>
      </w:tr>
      <w:tr w:rsidR="00634120" w:rsidRPr="00D91AC1" w:rsidTr="00E21B29">
        <w:trPr>
          <w:trHeight w:val="780"/>
          <w:tblCellSpacing w:w="0" w:type="dxa"/>
        </w:trPr>
        <w:tc>
          <w:tcPr>
            <w:tcW w:w="297" w:type="pct"/>
            <w:tcBorders>
              <w:top w:val="outset" w:sz="6" w:space="0" w:color="auto"/>
              <w:left w:val="outset" w:sz="6" w:space="0" w:color="auto"/>
              <w:bottom w:val="outset" w:sz="6" w:space="0" w:color="auto"/>
              <w:right w:val="outset" w:sz="6" w:space="0" w:color="auto"/>
            </w:tcBorders>
          </w:tcPr>
          <w:p w:rsidR="00634120" w:rsidRPr="00D91AC1" w:rsidRDefault="00634120" w:rsidP="00DF1CDD">
            <w:pPr>
              <w:rPr>
                <w:sz w:val="28"/>
                <w:szCs w:val="28"/>
              </w:rPr>
            </w:pPr>
            <w:r w:rsidRPr="00D91AC1">
              <w:rPr>
                <w:sz w:val="28"/>
                <w:szCs w:val="28"/>
              </w:rPr>
              <w:t> 4.</w:t>
            </w:r>
          </w:p>
        </w:tc>
        <w:tc>
          <w:tcPr>
            <w:tcW w:w="2128" w:type="pct"/>
            <w:tcBorders>
              <w:top w:val="outset" w:sz="6" w:space="0" w:color="auto"/>
              <w:left w:val="outset" w:sz="6" w:space="0" w:color="auto"/>
              <w:bottom w:val="outset" w:sz="6" w:space="0" w:color="auto"/>
              <w:right w:val="outset" w:sz="6" w:space="0" w:color="auto"/>
            </w:tcBorders>
          </w:tcPr>
          <w:p w:rsidR="00634120" w:rsidRPr="00D91AC1" w:rsidRDefault="00634120" w:rsidP="00DF1CDD">
            <w:pPr>
              <w:rPr>
                <w:sz w:val="28"/>
                <w:szCs w:val="28"/>
              </w:rPr>
            </w:pPr>
            <w:r w:rsidRPr="00D91AC1">
              <w:rPr>
                <w:sz w:val="28"/>
                <w:szCs w:val="28"/>
              </w:rPr>
              <w:t> Projekta izpildes ietekme uz pārvaldes institucionālo struktūru.</w:t>
            </w:r>
          </w:p>
          <w:p w:rsidR="00634120" w:rsidRPr="00D91AC1" w:rsidRDefault="00634120" w:rsidP="00DF1CDD">
            <w:pPr>
              <w:rPr>
                <w:sz w:val="28"/>
                <w:szCs w:val="28"/>
              </w:rPr>
            </w:pPr>
            <w:r w:rsidRPr="00D91AC1">
              <w:rPr>
                <w:sz w:val="28"/>
                <w:szCs w:val="28"/>
              </w:rPr>
              <w:t>Esošu institūciju likvidācija</w:t>
            </w:r>
          </w:p>
        </w:tc>
        <w:tc>
          <w:tcPr>
            <w:tcW w:w="2575" w:type="pct"/>
            <w:tcBorders>
              <w:top w:val="outset" w:sz="6" w:space="0" w:color="auto"/>
              <w:left w:val="outset" w:sz="6" w:space="0" w:color="auto"/>
              <w:bottom w:val="outset" w:sz="6" w:space="0" w:color="auto"/>
              <w:right w:val="outset" w:sz="6" w:space="0" w:color="auto"/>
            </w:tcBorders>
          </w:tcPr>
          <w:p w:rsidR="00634120" w:rsidRPr="00D91AC1" w:rsidRDefault="00634120" w:rsidP="00DF1CDD">
            <w:pPr>
              <w:ind w:right="57"/>
              <w:rPr>
                <w:sz w:val="28"/>
                <w:szCs w:val="28"/>
              </w:rPr>
            </w:pPr>
            <w:r w:rsidRPr="00D91AC1">
              <w:rPr>
                <w:sz w:val="28"/>
                <w:szCs w:val="28"/>
              </w:rPr>
              <w:t xml:space="preserve"> Projekts šo jomu neskar.</w:t>
            </w:r>
          </w:p>
        </w:tc>
      </w:tr>
      <w:tr w:rsidR="00634120" w:rsidRPr="00D91AC1" w:rsidTr="00E21B29">
        <w:trPr>
          <w:trHeight w:val="703"/>
          <w:tblCellSpacing w:w="0" w:type="dxa"/>
        </w:trPr>
        <w:tc>
          <w:tcPr>
            <w:tcW w:w="297" w:type="pct"/>
            <w:tcBorders>
              <w:top w:val="outset" w:sz="6" w:space="0" w:color="auto"/>
              <w:left w:val="outset" w:sz="6" w:space="0" w:color="auto"/>
              <w:bottom w:val="outset" w:sz="6" w:space="0" w:color="auto"/>
              <w:right w:val="outset" w:sz="6" w:space="0" w:color="auto"/>
            </w:tcBorders>
          </w:tcPr>
          <w:p w:rsidR="00634120" w:rsidRPr="00D91AC1" w:rsidRDefault="00634120" w:rsidP="00DF1CDD">
            <w:pPr>
              <w:rPr>
                <w:sz w:val="28"/>
                <w:szCs w:val="28"/>
              </w:rPr>
            </w:pPr>
            <w:r w:rsidRPr="00D91AC1">
              <w:rPr>
                <w:sz w:val="28"/>
                <w:szCs w:val="28"/>
              </w:rPr>
              <w:t> 5.</w:t>
            </w:r>
          </w:p>
        </w:tc>
        <w:tc>
          <w:tcPr>
            <w:tcW w:w="2128" w:type="pct"/>
            <w:tcBorders>
              <w:top w:val="outset" w:sz="6" w:space="0" w:color="auto"/>
              <w:left w:val="outset" w:sz="6" w:space="0" w:color="auto"/>
              <w:bottom w:val="outset" w:sz="6" w:space="0" w:color="auto"/>
              <w:right w:val="outset" w:sz="6" w:space="0" w:color="auto"/>
            </w:tcBorders>
          </w:tcPr>
          <w:p w:rsidR="00634120" w:rsidRPr="00D91AC1" w:rsidRDefault="00634120" w:rsidP="00DF1CDD">
            <w:pPr>
              <w:rPr>
                <w:sz w:val="28"/>
                <w:szCs w:val="28"/>
              </w:rPr>
            </w:pPr>
            <w:r w:rsidRPr="00D91AC1">
              <w:rPr>
                <w:sz w:val="28"/>
                <w:szCs w:val="28"/>
              </w:rPr>
              <w:t> Projekta izpildes ietekme uz pārvaldes institucionālo struktūru.</w:t>
            </w:r>
          </w:p>
          <w:p w:rsidR="00634120" w:rsidRPr="00D91AC1" w:rsidRDefault="00634120" w:rsidP="00DF1CDD">
            <w:pPr>
              <w:rPr>
                <w:sz w:val="28"/>
                <w:szCs w:val="28"/>
              </w:rPr>
            </w:pPr>
            <w:r w:rsidRPr="00D91AC1">
              <w:rPr>
                <w:sz w:val="28"/>
                <w:szCs w:val="28"/>
              </w:rPr>
              <w:t>Esošu institūciju reorganizācija</w:t>
            </w:r>
          </w:p>
        </w:tc>
        <w:tc>
          <w:tcPr>
            <w:tcW w:w="2575" w:type="pct"/>
            <w:tcBorders>
              <w:top w:val="outset" w:sz="6" w:space="0" w:color="auto"/>
              <w:left w:val="outset" w:sz="6" w:space="0" w:color="auto"/>
              <w:bottom w:val="outset" w:sz="6" w:space="0" w:color="auto"/>
              <w:right w:val="outset" w:sz="6" w:space="0" w:color="auto"/>
            </w:tcBorders>
          </w:tcPr>
          <w:p w:rsidR="00634120" w:rsidRPr="00D91AC1" w:rsidRDefault="00634120" w:rsidP="00DF1CDD">
            <w:pPr>
              <w:ind w:right="57"/>
              <w:rPr>
                <w:sz w:val="28"/>
                <w:szCs w:val="28"/>
              </w:rPr>
            </w:pPr>
            <w:r w:rsidRPr="00D91AC1">
              <w:rPr>
                <w:sz w:val="28"/>
                <w:szCs w:val="28"/>
              </w:rPr>
              <w:t xml:space="preserve"> Projekts šo jomu neskar.</w:t>
            </w:r>
          </w:p>
        </w:tc>
      </w:tr>
      <w:tr w:rsidR="00634120" w:rsidRPr="00D91AC1" w:rsidTr="00E21B29">
        <w:trPr>
          <w:trHeight w:val="476"/>
          <w:tblCellSpacing w:w="0" w:type="dxa"/>
        </w:trPr>
        <w:tc>
          <w:tcPr>
            <w:tcW w:w="297" w:type="pct"/>
            <w:tcBorders>
              <w:top w:val="outset" w:sz="6" w:space="0" w:color="auto"/>
              <w:left w:val="outset" w:sz="6" w:space="0" w:color="auto"/>
              <w:bottom w:val="outset" w:sz="6" w:space="0" w:color="auto"/>
              <w:right w:val="outset" w:sz="6" w:space="0" w:color="auto"/>
            </w:tcBorders>
          </w:tcPr>
          <w:p w:rsidR="00634120" w:rsidRPr="00D91AC1" w:rsidRDefault="00634120" w:rsidP="00DF1CDD">
            <w:pPr>
              <w:rPr>
                <w:sz w:val="28"/>
                <w:szCs w:val="28"/>
              </w:rPr>
            </w:pPr>
            <w:r w:rsidRPr="00D91AC1">
              <w:rPr>
                <w:sz w:val="28"/>
                <w:szCs w:val="28"/>
              </w:rPr>
              <w:t> 6.</w:t>
            </w:r>
          </w:p>
        </w:tc>
        <w:tc>
          <w:tcPr>
            <w:tcW w:w="2128" w:type="pct"/>
            <w:tcBorders>
              <w:top w:val="outset" w:sz="6" w:space="0" w:color="auto"/>
              <w:left w:val="outset" w:sz="6" w:space="0" w:color="auto"/>
              <w:bottom w:val="outset" w:sz="6" w:space="0" w:color="auto"/>
              <w:right w:val="outset" w:sz="6" w:space="0" w:color="auto"/>
            </w:tcBorders>
          </w:tcPr>
          <w:p w:rsidR="00634120" w:rsidRPr="00D91AC1" w:rsidRDefault="00634120" w:rsidP="00DF1CDD">
            <w:pPr>
              <w:rPr>
                <w:sz w:val="28"/>
                <w:szCs w:val="28"/>
              </w:rPr>
            </w:pPr>
            <w:r w:rsidRPr="00D91AC1">
              <w:rPr>
                <w:sz w:val="28"/>
                <w:szCs w:val="28"/>
              </w:rPr>
              <w:t> Cita informācija</w:t>
            </w:r>
          </w:p>
        </w:tc>
        <w:tc>
          <w:tcPr>
            <w:tcW w:w="2575" w:type="pct"/>
            <w:tcBorders>
              <w:top w:val="outset" w:sz="6" w:space="0" w:color="auto"/>
              <w:left w:val="outset" w:sz="6" w:space="0" w:color="auto"/>
              <w:bottom w:val="outset" w:sz="6" w:space="0" w:color="auto"/>
              <w:right w:val="outset" w:sz="6" w:space="0" w:color="auto"/>
            </w:tcBorders>
          </w:tcPr>
          <w:p w:rsidR="00634120" w:rsidRPr="00D91AC1" w:rsidRDefault="00634120" w:rsidP="00DF1CDD">
            <w:pPr>
              <w:ind w:right="57"/>
              <w:rPr>
                <w:sz w:val="28"/>
                <w:szCs w:val="28"/>
              </w:rPr>
            </w:pPr>
            <w:r w:rsidRPr="00D91AC1">
              <w:rPr>
                <w:sz w:val="28"/>
                <w:szCs w:val="28"/>
              </w:rPr>
              <w:t>Nav</w:t>
            </w:r>
          </w:p>
        </w:tc>
      </w:tr>
      <w:bookmarkEnd w:id="0"/>
      <w:bookmarkEnd w:id="1"/>
      <w:bookmarkEnd w:id="2"/>
      <w:bookmarkEnd w:id="3"/>
    </w:tbl>
    <w:p w:rsidR="00C74299" w:rsidRPr="00D91AC1" w:rsidRDefault="00C74299" w:rsidP="00634120">
      <w:pPr>
        <w:jc w:val="both"/>
        <w:rPr>
          <w:color w:val="000000"/>
          <w:sz w:val="28"/>
          <w:szCs w:val="28"/>
        </w:rPr>
      </w:pPr>
    </w:p>
    <w:p w:rsidR="00634120" w:rsidRPr="00D91AC1" w:rsidRDefault="00634120" w:rsidP="00634120">
      <w:pPr>
        <w:rPr>
          <w:sz w:val="28"/>
          <w:szCs w:val="28"/>
        </w:rPr>
      </w:pPr>
      <w:r w:rsidRPr="00D91AC1">
        <w:rPr>
          <w:sz w:val="28"/>
          <w:szCs w:val="28"/>
        </w:rPr>
        <w:t>Kul</w:t>
      </w:r>
      <w:r w:rsidR="00C74299">
        <w:rPr>
          <w:sz w:val="28"/>
          <w:szCs w:val="28"/>
        </w:rPr>
        <w:t>tūras ministre</w:t>
      </w:r>
      <w:r w:rsidR="00C74299">
        <w:rPr>
          <w:sz w:val="28"/>
          <w:szCs w:val="28"/>
        </w:rPr>
        <w:tab/>
      </w:r>
      <w:r w:rsidR="00C74299">
        <w:rPr>
          <w:sz w:val="28"/>
          <w:szCs w:val="28"/>
        </w:rPr>
        <w:tab/>
      </w:r>
      <w:r w:rsidR="00C74299">
        <w:rPr>
          <w:sz w:val="28"/>
          <w:szCs w:val="28"/>
        </w:rPr>
        <w:tab/>
      </w:r>
      <w:r w:rsidR="00C74299">
        <w:rPr>
          <w:sz w:val="28"/>
          <w:szCs w:val="28"/>
        </w:rPr>
        <w:tab/>
      </w:r>
      <w:r w:rsidR="00C74299">
        <w:rPr>
          <w:sz w:val="28"/>
          <w:szCs w:val="28"/>
        </w:rPr>
        <w:tab/>
      </w:r>
      <w:r w:rsidR="00C74299">
        <w:rPr>
          <w:sz w:val="28"/>
          <w:szCs w:val="28"/>
        </w:rPr>
        <w:tab/>
        <w:t xml:space="preserve">Ž.Jaunzeme – </w:t>
      </w:r>
      <w:r w:rsidRPr="00D91AC1">
        <w:rPr>
          <w:sz w:val="28"/>
          <w:szCs w:val="28"/>
        </w:rPr>
        <w:t>Grende</w:t>
      </w:r>
    </w:p>
    <w:p w:rsidR="00634120" w:rsidRPr="00D91AC1" w:rsidRDefault="00634120" w:rsidP="00634120">
      <w:pPr>
        <w:rPr>
          <w:sz w:val="28"/>
          <w:szCs w:val="28"/>
        </w:rPr>
      </w:pPr>
    </w:p>
    <w:p w:rsidR="00634120" w:rsidRPr="00D91AC1" w:rsidRDefault="00634120" w:rsidP="00634120">
      <w:pPr>
        <w:rPr>
          <w:sz w:val="28"/>
          <w:szCs w:val="28"/>
        </w:rPr>
      </w:pPr>
      <w:r w:rsidRPr="00D91AC1">
        <w:rPr>
          <w:sz w:val="28"/>
          <w:szCs w:val="28"/>
        </w:rPr>
        <w:lastRenderedPageBreak/>
        <w:t>Vīza: Valsts sekretārs</w:t>
      </w:r>
      <w:r w:rsidRPr="00D91AC1">
        <w:rPr>
          <w:sz w:val="28"/>
          <w:szCs w:val="28"/>
        </w:rPr>
        <w:tab/>
      </w:r>
      <w:r w:rsidRPr="00D91AC1">
        <w:rPr>
          <w:sz w:val="28"/>
          <w:szCs w:val="28"/>
        </w:rPr>
        <w:tab/>
      </w:r>
      <w:r w:rsidRPr="00D91AC1">
        <w:rPr>
          <w:sz w:val="28"/>
          <w:szCs w:val="28"/>
        </w:rPr>
        <w:tab/>
      </w:r>
      <w:r w:rsidRPr="00D91AC1">
        <w:rPr>
          <w:sz w:val="28"/>
          <w:szCs w:val="28"/>
        </w:rPr>
        <w:tab/>
      </w:r>
      <w:r w:rsidRPr="00D91AC1">
        <w:rPr>
          <w:sz w:val="28"/>
          <w:szCs w:val="28"/>
        </w:rPr>
        <w:tab/>
        <w:t>G.Puķītis</w:t>
      </w:r>
    </w:p>
    <w:p w:rsidR="003D3F4B" w:rsidRDefault="003D3F4B" w:rsidP="00634120">
      <w:pPr>
        <w:rPr>
          <w:sz w:val="22"/>
          <w:szCs w:val="22"/>
        </w:rPr>
      </w:pPr>
    </w:p>
    <w:p w:rsidR="00C74299" w:rsidRDefault="00C74299" w:rsidP="00634120">
      <w:pPr>
        <w:rPr>
          <w:sz w:val="22"/>
          <w:szCs w:val="22"/>
        </w:rPr>
      </w:pPr>
    </w:p>
    <w:p w:rsidR="00C74299" w:rsidRDefault="00C74299" w:rsidP="00634120">
      <w:pPr>
        <w:rPr>
          <w:sz w:val="22"/>
          <w:szCs w:val="22"/>
        </w:rPr>
      </w:pPr>
    </w:p>
    <w:p w:rsidR="00C74299" w:rsidRDefault="00C74299" w:rsidP="00634120">
      <w:pPr>
        <w:rPr>
          <w:sz w:val="22"/>
          <w:szCs w:val="22"/>
        </w:rPr>
      </w:pPr>
    </w:p>
    <w:p w:rsidR="00C74299" w:rsidRDefault="00C74299" w:rsidP="00634120">
      <w:pPr>
        <w:rPr>
          <w:sz w:val="22"/>
          <w:szCs w:val="22"/>
        </w:rPr>
      </w:pPr>
    </w:p>
    <w:p w:rsidR="00E21B29" w:rsidRDefault="00E21B29" w:rsidP="00634120">
      <w:pPr>
        <w:rPr>
          <w:sz w:val="22"/>
          <w:szCs w:val="22"/>
        </w:rPr>
      </w:pPr>
    </w:p>
    <w:p w:rsidR="00C74299" w:rsidRPr="00C74299" w:rsidRDefault="00C74299" w:rsidP="00634120">
      <w:pPr>
        <w:rPr>
          <w:sz w:val="22"/>
          <w:szCs w:val="22"/>
        </w:rPr>
      </w:pPr>
    </w:p>
    <w:p w:rsidR="00CF1399" w:rsidRPr="00C74299" w:rsidRDefault="00C74299" w:rsidP="00CF1399">
      <w:pPr>
        <w:rPr>
          <w:sz w:val="22"/>
          <w:szCs w:val="22"/>
        </w:rPr>
      </w:pPr>
      <w:r>
        <w:rPr>
          <w:sz w:val="22"/>
          <w:szCs w:val="22"/>
        </w:rPr>
        <w:t>14.09</w:t>
      </w:r>
      <w:r w:rsidR="00380511" w:rsidRPr="00C74299">
        <w:rPr>
          <w:sz w:val="22"/>
          <w:szCs w:val="22"/>
        </w:rPr>
        <w:t>.12.</w:t>
      </w:r>
    </w:p>
    <w:p w:rsidR="00CF1399" w:rsidRPr="00C74299" w:rsidRDefault="00754374" w:rsidP="00CF1399">
      <w:pPr>
        <w:rPr>
          <w:sz w:val="22"/>
          <w:szCs w:val="22"/>
        </w:rPr>
      </w:pPr>
      <w:r w:rsidRPr="00C74299">
        <w:rPr>
          <w:sz w:val="22"/>
          <w:szCs w:val="22"/>
        </w:rPr>
        <w:t>7</w:t>
      </w:r>
      <w:r w:rsidR="00CF3756">
        <w:rPr>
          <w:sz w:val="22"/>
          <w:szCs w:val="22"/>
        </w:rPr>
        <w:t>75</w:t>
      </w:r>
    </w:p>
    <w:p w:rsidR="00C74299" w:rsidRPr="003120A5" w:rsidRDefault="00C74299" w:rsidP="00C74299">
      <w:pPr>
        <w:rPr>
          <w:sz w:val="22"/>
          <w:szCs w:val="22"/>
        </w:rPr>
      </w:pPr>
      <w:r w:rsidRPr="003120A5">
        <w:rPr>
          <w:sz w:val="22"/>
          <w:szCs w:val="22"/>
        </w:rPr>
        <w:t>D. Ziemele</w:t>
      </w:r>
    </w:p>
    <w:p w:rsidR="00C74299" w:rsidRPr="003120A5" w:rsidRDefault="00C74299" w:rsidP="00C74299">
      <w:pPr>
        <w:pStyle w:val="Galvene"/>
        <w:rPr>
          <w:sz w:val="22"/>
          <w:szCs w:val="22"/>
        </w:rPr>
      </w:pPr>
      <w:r w:rsidRPr="003120A5">
        <w:rPr>
          <w:sz w:val="22"/>
          <w:szCs w:val="22"/>
        </w:rPr>
        <w:t>Tālr.67330250</w:t>
      </w:r>
      <w:r w:rsidRPr="003120A5" w:rsidDel="00CE159B">
        <w:rPr>
          <w:sz w:val="22"/>
          <w:szCs w:val="22"/>
        </w:rPr>
        <w:t xml:space="preserve"> </w:t>
      </w:r>
    </w:p>
    <w:p w:rsidR="00C74299" w:rsidRPr="003120A5" w:rsidRDefault="0019617E" w:rsidP="00C74299">
      <w:pPr>
        <w:rPr>
          <w:sz w:val="22"/>
          <w:szCs w:val="22"/>
        </w:rPr>
      </w:pPr>
      <w:hyperlink r:id="rId9" w:history="1">
        <w:r w:rsidR="00C74299" w:rsidRPr="003120A5">
          <w:rPr>
            <w:rStyle w:val="Hipersaite"/>
            <w:sz w:val="22"/>
            <w:szCs w:val="22"/>
          </w:rPr>
          <w:t>Dace.Ziemele@km.gov.lv</w:t>
        </w:r>
      </w:hyperlink>
      <w:r w:rsidR="00C74299" w:rsidRPr="003120A5">
        <w:rPr>
          <w:sz w:val="22"/>
          <w:szCs w:val="22"/>
        </w:rPr>
        <w:t xml:space="preserve"> </w:t>
      </w:r>
    </w:p>
    <w:p w:rsidR="00C74299" w:rsidRPr="00C74299" w:rsidRDefault="00C74299">
      <w:pPr>
        <w:pStyle w:val="Galvene"/>
        <w:rPr>
          <w:sz w:val="22"/>
          <w:szCs w:val="22"/>
        </w:rPr>
      </w:pPr>
    </w:p>
    <w:sectPr w:rsidR="00C74299" w:rsidRPr="00C74299" w:rsidSect="00A96107">
      <w:headerReference w:type="default" r:id="rId10"/>
      <w:footerReference w:type="default" r:id="rId11"/>
      <w:footerReference w:type="first" r:id="rId12"/>
      <w:pgSz w:w="11906" w:h="16838"/>
      <w:pgMar w:top="1276"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1DA" w:rsidRDefault="00F611DA" w:rsidP="00B96B33">
      <w:r>
        <w:separator/>
      </w:r>
    </w:p>
  </w:endnote>
  <w:endnote w:type="continuationSeparator" w:id="0">
    <w:p w:rsidR="00F611DA" w:rsidRDefault="00F611DA" w:rsidP="00B9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ews Gothic TL">
    <w:altName w:val="News Goth Condensed TL"/>
    <w:panose1 w:val="00000000000000000000"/>
    <w:charset w:val="EE"/>
    <w:family w:val="swiss"/>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1DA" w:rsidRDefault="00F611DA" w:rsidP="00B96B33">
    <w:pPr>
      <w:jc w:val="both"/>
      <w:rPr>
        <w:sz w:val="22"/>
        <w:szCs w:val="22"/>
      </w:rPr>
    </w:pPr>
  </w:p>
  <w:p w:rsidR="00F611DA" w:rsidRPr="002E5DE8" w:rsidRDefault="00F611DA" w:rsidP="00CF1399">
    <w:pPr>
      <w:jc w:val="both"/>
      <w:rPr>
        <w:sz w:val="22"/>
        <w:szCs w:val="22"/>
      </w:rPr>
    </w:pPr>
    <w:bookmarkStart w:id="4" w:name="OLE_LINK5"/>
    <w:bookmarkStart w:id="5" w:name="OLE_LINK6"/>
    <w:r>
      <w:rPr>
        <w:sz w:val="22"/>
        <w:szCs w:val="22"/>
      </w:rPr>
      <w:t>KMAnot_</w:t>
    </w:r>
    <w:bookmarkEnd w:id="4"/>
    <w:bookmarkEnd w:id="5"/>
    <w:r>
      <w:rPr>
        <w:sz w:val="22"/>
        <w:szCs w:val="22"/>
      </w:rPr>
      <w:t>14</w:t>
    </w:r>
    <w:r w:rsidRPr="00C74299">
      <w:rPr>
        <w:sz w:val="22"/>
        <w:szCs w:val="22"/>
      </w:rPr>
      <w:t>0912_dz_sv_statistika</w:t>
    </w:r>
    <w:r>
      <w:rPr>
        <w:sz w:val="22"/>
        <w:szCs w:val="22"/>
      </w:rPr>
      <w:t>; Ministru kabineta noteikumu projekta „</w:t>
    </w:r>
    <w:r w:rsidRPr="00307F2E">
      <w:rPr>
        <w:sz w:val="22"/>
        <w:szCs w:val="22"/>
      </w:rPr>
      <w:t>Grozījumi Ministru kabineta 2009.gada 22.septembra noteikumos Nr.1074 “Noteikumi par valsts statistikas apkopošanu kultūras jomā”</w:t>
    </w:r>
    <w:r>
      <w:rPr>
        <w:sz w:val="22"/>
        <w:szCs w:val="22"/>
      </w:rPr>
      <w:t>”</w:t>
    </w:r>
    <w:r w:rsidRPr="00CF1399">
      <w:rPr>
        <w:bCs/>
        <w:sz w:val="22"/>
        <w:szCs w:val="22"/>
      </w:rPr>
      <w:t xml:space="preserve"> </w:t>
    </w:r>
    <w:r w:rsidRPr="002E5DE8">
      <w:rPr>
        <w:bCs/>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1DA" w:rsidRPr="002E5DE8" w:rsidRDefault="00F611DA" w:rsidP="00CF1399">
    <w:pPr>
      <w:jc w:val="both"/>
      <w:rPr>
        <w:sz w:val="22"/>
        <w:szCs w:val="22"/>
      </w:rPr>
    </w:pPr>
    <w:r>
      <w:rPr>
        <w:sz w:val="22"/>
        <w:szCs w:val="22"/>
      </w:rPr>
      <w:t>KMAnot_14</w:t>
    </w:r>
    <w:r w:rsidRPr="00C74299">
      <w:rPr>
        <w:sz w:val="22"/>
        <w:szCs w:val="22"/>
      </w:rPr>
      <w:t>0912_dz_sv_statistika</w:t>
    </w:r>
    <w:r>
      <w:rPr>
        <w:sz w:val="22"/>
        <w:szCs w:val="22"/>
      </w:rPr>
      <w:t>; Ministru kabineta noteikumu projekta „</w:t>
    </w:r>
    <w:r w:rsidRPr="00307F2E">
      <w:rPr>
        <w:sz w:val="22"/>
        <w:szCs w:val="22"/>
      </w:rPr>
      <w:t>Grozījumi Ministru kabineta 2009.gada 22.septembra noteikumos Nr.1074 “Noteikumi par valsts statistikas apkopošanu kultūras jomā”</w:t>
    </w:r>
    <w:r>
      <w:rPr>
        <w:sz w:val="22"/>
        <w:szCs w:val="22"/>
      </w:rPr>
      <w:t>”</w:t>
    </w:r>
    <w:r w:rsidRPr="00CF1399">
      <w:rPr>
        <w:bCs/>
        <w:sz w:val="22"/>
        <w:szCs w:val="22"/>
      </w:rPr>
      <w:t xml:space="preserve"> </w:t>
    </w:r>
    <w:r w:rsidRPr="002E5DE8">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1DA" w:rsidRDefault="00F611DA" w:rsidP="00B96B33">
      <w:r>
        <w:separator/>
      </w:r>
    </w:p>
  </w:footnote>
  <w:footnote w:type="continuationSeparator" w:id="0">
    <w:p w:rsidR="00F611DA" w:rsidRDefault="00F611DA" w:rsidP="00B96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6242"/>
      <w:docPartObj>
        <w:docPartGallery w:val="Page Numbers (Top of Page)"/>
        <w:docPartUnique/>
      </w:docPartObj>
    </w:sdtPr>
    <w:sdtContent>
      <w:p w:rsidR="00F611DA" w:rsidRDefault="0019617E">
        <w:pPr>
          <w:pStyle w:val="Galvene"/>
          <w:jc w:val="center"/>
        </w:pPr>
        <w:fldSimple w:instr=" PAGE   \* MERGEFORMAT ">
          <w:r w:rsidR="00873D1A">
            <w:rPr>
              <w:noProof/>
            </w:rPr>
            <w:t>5</w:t>
          </w:r>
        </w:fldSimple>
      </w:p>
    </w:sdtContent>
  </w:sdt>
  <w:p w:rsidR="00F611DA" w:rsidRDefault="00F611D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104C"/>
    <w:multiLevelType w:val="multilevel"/>
    <w:tmpl w:val="82BCD314"/>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4120"/>
    <w:rsid w:val="00001451"/>
    <w:rsid w:val="00015174"/>
    <w:rsid w:val="00017926"/>
    <w:rsid w:val="00032D22"/>
    <w:rsid w:val="000A4E42"/>
    <w:rsid w:val="000B41D4"/>
    <w:rsid w:val="000D130A"/>
    <w:rsid w:val="000D3BC9"/>
    <w:rsid w:val="000D4130"/>
    <w:rsid w:val="000E6979"/>
    <w:rsid w:val="00130E80"/>
    <w:rsid w:val="0019617E"/>
    <w:rsid w:val="00207980"/>
    <w:rsid w:val="00226097"/>
    <w:rsid w:val="00230247"/>
    <w:rsid w:val="00232F5E"/>
    <w:rsid w:val="00235598"/>
    <w:rsid w:val="00247B81"/>
    <w:rsid w:val="0025707A"/>
    <w:rsid w:val="00274834"/>
    <w:rsid w:val="00281EA3"/>
    <w:rsid w:val="002917F9"/>
    <w:rsid w:val="002B2695"/>
    <w:rsid w:val="002B6C64"/>
    <w:rsid w:val="002E5DE8"/>
    <w:rsid w:val="00325911"/>
    <w:rsid w:val="00364224"/>
    <w:rsid w:val="00380511"/>
    <w:rsid w:val="003817C7"/>
    <w:rsid w:val="00381BA1"/>
    <w:rsid w:val="003832DE"/>
    <w:rsid w:val="0038797F"/>
    <w:rsid w:val="00393E4A"/>
    <w:rsid w:val="003A2C58"/>
    <w:rsid w:val="003B3FBA"/>
    <w:rsid w:val="003C0CB8"/>
    <w:rsid w:val="003D3F4B"/>
    <w:rsid w:val="003E04B6"/>
    <w:rsid w:val="003F0807"/>
    <w:rsid w:val="004270F4"/>
    <w:rsid w:val="00436040"/>
    <w:rsid w:val="00444A77"/>
    <w:rsid w:val="00451242"/>
    <w:rsid w:val="00452118"/>
    <w:rsid w:val="00483F0F"/>
    <w:rsid w:val="00495A99"/>
    <w:rsid w:val="0051054E"/>
    <w:rsid w:val="005345BD"/>
    <w:rsid w:val="00562EE3"/>
    <w:rsid w:val="005A72B8"/>
    <w:rsid w:val="00634120"/>
    <w:rsid w:val="006677C8"/>
    <w:rsid w:val="00680FD0"/>
    <w:rsid w:val="006814D4"/>
    <w:rsid w:val="006E723B"/>
    <w:rsid w:val="007267D6"/>
    <w:rsid w:val="00754374"/>
    <w:rsid w:val="007B6789"/>
    <w:rsid w:val="00802BE3"/>
    <w:rsid w:val="008058D4"/>
    <w:rsid w:val="00806024"/>
    <w:rsid w:val="00814B30"/>
    <w:rsid w:val="00861736"/>
    <w:rsid w:val="00873D1A"/>
    <w:rsid w:val="008D6FB9"/>
    <w:rsid w:val="00903895"/>
    <w:rsid w:val="009103D4"/>
    <w:rsid w:val="00921079"/>
    <w:rsid w:val="00933164"/>
    <w:rsid w:val="0093667D"/>
    <w:rsid w:val="0094366C"/>
    <w:rsid w:val="00976E04"/>
    <w:rsid w:val="009B4ED4"/>
    <w:rsid w:val="009D43EF"/>
    <w:rsid w:val="009D6908"/>
    <w:rsid w:val="009E1C21"/>
    <w:rsid w:val="009F10EB"/>
    <w:rsid w:val="00A30F6A"/>
    <w:rsid w:val="00A43738"/>
    <w:rsid w:val="00A61262"/>
    <w:rsid w:val="00A668DB"/>
    <w:rsid w:val="00A96107"/>
    <w:rsid w:val="00AD7C53"/>
    <w:rsid w:val="00AE03A5"/>
    <w:rsid w:val="00B273E3"/>
    <w:rsid w:val="00B42721"/>
    <w:rsid w:val="00B4544D"/>
    <w:rsid w:val="00B46E5B"/>
    <w:rsid w:val="00B64FF6"/>
    <w:rsid w:val="00B928BD"/>
    <w:rsid w:val="00B96B33"/>
    <w:rsid w:val="00BB33CC"/>
    <w:rsid w:val="00BF090B"/>
    <w:rsid w:val="00C21B32"/>
    <w:rsid w:val="00C532F3"/>
    <w:rsid w:val="00C601A8"/>
    <w:rsid w:val="00C74299"/>
    <w:rsid w:val="00CF1399"/>
    <w:rsid w:val="00CF3756"/>
    <w:rsid w:val="00CF5D37"/>
    <w:rsid w:val="00D11626"/>
    <w:rsid w:val="00D14A1B"/>
    <w:rsid w:val="00D17067"/>
    <w:rsid w:val="00D44FAB"/>
    <w:rsid w:val="00D55839"/>
    <w:rsid w:val="00D56C74"/>
    <w:rsid w:val="00D91AC1"/>
    <w:rsid w:val="00D93076"/>
    <w:rsid w:val="00DA2491"/>
    <w:rsid w:val="00DC2FDE"/>
    <w:rsid w:val="00DF1CDD"/>
    <w:rsid w:val="00E20C46"/>
    <w:rsid w:val="00E21B29"/>
    <w:rsid w:val="00E26FC3"/>
    <w:rsid w:val="00EC69D3"/>
    <w:rsid w:val="00F01AE8"/>
    <w:rsid w:val="00F13BD9"/>
    <w:rsid w:val="00F22224"/>
    <w:rsid w:val="00F250BF"/>
    <w:rsid w:val="00F3158A"/>
    <w:rsid w:val="00F611DA"/>
    <w:rsid w:val="00F7220F"/>
    <w:rsid w:val="00F95433"/>
    <w:rsid w:val="00FB5202"/>
    <w:rsid w:val="00FE15CE"/>
    <w:rsid w:val="00FE1BA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34120"/>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634120"/>
    <w:pPr>
      <w:tabs>
        <w:tab w:val="center" w:pos="4153"/>
        <w:tab w:val="right" w:pos="8306"/>
      </w:tabs>
    </w:pPr>
  </w:style>
  <w:style w:type="character" w:customStyle="1" w:styleId="KjeneRakstz">
    <w:name w:val="Kājene Rakstz."/>
    <w:basedOn w:val="Noklusjumarindkopasfonts"/>
    <w:link w:val="Kjene"/>
    <w:rsid w:val="00634120"/>
    <w:rPr>
      <w:rFonts w:ascii="Times New Roman" w:eastAsia="Times New Roman" w:hAnsi="Times New Roman" w:cs="Times New Roman"/>
      <w:sz w:val="24"/>
      <w:szCs w:val="24"/>
      <w:lang w:eastAsia="ar-SA"/>
    </w:rPr>
  </w:style>
  <w:style w:type="paragraph" w:customStyle="1" w:styleId="naisc">
    <w:name w:val="naisc"/>
    <w:basedOn w:val="Parastais"/>
    <w:rsid w:val="00634120"/>
    <w:pPr>
      <w:suppressAutoHyphens w:val="0"/>
      <w:spacing w:before="450" w:after="300"/>
      <w:jc w:val="center"/>
    </w:pPr>
    <w:rPr>
      <w:sz w:val="26"/>
      <w:szCs w:val="26"/>
      <w:lang w:eastAsia="lv-LV"/>
    </w:rPr>
  </w:style>
  <w:style w:type="paragraph" w:styleId="Galvene">
    <w:name w:val="header"/>
    <w:basedOn w:val="Parastais"/>
    <w:link w:val="GalveneRakstz"/>
    <w:rsid w:val="00634120"/>
    <w:pPr>
      <w:tabs>
        <w:tab w:val="center" w:pos="4153"/>
        <w:tab w:val="right" w:pos="8306"/>
      </w:tabs>
      <w:suppressAutoHyphens w:val="0"/>
    </w:pPr>
    <w:rPr>
      <w:lang w:eastAsia="lv-LV"/>
    </w:rPr>
  </w:style>
  <w:style w:type="character" w:customStyle="1" w:styleId="GalveneRakstz">
    <w:name w:val="Galvene Rakstz."/>
    <w:basedOn w:val="Noklusjumarindkopasfonts"/>
    <w:link w:val="Galvene"/>
    <w:rsid w:val="00634120"/>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634120"/>
    <w:rPr>
      <w:color w:val="0000FF"/>
      <w:u w:val="single"/>
    </w:rPr>
  </w:style>
  <w:style w:type="paragraph" w:customStyle="1" w:styleId="naisnod">
    <w:name w:val="naisnod"/>
    <w:basedOn w:val="Parastais"/>
    <w:rsid w:val="00634120"/>
    <w:pPr>
      <w:suppressAutoHyphens w:val="0"/>
      <w:spacing w:before="100" w:beforeAutospacing="1" w:after="100" w:afterAutospacing="1"/>
    </w:pPr>
    <w:rPr>
      <w:lang w:eastAsia="lv-LV"/>
    </w:rPr>
  </w:style>
  <w:style w:type="paragraph" w:customStyle="1" w:styleId="naiskr">
    <w:name w:val="naiskr"/>
    <w:basedOn w:val="Parastais"/>
    <w:rsid w:val="00634120"/>
    <w:pPr>
      <w:suppressAutoHyphens w:val="0"/>
      <w:spacing w:before="100" w:beforeAutospacing="1" w:after="100" w:afterAutospacing="1"/>
    </w:pPr>
    <w:rPr>
      <w:lang w:eastAsia="lv-LV"/>
    </w:rPr>
  </w:style>
  <w:style w:type="paragraph" w:customStyle="1" w:styleId="naisf">
    <w:name w:val="naisf"/>
    <w:basedOn w:val="Parastais"/>
    <w:rsid w:val="00634120"/>
    <w:pPr>
      <w:suppressAutoHyphens w:val="0"/>
      <w:spacing w:before="75" w:after="75"/>
      <w:ind w:firstLine="375"/>
      <w:jc w:val="both"/>
    </w:pPr>
    <w:rPr>
      <w:lang w:eastAsia="lv-LV"/>
    </w:rPr>
  </w:style>
  <w:style w:type="paragraph" w:styleId="Pamatteksts">
    <w:name w:val="Body Text"/>
    <w:basedOn w:val="Parastais"/>
    <w:link w:val="PamattekstsRakstz"/>
    <w:rsid w:val="00634120"/>
    <w:pPr>
      <w:suppressAutoHyphens w:val="0"/>
      <w:spacing w:before="100" w:beforeAutospacing="1" w:after="100" w:afterAutospacing="1"/>
    </w:pPr>
    <w:rPr>
      <w:lang w:eastAsia="lv-LV"/>
    </w:rPr>
  </w:style>
  <w:style w:type="character" w:customStyle="1" w:styleId="PamattekstsRakstz">
    <w:name w:val="Pamatteksts Rakstz."/>
    <w:basedOn w:val="Noklusjumarindkopasfonts"/>
    <w:link w:val="Pamatteksts"/>
    <w:rsid w:val="00634120"/>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B96B33"/>
  </w:style>
  <w:style w:type="character" w:styleId="Komentraatsauce">
    <w:name w:val="annotation reference"/>
    <w:basedOn w:val="Noklusjumarindkopasfonts"/>
    <w:uiPriority w:val="99"/>
    <w:semiHidden/>
    <w:unhideWhenUsed/>
    <w:rsid w:val="00BF090B"/>
    <w:rPr>
      <w:sz w:val="16"/>
      <w:szCs w:val="16"/>
    </w:rPr>
  </w:style>
  <w:style w:type="paragraph" w:styleId="Komentrateksts">
    <w:name w:val="annotation text"/>
    <w:basedOn w:val="Parastais"/>
    <w:link w:val="KomentratekstsRakstz"/>
    <w:uiPriority w:val="99"/>
    <w:semiHidden/>
    <w:unhideWhenUsed/>
    <w:rsid w:val="00BF090B"/>
    <w:rPr>
      <w:sz w:val="20"/>
      <w:szCs w:val="20"/>
    </w:rPr>
  </w:style>
  <w:style w:type="character" w:customStyle="1" w:styleId="KomentratekstsRakstz">
    <w:name w:val="Komentāra teksts Rakstz."/>
    <w:basedOn w:val="Noklusjumarindkopasfonts"/>
    <w:link w:val="Komentrateksts"/>
    <w:uiPriority w:val="99"/>
    <w:semiHidden/>
    <w:rsid w:val="00BF090B"/>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BF090B"/>
    <w:rPr>
      <w:b/>
      <w:bCs/>
    </w:rPr>
  </w:style>
  <w:style w:type="character" w:customStyle="1" w:styleId="KomentratmaRakstz">
    <w:name w:val="Komentāra tēma Rakstz."/>
    <w:basedOn w:val="KomentratekstsRakstz"/>
    <w:link w:val="Komentratma"/>
    <w:uiPriority w:val="99"/>
    <w:semiHidden/>
    <w:rsid w:val="00BF090B"/>
    <w:rPr>
      <w:b/>
      <w:bCs/>
    </w:rPr>
  </w:style>
  <w:style w:type="paragraph" w:styleId="Balonteksts">
    <w:name w:val="Balloon Text"/>
    <w:basedOn w:val="Parastais"/>
    <w:link w:val="BalontekstsRakstz"/>
    <w:uiPriority w:val="99"/>
    <w:semiHidden/>
    <w:unhideWhenUsed/>
    <w:rsid w:val="00BF090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090B"/>
    <w:rPr>
      <w:rFonts w:ascii="Tahoma" w:eastAsia="Times New Roman" w:hAnsi="Tahoma" w:cs="Tahoma"/>
      <w:sz w:val="16"/>
      <w:szCs w:val="16"/>
      <w:lang w:eastAsia="ar-SA"/>
    </w:rPr>
  </w:style>
  <w:style w:type="paragraph" w:styleId="Sarakstarindkopa">
    <w:name w:val="List Paragraph"/>
    <w:basedOn w:val="Parastais"/>
    <w:uiPriority w:val="34"/>
    <w:qFormat/>
    <w:rsid w:val="00B273E3"/>
    <w:pPr>
      <w:suppressAutoHyphens w:val="0"/>
      <w:ind w:left="720"/>
      <w:contextualSpacing/>
    </w:pPr>
    <w:rPr>
      <w:rFonts w:ascii="Calibri" w:eastAsia="Calibri" w:hAnsi="Calibri"/>
      <w:sz w:val="22"/>
      <w:szCs w:val="22"/>
      <w:lang w:eastAsia="en-US"/>
    </w:rPr>
  </w:style>
  <w:style w:type="paragraph" w:customStyle="1" w:styleId="Default">
    <w:name w:val="Default"/>
    <w:rsid w:val="00D55839"/>
    <w:pPr>
      <w:autoSpaceDE w:val="0"/>
      <w:autoSpaceDN w:val="0"/>
      <w:adjustRightInd w:val="0"/>
      <w:spacing w:after="0" w:line="240" w:lineRule="auto"/>
    </w:pPr>
    <w:rPr>
      <w:rFonts w:ascii="News Gothic TL" w:hAnsi="News Gothic TL" w:cs="News Gothic TL"/>
      <w:color w:val="000000"/>
      <w:sz w:val="24"/>
      <w:szCs w:val="24"/>
    </w:rPr>
  </w:style>
</w:styles>
</file>

<file path=word/webSettings.xml><?xml version="1.0" encoding="utf-8"?>
<w:webSettings xmlns:r="http://schemas.openxmlformats.org/officeDocument/2006/relationships" xmlns:w="http://schemas.openxmlformats.org/wordprocessingml/2006/main">
  <w:divs>
    <w:div w:id="14069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skart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lturaskarte.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iba.Erdmane@knm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4385</Words>
  <Characters>2500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KMAnot_210812_statistika</vt:lpstr>
      <vt:lpstr/>
    </vt:vector>
  </TitlesOfParts>
  <Company>darbs</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KMAnot_140912_dz_sv_statistika</dc:title>
  <dc:subject>Anotācija</dc:subject>
  <dc:creator>Dace Ziemele</dc:creator>
  <dc:description>Tālr:67330250
Dace.Ziemele@km.gov.lv</dc:description>
  <cp:lastModifiedBy>Dzintra Rozīte</cp:lastModifiedBy>
  <cp:revision>18</cp:revision>
  <dcterms:created xsi:type="dcterms:W3CDTF">2012-08-15T10:09:00Z</dcterms:created>
  <dcterms:modified xsi:type="dcterms:W3CDTF">2012-09-20T14:29:00Z</dcterms:modified>
</cp:coreProperties>
</file>