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90" w:rsidRPr="00F87E86" w:rsidRDefault="00090490" w:rsidP="00090490">
      <w:pPr>
        <w:jc w:val="center"/>
        <w:outlineLvl w:val="0"/>
        <w:rPr>
          <w:b/>
          <w:sz w:val="28"/>
          <w:szCs w:val="28"/>
        </w:rPr>
      </w:pPr>
      <w:bookmarkStart w:id="0" w:name="OLE_LINK1"/>
      <w:bookmarkStart w:id="1" w:name="OLE_LINK2"/>
      <w:bookmarkStart w:id="2" w:name="OLE_LINK7"/>
      <w:bookmarkStart w:id="3" w:name="OLE_LINK8"/>
      <w:bookmarkStart w:id="4" w:name="OLE_LINK3"/>
      <w:bookmarkStart w:id="5" w:name="OLE_LINK4"/>
      <w:bookmarkStart w:id="6" w:name="OLE_LINK18"/>
      <w:bookmarkStart w:id="7" w:name="OLE_LINK19"/>
      <w:r w:rsidRPr="00F87E86">
        <w:rPr>
          <w:b/>
          <w:sz w:val="28"/>
          <w:szCs w:val="28"/>
        </w:rPr>
        <w:t xml:space="preserve">Ministru kabineta </w:t>
      </w:r>
      <w:r w:rsidR="002719E4" w:rsidRPr="00F87E86">
        <w:rPr>
          <w:b/>
          <w:sz w:val="28"/>
          <w:szCs w:val="28"/>
        </w:rPr>
        <w:t>noteikumu</w:t>
      </w:r>
      <w:r w:rsidRPr="00F87E86">
        <w:rPr>
          <w:b/>
          <w:sz w:val="28"/>
          <w:szCs w:val="28"/>
        </w:rPr>
        <w:t xml:space="preserve"> projekt</w:t>
      </w:r>
      <w:r w:rsidR="00750AFF" w:rsidRPr="00F87E86">
        <w:rPr>
          <w:b/>
          <w:sz w:val="28"/>
          <w:szCs w:val="28"/>
        </w:rPr>
        <w:t xml:space="preserve">a </w:t>
      </w:r>
    </w:p>
    <w:p w:rsidR="00090490" w:rsidRPr="00F87E86" w:rsidRDefault="00162545" w:rsidP="00B4670B">
      <w:pPr>
        <w:pStyle w:val="Bezatstarpm"/>
        <w:jc w:val="center"/>
        <w:rPr>
          <w:rFonts w:ascii="Times New Roman" w:hAnsi="Times New Roman"/>
          <w:b/>
          <w:sz w:val="28"/>
          <w:szCs w:val="28"/>
        </w:rPr>
      </w:pPr>
      <w:bookmarkStart w:id="8" w:name="OLE_LINK9"/>
      <w:bookmarkStart w:id="9" w:name="OLE_LINK10"/>
      <w:r w:rsidRPr="00F87E86">
        <w:rPr>
          <w:rFonts w:ascii="Times New Roman" w:hAnsi="Times New Roman"/>
          <w:b/>
          <w:sz w:val="28"/>
          <w:szCs w:val="28"/>
        </w:rPr>
        <w:t>„</w:t>
      </w:r>
      <w:r w:rsidR="006351DC" w:rsidRPr="00F87E86">
        <w:rPr>
          <w:rFonts w:ascii="Times New Roman" w:hAnsi="Times New Roman"/>
          <w:b/>
          <w:sz w:val="28"/>
          <w:szCs w:val="28"/>
        </w:rPr>
        <w:t>Grozījums Ministru kabineta 2004</w:t>
      </w:r>
      <w:r w:rsidRPr="00F87E86">
        <w:rPr>
          <w:rFonts w:ascii="Times New Roman" w:hAnsi="Times New Roman"/>
          <w:b/>
          <w:sz w:val="28"/>
          <w:szCs w:val="28"/>
        </w:rPr>
        <w:t xml:space="preserve">.gada </w:t>
      </w:r>
      <w:r w:rsidR="006351DC" w:rsidRPr="00F87E86">
        <w:rPr>
          <w:rFonts w:ascii="Times New Roman" w:hAnsi="Times New Roman"/>
          <w:b/>
          <w:sz w:val="28"/>
          <w:szCs w:val="28"/>
        </w:rPr>
        <w:t>30</w:t>
      </w:r>
      <w:r w:rsidRPr="00F87E86">
        <w:rPr>
          <w:rFonts w:ascii="Times New Roman" w:hAnsi="Times New Roman"/>
          <w:b/>
          <w:sz w:val="28"/>
          <w:szCs w:val="28"/>
        </w:rPr>
        <w:t>.novembra noteikumos Nr.</w:t>
      </w:r>
      <w:r w:rsidR="006351DC" w:rsidRPr="00F87E86">
        <w:rPr>
          <w:rFonts w:ascii="Times New Roman" w:hAnsi="Times New Roman"/>
          <w:b/>
          <w:sz w:val="28"/>
          <w:szCs w:val="28"/>
        </w:rPr>
        <w:t>977</w:t>
      </w:r>
      <w:r w:rsidRPr="00F87E86">
        <w:rPr>
          <w:rFonts w:ascii="Times New Roman" w:hAnsi="Times New Roman"/>
          <w:b/>
          <w:sz w:val="28"/>
          <w:szCs w:val="28"/>
        </w:rPr>
        <w:t>„</w:t>
      </w:r>
      <w:r w:rsidR="006351DC" w:rsidRPr="00F87E86">
        <w:rPr>
          <w:rFonts w:ascii="Times New Roman" w:hAnsi="Times New Roman"/>
          <w:b/>
          <w:sz w:val="28"/>
          <w:szCs w:val="28"/>
        </w:rPr>
        <w:t>Noteikumi par biedrību un nodibinājumu pārstāvju izvirzīšanu un iekļaušanu Sabiedriskā labuma komisijā</w:t>
      </w:r>
      <w:r w:rsidRPr="00F87E86">
        <w:rPr>
          <w:rFonts w:ascii="Times New Roman" w:hAnsi="Times New Roman"/>
          <w:b/>
          <w:sz w:val="28"/>
          <w:szCs w:val="28"/>
        </w:rPr>
        <w:t>””</w:t>
      </w:r>
      <w:bookmarkEnd w:id="8"/>
      <w:bookmarkEnd w:id="9"/>
      <w:r w:rsidR="00B4670B" w:rsidRPr="00F87E86">
        <w:rPr>
          <w:rFonts w:ascii="Times New Roman" w:hAnsi="Times New Roman"/>
          <w:b/>
          <w:sz w:val="28"/>
          <w:szCs w:val="28"/>
        </w:rPr>
        <w:t xml:space="preserve"> </w:t>
      </w:r>
      <w:r w:rsidR="00090490" w:rsidRPr="00F87E86">
        <w:rPr>
          <w:rFonts w:ascii="Times New Roman" w:hAnsi="Times New Roman"/>
          <w:b/>
          <w:sz w:val="28"/>
          <w:szCs w:val="28"/>
        </w:rPr>
        <w:t>sākotnējās ietekmes novērtējuma ziņojums (anotācija)</w:t>
      </w:r>
      <w:bookmarkEnd w:id="0"/>
      <w:bookmarkEnd w:id="1"/>
      <w:bookmarkEnd w:id="2"/>
      <w:bookmarkEnd w:id="3"/>
    </w:p>
    <w:bookmarkEnd w:id="6"/>
    <w:bookmarkEnd w:id="7"/>
    <w:p w:rsidR="00090490" w:rsidRPr="00F87E86" w:rsidRDefault="00090490" w:rsidP="00A53484">
      <w:pPr>
        <w:ind w:left="284"/>
        <w:jc w:val="center"/>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3"/>
        <w:gridCol w:w="2514"/>
        <w:gridCol w:w="6004"/>
      </w:tblGrid>
      <w:tr w:rsidR="00090490" w:rsidRPr="00F87E86" w:rsidTr="008D3634">
        <w:tc>
          <w:tcPr>
            <w:tcW w:w="5000" w:type="pct"/>
            <w:gridSpan w:val="3"/>
            <w:vAlign w:val="center"/>
          </w:tcPr>
          <w:bookmarkEnd w:id="4"/>
          <w:bookmarkEnd w:id="5"/>
          <w:p w:rsidR="00090490" w:rsidRPr="00F87E86" w:rsidRDefault="00090490" w:rsidP="00E35F46">
            <w:pPr>
              <w:pStyle w:val="naisnod"/>
              <w:spacing w:before="0" w:after="0"/>
              <w:rPr>
                <w:sz w:val="28"/>
                <w:szCs w:val="28"/>
              </w:rPr>
            </w:pPr>
            <w:r w:rsidRPr="00F87E86">
              <w:rPr>
                <w:bCs w:val="0"/>
                <w:sz w:val="28"/>
                <w:szCs w:val="28"/>
              </w:rPr>
              <w:t>I. Tiesību akta projekta izstrādes nepieciešamība</w:t>
            </w:r>
          </w:p>
        </w:tc>
      </w:tr>
      <w:tr w:rsidR="00090490" w:rsidRPr="00F87E86" w:rsidTr="008D3634">
        <w:trPr>
          <w:trHeight w:val="630"/>
        </w:trPr>
        <w:tc>
          <w:tcPr>
            <w:tcW w:w="310" w:type="pct"/>
          </w:tcPr>
          <w:p w:rsidR="00090490" w:rsidRPr="00F87E86" w:rsidRDefault="00090490" w:rsidP="00E35F46">
            <w:pPr>
              <w:jc w:val="center"/>
              <w:rPr>
                <w:sz w:val="28"/>
                <w:szCs w:val="28"/>
              </w:rPr>
            </w:pPr>
            <w:r w:rsidRPr="00F87E86">
              <w:rPr>
                <w:sz w:val="28"/>
                <w:szCs w:val="28"/>
              </w:rPr>
              <w:t>1.</w:t>
            </w:r>
          </w:p>
        </w:tc>
        <w:tc>
          <w:tcPr>
            <w:tcW w:w="1384" w:type="pct"/>
          </w:tcPr>
          <w:p w:rsidR="00090490" w:rsidRPr="00F87E86" w:rsidRDefault="00090490" w:rsidP="00FE5B02">
            <w:pPr>
              <w:ind w:left="164" w:right="136"/>
              <w:jc w:val="both"/>
              <w:rPr>
                <w:sz w:val="28"/>
                <w:szCs w:val="28"/>
              </w:rPr>
            </w:pPr>
            <w:r w:rsidRPr="00F87E86">
              <w:rPr>
                <w:sz w:val="28"/>
                <w:szCs w:val="28"/>
              </w:rPr>
              <w:t>Pamatojums</w:t>
            </w:r>
          </w:p>
        </w:tc>
        <w:tc>
          <w:tcPr>
            <w:tcW w:w="3306" w:type="pct"/>
            <w:shd w:val="clear" w:color="auto" w:fill="auto"/>
          </w:tcPr>
          <w:p w:rsidR="00090490" w:rsidRPr="00F87E86" w:rsidRDefault="007F2564" w:rsidP="0068570F">
            <w:pPr>
              <w:ind w:left="47" w:right="136"/>
              <w:jc w:val="both"/>
              <w:rPr>
                <w:b/>
                <w:sz w:val="28"/>
                <w:szCs w:val="28"/>
              </w:rPr>
            </w:pPr>
            <w:r w:rsidRPr="00F87E86">
              <w:rPr>
                <w:sz w:val="28"/>
                <w:szCs w:val="28"/>
              </w:rPr>
              <w:t>Ministru kabineta noteikumu projekts „Grozījums Ministru kabineta 2004.gada 30.novembra noteikumos Nr.977</w:t>
            </w:r>
            <w:r>
              <w:rPr>
                <w:sz w:val="28"/>
                <w:szCs w:val="28"/>
              </w:rPr>
              <w:t xml:space="preserve"> </w:t>
            </w:r>
            <w:r w:rsidRPr="00F87E86">
              <w:rPr>
                <w:sz w:val="28"/>
                <w:szCs w:val="28"/>
              </w:rPr>
              <w:t>„Noteikumi par biedrību un nodibinājumu pārstāvju izvirzīšanu un iekļaušanu Sabiedriskā labuma komisijā”” (turpmāk – Projekts) izstrādāts, lai grozītu Ministru kabineta 2004.gada 30.novembra noteikumus Nr.977</w:t>
            </w:r>
            <w:r>
              <w:rPr>
                <w:sz w:val="28"/>
                <w:szCs w:val="28"/>
              </w:rPr>
              <w:t xml:space="preserve"> </w:t>
            </w:r>
            <w:r w:rsidRPr="00F87E86">
              <w:rPr>
                <w:sz w:val="28"/>
                <w:szCs w:val="28"/>
              </w:rPr>
              <w:t>„Noteikumi par biedrību un nodibinājumu pārstāvju izvirzīšanu un iekļaušanu Sabiedriskā labuma komisijā (turpmāk – MK noteikumi) 11.punktu, mainot konkursa komisijas locekļu skaitu un</w:t>
            </w:r>
            <w:r>
              <w:rPr>
                <w:sz w:val="28"/>
                <w:szCs w:val="28"/>
              </w:rPr>
              <w:t xml:space="preserve"> svītrojot no uzskaitījuma vienas</w:t>
            </w:r>
            <w:r w:rsidRPr="00F87E86">
              <w:rPr>
                <w:sz w:val="28"/>
                <w:szCs w:val="28"/>
              </w:rPr>
              <w:t xml:space="preserve"> i</w:t>
            </w:r>
            <w:r>
              <w:rPr>
                <w:sz w:val="28"/>
                <w:szCs w:val="28"/>
              </w:rPr>
              <w:t xml:space="preserve">nstitūcijas </w:t>
            </w:r>
            <w:r w:rsidRPr="00F87E86">
              <w:rPr>
                <w:sz w:val="28"/>
                <w:szCs w:val="28"/>
              </w:rPr>
              <w:t>pārstāvi.</w:t>
            </w:r>
          </w:p>
        </w:tc>
      </w:tr>
      <w:tr w:rsidR="00090490" w:rsidRPr="00F87E86" w:rsidTr="008D3634">
        <w:trPr>
          <w:trHeight w:val="472"/>
        </w:trPr>
        <w:tc>
          <w:tcPr>
            <w:tcW w:w="310" w:type="pct"/>
          </w:tcPr>
          <w:p w:rsidR="00090490" w:rsidRPr="00F87E86" w:rsidRDefault="00090490" w:rsidP="00E35F46">
            <w:pPr>
              <w:jc w:val="center"/>
              <w:rPr>
                <w:sz w:val="28"/>
                <w:szCs w:val="28"/>
              </w:rPr>
            </w:pPr>
            <w:r w:rsidRPr="00F87E86">
              <w:rPr>
                <w:sz w:val="28"/>
                <w:szCs w:val="28"/>
              </w:rPr>
              <w:t>2.</w:t>
            </w:r>
          </w:p>
        </w:tc>
        <w:tc>
          <w:tcPr>
            <w:tcW w:w="1384" w:type="pct"/>
          </w:tcPr>
          <w:p w:rsidR="00090490" w:rsidRPr="00F87E86" w:rsidRDefault="00090490" w:rsidP="00FE5B02">
            <w:pPr>
              <w:ind w:left="164" w:right="136"/>
              <w:rPr>
                <w:sz w:val="28"/>
                <w:szCs w:val="28"/>
              </w:rPr>
            </w:pPr>
            <w:r w:rsidRPr="00F87E86">
              <w:rPr>
                <w:sz w:val="28"/>
                <w:szCs w:val="28"/>
              </w:rPr>
              <w:t>Pašreizējā situācija un problēmas</w:t>
            </w:r>
          </w:p>
        </w:tc>
        <w:tc>
          <w:tcPr>
            <w:tcW w:w="3306" w:type="pct"/>
            <w:shd w:val="clear" w:color="auto" w:fill="auto"/>
          </w:tcPr>
          <w:p w:rsidR="0043737D" w:rsidRDefault="00264BF1" w:rsidP="0068570F">
            <w:pPr>
              <w:ind w:right="145"/>
              <w:jc w:val="both"/>
              <w:rPr>
                <w:sz w:val="28"/>
                <w:szCs w:val="28"/>
              </w:rPr>
            </w:pPr>
            <w:r w:rsidRPr="00F87E86">
              <w:rPr>
                <w:sz w:val="28"/>
                <w:szCs w:val="28"/>
              </w:rPr>
              <w:t xml:space="preserve">MK noteikumi nosaka kārtību, kādā izvirza un iekļauj Sabiedriskā labuma komisijas sastāvā biedrību un nodibinājumu pārstāvjus. </w:t>
            </w:r>
          </w:p>
          <w:p w:rsidR="0043737D" w:rsidRDefault="00264BF1" w:rsidP="0068570F">
            <w:pPr>
              <w:ind w:right="145"/>
              <w:jc w:val="both"/>
              <w:rPr>
                <w:sz w:val="28"/>
                <w:szCs w:val="28"/>
              </w:rPr>
            </w:pPr>
            <w:r w:rsidRPr="00F87E86">
              <w:rPr>
                <w:sz w:val="28"/>
                <w:szCs w:val="28"/>
              </w:rPr>
              <w:t xml:space="preserve">Saskaņā ar </w:t>
            </w:r>
            <w:r w:rsidR="009C2114" w:rsidRPr="00F87E86">
              <w:rPr>
                <w:bCs/>
                <w:sz w:val="28"/>
                <w:szCs w:val="28"/>
              </w:rPr>
              <w:t xml:space="preserve">Ministru kabineta </w:t>
            </w:r>
            <w:r w:rsidR="00A33920" w:rsidRPr="00F87E86">
              <w:rPr>
                <w:sz w:val="28"/>
                <w:szCs w:val="28"/>
              </w:rPr>
              <w:t xml:space="preserve">2004.gada 30.novembra </w:t>
            </w:r>
            <w:r w:rsidR="009C2114" w:rsidRPr="00F87E86">
              <w:rPr>
                <w:bCs/>
                <w:sz w:val="28"/>
                <w:szCs w:val="28"/>
              </w:rPr>
              <w:t xml:space="preserve">noteikumu Nr.976 „Sabiedriskā labuma komisijas nolikums” </w:t>
            </w:r>
            <w:r w:rsidR="009C2114" w:rsidRPr="00F87E86">
              <w:rPr>
                <w:sz w:val="28"/>
                <w:szCs w:val="28"/>
              </w:rPr>
              <w:t>9.punktu, ja tiek atsaukts vai atkāpjas no amata komisijas loceklis, kurš izvēlēts konkursa kārtībā, viņa vietā (uz atlikušo komisijas pilnvaru termiņu) tiek apstiprināts nākamais iepriekš rīkotā konkursa pretendents, kurš novērtēšanā ieguvis vairāk nekā pusi no kopējā punktu skaita. Ja šāda pretendenta nav, mēneša laikā tiek rīkots konkurss uz brīvo komisijas locekļa vietu (uz atlikušo komisijas pilnvaru termiņu).</w:t>
            </w:r>
            <w:r w:rsidR="007A6EE7">
              <w:rPr>
                <w:sz w:val="28"/>
                <w:szCs w:val="28"/>
              </w:rPr>
              <w:t xml:space="preserve"> </w:t>
            </w:r>
          </w:p>
          <w:p w:rsidR="0043737D" w:rsidRDefault="00ED6C1B" w:rsidP="0068570F">
            <w:pPr>
              <w:ind w:right="145"/>
              <w:jc w:val="both"/>
              <w:rPr>
                <w:sz w:val="28"/>
                <w:szCs w:val="28"/>
              </w:rPr>
            </w:pPr>
            <w:r w:rsidRPr="00F87E86">
              <w:rPr>
                <w:sz w:val="28"/>
                <w:szCs w:val="28"/>
              </w:rPr>
              <w:t xml:space="preserve">Kultūras ministrija </w:t>
            </w:r>
            <w:r w:rsidRPr="007A6EE7">
              <w:rPr>
                <w:rStyle w:val="Izteiksmgs"/>
                <w:b w:val="0"/>
                <w:sz w:val="28"/>
                <w:szCs w:val="28"/>
              </w:rPr>
              <w:t>2013.gada 26.aprīlī</w:t>
            </w:r>
            <w:r w:rsidRPr="00F87E86">
              <w:rPr>
                <w:rStyle w:val="Izteiksmgs"/>
                <w:sz w:val="28"/>
                <w:szCs w:val="28"/>
              </w:rPr>
              <w:t xml:space="preserve"> </w:t>
            </w:r>
            <w:r w:rsidRPr="00F87E86">
              <w:rPr>
                <w:sz w:val="28"/>
                <w:szCs w:val="28"/>
              </w:rPr>
              <w:t>izsludināja Sabiedriskā labuma komisijas locekļu amata pretendentu atlases konkursu</w:t>
            </w:r>
            <w:r w:rsidR="007A6EE7" w:rsidRPr="00F87E86">
              <w:rPr>
                <w:sz w:val="28"/>
                <w:szCs w:val="28"/>
              </w:rPr>
              <w:t xml:space="preserve"> </w:t>
            </w:r>
            <w:r w:rsidR="007A6EE7">
              <w:rPr>
                <w:sz w:val="28"/>
                <w:szCs w:val="28"/>
              </w:rPr>
              <w:t xml:space="preserve">uz divām </w:t>
            </w:r>
            <w:r w:rsidR="007A6EE7" w:rsidRPr="00F87E86">
              <w:rPr>
                <w:sz w:val="28"/>
                <w:szCs w:val="28"/>
              </w:rPr>
              <w:t>brīv</w:t>
            </w:r>
            <w:r w:rsidR="007A6EE7">
              <w:rPr>
                <w:sz w:val="28"/>
                <w:szCs w:val="28"/>
              </w:rPr>
              <w:t>ajām</w:t>
            </w:r>
            <w:r w:rsidR="007A6EE7" w:rsidRPr="00F87E86">
              <w:rPr>
                <w:sz w:val="28"/>
                <w:szCs w:val="28"/>
              </w:rPr>
              <w:t xml:space="preserve"> komisijas locekļ</w:t>
            </w:r>
            <w:r w:rsidR="007A6EE7">
              <w:rPr>
                <w:sz w:val="28"/>
                <w:szCs w:val="28"/>
              </w:rPr>
              <w:t>u vietām</w:t>
            </w:r>
            <w:r w:rsidR="007A6EE7" w:rsidRPr="00F87E86">
              <w:rPr>
                <w:sz w:val="28"/>
                <w:szCs w:val="28"/>
              </w:rPr>
              <w:t xml:space="preserve"> (uz atlikušo komisijas pilnvaru termiņu).</w:t>
            </w:r>
            <w:r w:rsidR="007A6EE7">
              <w:rPr>
                <w:sz w:val="28"/>
                <w:szCs w:val="28"/>
              </w:rPr>
              <w:t xml:space="preserve"> </w:t>
            </w:r>
          </w:p>
          <w:p w:rsidR="0043737D" w:rsidRDefault="00ED6C1B" w:rsidP="007A507C">
            <w:pPr>
              <w:ind w:right="145"/>
              <w:jc w:val="both"/>
              <w:rPr>
                <w:sz w:val="28"/>
                <w:szCs w:val="28"/>
              </w:rPr>
            </w:pPr>
            <w:r w:rsidRPr="00F87E86">
              <w:rPr>
                <w:sz w:val="28"/>
                <w:szCs w:val="28"/>
              </w:rPr>
              <w:t>MK noteikumu 11.punkts nosaka, ka konkursa komisijas</w:t>
            </w:r>
            <w:r w:rsidRPr="00F87E86">
              <w:rPr>
                <w:bCs/>
                <w:sz w:val="28"/>
                <w:szCs w:val="28"/>
              </w:rPr>
              <w:t xml:space="preserve"> sastāvā ir piecu institūciju pārstāvji – </w:t>
            </w:r>
            <w:r w:rsidRPr="00F87E86">
              <w:rPr>
                <w:bCs/>
                <w:sz w:val="28"/>
                <w:szCs w:val="28"/>
              </w:rPr>
              <w:lastRenderedPageBreak/>
              <w:t>Finanšu ministrijas pārstāvis, Valsts kancelejas pārstāvis, Kultūras ministrijas pārstāvis, Nevalstisko organizāciju un Ministru kabineta sadarbības memoranda īstenošanas padomes izvirzītais pārstāvis un tiesībsarga pārstāvis.</w:t>
            </w:r>
            <w:r w:rsidR="00197F10" w:rsidRPr="00F87E86">
              <w:rPr>
                <w:sz w:val="28"/>
                <w:szCs w:val="28"/>
              </w:rPr>
              <w:t xml:space="preserve"> Saskaņā ar MK noteikumu 12.punktu konkursa komisijas personālsastāvu apstiprina kultūras ministrs. </w:t>
            </w:r>
          </w:p>
          <w:p w:rsidR="00897EB8" w:rsidRDefault="005D3959" w:rsidP="007A507C">
            <w:pPr>
              <w:ind w:right="145"/>
              <w:jc w:val="both"/>
              <w:rPr>
                <w:sz w:val="28"/>
                <w:szCs w:val="28"/>
              </w:rPr>
            </w:pPr>
            <w:r w:rsidRPr="005D3959">
              <w:rPr>
                <w:sz w:val="28"/>
                <w:szCs w:val="28"/>
              </w:rPr>
              <w:t xml:space="preserve">2013.gada 26.aprīlī </w:t>
            </w:r>
            <w:r w:rsidR="00ED6C1B" w:rsidRPr="005D3959">
              <w:rPr>
                <w:sz w:val="28"/>
                <w:szCs w:val="28"/>
              </w:rPr>
              <w:t>Kultūras</w:t>
            </w:r>
            <w:r w:rsidR="00ED6C1B" w:rsidRPr="00F87E86">
              <w:rPr>
                <w:sz w:val="28"/>
                <w:szCs w:val="28"/>
              </w:rPr>
              <w:t xml:space="preserve"> ministrij</w:t>
            </w:r>
            <w:r w:rsidR="00A33920">
              <w:rPr>
                <w:sz w:val="28"/>
                <w:szCs w:val="28"/>
              </w:rPr>
              <w:t>a</w:t>
            </w:r>
            <w:r w:rsidR="00ED6C1B" w:rsidRPr="00F87E86">
              <w:rPr>
                <w:sz w:val="28"/>
                <w:szCs w:val="28"/>
              </w:rPr>
              <w:t xml:space="preserve"> saņ</w:t>
            </w:r>
            <w:r w:rsidR="00A33920">
              <w:rPr>
                <w:sz w:val="28"/>
                <w:szCs w:val="28"/>
              </w:rPr>
              <w:t>ēma</w:t>
            </w:r>
            <w:r w:rsidR="00ED6C1B" w:rsidRPr="00F87E86">
              <w:rPr>
                <w:sz w:val="28"/>
                <w:szCs w:val="28"/>
              </w:rPr>
              <w:t xml:space="preserve"> Tiesībsarga biroja 2013.gada 24.aprīļa vēstul</w:t>
            </w:r>
            <w:r w:rsidR="00A33920">
              <w:rPr>
                <w:sz w:val="28"/>
                <w:szCs w:val="28"/>
              </w:rPr>
              <w:t>i</w:t>
            </w:r>
            <w:r w:rsidR="00AE74C1">
              <w:rPr>
                <w:sz w:val="28"/>
                <w:szCs w:val="28"/>
              </w:rPr>
              <w:t xml:space="preserve"> Nr.1-5/121, kurā t</w:t>
            </w:r>
            <w:r w:rsidR="00ED6C1B" w:rsidRPr="00F87E86">
              <w:rPr>
                <w:sz w:val="28"/>
                <w:szCs w:val="28"/>
              </w:rPr>
              <w:t xml:space="preserve">iesībsargs informē, ka </w:t>
            </w:r>
            <w:r w:rsidR="00AE629B">
              <w:rPr>
                <w:sz w:val="28"/>
                <w:szCs w:val="28"/>
              </w:rPr>
              <w:t>ne</w:t>
            </w:r>
            <w:r w:rsidR="00ED6C1B" w:rsidRPr="00F87E86">
              <w:rPr>
                <w:sz w:val="28"/>
                <w:szCs w:val="28"/>
              </w:rPr>
              <w:t xml:space="preserve">piekrīt Tiesībsarga biroja </w:t>
            </w:r>
            <w:r>
              <w:rPr>
                <w:sz w:val="28"/>
                <w:szCs w:val="28"/>
              </w:rPr>
              <w:t>pārstāvja</w:t>
            </w:r>
            <w:r w:rsidR="00A33920" w:rsidRPr="00F87E86">
              <w:rPr>
                <w:sz w:val="28"/>
                <w:szCs w:val="28"/>
              </w:rPr>
              <w:t xml:space="preserve"> </w:t>
            </w:r>
            <w:r w:rsidR="00ED6C1B" w:rsidRPr="00F87E86">
              <w:rPr>
                <w:sz w:val="28"/>
                <w:szCs w:val="28"/>
              </w:rPr>
              <w:t xml:space="preserve">dalībai Kultūras ministrijas veidotajā Sabiedriskā labuma komisijas pretendentu izvērtēšanas komisijā </w:t>
            </w:r>
            <w:r w:rsidR="00AE629B">
              <w:rPr>
                <w:sz w:val="28"/>
                <w:szCs w:val="28"/>
              </w:rPr>
              <w:t xml:space="preserve">locekļa statusā. </w:t>
            </w:r>
          </w:p>
          <w:p w:rsidR="007A507C" w:rsidRDefault="007A507C" w:rsidP="007A507C">
            <w:pPr>
              <w:ind w:right="145"/>
              <w:jc w:val="both"/>
            </w:pPr>
            <w:r w:rsidRPr="00897EB8">
              <w:rPr>
                <w:sz w:val="28"/>
                <w:szCs w:val="28"/>
              </w:rPr>
              <w:t xml:space="preserve">2013.gada 14.jūnijā </w:t>
            </w:r>
            <w:r>
              <w:rPr>
                <w:sz w:val="28"/>
                <w:szCs w:val="28"/>
              </w:rPr>
              <w:t xml:space="preserve">noslēdzās </w:t>
            </w:r>
            <w:r w:rsidR="00897EB8" w:rsidRPr="00897EB8">
              <w:rPr>
                <w:sz w:val="28"/>
                <w:szCs w:val="28"/>
              </w:rPr>
              <w:t>pretendentu pieteikumu iesniegšanas termiņš uz divām brīvajām komisijas locekļa vietām Latvijas Republikā reģistrētu biedrību un nodibinājumu pārstāvniecībai Sabiedriskā labuma komisijā</w:t>
            </w:r>
            <w:r>
              <w:rPr>
                <w:sz w:val="28"/>
                <w:szCs w:val="28"/>
              </w:rPr>
              <w:t>.</w:t>
            </w:r>
          </w:p>
          <w:p w:rsidR="00897EB8" w:rsidRDefault="00897EB8" w:rsidP="007A507C">
            <w:pPr>
              <w:ind w:right="145"/>
              <w:jc w:val="both"/>
              <w:rPr>
                <w:sz w:val="28"/>
                <w:szCs w:val="28"/>
              </w:rPr>
            </w:pPr>
            <w:r>
              <w:rPr>
                <w:sz w:val="28"/>
                <w:szCs w:val="28"/>
              </w:rPr>
              <w:t>Nepanākot vienošanos ar Tiesībsarga biroju, Kultūras ministrija 2013.gada 25.jūnijā nosūtīja saskaņošanai MK noteik</w:t>
            </w:r>
            <w:r w:rsidR="00051A33">
              <w:rPr>
                <w:sz w:val="28"/>
                <w:szCs w:val="28"/>
              </w:rPr>
              <w:t>umu projektu, paredzot svītrot MK noteikumu 11.</w:t>
            </w:r>
            <w:r w:rsidR="005D3959">
              <w:rPr>
                <w:sz w:val="28"/>
                <w:szCs w:val="28"/>
              </w:rPr>
              <w:t>5. apakš</w:t>
            </w:r>
            <w:r w:rsidR="00051A33">
              <w:rPr>
                <w:sz w:val="28"/>
                <w:szCs w:val="28"/>
              </w:rPr>
              <w:t>punktu.</w:t>
            </w:r>
            <w:r w:rsidR="00051A33" w:rsidRPr="00F87E86">
              <w:rPr>
                <w:sz w:val="28"/>
                <w:szCs w:val="28"/>
              </w:rPr>
              <w:t xml:space="preserve"> </w:t>
            </w:r>
          </w:p>
          <w:p w:rsidR="00FB1BB3" w:rsidRDefault="00051A33" w:rsidP="007A507C">
            <w:pPr>
              <w:ind w:right="145"/>
              <w:jc w:val="both"/>
              <w:rPr>
                <w:sz w:val="28"/>
                <w:szCs w:val="28"/>
              </w:rPr>
            </w:pPr>
            <w:r w:rsidRPr="00051A33">
              <w:rPr>
                <w:sz w:val="28"/>
                <w:szCs w:val="28"/>
              </w:rPr>
              <w:t>2013.gada 28.jūnijā Kultūras ministrija saņēma F</w:t>
            </w:r>
            <w:r w:rsidR="005D3959">
              <w:rPr>
                <w:sz w:val="28"/>
                <w:szCs w:val="28"/>
              </w:rPr>
              <w:t xml:space="preserve">inanšu ministrijas atzinumu Nr. </w:t>
            </w:r>
            <w:r w:rsidRPr="00051A33">
              <w:rPr>
                <w:sz w:val="28"/>
                <w:szCs w:val="28"/>
              </w:rPr>
              <w:t>A-KM/20-3792, kurā Finanšu ministrija iebilst pret MK noteikumu 11.</w:t>
            </w:r>
            <w:r w:rsidR="005D3959">
              <w:rPr>
                <w:sz w:val="28"/>
                <w:szCs w:val="28"/>
              </w:rPr>
              <w:t>5. apakšpunkta svītrošanu</w:t>
            </w:r>
            <w:r w:rsidR="005D3959" w:rsidRPr="00051A33">
              <w:rPr>
                <w:sz w:val="28"/>
                <w:szCs w:val="28"/>
              </w:rPr>
              <w:t xml:space="preserve">, </w:t>
            </w:r>
            <w:r w:rsidR="005D3959">
              <w:rPr>
                <w:sz w:val="28"/>
                <w:szCs w:val="28"/>
              </w:rPr>
              <w:t xml:space="preserve">norādot, </w:t>
            </w:r>
            <w:r w:rsidR="005D3959" w:rsidRPr="00051A33">
              <w:rPr>
                <w:sz w:val="28"/>
                <w:szCs w:val="28"/>
              </w:rPr>
              <w:t xml:space="preserve">ka </w:t>
            </w:r>
            <w:r w:rsidR="00602C74">
              <w:rPr>
                <w:sz w:val="28"/>
                <w:szCs w:val="28"/>
              </w:rPr>
              <w:t>MK notei</w:t>
            </w:r>
            <w:r w:rsidRPr="00051A33">
              <w:rPr>
                <w:sz w:val="28"/>
                <w:szCs w:val="28"/>
              </w:rPr>
              <w:t>kumu 11.</w:t>
            </w:r>
            <w:r w:rsidR="007A507C">
              <w:rPr>
                <w:sz w:val="28"/>
                <w:szCs w:val="28"/>
              </w:rPr>
              <w:t xml:space="preserve">5.apakšpunktā </w:t>
            </w:r>
            <w:r w:rsidRPr="00051A33">
              <w:rPr>
                <w:sz w:val="28"/>
                <w:szCs w:val="28"/>
              </w:rPr>
              <w:t>tiesībsarga pārstāvis ir jāai</w:t>
            </w:r>
            <w:r w:rsidR="007A507C">
              <w:rPr>
                <w:sz w:val="28"/>
                <w:szCs w:val="28"/>
              </w:rPr>
              <w:t xml:space="preserve">zstāj ar Tieslietu ministrijas </w:t>
            </w:r>
            <w:r w:rsidRPr="00051A33">
              <w:rPr>
                <w:sz w:val="28"/>
                <w:szCs w:val="28"/>
              </w:rPr>
              <w:t xml:space="preserve">pārstāvi. </w:t>
            </w:r>
          </w:p>
          <w:p w:rsidR="00DB1FAB" w:rsidRDefault="00B4670B" w:rsidP="00520149">
            <w:pPr>
              <w:ind w:right="145"/>
              <w:jc w:val="both"/>
              <w:rPr>
                <w:bCs/>
                <w:sz w:val="28"/>
                <w:szCs w:val="28"/>
              </w:rPr>
            </w:pPr>
            <w:r w:rsidRPr="00F87E86">
              <w:rPr>
                <w:bCs/>
                <w:sz w:val="28"/>
                <w:szCs w:val="28"/>
              </w:rPr>
              <w:t>Ievērojot minēto, lai varētu nodrošināt MK noteikumu 12.punkta izpildi</w:t>
            </w:r>
            <w:r w:rsidR="00264BF1" w:rsidRPr="00F87E86">
              <w:rPr>
                <w:bCs/>
                <w:sz w:val="28"/>
                <w:szCs w:val="28"/>
              </w:rPr>
              <w:t xml:space="preserve">, Kultūras ministrija </w:t>
            </w:r>
            <w:r w:rsidR="009A31A8">
              <w:rPr>
                <w:bCs/>
                <w:sz w:val="28"/>
                <w:szCs w:val="28"/>
              </w:rPr>
              <w:t>sagatavoja</w:t>
            </w:r>
            <w:r w:rsidR="00264BF1" w:rsidRPr="00F87E86">
              <w:rPr>
                <w:bCs/>
                <w:sz w:val="28"/>
                <w:szCs w:val="28"/>
              </w:rPr>
              <w:t xml:space="preserve"> </w:t>
            </w:r>
            <w:r w:rsidR="009A31A8">
              <w:rPr>
                <w:bCs/>
                <w:sz w:val="28"/>
                <w:szCs w:val="28"/>
              </w:rPr>
              <w:t>un iesaistītajām institūcijām 2013.gada 1</w:t>
            </w:r>
            <w:r w:rsidR="00520149">
              <w:rPr>
                <w:bCs/>
                <w:sz w:val="28"/>
                <w:szCs w:val="28"/>
              </w:rPr>
              <w:t>2.jūlijā izsūtīja saskaņošanai MK noteikumu p</w:t>
            </w:r>
            <w:r w:rsidR="00625B9B" w:rsidRPr="00F87E86">
              <w:rPr>
                <w:bCs/>
                <w:sz w:val="28"/>
                <w:szCs w:val="28"/>
              </w:rPr>
              <w:t>rojekt</w:t>
            </w:r>
            <w:r w:rsidR="00264BF1" w:rsidRPr="00F87E86">
              <w:rPr>
                <w:bCs/>
                <w:sz w:val="28"/>
                <w:szCs w:val="28"/>
              </w:rPr>
              <w:t xml:space="preserve">u, kas </w:t>
            </w:r>
            <w:r w:rsidR="00625B9B" w:rsidRPr="00F87E86">
              <w:rPr>
                <w:bCs/>
                <w:sz w:val="28"/>
                <w:szCs w:val="28"/>
              </w:rPr>
              <w:t>paredz mai</w:t>
            </w:r>
            <w:r w:rsidR="002719E4" w:rsidRPr="00F87E86">
              <w:rPr>
                <w:bCs/>
                <w:sz w:val="28"/>
                <w:szCs w:val="28"/>
              </w:rPr>
              <w:t xml:space="preserve">nīt </w:t>
            </w:r>
            <w:r w:rsidR="00931A5B" w:rsidRPr="00F87E86">
              <w:rPr>
                <w:sz w:val="28"/>
                <w:szCs w:val="28"/>
              </w:rPr>
              <w:t>konkursa komisijas</w:t>
            </w:r>
            <w:r w:rsidR="00931A5B" w:rsidRPr="00F87E86">
              <w:rPr>
                <w:bCs/>
                <w:sz w:val="28"/>
                <w:szCs w:val="28"/>
              </w:rPr>
              <w:t xml:space="preserve"> </w:t>
            </w:r>
            <w:r w:rsidR="00AE74C1">
              <w:rPr>
                <w:bCs/>
                <w:sz w:val="28"/>
                <w:szCs w:val="28"/>
              </w:rPr>
              <w:t xml:space="preserve">sastāvu, </w:t>
            </w:r>
            <w:r w:rsidR="007F2564">
              <w:rPr>
                <w:bCs/>
                <w:sz w:val="28"/>
                <w:szCs w:val="28"/>
              </w:rPr>
              <w:t>atbilst</w:t>
            </w:r>
            <w:r w:rsidR="00520149">
              <w:rPr>
                <w:bCs/>
                <w:sz w:val="28"/>
                <w:szCs w:val="28"/>
              </w:rPr>
              <w:t>oši Finanšu ministrijas iebildumam</w:t>
            </w:r>
            <w:r w:rsidR="007F2564">
              <w:rPr>
                <w:bCs/>
                <w:sz w:val="28"/>
                <w:szCs w:val="28"/>
              </w:rPr>
              <w:t xml:space="preserve"> </w:t>
            </w:r>
            <w:r w:rsidR="004B0869">
              <w:rPr>
                <w:bCs/>
                <w:sz w:val="28"/>
                <w:szCs w:val="28"/>
              </w:rPr>
              <w:t>aizstājot</w:t>
            </w:r>
            <w:r w:rsidR="00AE74C1">
              <w:rPr>
                <w:bCs/>
                <w:sz w:val="28"/>
                <w:szCs w:val="28"/>
              </w:rPr>
              <w:t xml:space="preserve"> tiesībsarga pārstāvi ar Tieslietu</w:t>
            </w:r>
            <w:r w:rsidR="0012785D">
              <w:rPr>
                <w:bCs/>
                <w:sz w:val="28"/>
                <w:szCs w:val="28"/>
              </w:rPr>
              <w:t xml:space="preserve"> ministrijas deleģēto pārstāvi.</w:t>
            </w:r>
          </w:p>
          <w:p w:rsidR="007F2564" w:rsidRDefault="007F2564" w:rsidP="00520149">
            <w:pPr>
              <w:ind w:right="145"/>
              <w:jc w:val="both"/>
              <w:rPr>
                <w:sz w:val="28"/>
                <w:szCs w:val="28"/>
              </w:rPr>
            </w:pPr>
            <w:r>
              <w:rPr>
                <w:bCs/>
                <w:sz w:val="28"/>
                <w:szCs w:val="28"/>
              </w:rPr>
              <w:t xml:space="preserve">2013.gada 19.jūlijā Tieslietu ministrija, sniedzot atzinumu par projektu, informēja, ka nepiekrīt Tieslietu ministrijas pārstāvja </w:t>
            </w:r>
            <w:r w:rsidR="00602C74">
              <w:rPr>
                <w:bCs/>
                <w:sz w:val="28"/>
                <w:szCs w:val="28"/>
              </w:rPr>
              <w:t>iekļaušanai</w:t>
            </w:r>
            <w:r>
              <w:rPr>
                <w:sz w:val="28"/>
                <w:szCs w:val="28"/>
              </w:rPr>
              <w:t xml:space="preserve"> </w:t>
            </w:r>
            <w:r w:rsidRPr="00F87E86">
              <w:rPr>
                <w:sz w:val="28"/>
                <w:szCs w:val="28"/>
              </w:rPr>
              <w:t>Sabiedriskā labuma komisijas pretendentu izvērtēšanas komisij</w:t>
            </w:r>
            <w:r w:rsidR="00520149">
              <w:rPr>
                <w:sz w:val="28"/>
                <w:szCs w:val="28"/>
              </w:rPr>
              <w:t>ā</w:t>
            </w:r>
            <w:r>
              <w:rPr>
                <w:sz w:val="28"/>
                <w:szCs w:val="28"/>
              </w:rPr>
              <w:t>.</w:t>
            </w:r>
          </w:p>
          <w:p w:rsidR="007F2564" w:rsidRPr="0012785D" w:rsidRDefault="007F2564" w:rsidP="00520149">
            <w:pPr>
              <w:ind w:right="145"/>
              <w:jc w:val="both"/>
              <w:rPr>
                <w:bCs/>
                <w:sz w:val="28"/>
                <w:szCs w:val="28"/>
              </w:rPr>
            </w:pPr>
            <w:r>
              <w:rPr>
                <w:sz w:val="28"/>
                <w:szCs w:val="28"/>
              </w:rPr>
              <w:lastRenderedPageBreak/>
              <w:t xml:space="preserve">Lai panāktu vienošanos par Finanšu ministrijas un Tieslietu ministrijas izteiktajiem iebildumiem, 2013.gada 7.augustā </w:t>
            </w:r>
            <w:r w:rsidR="00520149">
              <w:rPr>
                <w:sz w:val="28"/>
                <w:szCs w:val="28"/>
              </w:rPr>
              <w:t xml:space="preserve">Kultūras ministrija </w:t>
            </w:r>
            <w:r>
              <w:rPr>
                <w:sz w:val="28"/>
                <w:szCs w:val="28"/>
              </w:rPr>
              <w:t>organizēja starpinstitūciju sanāksmi, k</w:t>
            </w:r>
            <w:r w:rsidR="00520149">
              <w:rPr>
                <w:sz w:val="28"/>
                <w:szCs w:val="28"/>
              </w:rPr>
              <w:t>uras</w:t>
            </w:r>
            <w:r>
              <w:rPr>
                <w:sz w:val="28"/>
                <w:szCs w:val="28"/>
              </w:rPr>
              <w:t xml:space="preserve"> rezultātā </w:t>
            </w:r>
            <w:r w:rsidRPr="00560962">
              <w:rPr>
                <w:sz w:val="28"/>
                <w:szCs w:val="28"/>
              </w:rPr>
              <w:t>Finanšu ministrija, atbilstoši savai ko</w:t>
            </w:r>
            <w:r w:rsidR="00520149">
              <w:rPr>
                <w:sz w:val="28"/>
                <w:szCs w:val="28"/>
              </w:rPr>
              <w:t>mpetencei, atkārtoti izskatīja MK noteikumu p</w:t>
            </w:r>
            <w:r w:rsidRPr="00560962">
              <w:rPr>
                <w:sz w:val="28"/>
                <w:szCs w:val="28"/>
              </w:rPr>
              <w:t>rojektu un atsauca</w:t>
            </w:r>
            <w:r w:rsidRPr="00BE10E3">
              <w:rPr>
                <w:sz w:val="28"/>
                <w:szCs w:val="28"/>
              </w:rPr>
              <w:t xml:space="preserve"> </w:t>
            </w:r>
            <w:r w:rsidRPr="00560962">
              <w:rPr>
                <w:sz w:val="28"/>
                <w:szCs w:val="28"/>
                <w:u w:val="single"/>
              </w:rPr>
              <w:t>iepriekš izteikto iebildumu</w:t>
            </w:r>
            <w:r w:rsidRPr="00560962">
              <w:rPr>
                <w:sz w:val="28"/>
                <w:szCs w:val="28"/>
              </w:rPr>
              <w:t xml:space="preserve"> par Tieslietu ministrijas pārstāvja iekļaušanu Sabiedriskā labuma komisijas pretendentu izvērtēšanas komisijā.</w:t>
            </w:r>
          </w:p>
        </w:tc>
      </w:tr>
      <w:tr w:rsidR="00090490" w:rsidRPr="00F87E86" w:rsidTr="008D3634">
        <w:trPr>
          <w:trHeight w:val="655"/>
        </w:trPr>
        <w:tc>
          <w:tcPr>
            <w:tcW w:w="310" w:type="pct"/>
          </w:tcPr>
          <w:p w:rsidR="00090490" w:rsidRPr="00F87E86" w:rsidRDefault="00090490" w:rsidP="00E35F46">
            <w:pPr>
              <w:pStyle w:val="naiskr"/>
              <w:spacing w:before="0" w:after="0"/>
              <w:jc w:val="center"/>
              <w:rPr>
                <w:sz w:val="28"/>
                <w:szCs w:val="28"/>
              </w:rPr>
            </w:pPr>
            <w:r w:rsidRPr="00F87E86">
              <w:rPr>
                <w:sz w:val="28"/>
                <w:szCs w:val="28"/>
              </w:rPr>
              <w:lastRenderedPageBreak/>
              <w:t>3.</w:t>
            </w:r>
          </w:p>
        </w:tc>
        <w:tc>
          <w:tcPr>
            <w:tcW w:w="1384" w:type="pct"/>
          </w:tcPr>
          <w:p w:rsidR="00090490" w:rsidRPr="00F87E86" w:rsidRDefault="00090490" w:rsidP="00FE5B02">
            <w:pPr>
              <w:pStyle w:val="naiskr"/>
              <w:spacing w:before="0" w:after="0"/>
              <w:ind w:left="164" w:right="136"/>
              <w:rPr>
                <w:sz w:val="28"/>
                <w:szCs w:val="28"/>
              </w:rPr>
            </w:pPr>
            <w:r w:rsidRPr="00F87E86">
              <w:rPr>
                <w:sz w:val="28"/>
                <w:szCs w:val="28"/>
              </w:rPr>
              <w:t>Saistītie politikas ietekmes novērtējumi un pētījumi</w:t>
            </w:r>
          </w:p>
        </w:tc>
        <w:tc>
          <w:tcPr>
            <w:tcW w:w="3306" w:type="pct"/>
          </w:tcPr>
          <w:p w:rsidR="00090490" w:rsidRPr="00F87E86" w:rsidRDefault="00264BF1" w:rsidP="0043737D">
            <w:pPr>
              <w:pStyle w:val="Vresteksts"/>
              <w:tabs>
                <w:tab w:val="left" w:pos="5070"/>
              </w:tabs>
              <w:ind w:right="136"/>
              <w:jc w:val="both"/>
              <w:rPr>
                <w:sz w:val="28"/>
                <w:szCs w:val="28"/>
              </w:rPr>
            </w:pPr>
            <w:r w:rsidRPr="00F87E86">
              <w:rPr>
                <w:sz w:val="28"/>
                <w:szCs w:val="28"/>
              </w:rPr>
              <w:t>P</w:t>
            </w:r>
            <w:r w:rsidR="00090490" w:rsidRPr="00F87E86">
              <w:rPr>
                <w:sz w:val="28"/>
                <w:szCs w:val="28"/>
              </w:rPr>
              <w:t>rojekts šo jomu neskar.</w:t>
            </w:r>
          </w:p>
        </w:tc>
      </w:tr>
      <w:tr w:rsidR="00090490" w:rsidRPr="00F87E86" w:rsidTr="008D3634">
        <w:trPr>
          <w:trHeight w:val="384"/>
        </w:trPr>
        <w:tc>
          <w:tcPr>
            <w:tcW w:w="310" w:type="pct"/>
          </w:tcPr>
          <w:p w:rsidR="00090490" w:rsidRPr="00F87E86" w:rsidRDefault="00090490" w:rsidP="00E35F46">
            <w:pPr>
              <w:pStyle w:val="naiskr"/>
              <w:spacing w:before="0" w:after="0"/>
              <w:jc w:val="center"/>
              <w:rPr>
                <w:sz w:val="28"/>
                <w:szCs w:val="28"/>
              </w:rPr>
            </w:pPr>
            <w:r w:rsidRPr="00F87E86">
              <w:rPr>
                <w:sz w:val="28"/>
                <w:szCs w:val="28"/>
              </w:rPr>
              <w:t>4.</w:t>
            </w:r>
          </w:p>
        </w:tc>
        <w:tc>
          <w:tcPr>
            <w:tcW w:w="1384" w:type="pct"/>
          </w:tcPr>
          <w:p w:rsidR="00090490" w:rsidRPr="00F87E86" w:rsidRDefault="00090490" w:rsidP="00FE5B02">
            <w:pPr>
              <w:pStyle w:val="naiskr"/>
              <w:spacing w:before="0" w:after="0"/>
              <w:ind w:left="164" w:right="136"/>
              <w:rPr>
                <w:sz w:val="28"/>
                <w:szCs w:val="28"/>
              </w:rPr>
            </w:pPr>
            <w:r w:rsidRPr="00F87E86">
              <w:rPr>
                <w:sz w:val="28"/>
                <w:szCs w:val="28"/>
              </w:rPr>
              <w:t>Tiesiskā regulējuma mērķis un būtība</w:t>
            </w:r>
          </w:p>
        </w:tc>
        <w:tc>
          <w:tcPr>
            <w:tcW w:w="3306" w:type="pct"/>
          </w:tcPr>
          <w:p w:rsidR="00B430E8" w:rsidRDefault="006B2453" w:rsidP="0012785D">
            <w:pPr>
              <w:ind w:left="47" w:right="136"/>
              <w:jc w:val="both"/>
              <w:rPr>
                <w:bCs/>
                <w:sz w:val="28"/>
                <w:szCs w:val="28"/>
              </w:rPr>
            </w:pPr>
            <w:r>
              <w:rPr>
                <w:bCs/>
                <w:sz w:val="28"/>
                <w:szCs w:val="28"/>
              </w:rPr>
              <w:t>Projekta mērķis ir n</w:t>
            </w:r>
            <w:r w:rsidR="006F2597" w:rsidRPr="009A7EDC">
              <w:rPr>
                <w:bCs/>
                <w:sz w:val="28"/>
                <w:szCs w:val="28"/>
              </w:rPr>
              <w:t xml:space="preserve">odrošināt </w:t>
            </w:r>
            <w:r w:rsidR="00446935" w:rsidRPr="009A7EDC">
              <w:rPr>
                <w:sz w:val="28"/>
                <w:szCs w:val="28"/>
              </w:rPr>
              <w:t>MK</w:t>
            </w:r>
            <w:r w:rsidR="006F2597" w:rsidRPr="009A7EDC">
              <w:rPr>
                <w:sz w:val="28"/>
                <w:szCs w:val="28"/>
              </w:rPr>
              <w:t xml:space="preserve"> noteikumu 11.un 12.punkta</w:t>
            </w:r>
            <w:r w:rsidR="00CA2E25">
              <w:rPr>
                <w:bCs/>
                <w:sz w:val="28"/>
                <w:szCs w:val="28"/>
              </w:rPr>
              <w:t xml:space="preserve"> izpildi</w:t>
            </w:r>
            <w:r w:rsidR="006F2597" w:rsidRPr="009A7EDC">
              <w:rPr>
                <w:bCs/>
                <w:sz w:val="28"/>
                <w:szCs w:val="28"/>
              </w:rPr>
              <w:t xml:space="preserve"> </w:t>
            </w:r>
            <w:r w:rsidR="00446935" w:rsidRPr="009A7EDC">
              <w:rPr>
                <w:bCs/>
                <w:sz w:val="28"/>
                <w:szCs w:val="28"/>
              </w:rPr>
              <w:t xml:space="preserve">un </w:t>
            </w:r>
            <w:r w:rsidR="00CA2E25">
              <w:rPr>
                <w:bCs/>
                <w:sz w:val="28"/>
                <w:szCs w:val="28"/>
              </w:rPr>
              <w:t>nodrošināt</w:t>
            </w:r>
            <w:r w:rsidR="006F2597" w:rsidRPr="009A7EDC">
              <w:rPr>
                <w:bCs/>
                <w:sz w:val="28"/>
                <w:szCs w:val="28"/>
              </w:rPr>
              <w:t xml:space="preserve"> Sabiedriskā labuma komisiju ar nevalstisko organizāciju izvirzītajiem pārstāvjiem.</w:t>
            </w:r>
            <w:r w:rsidR="0012785D">
              <w:rPr>
                <w:bCs/>
                <w:sz w:val="28"/>
                <w:szCs w:val="28"/>
              </w:rPr>
              <w:t xml:space="preserve"> </w:t>
            </w:r>
          </w:p>
          <w:p w:rsidR="00DA1F21" w:rsidRPr="0012785D" w:rsidRDefault="00B430E8" w:rsidP="0068570F">
            <w:pPr>
              <w:ind w:left="47" w:right="136"/>
              <w:jc w:val="both"/>
              <w:rPr>
                <w:bCs/>
                <w:sz w:val="28"/>
                <w:szCs w:val="28"/>
              </w:rPr>
            </w:pPr>
            <w:r w:rsidRPr="00F87E86">
              <w:rPr>
                <w:sz w:val="28"/>
                <w:szCs w:val="28"/>
              </w:rPr>
              <w:t>P</w:t>
            </w:r>
            <w:r>
              <w:rPr>
                <w:sz w:val="28"/>
                <w:szCs w:val="28"/>
              </w:rPr>
              <w:t>rojekts</w:t>
            </w:r>
            <w:r w:rsidRPr="00F87E86">
              <w:rPr>
                <w:sz w:val="28"/>
                <w:szCs w:val="28"/>
              </w:rPr>
              <w:t xml:space="preserve"> paredz izdarīt grozījumu MK noteikumos un svītrot 11.5.apakšpunktu un tādējādi samazināt</w:t>
            </w:r>
            <w:r w:rsidRPr="00F87E86" w:rsidDel="00264BF1">
              <w:rPr>
                <w:sz w:val="28"/>
                <w:szCs w:val="28"/>
              </w:rPr>
              <w:t xml:space="preserve"> </w:t>
            </w:r>
            <w:r w:rsidRPr="00F87E86">
              <w:rPr>
                <w:sz w:val="28"/>
                <w:szCs w:val="28"/>
              </w:rPr>
              <w:t xml:space="preserve">Sabiedriskā labuma komisijas pretendentu izvērtēšanas konkursa komisijas locekļu skaitu līdz četriem locekļiem, svītrojot </w:t>
            </w:r>
            <w:r w:rsidR="0068570F">
              <w:rPr>
                <w:bCs/>
                <w:sz w:val="28"/>
                <w:szCs w:val="28"/>
              </w:rPr>
              <w:t>t</w:t>
            </w:r>
            <w:r>
              <w:rPr>
                <w:bCs/>
                <w:sz w:val="28"/>
                <w:szCs w:val="28"/>
              </w:rPr>
              <w:t>iesībsarga pārstāvi</w:t>
            </w:r>
            <w:r w:rsidRPr="00F87E86">
              <w:rPr>
                <w:bCs/>
                <w:sz w:val="28"/>
                <w:szCs w:val="28"/>
              </w:rPr>
              <w:t>.</w:t>
            </w:r>
          </w:p>
        </w:tc>
      </w:tr>
      <w:tr w:rsidR="00090490" w:rsidRPr="00F87E86" w:rsidTr="008D3634">
        <w:trPr>
          <w:trHeight w:val="476"/>
        </w:trPr>
        <w:tc>
          <w:tcPr>
            <w:tcW w:w="310" w:type="pct"/>
          </w:tcPr>
          <w:p w:rsidR="00090490" w:rsidRPr="00F87E86" w:rsidRDefault="00090490" w:rsidP="00E35F46">
            <w:pPr>
              <w:pStyle w:val="naiskr"/>
              <w:spacing w:before="0" w:after="0"/>
              <w:jc w:val="center"/>
              <w:rPr>
                <w:sz w:val="28"/>
                <w:szCs w:val="28"/>
              </w:rPr>
            </w:pPr>
            <w:r w:rsidRPr="00F87E86">
              <w:rPr>
                <w:sz w:val="28"/>
                <w:szCs w:val="28"/>
              </w:rPr>
              <w:t>5.</w:t>
            </w:r>
          </w:p>
        </w:tc>
        <w:tc>
          <w:tcPr>
            <w:tcW w:w="1384" w:type="pct"/>
          </w:tcPr>
          <w:p w:rsidR="00090490" w:rsidRPr="00F87E86" w:rsidRDefault="00090490" w:rsidP="00FE5B02">
            <w:pPr>
              <w:pStyle w:val="naiskr"/>
              <w:spacing w:before="0" w:after="0"/>
              <w:ind w:left="164" w:right="136"/>
              <w:rPr>
                <w:sz w:val="28"/>
                <w:szCs w:val="28"/>
              </w:rPr>
            </w:pPr>
            <w:r w:rsidRPr="00F87E86">
              <w:rPr>
                <w:sz w:val="28"/>
                <w:szCs w:val="28"/>
              </w:rPr>
              <w:t>Projekta izstrādē iesaistītās institūcijas</w:t>
            </w:r>
          </w:p>
        </w:tc>
        <w:tc>
          <w:tcPr>
            <w:tcW w:w="3306" w:type="pct"/>
          </w:tcPr>
          <w:p w:rsidR="00090490" w:rsidRPr="00F87E86" w:rsidRDefault="00264BF1" w:rsidP="0043737D">
            <w:pPr>
              <w:ind w:right="136"/>
              <w:jc w:val="both"/>
              <w:rPr>
                <w:sz w:val="28"/>
                <w:szCs w:val="28"/>
              </w:rPr>
            </w:pPr>
            <w:r w:rsidRPr="00F87E86">
              <w:rPr>
                <w:sz w:val="28"/>
                <w:szCs w:val="28"/>
              </w:rPr>
              <w:t>Kultūras ministrija.</w:t>
            </w:r>
          </w:p>
        </w:tc>
      </w:tr>
      <w:tr w:rsidR="00090490" w:rsidRPr="00F87E86" w:rsidTr="008D3634">
        <w:trPr>
          <w:trHeight w:val="701"/>
        </w:trPr>
        <w:tc>
          <w:tcPr>
            <w:tcW w:w="310" w:type="pct"/>
          </w:tcPr>
          <w:p w:rsidR="00090490" w:rsidRPr="00F87E86" w:rsidRDefault="00090490" w:rsidP="00E35F46">
            <w:pPr>
              <w:pStyle w:val="naiskr"/>
              <w:spacing w:before="0" w:after="0"/>
              <w:jc w:val="center"/>
              <w:rPr>
                <w:sz w:val="28"/>
                <w:szCs w:val="28"/>
              </w:rPr>
            </w:pPr>
            <w:r w:rsidRPr="00F87E86">
              <w:rPr>
                <w:sz w:val="28"/>
                <w:szCs w:val="28"/>
              </w:rPr>
              <w:t>6.</w:t>
            </w:r>
          </w:p>
        </w:tc>
        <w:tc>
          <w:tcPr>
            <w:tcW w:w="1384" w:type="pct"/>
          </w:tcPr>
          <w:p w:rsidR="00090490" w:rsidRPr="00F87E86" w:rsidRDefault="00090490" w:rsidP="00FE5B02">
            <w:pPr>
              <w:pStyle w:val="naiskr"/>
              <w:spacing w:before="0" w:after="0"/>
              <w:ind w:left="164" w:right="136"/>
              <w:rPr>
                <w:i/>
                <w:sz w:val="28"/>
                <w:szCs w:val="28"/>
                <w:highlight w:val="yellow"/>
              </w:rPr>
            </w:pPr>
            <w:r w:rsidRPr="00F87E86">
              <w:rPr>
                <w:sz w:val="28"/>
                <w:szCs w:val="28"/>
              </w:rPr>
              <w:t>Iemesli, kādēļ netika nodrošināta sabiedrības līdzdalība</w:t>
            </w:r>
          </w:p>
        </w:tc>
        <w:tc>
          <w:tcPr>
            <w:tcW w:w="3306" w:type="pct"/>
          </w:tcPr>
          <w:p w:rsidR="00462CE6" w:rsidRPr="00F87E86" w:rsidRDefault="00462CE6" w:rsidP="0043737D">
            <w:pPr>
              <w:pStyle w:val="Vresteksts"/>
              <w:ind w:right="136"/>
              <w:jc w:val="both"/>
              <w:rPr>
                <w:sz w:val="28"/>
                <w:szCs w:val="28"/>
              </w:rPr>
            </w:pPr>
            <w:r w:rsidRPr="00F87E86">
              <w:rPr>
                <w:sz w:val="28"/>
                <w:szCs w:val="28"/>
              </w:rPr>
              <w:t xml:space="preserve">Sabiedrības līdzdalība netika nodrošināta, jo </w:t>
            </w:r>
            <w:r w:rsidR="008D3634" w:rsidRPr="00F87E86">
              <w:rPr>
                <w:sz w:val="28"/>
                <w:szCs w:val="28"/>
              </w:rPr>
              <w:t>P</w:t>
            </w:r>
            <w:r w:rsidR="00090490" w:rsidRPr="00F87E86">
              <w:rPr>
                <w:sz w:val="28"/>
                <w:szCs w:val="28"/>
              </w:rPr>
              <w:t xml:space="preserve">rojekts </w:t>
            </w:r>
            <w:r w:rsidRPr="00F87E86">
              <w:rPr>
                <w:sz w:val="28"/>
                <w:szCs w:val="28"/>
              </w:rPr>
              <w:t>regulē publiskās pārvaldes tiesiskās attiecības, lai veicinātu institūciju sadarbību un lēmumu pieņemšanu.</w:t>
            </w:r>
          </w:p>
        </w:tc>
      </w:tr>
      <w:tr w:rsidR="00090490" w:rsidRPr="00F87E86" w:rsidTr="008D3634">
        <w:trPr>
          <w:trHeight w:val="384"/>
        </w:trPr>
        <w:tc>
          <w:tcPr>
            <w:tcW w:w="310" w:type="pct"/>
          </w:tcPr>
          <w:p w:rsidR="00090490" w:rsidRPr="00F87E86" w:rsidRDefault="00090490" w:rsidP="00E35F46">
            <w:pPr>
              <w:pStyle w:val="naiskr"/>
              <w:spacing w:before="0" w:after="0"/>
              <w:jc w:val="center"/>
              <w:rPr>
                <w:sz w:val="28"/>
                <w:szCs w:val="28"/>
              </w:rPr>
            </w:pPr>
            <w:r w:rsidRPr="00F87E86">
              <w:rPr>
                <w:sz w:val="28"/>
                <w:szCs w:val="28"/>
              </w:rPr>
              <w:t>7.</w:t>
            </w:r>
          </w:p>
        </w:tc>
        <w:tc>
          <w:tcPr>
            <w:tcW w:w="1384" w:type="pct"/>
          </w:tcPr>
          <w:p w:rsidR="00090490" w:rsidRPr="00F87E86" w:rsidRDefault="00090490" w:rsidP="00100291">
            <w:pPr>
              <w:pStyle w:val="naiskr"/>
              <w:spacing w:before="0" w:after="0"/>
              <w:ind w:left="142" w:right="136"/>
              <w:rPr>
                <w:sz w:val="28"/>
                <w:szCs w:val="28"/>
              </w:rPr>
            </w:pPr>
            <w:r w:rsidRPr="00F87E86">
              <w:rPr>
                <w:sz w:val="28"/>
                <w:szCs w:val="28"/>
              </w:rPr>
              <w:t>Cita informācija</w:t>
            </w:r>
          </w:p>
        </w:tc>
        <w:tc>
          <w:tcPr>
            <w:tcW w:w="3306" w:type="pct"/>
          </w:tcPr>
          <w:p w:rsidR="00090490" w:rsidRPr="00F87E86" w:rsidRDefault="00090490" w:rsidP="0043737D">
            <w:pPr>
              <w:pStyle w:val="naiskr"/>
              <w:spacing w:before="0" w:after="0"/>
              <w:ind w:left="47" w:right="136"/>
              <w:jc w:val="both"/>
              <w:rPr>
                <w:sz w:val="28"/>
                <w:szCs w:val="28"/>
              </w:rPr>
            </w:pPr>
            <w:r w:rsidRPr="00F87E86">
              <w:rPr>
                <w:sz w:val="28"/>
                <w:szCs w:val="28"/>
              </w:rPr>
              <w:t>Nav.</w:t>
            </w:r>
          </w:p>
        </w:tc>
      </w:tr>
    </w:tbl>
    <w:p w:rsidR="008D3634" w:rsidRPr="00F87E86" w:rsidRDefault="008D3634" w:rsidP="008D3634">
      <w:pPr>
        <w:pStyle w:val="ParastaisWeb"/>
        <w:spacing w:before="0" w:beforeAutospacing="0" w:after="0" w:afterAutospacing="0"/>
        <w:rPr>
          <w:rFonts w:ascii="Times New Roman" w:hAnsi="Times New Roman"/>
          <w:i/>
          <w:iCs/>
          <w:sz w:val="28"/>
          <w:szCs w:val="28"/>
        </w:rPr>
      </w:pPr>
    </w:p>
    <w:p w:rsidR="00EB3FED" w:rsidRDefault="008D3634" w:rsidP="00D775AF">
      <w:pPr>
        <w:pStyle w:val="ParastaisWeb"/>
        <w:spacing w:before="0" w:beforeAutospacing="0" w:after="0" w:afterAutospacing="0"/>
        <w:rPr>
          <w:rFonts w:ascii="Times New Roman" w:hAnsi="Times New Roman"/>
          <w:i/>
          <w:iCs/>
          <w:sz w:val="28"/>
          <w:szCs w:val="28"/>
        </w:rPr>
      </w:pPr>
      <w:r w:rsidRPr="00F87E86">
        <w:rPr>
          <w:rFonts w:ascii="Times New Roman" w:hAnsi="Times New Roman"/>
          <w:i/>
          <w:iCs/>
          <w:sz w:val="28"/>
          <w:szCs w:val="28"/>
        </w:rPr>
        <w:t>Anotācijas II, III, IV, V un VI sadaļa – projekts šīs jomas neskar.</w:t>
      </w:r>
    </w:p>
    <w:p w:rsidR="00A33920" w:rsidRPr="00F87E86" w:rsidRDefault="00A33920" w:rsidP="00D775AF">
      <w:pPr>
        <w:pStyle w:val="ParastaisWeb"/>
        <w:spacing w:before="0" w:beforeAutospacing="0" w:after="0" w:afterAutospacing="0"/>
        <w:rPr>
          <w:rFonts w:ascii="Times New Roman" w:hAnsi="Times New Roman"/>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0"/>
        <w:gridCol w:w="3406"/>
        <w:gridCol w:w="5131"/>
      </w:tblGrid>
      <w:tr w:rsidR="00090490" w:rsidRPr="00F87E86" w:rsidTr="008D3634">
        <w:tc>
          <w:tcPr>
            <w:tcW w:w="5000" w:type="pct"/>
            <w:gridSpan w:val="3"/>
            <w:tcBorders>
              <w:top w:val="single" w:sz="4" w:space="0" w:color="auto"/>
            </w:tcBorders>
          </w:tcPr>
          <w:p w:rsidR="00090490" w:rsidRPr="00F87E86" w:rsidRDefault="00090490" w:rsidP="00EB3FED">
            <w:pPr>
              <w:pStyle w:val="naisnod"/>
              <w:spacing w:before="0" w:after="0"/>
              <w:ind w:right="57"/>
              <w:rPr>
                <w:sz w:val="28"/>
                <w:szCs w:val="28"/>
              </w:rPr>
            </w:pPr>
            <w:r w:rsidRPr="00F87E86">
              <w:rPr>
                <w:sz w:val="28"/>
                <w:szCs w:val="28"/>
              </w:rPr>
              <w:t>VII. Tiesību akta projekta izpildes nodrošināšana un tās ietekme uz institūcijām</w:t>
            </w:r>
          </w:p>
        </w:tc>
      </w:tr>
      <w:tr w:rsidR="00090490" w:rsidRPr="00F87E86" w:rsidTr="008D3634">
        <w:trPr>
          <w:trHeight w:val="382"/>
        </w:trPr>
        <w:tc>
          <w:tcPr>
            <w:tcW w:w="323" w:type="pct"/>
          </w:tcPr>
          <w:p w:rsidR="00090490" w:rsidRPr="00F87E86" w:rsidRDefault="00090490" w:rsidP="00EB3FED">
            <w:pPr>
              <w:pStyle w:val="naisnod"/>
              <w:spacing w:before="0" w:after="0"/>
              <w:ind w:right="57"/>
              <w:rPr>
                <w:b w:val="0"/>
                <w:sz w:val="28"/>
                <w:szCs w:val="28"/>
              </w:rPr>
            </w:pPr>
            <w:r w:rsidRPr="00F87E86">
              <w:rPr>
                <w:b w:val="0"/>
                <w:sz w:val="28"/>
                <w:szCs w:val="28"/>
              </w:rPr>
              <w:t>1.</w:t>
            </w:r>
          </w:p>
        </w:tc>
        <w:tc>
          <w:tcPr>
            <w:tcW w:w="1866" w:type="pct"/>
          </w:tcPr>
          <w:p w:rsidR="00090490" w:rsidRPr="00F87E86" w:rsidRDefault="00090490" w:rsidP="00EB3FED">
            <w:pPr>
              <w:pStyle w:val="naisf"/>
              <w:spacing w:before="0" w:after="0"/>
              <w:ind w:right="57" w:firstLine="0"/>
              <w:jc w:val="left"/>
              <w:rPr>
                <w:sz w:val="28"/>
                <w:szCs w:val="28"/>
              </w:rPr>
            </w:pPr>
            <w:r w:rsidRPr="00F87E86">
              <w:rPr>
                <w:sz w:val="28"/>
                <w:szCs w:val="28"/>
              </w:rPr>
              <w:t xml:space="preserve">Projekta izpildē iesaistītās institūcijas </w:t>
            </w:r>
          </w:p>
        </w:tc>
        <w:tc>
          <w:tcPr>
            <w:tcW w:w="2810" w:type="pct"/>
          </w:tcPr>
          <w:p w:rsidR="00090490" w:rsidRPr="00F87E86" w:rsidRDefault="006777AF" w:rsidP="006777AF">
            <w:pPr>
              <w:pStyle w:val="tv213"/>
              <w:spacing w:before="0" w:beforeAutospacing="0" w:after="0" w:afterAutospacing="0"/>
              <w:ind w:right="136"/>
              <w:jc w:val="both"/>
              <w:rPr>
                <w:sz w:val="28"/>
                <w:szCs w:val="28"/>
              </w:rPr>
            </w:pPr>
            <w:r>
              <w:rPr>
                <w:sz w:val="28"/>
                <w:szCs w:val="28"/>
              </w:rPr>
              <w:t>Finanšu ministrija</w:t>
            </w:r>
            <w:r w:rsidRPr="00CA298B">
              <w:rPr>
                <w:sz w:val="28"/>
                <w:szCs w:val="28"/>
              </w:rPr>
              <w:t>,</w:t>
            </w:r>
            <w:r>
              <w:rPr>
                <w:sz w:val="28"/>
                <w:szCs w:val="28"/>
              </w:rPr>
              <w:t xml:space="preserve"> Tieslietu ministrija,</w:t>
            </w:r>
            <w:r w:rsidRPr="00CA298B">
              <w:rPr>
                <w:sz w:val="28"/>
                <w:szCs w:val="28"/>
              </w:rPr>
              <w:t xml:space="preserve"> Valsts </w:t>
            </w:r>
            <w:r>
              <w:rPr>
                <w:sz w:val="28"/>
                <w:szCs w:val="28"/>
              </w:rPr>
              <w:t>kanceleja</w:t>
            </w:r>
            <w:r w:rsidRPr="00CA298B">
              <w:rPr>
                <w:sz w:val="28"/>
                <w:szCs w:val="28"/>
              </w:rPr>
              <w:t xml:space="preserve">, </w:t>
            </w:r>
            <w:r>
              <w:rPr>
                <w:sz w:val="28"/>
                <w:szCs w:val="28"/>
              </w:rPr>
              <w:t xml:space="preserve">Kultūras ministrija, </w:t>
            </w:r>
            <w:r w:rsidRPr="00CA298B">
              <w:rPr>
                <w:sz w:val="28"/>
                <w:szCs w:val="28"/>
              </w:rPr>
              <w:t>Nevalstisko organizāciju un Ministru kabin</w:t>
            </w:r>
            <w:r>
              <w:rPr>
                <w:sz w:val="28"/>
                <w:szCs w:val="28"/>
              </w:rPr>
              <w:t>eta sadarbības memoranda padome, Tiesībsarga birojs.</w:t>
            </w:r>
          </w:p>
        </w:tc>
      </w:tr>
      <w:tr w:rsidR="00090490" w:rsidRPr="00F87E86" w:rsidTr="008D3634">
        <w:trPr>
          <w:trHeight w:val="463"/>
        </w:trPr>
        <w:tc>
          <w:tcPr>
            <w:tcW w:w="323" w:type="pct"/>
          </w:tcPr>
          <w:p w:rsidR="00090490" w:rsidRPr="00F87E86" w:rsidRDefault="00090490" w:rsidP="00E35F46">
            <w:pPr>
              <w:pStyle w:val="naisnod"/>
              <w:spacing w:before="0" w:after="0"/>
              <w:ind w:left="57" w:right="57"/>
              <w:rPr>
                <w:b w:val="0"/>
                <w:sz w:val="28"/>
                <w:szCs w:val="28"/>
              </w:rPr>
            </w:pPr>
            <w:r w:rsidRPr="00F87E86">
              <w:rPr>
                <w:b w:val="0"/>
                <w:sz w:val="28"/>
                <w:szCs w:val="28"/>
              </w:rPr>
              <w:lastRenderedPageBreak/>
              <w:t>2.</w:t>
            </w:r>
          </w:p>
        </w:tc>
        <w:tc>
          <w:tcPr>
            <w:tcW w:w="1866" w:type="pct"/>
          </w:tcPr>
          <w:p w:rsidR="00090490" w:rsidRPr="00F87E86" w:rsidRDefault="00090490" w:rsidP="00194587">
            <w:pPr>
              <w:pStyle w:val="naisf"/>
              <w:spacing w:before="0" w:after="0"/>
              <w:ind w:left="114" w:right="57" w:firstLine="0"/>
              <w:jc w:val="left"/>
              <w:rPr>
                <w:sz w:val="28"/>
                <w:szCs w:val="28"/>
              </w:rPr>
            </w:pPr>
            <w:r w:rsidRPr="00F87E86">
              <w:rPr>
                <w:sz w:val="28"/>
                <w:szCs w:val="28"/>
              </w:rPr>
              <w:t xml:space="preserve">Projekta izpildes ietekme uz pārvaldes funkcijām </w:t>
            </w:r>
          </w:p>
        </w:tc>
        <w:tc>
          <w:tcPr>
            <w:tcW w:w="2810" w:type="pct"/>
          </w:tcPr>
          <w:p w:rsidR="00090490" w:rsidRDefault="006777AF" w:rsidP="006777AF">
            <w:pPr>
              <w:pStyle w:val="naiskr"/>
              <w:spacing w:before="0" w:after="0"/>
              <w:ind w:right="136"/>
              <w:jc w:val="both"/>
              <w:rPr>
                <w:sz w:val="28"/>
                <w:szCs w:val="28"/>
              </w:rPr>
            </w:pPr>
            <w:r>
              <w:rPr>
                <w:sz w:val="28"/>
                <w:szCs w:val="28"/>
              </w:rPr>
              <w:t>MK noteikumos noteiktās Finanšu ministrijas</w:t>
            </w:r>
            <w:r w:rsidRPr="00CA298B">
              <w:rPr>
                <w:sz w:val="28"/>
                <w:szCs w:val="28"/>
              </w:rPr>
              <w:t>,</w:t>
            </w:r>
            <w:r>
              <w:rPr>
                <w:sz w:val="28"/>
                <w:szCs w:val="28"/>
              </w:rPr>
              <w:t xml:space="preserve"> </w:t>
            </w:r>
            <w:r w:rsidRPr="00CA298B">
              <w:rPr>
                <w:sz w:val="28"/>
                <w:szCs w:val="28"/>
              </w:rPr>
              <w:t xml:space="preserve">Valsts </w:t>
            </w:r>
            <w:r>
              <w:rPr>
                <w:sz w:val="28"/>
                <w:szCs w:val="28"/>
              </w:rPr>
              <w:t>kancelejas</w:t>
            </w:r>
            <w:r w:rsidRPr="00CA298B">
              <w:rPr>
                <w:sz w:val="28"/>
                <w:szCs w:val="28"/>
              </w:rPr>
              <w:t xml:space="preserve">, </w:t>
            </w:r>
            <w:r>
              <w:rPr>
                <w:sz w:val="28"/>
                <w:szCs w:val="28"/>
              </w:rPr>
              <w:t xml:space="preserve">Kultūras ministrijas, </w:t>
            </w:r>
            <w:r w:rsidRPr="00CA298B">
              <w:rPr>
                <w:sz w:val="28"/>
                <w:szCs w:val="28"/>
              </w:rPr>
              <w:t>Nevalstisko organizāciju un Ministru kabin</w:t>
            </w:r>
            <w:r>
              <w:rPr>
                <w:sz w:val="28"/>
                <w:szCs w:val="28"/>
              </w:rPr>
              <w:t>eta sadarbības memoranda padomes funkcijas</w:t>
            </w:r>
            <w:r w:rsidRPr="00F87E86">
              <w:rPr>
                <w:sz w:val="28"/>
                <w:szCs w:val="28"/>
              </w:rPr>
              <w:t xml:space="preserve"> </w:t>
            </w:r>
            <w:r>
              <w:rPr>
                <w:sz w:val="28"/>
                <w:szCs w:val="28"/>
              </w:rPr>
              <w:t>Projekta izpilde</w:t>
            </w:r>
            <w:r w:rsidRPr="00F87E86">
              <w:rPr>
                <w:sz w:val="28"/>
                <w:szCs w:val="28"/>
              </w:rPr>
              <w:t xml:space="preserve"> </w:t>
            </w:r>
            <w:r>
              <w:rPr>
                <w:sz w:val="28"/>
                <w:szCs w:val="28"/>
              </w:rPr>
              <w:t>neietekm</w:t>
            </w:r>
            <w:r w:rsidR="00E152CF">
              <w:rPr>
                <w:sz w:val="28"/>
                <w:szCs w:val="28"/>
              </w:rPr>
              <w:t>ē</w:t>
            </w:r>
            <w:r>
              <w:rPr>
                <w:sz w:val="28"/>
                <w:szCs w:val="28"/>
              </w:rPr>
              <w:t>.</w:t>
            </w:r>
          </w:p>
          <w:p w:rsidR="006777AF" w:rsidRPr="00F87E86" w:rsidRDefault="006777AF" w:rsidP="006777AF">
            <w:pPr>
              <w:pStyle w:val="naiskr"/>
              <w:spacing w:before="0" w:after="0"/>
              <w:ind w:right="136"/>
              <w:jc w:val="both"/>
              <w:rPr>
                <w:sz w:val="28"/>
                <w:szCs w:val="28"/>
              </w:rPr>
            </w:pPr>
            <w:r>
              <w:rPr>
                <w:sz w:val="28"/>
                <w:szCs w:val="28"/>
              </w:rPr>
              <w:t>Tiesībsarga biroju Projekta izpilde atbrīvo no pārstāvja deleģē</w:t>
            </w:r>
            <w:r w:rsidR="00E152CF">
              <w:rPr>
                <w:sz w:val="28"/>
                <w:szCs w:val="28"/>
              </w:rPr>
              <w:t>šanas</w:t>
            </w:r>
            <w:r>
              <w:rPr>
                <w:sz w:val="28"/>
                <w:szCs w:val="28"/>
              </w:rPr>
              <w:t xml:space="preserve"> Sabiedriskā labuma komisijas pretendentu </w:t>
            </w:r>
            <w:r w:rsidRPr="00CA298B">
              <w:rPr>
                <w:sz w:val="28"/>
                <w:szCs w:val="28"/>
              </w:rPr>
              <w:t>konkursa</w:t>
            </w:r>
            <w:r>
              <w:rPr>
                <w:sz w:val="28"/>
                <w:szCs w:val="28"/>
              </w:rPr>
              <w:t xml:space="preserve"> izvērtēšanas komisijā, komisijas </w:t>
            </w:r>
            <w:r w:rsidRPr="00CA298B">
              <w:rPr>
                <w:sz w:val="28"/>
                <w:szCs w:val="28"/>
              </w:rPr>
              <w:t xml:space="preserve">locekļa </w:t>
            </w:r>
            <w:r>
              <w:rPr>
                <w:sz w:val="28"/>
                <w:szCs w:val="28"/>
              </w:rPr>
              <w:t>statusā.</w:t>
            </w:r>
          </w:p>
        </w:tc>
      </w:tr>
      <w:tr w:rsidR="00090490" w:rsidRPr="00F87E86" w:rsidTr="008D3634">
        <w:trPr>
          <w:trHeight w:val="725"/>
        </w:trPr>
        <w:tc>
          <w:tcPr>
            <w:tcW w:w="323" w:type="pct"/>
          </w:tcPr>
          <w:p w:rsidR="00090490" w:rsidRPr="00F87E86" w:rsidRDefault="00090490" w:rsidP="00E35F46">
            <w:pPr>
              <w:pStyle w:val="naisnod"/>
              <w:spacing w:before="0" w:after="0"/>
              <w:ind w:left="57" w:right="57"/>
              <w:rPr>
                <w:b w:val="0"/>
                <w:sz w:val="28"/>
                <w:szCs w:val="28"/>
              </w:rPr>
            </w:pPr>
            <w:r w:rsidRPr="00F87E86">
              <w:rPr>
                <w:b w:val="0"/>
                <w:sz w:val="28"/>
                <w:szCs w:val="28"/>
              </w:rPr>
              <w:t>3.</w:t>
            </w:r>
          </w:p>
        </w:tc>
        <w:tc>
          <w:tcPr>
            <w:tcW w:w="1866" w:type="pct"/>
          </w:tcPr>
          <w:p w:rsidR="00090490" w:rsidRPr="00F87E86" w:rsidRDefault="00090490" w:rsidP="00194587">
            <w:pPr>
              <w:pStyle w:val="naisf"/>
              <w:spacing w:before="0" w:after="0"/>
              <w:ind w:left="114" w:right="57" w:firstLine="0"/>
              <w:jc w:val="left"/>
              <w:rPr>
                <w:sz w:val="28"/>
                <w:szCs w:val="28"/>
              </w:rPr>
            </w:pPr>
            <w:r w:rsidRPr="00F87E86">
              <w:rPr>
                <w:sz w:val="28"/>
                <w:szCs w:val="28"/>
              </w:rPr>
              <w:t>Projekta izpildes ietekme uz pārvaldes institucionālo struktūru.</w:t>
            </w:r>
          </w:p>
          <w:p w:rsidR="00090490" w:rsidRPr="00F87E86" w:rsidRDefault="00090490" w:rsidP="00194587">
            <w:pPr>
              <w:pStyle w:val="naisf"/>
              <w:spacing w:before="0" w:after="0"/>
              <w:ind w:left="114" w:right="57" w:firstLine="0"/>
              <w:jc w:val="left"/>
              <w:rPr>
                <w:sz w:val="28"/>
                <w:szCs w:val="28"/>
              </w:rPr>
            </w:pPr>
            <w:r w:rsidRPr="00F87E86">
              <w:rPr>
                <w:sz w:val="28"/>
                <w:szCs w:val="28"/>
              </w:rPr>
              <w:t>Jaunu institūciju izveide</w:t>
            </w:r>
          </w:p>
        </w:tc>
        <w:tc>
          <w:tcPr>
            <w:tcW w:w="2810" w:type="pct"/>
          </w:tcPr>
          <w:p w:rsidR="00090490" w:rsidRPr="00F87E86" w:rsidRDefault="00C67FF2" w:rsidP="0043737D">
            <w:pPr>
              <w:pStyle w:val="naiskr"/>
              <w:spacing w:before="0" w:after="0"/>
              <w:ind w:right="136"/>
              <w:jc w:val="both"/>
              <w:rPr>
                <w:sz w:val="28"/>
                <w:szCs w:val="28"/>
              </w:rPr>
            </w:pPr>
            <w:r w:rsidRPr="00F87E86">
              <w:rPr>
                <w:sz w:val="28"/>
                <w:szCs w:val="28"/>
              </w:rPr>
              <w:t>Projekts šo jomu neskar.</w:t>
            </w:r>
          </w:p>
        </w:tc>
      </w:tr>
      <w:tr w:rsidR="00090490" w:rsidRPr="00F87E86" w:rsidTr="008D3634">
        <w:trPr>
          <w:trHeight w:val="780"/>
        </w:trPr>
        <w:tc>
          <w:tcPr>
            <w:tcW w:w="323" w:type="pct"/>
          </w:tcPr>
          <w:p w:rsidR="00090490" w:rsidRPr="00F87E86" w:rsidRDefault="00090490" w:rsidP="00E35F46">
            <w:pPr>
              <w:pStyle w:val="naisnod"/>
              <w:spacing w:before="0" w:after="0"/>
              <w:ind w:left="57" w:right="57"/>
              <w:rPr>
                <w:b w:val="0"/>
                <w:sz w:val="28"/>
                <w:szCs w:val="28"/>
              </w:rPr>
            </w:pPr>
            <w:r w:rsidRPr="00F87E86">
              <w:rPr>
                <w:b w:val="0"/>
                <w:sz w:val="28"/>
                <w:szCs w:val="28"/>
              </w:rPr>
              <w:t>4.</w:t>
            </w:r>
          </w:p>
        </w:tc>
        <w:tc>
          <w:tcPr>
            <w:tcW w:w="1866" w:type="pct"/>
          </w:tcPr>
          <w:p w:rsidR="00090490" w:rsidRPr="00F87E86" w:rsidRDefault="00090490" w:rsidP="00194587">
            <w:pPr>
              <w:pStyle w:val="naisf"/>
              <w:spacing w:before="0" w:after="0"/>
              <w:ind w:left="114" w:right="57" w:firstLine="0"/>
              <w:jc w:val="left"/>
              <w:rPr>
                <w:sz w:val="28"/>
                <w:szCs w:val="28"/>
              </w:rPr>
            </w:pPr>
            <w:r w:rsidRPr="00F87E86">
              <w:rPr>
                <w:sz w:val="28"/>
                <w:szCs w:val="28"/>
              </w:rPr>
              <w:t>Projekta izpildes ietekme uz pārvaldes institucionālo struktūru.</w:t>
            </w:r>
          </w:p>
          <w:p w:rsidR="00090490" w:rsidRPr="00F87E86" w:rsidRDefault="00090490" w:rsidP="00194587">
            <w:pPr>
              <w:pStyle w:val="naisf"/>
              <w:spacing w:before="0" w:after="0"/>
              <w:ind w:left="114" w:right="57" w:firstLine="0"/>
              <w:jc w:val="left"/>
              <w:rPr>
                <w:sz w:val="28"/>
                <w:szCs w:val="28"/>
              </w:rPr>
            </w:pPr>
            <w:r w:rsidRPr="00F87E86">
              <w:rPr>
                <w:sz w:val="28"/>
                <w:szCs w:val="28"/>
              </w:rPr>
              <w:t>Esošu institūciju likvidācija</w:t>
            </w:r>
          </w:p>
        </w:tc>
        <w:tc>
          <w:tcPr>
            <w:tcW w:w="2810" w:type="pct"/>
          </w:tcPr>
          <w:p w:rsidR="00090490" w:rsidRPr="00F87E86" w:rsidRDefault="00C67FF2" w:rsidP="0043737D">
            <w:pPr>
              <w:pStyle w:val="naiskr"/>
              <w:spacing w:before="0" w:after="0"/>
              <w:ind w:left="-27" w:right="136"/>
              <w:jc w:val="both"/>
              <w:rPr>
                <w:sz w:val="28"/>
                <w:szCs w:val="28"/>
              </w:rPr>
            </w:pPr>
            <w:r w:rsidRPr="00F87E86">
              <w:rPr>
                <w:sz w:val="28"/>
                <w:szCs w:val="28"/>
              </w:rPr>
              <w:t>Projekts šo jomu neskar.</w:t>
            </w:r>
          </w:p>
        </w:tc>
      </w:tr>
      <w:tr w:rsidR="00090490" w:rsidRPr="00F87E86" w:rsidTr="008D3634">
        <w:trPr>
          <w:trHeight w:val="703"/>
        </w:trPr>
        <w:tc>
          <w:tcPr>
            <w:tcW w:w="323" w:type="pct"/>
          </w:tcPr>
          <w:p w:rsidR="00090490" w:rsidRPr="00F87E86" w:rsidRDefault="00090490" w:rsidP="00E35F46">
            <w:pPr>
              <w:pStyle w:val="naisnod"/>
              <w:spacing w:before="0" w:after="0"/>
              <w:ind w:left="57" w:right="57"/>
              <w:rPr>
                <w:b w:val="0"/>
                <w:sz w:val="28"/>
                <w:szCs w:val="28"/>
              </w:rPr>
            </w:pPr>
            <w:r w:rsidRPr="00F87E86">
              <w:rPr>
                <w:b w:val="0"/>
                <w:sz w:val="28"/>
                <w:szCs w:val="28"/>
              </w:rPr>
              <w:t>5.</w:t>
            </w:r>
          </w:p>
        </w:tc>
        <w:tc>
          <w:tcPr>
            <w:tcW w:w="1866" w:type="pct"/>
          </w:tcPr>
          <w:p w:rsidR="00090490" w:rsidRPr="00F87E86" w:rsidRDefault="00090490" w:rsidP="00194587">
            <w:pPr>
              <w:pStyle w:val="naisf"/>
              <w:spacing w:before="0" w:after="0"/>
              <w:ind w:left="114" w:right="57" w:firstLine="0"/>
              <w:jc w:val="left"/>
              <w:rPr>
                <w:sz w:val="28"/>
                <w:szCs w:val="28"/>
              </w:rPr>
            </w:pPr>
            <w:r w:rsidRPr="00F87E86">
              <w:rPr>
                <w:sz w:val="28"/>
                <w:szCs w:val="28"/>
              </w:rPr>
              <w:t>Projekta izpildes ietekme uz pārvaldes institucionālo struktūru.</w:t>
            </w:r>
          </w:p>
          <w:p w:rsidR="00090490" w:rsidRPr="00F87E86" w:rsidRDefault="00090490" w:rsidP="00194587">
            <w:pPr>
              <w:pStyle w:val="naisf"/>
              <w:spacing w:before="0" w:after="0"/>
              <w:ind w:left="114" w:right="57" w:firstLine="0"/>
              <w:jc w:val="left"/>
              <w:rPr>
                <w:sz w:val="28"/>
                <w:szCs w:val="28"/>
              </w:rPr>
            </w:pPr>
            <w:r w:rsidRPr="00F87E86">
              <w:rPr>
                <w:sz w:val="28"/>
                <w:szCs w:val="28"/>
              </w:rPr>
              <w:t>Esošu institūciju reorganizācija</w:t>
            </w:r>
          </w:p>
        </w:tc>
        <w:tc>
          <w:tcPr>
            <w:tcW w:w="2810" w:type="pct"/>
          </w:tcPr>
          <w:p w:rsidR="00090490" w:rsidRPr="00F87E86" w:rsidRDefault="00C67FF2" w:rsidP="0043737D">
            <w:pPr>
              <w:pStyle w:val="naiskr"/>
              <w:tabs>
                <w:tab w:val="left" w:pos="4935"/>
              </w:tabs>
              <w:spacing w:before="0" w:after="0"/>
              <w:ind w:right="256" w:hanging="27"/>
              <w:jc w:val="both"/>
              <w:rPr>
                <w:sz w:val="28"/>
                <w:szCs w:val="28"/>
              </w:rPr>
            </w:pPr>
            <w:r w:rsidRPr="00F87E86">
              <w:rPr>
                <w:sz w:val="28"/>
                <w:szCs w:val="28"/>
              </w:rPr>
              <w:t>Projekts šo jomu neskar.</w:t>
            </w:r>
          </w:p>
        </w:tc>
      </w:tr>
      <w:tr w:rsidR="00090490" w:rsidRPr="00F87E86" w:rsidTr="008D3634">
        <w:trPr>
          <w:trHeight w:val="455"/>
        </w:trPr>
        <w:tc>
          <w:tcPr>
            <w:tcW w:w="323" w:type="pct"/>
          </w:tcPr>
          <w:p w:rsidR="00090490" w:rsidRPr="00F87E86" w:rsidRDefault="00090490" w:rsidP="00E35F46">
            <w:pPr>
              <w:pStyle w:val="naiskr"/>
              <w:spacing w:before="0" w:after="0"/>
              <w:ind w:left="57" w:right="57"/>
              <w:jc w:val="center"/>
              <w:rPr>
                <w:sz w:val="28"/>
                <w:szCs w:val="28"/>
              </w:rPr>
            </w:pPr>
            <w:r w:rsidRPr="00F87E86">
              <w:rPr>
                <w:sz w:val="28"/>
                <w:szCs w:val="28"/>
              </w:rPr>
              <w:t>6.</w:t>
            </w:r>
          </w:p>
        </w:tc>
        <w:tc>
          <w:tcPr>
            <w:tcW w:w="1866" w:type="pct"/>
          </w:tcPr>
          <w:p w:rsidR="00090490" w:rsidRPr="00F87E86" w:rsidRDefault="00090490" w:rsidP="00194587">
            <w:pPr>
              <w:pStyle w:val="naiskr"/>
              <w:spacing w:before="0" w:after="0"/>
              <w:ind w:left="114" w:right="57"/>
              <w:rPr>
                <w:sz w:val="28"/>
                <w:szCs w:val="28"/>
              </w:rPr>
            </w:pPr>
            <w:r w:rsidRPr="00F87E86">
              <w:rPr>
                <w:sz w:val="28"/>
                <w:szCs w:val="28"/>
              </w:rPr>
              <w:t>Cita informācija</w:t>
            </w:r>
          </w:p>
        </w:tc>
        <w:tc>
          <w:tcPr>
            <w:tcW w:w="2810" w:type="pct"/>
          </w:tcPr>
          <w:p w:rsidR="00090490" w:rsidRPr="00F87E86" w:rsidRDefault="004A1DB0" w:rsidP="0043737D">
            <w:pPr>
              <w:ind w:right="255"/>
              <w:jc w:val="both"/>
              <w:rPr>
                <w:sz w:val="28"/>
                <w:szCs w:val="28"/>
              </w:rPr>
            </w:pPr>
            <w:r w:rsidRPr="00F87E86">
              <w:rPr>
                <w:sz w:val="28"/>
                <w:szCs w:val="28"/>
              </w:rPr>
              <w:t xml:space="preserve">Nav. </w:t>
            </w:r>
          </w:p>
        </w:tc>
      </w:tr>
    </w:tbl>
    <w:p w:rsidR="00090490" w:rsidRDefault="00090490" w:rsidP="00090490">
      <w:pPr>
        <w:jc w:val="both"/>
        <w:rPr>
          <w:sz w:val="28"/>
          <w:szCs w:val="28"/>
        </w:rPr>
      </w:pPr>
    </w:p>
    <w:p w:rsidR="0043737D" w:rsidRPr="00F87E86" w:rsidRDefault="0043737D" w:rsidP="00090490">
      <w:pPr>
        <w:jc w:val="both"/>
        <w:rPr>
          <w:sz w:val="28"/>
          <w:szCs w:val="28"/>
        </w:rPr>
      </w:pPr>
    </w:p>
    <w:p w:rsidR="000F3C79" w:rsidRPr="00F87E86" w:rsidRDefault="000F3C79" w:rsidP="000F3C79">
      <w:pPr>
        <w:rPr>
          <w:sz w:val="28"/>
          <w:szCs w:val="28"/>
        </w:rPr>
      </w:pPr>
      <w:r w:rsidRPr="00F87E86">
        <w:rPr>
          <w:sz w:val="28"/>
          <w:szCs w:val="28"/>
        </w:rPr>
        <w:t xml:space="preserve">Kultūras </w:t>
      </w:r>
      <w:r w:rsidRPr="00F87E86">
        <w:rPr>
          <w:bCs/>
          <w:sz w:val="28"/>
          <w:szCs w:val="28"/>
        </w:rPr>
        <w:t>ministre</w:t>
      </w:r>
      <w:r w:rsidRPr="00F87E86">
        <w:rPr>
          <w:bCs/>
          <w:sz w:val="28"/>
          <w:szCs w:val="28"/>
        </w:rPr>
        <w:tab/>
      </w:r>
      <w:r w:rsidRPr="00F87E86">
        <w:rPr>
          <w:bCs/>
          <w:sz w:val="28"/>
          <w:szCs w:val="28"/>
        </w:rPr>
        <w:tab/>
      </w:r>
      <w:r w:rsidRPr="00F87E86">
        <w:rPr>
          <w:bCs/>
          <w:sz w:val="28"/>
          <w:szCs w:val="28"/>
        </w:rPr>
        <w:tab/>
      </w:r>
      <w:r w:rsidRPr="00F87E86">
        <w:rPr>
          <w:bCs/>
          <w:sz w:val="28"/>
          <w:szCs w:val="28"/>
        </w:rPr>
        <w:tab/>
      </w:r>
      <w:r w:rsidRPr="00F87E86">
        <w:rPr>
          <w:bCs/>
          <w:sz w:val="28"/>
          <w:szCs w:val="28"/>
        </w:rPr>
        <w:tab/>
      </w:r>
      <w:r w:rsidRPr="00F87E86">
        <w:rPr>
          <w:bCs/>
          <w:sz w:val="28"/>
          <w:szCs w:val="28"/>
        </w:rPr>
        <w:tab/>
      </w:r>
      <w:r w:rsidRPr="00F87E86">
        <w:rPr>
          <w:bCs/>
          <w:sz w:val="28"/>
          <w:szCs w:val="28"/>
        </w:rPr>
        <w:tab/>
      </w:r>
      <w:r w:rsidR="008D3634" w:rsidRPr="00F87E86">
        <w:rPr>
          <w:sz w:val="28"/>
          <w:szCs w:val="28"/>
        </w:rPr>
        <w:t xml:space="preserve">Ž.Jaunzeme – </w:t>
      </w:r>
      <w:r w:rsidRPr="00F87E86">
        <w:rPr>
          <w:sz w:val="28"/>
          <w:szCs w:val="28"/>
        </w:rPr>
        <w:t>Grende</w:t>
      </w:r>
    </w:p>
    <w:p w:rsidR="000F3C79" w:rsidRPr="00F87E86" w:rsidRDefault="000F3C79" w:rsidP="000F3C79">
      <w:pPr>
        <w:tabs>
          <w:tab w:val="left" w:pos="6840"/>
        </w:tabs>
        <w:rPr>
          <w:sz w:val="28"/>
          <w:szCs w:val="28"/>
        </w:rPr>
      </w:pPr>
    </w:p>
    <w:p w:rsidR="00C004FA" w:rsidRPr="00731AE2" w:rsidRDefault="00C004FA" w:rsidP="00C004FA">
      <w:pPr>
        <w:pStyle w:val="Galvene"/>
        <w:tabs>
          <w:tab w:val="clear" w:pos="4153"/>
          <w:tab w:val="clear" w:pos="8306"/>
          <w:tab w:val="center" w:pos="9356"/>
        </w:tabs>
        <w:ind w:right="-2"/>
        <w:rPr>
          <w:color w:val="000000" w:themeColor="text1"/>
          <w:sz w:val="28"/>
          <w:szCs w:val="28"/>
        </w:rPr>
      </w:pPr>
      <w:r w:rsidRPr="00731AE2">
        <w:rPr>
          <w:sz w:val="28"/>
          <w:szCs w:val="28"/>
        </w:rPr>
        <w:t xml:space="preserve">Vīza: </w:t>
      </w:r>
      <w:r w:rsidRPr="00731AE2">
        <w:rPr>
          <w:color w:val="000000" w:themeColor="text1"/>
          <w:sz w:val="28"/>
          <w:szCs w:val="28"/>
        </w:rPr>
        <w:t>Valsts sekretārs                                                          </w:t>
      </w:r>
      <w:r w:rsidRPr="00731AE2">
        <w:rPr>
          <w:sz w:val="28"/>
          <w:szCs w:val="28"/>
        </w:rPr>
        <w:t>G.Puķītis</w:t>
      </w:r>
    </w:p>
    <w:p w:rsidR="000F3C79" w:rsidRPr="00F87E86" w:rsidRDefault="000F3C79" w:rsidP="000F3C79">
      <w:pPr>
        <w:jc w:val="both"/>
        <w:rPr>
          <w:sz w:val="28"/>
          <w:szCs w:val="28"/>
        </w:rPr>
      </w:pPr>
    </w:p>
    <w:p w:rsidR="00462CE6" w:rsidRPr="00F87E86" w:rsidRDefault="00462CE6" w:rsidP="00090490">
      <w:pPr>
        <w:pStyle w:val="Atpakaadreseuzaploksnes"/>
        <w:spacing w:before="0"/>
        <w:rPr>
          <w:sz w:val="28"/>
          <w:szCs w:val="28"/>
          <w:lang w:val="lv-LV"/>
        </w:rPr>
      </w:pPr>
    </w:p>
    <w:p w:rsidR="00090490" w:rsidRPr="00F87E86" w:rsidRDefault="00090490" w:rsidP="00090490">
      <w:pPr>
        <w:pStyle w:val="Atpakaadreseuzaploksnes"/>
        <w:spacing w:before="0"/>
        <w:rPr>
          <w:sz w:val="28"/>
          <w:szCs w:val="28"/>
          <w:lang w:val="lv-LV"/>
        </w:rPr>
      </w:pPr>
    </w:p>
    <w:p w:rsidR="00482068" w:rsidRDefault="00482068" w:rsidP="000F3C79">
      <w:pPr>
        <w:rPr>
          <w:sz w:val="20"/>
          <w:szCs w:val="20"/>
        </w:rPr>
      </w:pPr>
    </w:p>
    <w:p w:rsidR="000F3C79" w:rsidRPr="00F87E86" w:rsidRDefault="0018625F" w:rsidP="000F3C79">
      <w:pPr>
        <w:rPr>
          <w:sz w:val="20"/>
          <w:szCs w:val="20"/>
        </w:rPr>
      </w:pPr>
      <w:r>
        <w:rPr>
          <w:sz w:val="20"/>
          <w:szCs w:val="20"/>
        </w:rPr>
        <w:t>15.08</w:t>
      </w:r>
      <w:r w:rsidR="000F3C79" w:rsidRPr="00F87E86">
        <w:rPr>
          <w:sz w:val="20"/>
          <w:szCs w:val="20"/>
        </w:rPr>
        <w:t xml:space="preserve">.2013 </w:t>
      </w:r>
      <w:r w:rsidR="009A7EDC">
        <w:rPr>
          <w:sz w:val="20"/>
          <w:szCs w:val="20"/>
        </w:rPr>
        <w:t>11</w:t>
      </w:r>
      <w:r w:rsidR="00B723C2" w:rsidRPr="00F87E86">
        <w:rPr>
          <w:sz w:val="20"/>
          <w:szCs w:val="20"/>
        </w:rPr>
        <w:t>:</w:t>
      </w:r>
      <w:r w:rsidR="00FE0FB2">
        <w:rPr>
          <w:sz w:val="20"/>
          <w:szCs w:val="20"/>
        </w:rPr>
        <w:t>58</w:t>
      </w:r>
    </w:p>
    <w:p w:rsidR="000F3C79" w:rsidRPr="00F87E86" w:rsidRDefault="0068570F" w:rsidP="000F3C79">
      <w:pPr>
        <w:rPr>
          <w:sz w:val="20"/>
          <w:szCs w:val="20"/>
        </w:rPr>
      </w:pPr>
      <w:r>
        <w:rPr>
          <w:sz w:val="20"/>
          <w:szCs w:val="20"/>
        </w:rPr>
        <w:t>7</w:t>
      </w:r>
      <w:r w:rsidR="008F5C9B">
        <w:rPr>
          <w:sz w:val="20"/>
          <w:szCs w:val="20"/>
        </w:rPr>
        <w:t>27</w:t>
      </w:r>
    </w:p>
    <w:p w:rsidR="000F3C79" w:rsidRPr="00F87E86" w:rsidRDefault="00430205" w:rsidP="000F3C79">
      <w:pPr>
        <w:rPr>
          <w:sz w:val="20"/>
          <w:szCs w:val="20"/>
        </w:rPr>
      </w:pPr>
      <w:bookmarkStart w:id="10" w:name="OLE_LINK20"/>
      <w:bookmarkStart w:id="11" w:name="OLE_LINK21"/>
      <w:r w:rsidRPr="00F87E86">
        <w:rPr>
          <w:sz w:val="20"/>
          <w:szCs w:val="20"/>
        </w:rPr>
        <w:t>Linda Naudiša</w:t>
      </w:r>
    </w:p>
    <w:p w:rsidR="000F3C79" w:rsidRPr="00F87E86" w:rsidRDefault="000F3C79" w:rsidP="000F3C79">
      <w:pPr>
        <w:rPr>
          <w:sz w:val="20"/>
          <w:szCs w:val="20"/>
        </w:rPr>
      </w:pPr>
      <w:bookmarkStart w:id="12" w:name="OLE_LINK22"/>
      <w:bookmarkStart w:id="13" w:name="OLE_LINK23"/>
      <w:bookmarkEnd w:id="10"/>
      <w:bookmarkEnd w:id="11"/>
      <w:r w:rsidRPr="00F87E86">
        <w:rPr>
          <w:sz w:val="20"/>
          <w:szCs w:val="20"/>
        </w:rPr>
        <w:t>Tālr. 67330</w:t>
      </w:r>
      <w:r w:rsidR="00430205" w:rsidRPr="00F87E86">
        <w:rPr>
          <w:sz w:val="20"/>
          <w:szCs w:val="20"/>
        </w:rPr>
        <w:t>213</w:t>
      </w:r>
    </w:p>
    <w:p w:rsidR="00A33920" w:rsidRPr="00083FFF" w:rsidRDefault="00E92C0E" w:rsidP="00A33920">
      <w:pPr>
        <w:rPr>
          <w:sz w:val="20"/>
          <w:szCs w:val="20"/>
          <w:lang w:eastAsia="en-US"/>
        </w:rPr>
      </w:pPr>
      <w:hyperlink r:id="rId8" w:history="1">
        <w:r w:rsidR="00A33920" w:rsidRPr="00532801">
          <w:rPr>
            <w:rStyle w:val="Hipersaite"/>
            <w:sz w:val="20"/>
            <w:szCs w:val="20"/>
          </w:rPr>
          <w:t>Linda.Naudisa@km.gov.lv</w:t>
        </w:r>
      </w:hyperlink>
      <w:r w:rsidR="00A33920" w:rsidRPr="00083FFF">
        <w:rPr>
          <w:sz w:val="20"/>
          <w:szCs w:val="20"/>
        </w:rPr>
        <w:t xml:space="preserve">  </w:t>
      </w:r>
    </w:p>
    <w:bookmarkEnd w:id="12"/>
    <w:bookmarkEnd w:id="13"/>
    <w:p w:rsidR="00083FFF" w:rsidRPr="00F87E86" w:rsidRDefault="00083FFF">
      <w:pPr>
        <w:rPr>
          <w:sz w:val="20"/>
          <w:szCs w:val="20"/>
          <w:lang w:eastAsia="en-US"/>
        </w:rPr>
      </w:pPr>
    </w:p>
    <w:sectPr w:rsidR="00083FFF" w:rsidRPr="00F87E86" w:rsidSect="00B4670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720" w:rsidRDefault="009D3720">
      <w:r>
        <w:separator/>
      </w:r>
    </w:p>
    <w:p w:rsidR="009D3720" w:rsidRDefault="009D3720"/>
    <w:p w:rsidR="009D3720" w:rsidRDefault="009D3720"/>
  </w:endnote>
  <w:endnote w:type="continuationSeparator" w:id="0">
    <w:p w:rsidR="009D3720" w:rsidRDefault="009D3720">
      <w:r>
        <w:continuationSeparator/>
      </w:r>
    </w:p>
    <w:p w:rsidR="009D3720" w:rsidRDefault="009D3720"/>
    <w:p w:rsidR="009D3720" w:rsidRDefault="009D37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0F" w:rsidRPr="005A4E31" w:rsidRDefault="0068570F" w:rsidP="005A4E31">
    <w:pPr>
      <w:jc w:val="both"/>
      <w:outlineLvl w:val="0"/>
      <w:rPr>
        <w:sz w:val="20"/>
        <w:szCs w:val="20"/>
      </w:rPr>
    </w:pPr>
    <w:r>
      <w:rPr>
        <w:sz w:val="20"/>
        <w:szCs w:val="20"/>
      </w:rPr>
      <w:t>KMAnot_1508</w:t>
    </w:r>
    <w:r w:rsidRPr="005A4E31">
      <w:rPr>
        <w:sz w:val="20"/>
        <w:szCs w:val="20"/>
      </w:rPr>
      <w:t>13_MK977_SLK_groz; Ministru kabineta noteikumu projekt</w:t>
    </w:r>
    <w:r>
      <w:rPr>
        <w:sz w:val="20"/>
        <w:szCs w:val="20"/>
      </w:rPr>
      <w:t>a</w:t>
    </w:r>
    <w:r w:rsidRPr="005A4E31">
      <w:rPr>
        <w:sz w:val="20"/>
        <w:szCs w:val="20"/>
      </w:rPr>
      <w:t xml:space="preserve"> „Grozījums Ministru kabineta 2004.gada 30.novembra noteikumos Nr.977„Noteikumi par biedrību un nodibinājumu pārstāvju izvirzīšanu un iekļaušanu Sabiedriskā labuma komisijā””</w:t>
    </w:r>
    <w:r>
      <w:rPr>
        <w:sz w:val="20"/>
        <w:szCs w:val="20"/>
      </w:rPr>
      <w:t xml:space="preserve"> </w:t>
    </w:r>
    <w:r w:rsidRPr="005A4E31">
      <w:rPr>
        <w:sz w:val="20"/>
        <w:szCs w:val="20"/>
      </w:rPr>
      <w:t>sākotnējās ietekmes novērtējuma ziņojums (anotācija)</w:t>
    </w:r>
  </w:p>
  <w:p w:rsidR="0068570F" w:rsidRPr="00100291" w:rsidRDefault="0068570F" w:rsidP="00100291">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0F" w:rsidRPr="005A4E31" w:rsidRDefault="0068570F" w:rsidP="00100291">
    <w:pPr>
      <w:jc w:val="both"/>
      <w:outlineLvl w:val="0"/>
      <w:rPr>
        <w:sz w:val="20"/>
        <w:szCs w:val="20"/>
      </w:rPr>
    </w:pPr>
    <w:r>
      <w:rPr>
        <w:sz w:val="20"/>
        <w:szCs w:val="20"/>
      </w:rPr>
      <w:t>KMAnot_1508</w:t>
    </w:r>
    <w:r w:rsidRPr="005A4E31">
      <w:rPr>
        <w:sz w:val="20"/>
        <w:szCs w:val="20"/>
      </w:rPr>
      <w:t>13_MK977_SLK_groz; Ministru kabineta noteikumu projekt</w:t>
    </w:r>
    <w:r>
      <w:rPr>
        <w:sz w:val="20"/>
        <w:szCs w:val="20"/>
      </w:rPr>
      <w:t>a</w:t>
    </w:r>
    <w:r w:rsidRPr="005A4E31">
      <w:rPr>
        <w:sz w:val="20"/>
        <w:szCs w:val="20"/>
      </w:rPr>
      <w:t xml:space="preserve"> „Grozījums Ministru kabineta 2004.gada 30.novembra noteikumos Nr.977„Noteikumi par biedrību un nodibinājumu pārstāvju izvirzīšanu un iekļaušanu Sabiedriskā labuma komisijā””</w:t>
    </w:r>
    <w:r>
      <w:rPr>
        <w:sz w:val="20"/>
        <w:szCs w:val="20"/>
      </w:rPr>
      <w:t xml:space="preserve"> </w:t>
    </w:r>
    <w:r w:rsidRPr="005A4E31">
      <w:rPr>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720" w:rsidRDefault="009D3720">
      <w:r>
        <w:separator/>
      </w:r>
    </w:p>
    <w:p w:rsidR="009D3720" w:rsidRDefault="009D3720"/>
    <w:p w:rsidR="009D3720" w:rsidRDefault="009D3720"/>
  </w:footnote>
  <w:footnote w:type="continuationSeparator" w:id="0">
    <w:p w:rsidR="009D3720" w:rsidRDefault="009D3720">
      <w:r>
        <w:continuationSeparator/>
      </w:r>
    </w:p>
    <w:p w:rsidR="009D3720" w:rsidRDefault="009D3720"/>
    <w:p w:rsidR="009D3720" w:rsidRDefault="009D37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0F" w:rsidRDefault="00E92C0E" w:rsidP="00E35F46">
    <w:pPr>
      <w:pStyle w:val="Galvene"/>
      <w:framePr w:wrap="around" w:vAnchor="text" w:hAnchor="margin" w:xAlign="center" w:y="1"/>
      <w:rPr>
        <w:rStyle w:val="Lappusesnumurs"/>
      </w:rPr>
    </w:pPr>
    <w:r>
      <w:rPr>
        <w:rStyle w:val="Lappusesnumurs"/>
      </w:rPr>
      <w:fldChar w:fldCharType="begin"/>
    </w:r>
    <w:r w:rsidR="0068570F">
      <w:rPr>
        <w:rStyle w:val="Lappusesnumurs"/>
      </w:rPr>
      <w:instrText xml:space="preserve">PAGE  </w:instrText>
    </w:r>
    <w:r>
      <w:rPr>
        <w:rStyle w:val="Lappusesnumurs"/>
      </w:rPr>
      <w:fldChar w:fldCharType="end"/>
    </w:r>
  </w:p>
  <w:p w:rsidR="0068570F" w:rsidRDefault="0068570F">
    <w:pPr>
      <w:pStyle w:val="Galvene"/>
    </w:pPr>
  </w:p>
  <w:p w:rsidR="0068570F" w:rsidRDefault="0068570F"/>
  <w:p w:rsidR="0068570F" w:rsidRDefault="006857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0F" w:rsidRDefault="00E92C0E" w:rsidP="00E35F46">
    <w:pPr>
      <w:pStyle w:val="Galvene"/>
      <w:framePr w:wrap="around" w:vAnchor="text" w:hAnchor="margin" w:xAlign="center" w:y="1"/>
      <w:rPr>
        <w:rStyle w:val="Lappusesnumurs"/>
      </w:rPr>
    </w:pPr>
    <w:r>
      <w:rPr>
        <w:rStyle w:val="Lappusesnumurs"/>
      </w:rPr>
      <w:fldChar w:fldCharType="begin"/>
    </w:r>
    <w:r w:rsidR="0068570F">
      <w:rPr>
        <w:rStyle w:val="Lappusesnumurs"/>
      </w:rPr>
      <w:instrText xml:space="preserve">PAGE  </w:instrText>
    </w:r>
    <w:r>
      <w:rPr>
        <w:rStyle w:val="Lappusesnumurs"/>
      </w:rPr>
      <w:fldChar w:fldCharType="separate"/>
    </w:r>
    <w:r w:rsidR="00857A61">
      <w:rPr>
        <w:rStyle w:val="Lappusesnumurs"/>
        <w:noProof/>
      </w:rPr>
      <w:t>2</w:t>
    </w:r>
    <w:r>
      <w:rPr>
        <w:rStyle w:val="Lappusesnumurs"/>
      </w:rPr>
      <w:fldChar w:fldCharType="end"/>
    </w:r>
  </w:p>
  <w:p w:rsidR="0068570F" w:rsidRDefault="0068570F">
    <w:pPr>
      <w:pStyle w:val="Galvene"/>
    </w:pPr>
  </w:p>
  <w:p w:rsidR="0068570F" w:rsidRDefault="0068570F"/>
  <w:p w:rsidR="0068570F" w:rsidRDefault="006857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14C"/>
    <w:multiLevelType w:val="multilevel"/>
    <w:tmpl w:val="19124D5C"/>
    <w:lvl w:ilvl="0">
      <w:start w:val="1"/>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CA43E1F"/>
    <w:multiLevelType w:val="hybridMultilevel"/>
    <w:tmpl w:val="7C16C246"/>
    <w:lvl w:ilvl="0" w:tplc="A83A401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6163B24"/>
    <w:multiLevelType w:val="hybridMultilevel"/>
    <w:tmpl w:val="F8741C2C"/>
    <w:lvl w:ilvl="0" w:tplc="33022CEA">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090490"/>
    <w:rsid w:val="000202F3"/>
    <w:rsid w:val="00022AE6"/>
    <w:rsid w:val="00051A33"/>
    <w:rsid w:val="00083FFF"/>
    <w:rsid w:val="00090490"/>
    <w:rsid w:val="00093630"/>
    <w:rsid w:val="000A22CD"/>
    <w:rsid w:val="000F3C79"/>
    <w:rsid w:val="00100291"/>
    <w:rsid w:val="00105FF5"/>
    <w:rsid w:val="0011053A"/>
    <w:rsid w:val="0012785D"/>
    <w:rsid w:val="00145095"/>
    <w:rsid w:val="00162545"/>
    <w:rsid w:val="00164943"/>
    <w:rsid w:val="00166C56"/>
    <w:rsid w:val="0018218D"/>
    <w:rsid w:val="0018625F"/>
    <w:rsid w:val="00194587"/>
    <w:rsid w:val="00197F10"/>
    <w:rsid w:val="001B2C8F"/>
    <w:rsid w:val="001C2652"/>
    <w:rsid w:val="001D19B5"/>
    <w:rsid w:val="001E1DF9"/>
    <w:rsid w:val="001E34BC"/>
    <w:rsid w:val="002076B0"/>
    <w:rsid w:val="00232709"/>
    <w:rsid w:val="00237C35"/>
    <w:rsid w:val="00240D8D"/>
    <w:rsid w:val="002515D1"/>
    <w:rsid w:val="00264BF1"/>
    <w:rsid w:val="002719E4"/>
    <w:rsid w:val="002748BE"/>
    <w:rsid w:val="00296A5C"/>
    <w:rsid w:val="002B1AD4"/>
    <w:rsid w:val="002C0905"/>
    <w:rsid w:val="002F36C0"/>
    <w:rsid w:val="003045EA"/>
    <w:rsid w:val="00330978"/>
    <w:rsid w:val="00343E59"/>
    <w:rsid w:val="00351C5E"/>
    <w:rsid w:val="003763AF"/>
    <w:rsid w:val="003B5075"/>
    <w:rsid w:val="003C64AE"/>
    <w:rsid w:val="003D2002"/>
    <w:rsid w:val="003D38CD"/>
    <w:rsid w:val="004064EB"/>
    <w:rsid w:val="00406E34"/>
    <w:rsid w:val="00407405"/>
    <w:rsid w:val="00417C42"/>
    <w:rsid w:val="00426BD8"/>
    <w:rsid w:val="00430205"/>
    <w:rsid w:val="0043737D"/>
    <w:rsid w:val="00443407"/>
    <w:rsid w:val="00446935"/>
    <w:rsid w:val="00456600"/>
    <w:rsid w:val="00462CE6"/>
    <w:rsid w:val="004809A5"/>
    <w:rsid w:val="00482068"/>
    <w:rsid w:val="00494156"/>
    <w:rsid w:val="004A1C10"/>
    <w:rsid w:val="004A1DB0"/>
    <w:rsid w:val="004B0869"/>
    <w:rsid w:val="00504357"/>
    <w:rsid w:val="00520149"/>
    <w:rsid w:val="00574B40"/>
    <w:rsid w:val="00595B3C"/>
    <w:rsid w:val="005A1B83"/>
    <w:rsid w:val="005A4E31"/>
    <w:rsid w:val="005B146D"/>
    <w:rsid w:val="005B5453"/>
    <w:rsid w:val="005C2098"/>
    <w:rsid w:val="005D3959"/>
    <w:rsid w:val="005F7B3D"/>
    <w:rsid w:val="00602C74"/>
    <w:rsid w:val="006223F4"/>
    <w:rsid w:val="00625B9B"/>
    <w:rsid w:val="006351DC"/>
    <w:rsid w:val="006777AF"/>
    <w:rsid w:val="0068570F"/>
    <w:rsid w:val="006A6F22"/>
    <w:rsid w:val="006A7FA5"/>
    <w:rsid w:val="006B22CA"/>
    <w:rsid w:val="006B2453"/>
    <w:rsid w:val="006B4B04"/>
    <w:rsid w:val="006C0B7F"/>
    <w:rsid w:val="006C0D9D"/>
    <w:rsid w:val="006C1CDC"/>
    <w:rsid w:val="006F2597"/>
    <w:rsid w:val="007044C8"/>
    <w:rsid w:val="00712E56"/>
    <w:rsid w:val="00735520"/>
    <w:rsid w:val="0075081E"/>
    <w:rsid w:val="00750AFF"/>
    <w:rsid w:val="00770CD7"/>
    <w:rsid w:val="0077593B"/>
    <w:rsid w:val="007A507C"/>
    <w:rsid w:val="007A6EE7"/>
    <w:rsid w:val="007A73D0"/>
    <w:rsid w:val="007D7437"/>
    <w:rsid w:val="007F2564"/>
    <w:rsid w:val="007F4830"/>
    <w:rsid w:val="00823908"/>
    <w:rsid w:val="008405C4"/>
    <w:rsid w:val="00857A61"/>
    <w:rsid w:val="00897EB8"/>
    <w:rsid w:val="008D3634"/>
    <w:rsid w:val="008E05CD"/>
    <w:rsid w:val="008E77AA"/>
    <w:rsid w:val="008F5C9B"/>
    <w:rsid w:val="00914A20"/>
    <w:rsid w:val="0093047A"/>
    <w:rsid w:val="00931A5B"/>
    <w:rsid w:val="009327BB"/>
    <w:rsid w:val="009329D0"/>
    <w:rsid w:val="00955395"/>
    <w:rsid w:val="009563AA"/>
    <w:rsid w:val="0096025D"/>
    <w:rsid w:val="00972973"/>
    <w:rsid w:val="00984986"/>
    <w:rsid w:val="00992757"/>
    <w:rsid w:val="009A31A8"/>
    <w:rsid w:val="009A47E1"/>
    <w:rsid w:val="009A7EDC"/>
    <w:rsid w:val="009B6EF7"/>
    <w:rsid w:val="009C2114"/>
    <w:rsid w:val="009C468F"/>
    <w:rsid w:val="009C4A53"/>
    <w:rsid w:val="009D3720"/>
    <w:rsid w:val="00A00D1F"/>
    <w:rsid w:val="00A037C8"/>
    <w:rsid w:val="00A054A3"/>
    <w:rsid w:val="00A056F5"/>
    <w:rsid w:val="00A06169"/>
    <w:rsid w:val="00A23370"/>
    <w:rsid w:val="00A24BD4"/>
    <w:rsid w:val="00A275F2"/>
    <w:rsid w:val="00A27F36"/>
    <w:rsid w:val="00A319D4"/>
    <w:rsid w:val="00A31E13"/>
    <w:rsid w:val="00A33920"/>
    <w:rsid w:val="00A47B29"/>
    <w:rsid w:val="00A53484"/>
    <w:rsid w:val="00A7670E"/>
    <w:rsid w:val="00A85444"/>
    <w:rsid w:val="00A864AD"/>
    <w:rsid w:val="00A86F75"/>
    <w:rsid w:val="00A920B4"/>
    <w:rsid w:val="00AA222E"/>
    <w:rsid w:val="00AA389F"/>
    <w:rsid w:val="00AB4D1E"/>
    <w:rsid w:val="00AD1D0C"/>
    <w:rsid w:val="00AE328A"/>
    <w:rsid w:val="00AE4CE0"/>
    <w:rsid w:val="00AE629B"/>
    <w:rsid w:val="00AE7289"/>
    <w:rsid w:val="00AE74C1"/>
    <w:rsid w:val="00AF67F2"/>
    <w:rsid w:val="00B33325"/>
    <w:rsid w:val="00B42AE3"/>
    <w:rsid w:val="00B430E8"/>
    <w:rsid w:val="00B4670B"/>
    <w:rsid w:val="00B66A41"/>
    <w:rsid w:val="00B71AE9"/>
    <w:rsid w:val="00B723C2"/>
    <w:rsid w:val="00B733E0"/>
    <w:rsid w:val="00B7510D"/>
    <w:rsid w:val="00BA19CF"/>
    <w:rsid w:val="00BB14C8"/>
    <w:rsid w:val="00BB4CFC"/>
    <w:rsid w:val="00BE10E3"/>
    <w:rsid w:val="00BE15AB"/>
    <w:rsid w:val="00BE6C6F"/>
    <w:rsid w:val="00BF1F8D"/>
    <w:rsid w:val="00C004FA"/>
    <w:rsid w:val="00C113C0"/>
    <w:rsid w:val="00C67FF2"/>
    <w:rsid w:val="00C85EF7"/>
    <w:rsid w:val="00CA2E25"/>
    <w:rsid w:val="00CA74D7"/>
    <w:rsid w:val="00CB2D76"/>
    <w:rsid w:val="00CF1EC1"/>
    <w:rsid w:val="00D0568F"/>
    <w:rsid w:val="00D2480C"/>
    <w:rsid w:val="00D377CC"/>
    <w:rsid w:val="00D37C7E"/>
    <w:rsid w:val="00D55CB9"/>
    <w:rsid w:val="00D60CF7"/>
    <w:rsid w:val="00D67E26"/>
    <w:rsid w:val="00D775AF"/>
    <w:rsid w:val="00D84358"/>
    <w:rsid w:val="00DA1F21"/>
    <w:rsid w:val="00DB1FAB"/>
    <w:rsid w:val="00E007EE"/>
    <w:rsid w:val="00E152CF"/>
    <w:rsid w:val="00E155FF"/>
    <w:rsid w:val="00E202FC"/>
    <w:rsid w:val="00E31E79"/>
    <w:rsid w:val="00E35F46"/>
    <w:rsid w:val="00E81C07"/>
    <w:rsid w:val="00E8213F"/>
    <w:rsid w:val="00E92912"/>
    <w:rsid w:val="00E92C0E"/>
    <w:rsid w:val="00E96FA7"/>
    <w:rsid w:val="00EA0C21"/>
    <w:rsid w:val="00EA6537"/>
    <w:rsid w:val="00EB3FED"/>
    <w:rsid w:val="00ED4F85"/>
    <w:rsid w:val="00ED6C1B"/>
    <w:rsid w:val="00EE5891"/>
    <w:rsid w:val="00EE5FE2"/>
    <w:rsid w:val="00EF5617"/>
    <w:rsid w:val="00F02C2B"/>
    <w:rsid w:val="00F040DC"/>
    <w:rsid w:val="00F30C19"/>
    <w:rsid w:val="00F327FA"/>
    <w:rsid w:val="00F32A4C"/>
    <w:rsid w:val="00F66E49"/>
    <w:rsid w:val="00F822EB"/>
    <w:rsid w:val="00F87E86"/>
    <w:rsid w:val="00F90123"/>
    <w:rsid w:val="00F92201"/>
    <w:rsid w:val="00FB1BB3"/>
    <w:rsid w:val="00FE0FB2"/>
    <w:rsid w:val="00FE5B02"/>
    <w:rsid w:val="00FF016B"/>
    <w:rsid w:val="00FF2793"/>
    <w:rsid w:val="00FF4C2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ais"/>
    <w:next w:val="Parastais"/>
    <w:link w:val="Virsraksts2Rakstz"/>
    <w:uiPriority w:val="9"/>
    <w:semiHidden/>
    <w:unhideWhenUsed/>
    <w:qFormat/>
    <w:rsid w:val="00DA1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qFormat/>
    <w:rsid w:val="00090490"/>
    <w:pPr>
      <w:keepNext/>
      <w:spacing w:before="240" w:after="60"/>
      <w:outlineLvl w:val="2"/>
    </w:pPr>
    <w:rPr>
      <w:rFonts w:ascii="Cambria" w:hAnsi="Cambria"/>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090490"/>
    <w:rPr>
      <w:rFonts w:ascii="Cambria" w:eastAsia="Times New Roman" w:hAnsi="Cambria" w:cs="Times New Roman"/>
      <w:b/>
      <w:bCs/>
      <w:sz w:val="26"/>
      <w:szCs w:val="26"/>
      <w:lang w:val="en-US"/>
    </w:rPr>
  </w:style>
  <w:style w:type="paragraph" w:styleId="Galvene">
    <w:name w:val="header"/>
    <w:aliases w:val="18pt Bold"/>
    <w:basedOn w:val="Parastais"/>
    <w:link w:val="GalveneRakstz"/>
    <w:uiPriority w:val="99"/>
    <w:rsid w:val="00090490"/>
    <w:pPr>
      <w:tabs>
        <w:tab w:val="center" w:pos="4153"/>
        <w:tab w:val="right" w:pos="8306"/>
      </w:tabs>
    </w:pPr>
  </w:style>
  <w:style w:type="character" w:customStyle="1" w:styleId="GalveneRakstz">
    <w:name w:val="Galvene Rakstz."/>
    <w:aliases w:val="18pt Bold Rakstz."/>
    <w:basedOn w:val="Noklusjumarindkopasfonts"/>
    <w:link w:val="Galvene"/>
    <w:uiPriority w:val="99"/>
    <w:rsid w:val="00090490"/>
    <w:rPr>
      <w:rFonts w:ascii="Times New Roman" w:eastAsia="Times New Roman" w:hAnsi="Times New Roman" w:cs="Times New Roman"/>
      <w:sz w:val="24"/>
      <w:szCs w:val="24"/>
    </w:rPr>
  </w:style>
  <w:style w:type="character" w:styleId="Lappusesnumurs">
    <w:name w:val="page number"/>
    <w:basedOn w:val="Noklusjumarindkopasfonts"/>
    <w:rsid w:val="00090490"/>
  </w:style>
  <w:style w:type="paragraph" w:customStyle="1" w:styleId="naisf">
    <w:name w:val="naisf"/>
    <w:basedOn w:val="Parastais"/>
    <w:rsid w:val="00090490"/>
    <w:pPr>
      <w:spacing w:before="75" w:after="75"/>
      <w:ind w:firstLine="375"/>
      <w:jc w:val="both"/>
    </w:pPr>
  </w:style>
  <w:style w:type="paragraph" w:customStyle="1" w:styleId="naisnod">
    <w:name w:val="naisnod"/>
    <w:basedOn w:val="Parastais"/>
    <w:rsid w:val="00090490"/>
    <w:pPr>
      <w:spacing w:before="150" w:after="150"/>
      <w:jc w:val="center"/>
    </w:pPr>
    <w:rPr>
      <w:b/>
      <w:bCs/>
    </w:rPr>
  </w:style>
  <w:style w:type="paragraph" w:customStyle="1" w:styleId="naiskr">
    <w:name w:val="naiskr"/>
    <w:basedOn w:val="Parastais"/>
    <w:rsid w:val="00090490"/>
    <w:pPr>
      <w:spacing w:before="75" w:after="75"/>
    </w:pPr>
  </w:style>
  <w:style w:type="paragraph" w:styleId="Vresteksts">
    <w:name w:val="footnote text"/>
    <w:basedOn w:val="Parastais"/>
    <w:link w:val="VrestekstsRakstz"/>
    <w:semiHidden/>
    <w:rsid w:val="00090490"/>
    <w:rPr>
      <w:sz w:val="20"/>
      <w:szCs w:val="20"/>
    </w:rPr>
  </w:style>
  <w:style w:type="character" w:customStyle="1" w:styleId="VrestekstsRakstz">
    <w:name w:val="Vēres teksts Rakstz."/>
    <w:basedOn w:val="Noklusjumarindkopasfonts"/>
    <w:link w:val="Vresteksts"/>
    <w:semiHidden/>
    <w:rsid w:val="00090490"/>
    <w:rPr>
      <w:rFonts w:ascii="Times New Roman" w:eastAsia="Times New Roman" w:hAnsi="Times New Roman" w:cs="Times New Roman"/>
      <w:sz w:val="20"/>
      <w:szCs w:val="20"/>
      <w:lang w:eastAsia="lv-LV"/>
    </w:rPr>
  </w:style>
  <w:style w:type="paragraph" w:styleId="Kjene">
    <w:name w:val="footer"/>
    <w:basedOn w:val="Parastais"/>
    <w:link w:val="KjeneRakstz"/>
    <w:uiPriority w:val="99"/>
    <w:rsid w:val="00090490"/>
    <w:pPr>
      <w:tabs>
        <w:tab w:val="center" w:pos="4153"/>
        <w:tab w:val="right" w:pos="8306"/>
      </w:tabs>
    </w:pPr>
  </w:style>
  <w:style w:type="character" w:customStyle="1" w:styleId="KjeneRakstz">
    <w:name w:val="Kājene Rakstz."/>
    <w:basedOn w:val="Noklusjumarindkopasfonts"/>
    <w:link w:val="Kjene"/>
    <w:uiPriority w:val="99"/>
    <w:rsid w:val="00090490"/>
    <w:rPr>
      <w:rFonts w:ascii="Times New Roman" w:eastAsia="Times New Roman" w:hAnsi="Times New Roman" w:cs="Times New Roman"/>
      <w:sz w:val="24"/>
      <w:szCs w:val="24"/>
      <w:lang w:eastAsia="lv-LV"/>
    </w:rPr>
  </w:style>
  <w:style w:type="character" w:styleId="Hipersaite">
    <w:name w:val="Hyperlink"/>
    <w:rsid w:val="00090490"/>
    <w:rPr>
      <w:color w:val="0000FF"/>
      <w:u w:val="single"/>
    </w:rPr>
  </w:style>
  <w:style w:type="paragraph" w:styleId="Pamattekstsaratkpi">
    <w:name w:val="Body Text Indent"/>
    <w:basedOn w:val="Parastais"/>
    <w:link w:val="PamattekstsaratkpiRakstz"/>
    <w:rsid w:val="00090490"/>
    <w:pPr>
      <w:spacing w:after="120"/>
      <w:ind w:left="283"/>
    </w:pPr>
  </w:style>
  <w:style w:type="character" w:customStyle="1" w:styleId="PamattekstsaratkpiRakstz">
    <w:name w:val="Pamatteksts ar atkāpi Rakstz."/>
    <w:basedOn w:val="Noklusjumarindkopasfonts"/>
    <w:link w:val="Pamattekstsaratkpi"/>
    <w:rsid w:val="00090490"/>
    <w:rPr>
      <w:rFonts w:ascii="Times New Roman" w:eastAsia="Times New Roman" w:hAnsi="Times New Roman" w:cs="Times New Roman"/>
      <w:sz w:val="24"/>
      <w:szCs w:val="24"/>
    </w:rPr>
  </w:style>
  <w:style w:type="paragraph" w:customStyle="1" w:styleId="NormalMK">
    <w:name w:val="Normal MK"/>
    <w:basedOn w:val="Parastais"/>
    <w:rsid w:val="00090490"/>
    <w:rPr>
      <w:rFonts w:ascii="RimTimes" w:hAnsi="RimTimes"/>
      <w:sz w:val="28"/>
      <w:szCs w:val="20"/>
      <w:lang w:eastAsia="en-US"/>
    </w:rPr>
  </w:style>
  <w:style w:type="paragraph" w:styleId="Atpakaadreseuzaploksnes">
    <w:name w:val="envelope return"/>
    <w:basedOn w:val="Parastais"/>
    <w:rsid w:val="00090490"/>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19458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4587"/>
    <w:rPr>
      <w:rFonts w:ascii="Tahoma" w:eastAsia="Times New Roman" w:hAnsi="Tahoma" w:cs="Tahoma"/>
      <w:sz w:val="16"/>
      <w:szCs w:val="16"/>
      <w:lang w:eastAsia="lv-LV"/>
    </w:rPr>
  </w:style>
  <w:style w:type="paragraph" w:styleId="Sarakstarindkopa">
    <w:name w:val="List Paragraph"/>
    <w:basedOn w:val="Parastais"/>
    <w:uiPriority w:val="34"/>
    <w:qFormat/>
    <w:rsid w:val="00984986"/>
    <w:pPr>
      <w:ind w:left="720"/>
      <w:contextualSpacing/>
    </w:pPr>
  </w:style>
  <w:style w:type="character" w:styleId="Komentraatsauce">
    <w:name w:val="annotation reference"/>
    <w:basedOn w:val="Noklusjumarindkopasfonts"/>
    <w:uiPriority w:val="99"/>
    <w:semiHidden/>
    <w:unhideWhenUsed/>
    <w:rsid w:val="00EB3FED"/>
    <w:rPr>
      <w:sz w:val="16"/>
      <w:szCs w:val="16"/>
    </w:rPr>
  </w:style>
  <w:style w:type="paragraph" w:styleId="Komentrateksts">
    <w:name w:val="annotation text"/>
    <w:basedOn w:val="Parastais"/>
    <w:link w:val="KomentratekstsRakstz"/>
    <w:uiPriority w:val="99"/>
    <w:semiHidden/>
    <w:unhideWhenUsed/>
    <w:rsid w:val="00EB3FED"/>
    <w:rPr>
      <w:sz w:val="20"/>
      <w:szCs w:val="20"/>
    </w:rPr>
  </w:style>
  <w:style w:type="character" w:customStyle="1" w:styleId="KomentratekstsRakstz">
    <w:name w:val="Komentāra teksts Rakstz."/>
    <w:basedOn w:val="Noklusjumarindkopasfonts"/>
    <w:link w:val="Komentrateksts"/>
    <w:uiPriority w:val="99"/>
    <w:semiHidden/>
    <w:rsid w:val="00EB3FE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B3FED"/>
    <w:rPr>
      <w:b/>
      <w:bCs/>
    </w:rPr>
  </w:style>
  <w:style w:type="character" w:customStyle="1" w:styleId="KomentratmaRakstz">
    <w:name w:val="Komentāra tēma Rakstz."/>
    <w:basedOn w:val="KomentratekstsRakstz"/>
    <w:link w:val="Komentratma"/>
    <w:uiPriority w:val="99"/>
    <w:semiHidden/>
    <w:rsid w:val="00EB3FED"/>
    <w:rPr>
      <w:rFonts w:ascii="Times New Roman" w:eastAsia="Times New Roman" w:hAnsi="Times New Roman" w:cs="Times New Roman"/>
      <w:b/>
      <w:bCs/>
      <w:sz w:val="20"/>
      <w:szCs w:val="20"/>
      <w:lang w:eastAsia="lv-LV"/>
    </w:rPr>
  </w:style>
  <w:style w:type="paragraph" w:customStyle="1" w:styleId="tv213">
    <w:name w:val="tv213"/>
    <w:basedOn w:val="Parastais"/>
    <w:rsid w:val="00FE5B02"/>
    <w:pPr>
      <w:spacing w:before="100" w:beforeAutospacing="1" w:after="100" w:afterAutospacing="1"/>
    </w:pPr>
  </w:style>
  <w:style w:type="character" w:customStyle="1" w:styleId="Virsraksts2Rakstz">
    <w:name w:val="Virsraksts 2 Rakstz."/>
    <w:basedOn w:val="Noklusjumarindkopasfonts"/>
    <w:link w:val="Virsraksts2"/>
    <w:uiPriority w:val="9"/>
    <w:semiHidden/>
    <w:rsid w:val="00DA1F21"/>
    <w:rPr>
      <w:rFonts w:asciiTheme="majorHAnsi" w:eastAsiaTheme="majorEastAsia" w:hAnsiTheme="majorHAnsi" w:cstheme="majorBidi"/>
      <w:b/>
      <w:bCs/>
      <w:color w:val="4F81BD" w:themeColor="accent1"/>
      <w:sz w:val="26"/>
      <w:szCs w:val="26"/>
      <w:lang w:eastAsia="lv-LV"/>
    </w:rPr>
  </w:style>
  <w:style w:type="paragraph" w:styleId="Bezatstarpm">
    <w:name w:val="No Spacing"/>
    <w:uiPriority w:val="1"/>
    <w:qFormat/>
    <w:rsid w:val="00162545"/>
    <w:pPr>
      <w:spacing w:after="0" w:line="240" w:lineRule="auto"/>
    </w:pPr>
    <w:rPr>
      <w:rFonts w:ascii="Calibri" w:eastAsia="Calibri" w:hAnsi="Calibri" w:cs="Times New Roman"/>
    </w:rPr>
  </w:style>
  <w:style w:type="paragraph" w:styleId="ParastaisWeb">
    <w:name w:val="Normal (Web)"/>
    <w:basedOn w:val="Parastais"/>
    <w:uiPriority w:val="99"/>
    <w:unhideWhenUsed/>
    <w:rsid w:val="008D3634"/>
    <w:pPr>
      <w:spacing w:before="100" w:beforeAutospacing="1" w:after="100" w:afterAutospacing="1"/>
    </w:pPr>
    <w:rPr>
      <w:rFonts w:ascii="Verdana" w:hAnsi="Verdana"/>
      <w:sz w:val="18"/>
      <w:szCs w:val="18"/>
    </w:rPr>
  </w:style>
  <w:style w:type="character" w:styleId="Izteiksmgs">
    <w:name w:val="Strong"/>
    <w:basedOn w:val="Noklusjumarindkopasfonts"/>
    <w:uiPriority w:val="22"/>
    <w:qFormat/>
    <w:rsid w:val="00ED6C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90"/>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90490"/>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0490"/>
    <w:rPr>
      <w:rFonts w:ascii="Cambria" w:eastAsia="Times New Roman" w:hAnsi="Cambria" w:cs="Times New Roman"/>
      <w:b/>
      <w:bCs/>
      <w:sz w:val="26"/>
      <w:szCs w:val="26"/>
      <w:lang w:val="en-US"/>
    </w:rPr>
  </w:style>
  <w:style w:type="paragraph" w:styleId="Header">
    <w:name w:val="header"/>
    <w:basedOn w:val="Normal"/>
    <w:link w:val="HeaderChar"/>
    <w:rsid w:val="00090490"/>
    <w:pPr>
      <w:tabs>
        <w:tab w:val="center" w:pos="4153"/>
        <w:tab w:val="right" w:pos="8306"/>
      </w:tabs>
    </w:pPr>
    <w:rPr>
      <w:lang w:val="x-none" w:eastAsia="x-none"/>
    </w:rPr>
  </w:style>
  <w:style w:type="character" w:customStyle="1" w:styleId="HeaderChar">
    <w:name w:val="Header Char"/>
    <w:basedOn w:val="DefaultParagraphFont"/>
    <w:link w:val="Header"/>
    <w:rsid w:val="00090490"/>
    <w:rPr>
      <w:rFonts w:ascii="Times New Roman" w:eastAsia="Times New Roman" w:hAnsi="Times New Roman" w:cs="Times New Roman"/>
      <w:sz w:val="24"/>
      <w:szCs w:val="24"/>
      <w:lang w:val="x-none" w:eastAsia="x-none"/>
    </w:rPr>
  </w:style>
  <w:style w:type="character" w:styleId="PageNumber">
    <w:name w:val="page number"/>
    <w:basedOn w:val="DefaultParagraphFont"/>
    <w:rsid w:val="00090490"/>
  </w:style>
  <w:style w:type="paragraph" w:customStyle="1" w:styleId="naisf">
    <w:name w:val="naisf"/>
    <w:basedOn w:val="Normal"/>
    <w:uiPriority w:val="99"/>
    <w:rsid w:val="00090490"/>
    <w:pPr>
      <w:spacing w:before="75" w:after="75"/>
      <w:ind w:firstLine="375"/>
      <w:jc w:val="both"/>
    </w:pPr>
  </w:style>
  <w:style w:type="paragraph" w:customStyle="1" w:styleId="naisnod">
    <w:name w:val="naisnod"/>
    <w:basedOn w:val="Normal"/>
    <w:rsid w:val="00090490"/>
    <w:pPr>
      <w:spacing w:before="150" w:after="150"/>
      <w:jc w:val="center"/>
    </w:pPr>
    <w:rPr>
      <w:b/>
      <w:bCs/>
    </w:rPr>
  </w:style>
  <w:style w:type="paragraph" w:customStyle="1" w:styleId="naiskr">
    <w:name w:val="naiskr"/>
    <w:basedOn w:val="Normal"/>
    <w:rsid w:val="00090490"/>
    <w:pPr>
      <w:spacing w:before="75" w:after="75"/>
    </w:pPr>
  </w:style>
  <w:style w:type="paragraph" w:styleId="FootnoteText">
    <w:name w:val="footnote text"/>
    <w:basedOn w:val="Normal"/>
    <w:link w:val="FootnoteTextChar"/>
    <w:semiHidden/>
    <w:rsid w:val="00090490"/>
    <w:rPr>
      <w:sz w:val="20"/>
      <w:szCs w:val="20"/>
    </w:rPr>
  </w:style>
  <w:style w:type="character" w:customStyle="1" w:styleId="FootnoteTextChar">
    <w:name w:val="Footnote Text Char"/>
    <w:basedOn w:val="DefaultParagraphFont"/>
    <w:link w:val="FootnoteText"/>
    <w:semiHidden/>
    <w:rsid w:val="00090490"/>
    <w:rPr>
      <w:rFonts w:ascii="Times New Roman" w:eastAsia="Times New Roman" w:hAnsi="Times New Roman" w:cs="Times New Roman"/>
      <w:sz w:val="20"/>
      <w:szCs w:val="20"/>
      <w:lang w:eastAsia="lv-LV"/>
    </w:rPr>
  </w:style>
  <w:style w:type="paragraph" w:styleId="Footer">
    <w:name w:val="footer"/>
    <w:basedOn w:val="Normal"/>
    <w:link w:val="FooterChar"/>
    <w:rsid w:val="00090490"/>
    <w:pPr>
      <w:tabs>
        <w:tab w:val="center" w:pos="4153"/>
        <w:tab w:val="right" w:pos="8306"/>
      </w:tabs>
    </w:pPr>
  </w:style>
  <w:style w:type="character" w:customStyle="1" w:styleId="FooterChar">
    <w:name w:val="Footer Char"/>
    <w:basedOn w:val="DefaultParagraphFont"/>
    <w:link w:val="Footer"/>
    <w:rsid w:val="00090490"/>
    <w:rPr>
      <w:rFonts w:ascii="Times New Roman" w:eastAsia="Times New Roman" w:hAnsi="Times New Roman" w:cs="Times New Roman"/>
      <w:sz w:val="24"/>
      <w:szCs w:val="24"/>
      <w:lang w:eastAsia="lv-LV"/>
    </w:rPr>
  </w:style>
  <w:style w:type="character" w:styleId="Hyperlink">
    <w:name w:val="Hyperlink"/>
    <w:rsid w:val="00090490"/>
    <w:rPr>
      <w:color w:val="0000FF"/>
      <w:u w:val="single"/>
    </w:rPr>
  </w:style>
  <w:style w:type="paragraph" w:styleId="BodyTextIndent">
    <w:name w:val="Body Text Indent"/>
    <w:basedOn w:val="Normal"/>
    <w:link w:val="BodyTextIndentChar"/>
    <w:rsid w:val="00090490"/>
    <w:pPr>
      <w:spacing w:after="120"/>
      <w:ind w:left="283"/>
    </w:pPr>
    <w:rPr>
      <w:lang w:val="x-none" w:eastAsia="x-none"/>
    </w:rPr>
  </w:style>
  <w:style w:type="character" w:customStyle="1" w:styleId="BodyTextIndentChar">
    <w:name w:val="Body Text Indent Char"/>
    <w:basedOn w:val="DefaultParagraphFont"/>
    <w:link w:val="BodyTextIndent"/>
    <w:rsid w:val="00090490"/>
    <w:rPr>
      <w:rFonts w:ascii="Times New Roman" w:eastAsia="Times New Roman" w:hAnsi="Times New Roman" w:cs="Times New Roman"/>
      <w:sz w:val="24"/>
      <w:szCs w:val="24"/>
      <w:lang w:val="x-none" w:eastAsia="x-none"/>
    </w:rPr>
  </w:style>
  <w:style w:type="paragraph" w:customStyle="1" w:styleId="NormalMK">
    <w:name w:val="Normal MK"/>
    <w:basedOn w:val="Normal"/>
    <w:rsid w:val="00090490"/>
    <w:rPr>
      <w:rFonts w:ascii="RimTimes" w:hAnsi="RimTimes"/>
      <w:sz w:val="28"/>
      <w:szCs w:val="20"/>
      <w:lang w:eastAsia="en-US"/>
    </w:rPr>
  </w:style>
  <w:style w:type="paragraph" w:styleId="EnvelopeReturn">
    <w:name w:val="envelope return"/>
    <w:basedOn w:val="Normal"/>
    <w:rsid w:val="00090490"/>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194587"/>
    <w:rPr>
      <w:rFonts w:ascii="Tahoma" w:hAnsi="Tahoma" w:cs="Tahoma"/>
      <w:sz w:val="16"/>
      <w:szCs w:val="16"/>
    </w:rPr>
  </w:style>
  <w:style w:type="character" w:customStyle="1" w:styleId="BalloonTextChar">
    <w:name w:val="Balloon Text Char"/>
    <w:basedOn w:val="DefaultParagraphFont"/>
    <w:link w:val="BalloonText"/>
    <w:uiPriority w:val="99"/>
    <w:semiHidden/>
    <w:rsid w:val="00194587"/>
    <w:rPr>
      <w:rFonts w:ascii="Tahoma" w:eastAsia="Times New Roman" w:hAnsi="Tahoma" w:cs="Tahoma"/>
      <w:sz w:val="16"/>
      <w:szCs w:val="16"/>
      <w:lang w:eastAsia="lv-LV"/>
    </w:rPr>
  </w:style>
  <w:style w:type="paragraph" w:styleId="ListParagraph">
    <w:name w:val="List Paragraph"/>
    <w:basedOn w:val="Normal"/>
    <w:uiPriority w:val="34"/>
    <w:qFormat/>
    <w:rsid w:val="00984986"/>
    <w:pPr>
      <w:ind w:left="720"/>
      <w:contextualSpacing/>
    </w:pPr>
  </w:style>
  <w:style w:type="character" w:styleId="CommentReference">
    <w:name w:val="annotation reference"/>
    <w:basedOn w:val="DefaultParagraphFont"/>
    <w:uiPriority w:val="99"/>
    <w:semiHidden/>
    <w:unhideWhenUsed/>
    <w:rsid w:val="00EB3FED"/>
    <w:rPr>
      <w:sz w:val="16"/>
      <w:szCs w:val="16"/>
    </w:rPr>
  </w:style>
  <w:style w:type="paragraph" w:styleId="CommentText">
    <w:name w:val="annotation text"/>
    <w:basedOn w:val="Normal"/>
    <w:link w:val="CommentTextChar"/>
    <w:uiPriority w:val="99"/>
    <w:semiHidden/>
    <w:unhideWhenUsed/>
    <w:rsid w:val="00EB3FED"/>
    <w:rPr>
      <w:sz w:val="20"/>
      <w:szCs w:val="20"/>
    </w:rPr>
  </w:style>
  <w:style w:type="character" w:customStyle="1" w:styleId="CommentTextChar">
    <w:name w:val="Comment Text Char"/>
    <w:basedOn w:val="DefaultParagraphFont"/>
    <w:link w:val="CommentText"/>
    <w:uiPriority w:val="99"/>
    <w:semiHidden/>
    <w:rsid w:val="00EB3FE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B3FED"/>
    <w:rPr>
      <w:b/>
      <w:bCs/>
    </w:rPr>
  </w:style>
  <w:style w:type="character" w:customStyle="1" w:styleId="CommentSubjectChar">
    <w:name w:val="Comment Subject Char"/>
    <w:basedOn w:val="CommentTextChar"/>
    <w:link w:val="CommentSubject"/>
    <w:uiPriority w:val="99"/>
    <w:semiHidden/>
    <w:rsid w:val="00EB3FED"/>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97022441">
      <w:bodyDiv w:val="1"/>
      <w:marLeft w:val="0"/>
      <w:marRight w:val="0"/>
      <w:marTop w:val="0"/>
      <w:marBottom w:val="0"/>
      <w:divBdr>
        <w:top w:val="none" w:sz="0" w:space="0" w:color="auto"/>
        <w:left w:val="none" w:sz="0" w:space="0" w:color="auto"/>
        <w:bottom w:val="none" w:sz="0" w:space="0" w:color="auto"/>
        <w:right w:val="none" w:sz="0" w:space="0" w:color="auto"/>
      </w:divBdr>
    </w:div>
    <w:div w:id="125219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Naudis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D647-AA03-4DAA-B3C6-7CA1CB62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4136</Words>
  <Characters>2359</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KMrik_120613_NIPSIPP padome</vt:lpstr>
      <vt:lpstr>MK noteikumu projekts ĀEPKP nolikums</vt:lpstr>
    </vt:vector>
  </TitlesOfParts>
  <Company>LR Kultūras Ministrija</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2004.gada 30.novembra noteikumos Nr.977„Noteikumi par biedrību un nodibinājumu pārstāvju izvirzīšanu un iekļaušanu Sabiedriskā labuma komisijā”” sākotnējās ietekmes novērtējuma ziņojums (anotācija)</dc:title>
  <dc:subject>KMAnot_150813_MK977_SLK_groz</dc:subject>
  <dc:creator>Linda Naudiša</dc:creator>
  <dc:description>Tālr. 67330213
Linda.Naudisa@km.gov.lv  </dc:description>
  <cp:lastModifiedBy>Dzintra Rozīte</cp:lastModifiedBy>
  <cp:revision>105</cp:revision>
  <cp:lastPrinted>2012-02-21T12:53:00Z</cp:lastPrinted>
  <dcterms:created xsi:type="dcterms:W3CDTF">2013-05-24T14:30:00Z</dcterms:created>
  <dcterms:modified xsi:type="dcterms:W3CDTF">2013-08-21T11:35:00Z</dcterms:modified>
</cp:coreProperties>
</file>