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E7" w:rsidRDefault="009621E7" w:rsidP="009621E7">
      <w:pPr>
        <w:spacing w:after="0" w:line="240" w:lineRule="auto"/>
        <w:jc w:val="center"/>
        <w:rPr>
          <w:rFonts w:ascii="Times New Roman" w:hAnsi="Times New Roman"/>
          <w:b/>
          <w:sz w:val="28"/>
          <w:szCs w:val="28"/>
        </w:rPr>
      </w:pPr>
      <w:bookmarkStart w:id="0" w:name="OLE_LINK1"/>
      <w:bookmarkStart w:id="1" w:name="OLE_LINK2"/>
      <w:r w:rsidRPr="00184343">
        <w:rPr>
          <w:rFonts w:ascii="Times New Roman" w:hAnsi="Times New Roman"/>
          <w:b/>
          <w:sz w:val="28"/>
          <w:szCs w:val="28"/>
        </w:rPr>
        <w:t xml:space="preserve">Ministru kabineta </w:t>
      </w:r>
      <w:smartTag w:uri="schemas-tilde-lv/tildestengine" w:element="veidnes">
        <w:smartTagPr>
          <w:attr w:name="text" w:val="rīkojuma"/>
          <w:attr w:name="id" w:val="-1"/>
          <w:attr w:name="baseform" w:val="rīkojum|s"/>
        </w:smartTagPr>
        <w:r w:rsidRPr="00184343">
          <w:rPr>
            <w:rFonts w:ascii="Times New Roman" w:hAnsi="Times New Roman"/>
            <w:b/>
            <w:sz w:val="28"/>
            <w:szCs w:val="28"/>
          </w:rPr>
          <w:t>rīkojuma</w:t>
        </w:r>
      </w:smartTag>
      <w:r w:rsidRPr="00184343">
        <w:rPr>
          <w:rFonts w:ascii="Times New Roman" w:hAnsi="Times New Roman"/>
          <w:b/>
          <w:sz w:val="28"/>
          <w:szCs w:val="28"/>
        </w:rPr>
        <w:t xml:space="preserve"> projekta </w:t>
      </w:r>
    </w:p>
    <w:p w:rsidR="009621E7" w:rsidRDefault="009621E7" w:rsidP="009621E7">
      <w:pPr>
        <w:spacing w:after="0" w:line="240" w:lineRule="auto"/>
        <w:jc w:val="center"/>
        <w:rPr>
          <w:rFonts w:ascii="Times New Roman" w:hAnsi="Times New Roman"/>
          <w:b/>
          <w:sz w:val="28"/>
          <w:szCs w:val="28"/>
        </w:rPr>
      </w:pPr>
      <w:r w:rsidRPr="00184343">
        <w:rPr>
          <w:rFonts w:ascii="Times New Roman" w:hAnsi="Times New Roman"/>
          <w:b/>
          <w:sz w:val="28"/>
          <w:szCs w:val="28"/>
        </w:rPr>
        <w:t xml:space="preserve">„Par nekustamo īpašumu Kronvalda bulvārī 2B, Rīgā” sākotnējās ietekmes novērtējuma </w:t>
      </w:r>
      <w:smartTag w:uri="schemas-tilde-lv/tildestengine" w:element="veidnes">
        <w:smartTagPr>
          <w:attr w:name="text" w:val="ziņojums"/>
          <w:attr w:name="id" w:val="-1"/>
          <w:attr w:name="baseform" w:val="ziņojum|s"/>
        </w:smartTagPr>
        <w:r w:rsidRPr="00184343">
          <w:rPr>
            <w:rFonts w:ascii="Times New Roman" w:hAnsi="Times New Roman"/>
            <w:b/>
            <w:sz w:val="28"/>
            <w:szCs w:val="28"/>
          </w:rPr>
          <w:t>ziņojums (anotācija)</w:t>
        </w:r>
      </w:smartTag>
    </w:p>
    <w:p w:rsidR="009621E7" w:rsidRPr="00184343" w:rsidRDefault="009621E7" w:rsidP="009621E7">
      <w:pPr>
        <w:spacing w:after="0" w:line="240" w:lineRule="auto"/>
        <w:jc w:val="center"/>
        <w:rPr>
          <w:rFonts w:ascii="Times New Roman" w:hAnsi="Times New Roman"/>
          <w:b/>
          <w:sz w:val="28"/>
          <w:szCs w:val="28"/>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7"/>
        <w:gridCol w:w="2553"/>
        <w:gridCol w:w="5957"/>
      </w:tblGrid>
      <w:tr w:rsidR="009621E7" w:rsidRPr="00184343" w:rsidTr="002A0049">
        <w:trPr>
          <w:trHeight w:val="550"/>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bookmarkEnd w:id="0"/>
          <w:bookmarkEnd w:id="1"/>
          <w:p w:rsidR="009621E7" w:rsidRPr="00184343" w:rsidRDefault="009621E7" w:rsidP="002A0049">
            <w:pPr>
              <w:spacing w:after="0" w:line="240" w:lineRule="auto"/>
              <w:jc w:val="center"/>
              <w:rPr>
                <w:rFonts w:ascii="Times New Roman" w:eastAsia="Times New Roman" w:hAnsi="Times New Roman"/>
                <w:b/>
                <w:bCs/>
                <w:sz w:val="28"/>
                <w:szCs w:val="28"/>
                <w:lang w:eastAsia="lv-LV"/>
              </w:rPr>
            </w:pPr>
            <w:r w:rsidRPr="00184343">
              <w:rPr>
                <w:rFonts w:ascii="Times New Roman" w:eastAsia="Times New Roman" w:hAnsi="Times New Roman"/>
                <w:b/>
                <w:bCs/>
                <w:sz w:val="28"/>
                <w:szCs w:val="28"/>
                <w:lang w:eastAsia="lv-LV"/>
              </w:rPr>
              <w:t>I. Tiesību akta projekta izstrādes nepieciešamība</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1.</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41"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Pamatojums</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Pr="00184343" w:rsidRDefault="00844DF8" w:rsidP="002A0049">
            <w:pPr>
              <w:pStyle w:val="Bezatstarpm"/>
              <w:tabs>
                <w:tab w:val="left" w:pos="568"/>
              </w:tabs>
              <w:ind w:left="139" w:right="148" w:firstLine="422"/>
              <w:jc w:val="both"/>
              <w:rPr>
                <w:rFonts w:ascii="Times New Roman" w:hAnsi="Times New Roman"/>
                <w:sz w:val="28"/>
                <w:szCs w:val="28"/>
                <w:lang w:eastAsia="lv-LV"/>
              </w:rPr>
            </w:pPr>
            <w:r w:rsidRPr="00844DF8">
              <w:rPr>
                <w:rFonts w:ascii="Times New Roman" w:hAnsi="Times New Roman"/>
                <w:sz w:val="28"/>
                <w:szCs w:val="28"/>
              </w:rPr>
              <w:t>Likuma „Par valsts un pašvaldību īpašuma objektu privatizāciju” 12.panta ceturtā daļa nosaka, ka lēmumu par valsts īpašuma objekta nodošanu privatizācijai pieņem Ministru kabinets. Administratīvā procesa likuma 51.pants nosaka, ka administratīvo lietu izskata iestāde atbilstoši savai kompetencei, kas tai piešķirta ar normatīvo aktu. Saskaņā ar Administratīvā procesa likuma 83.panta pirmo daļu iestāde pēc savas iniciatīvas vai personas iesnieguma var uzsākt administratīvo procesu no jauna un lemt par administratīvā akta atcelšanu saskaņā ar šā likuma 85. – 88.panta noteikumiem. Administratīvā procesa likuma 85.panta otrās daļas 4.punkts nosaka, ka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2.</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56"/>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Pašreizējā situācija un problēmas</w:t>
            </w:r>
          </w:p>
          <w:p w:rsidR="009621E7" w:rsidRPr="00184343" w:rsidRDefault="009621E7" w:rsidP="002A0049">
            <w:pPr>
              <w:spacing w:after="0" w:line="240" w:lineRule="auto"/>
              <w:ind w:left="150" w:right="156"/>
              <w:rPr>
                <w:rFonts w:ascii="Times New Roman" w:eastAsia="Times New Roman" w:hAnsi="Times New Roman"/>
                <w:sz w:val="28"/>
                <w:szCs w:val="28"/>
                <w:lang w:eastAsia="lv-LV"/>
              </w:rPr>
            </w:pPr>
          </w:p>
        </w:tc>
        <w:tc>
          <w:tcPr>
            <w:tcW w:w="3278" w:type="pct"/>
            <w:tcBorders>
              <w:top w:val="outset" w:sz="6" w:space="0" w:color="000000"/>
              <w:left w:val="outset" w:sz="6" w:space="0" w:color="000000"/>
              <w:bottom w:val="outset" w:sz="6" w:space="0" w:color="000000"/>
              <w:right w:val="outset" w:sz="6" w:space="0" w:color="000000"/>
            </w:tcBorders>
            <w:hideMark/>
          </w:tcPr>
          <w:p w:rsidR="009621E7" w:rsidRDefault="009621E7" w:rsidP="002A0049">
            <w:pPr>
              <w:pStyle w:val="Bezatstarpm"/>
              <w:tabs>
                <w:tab w:val="left" w:pos="422"/>
              </w:tabs>
              <w:ind w:left="142" w:right="148" w:firstLine="422"/>
              <w:jc w:val="both"/>
              <w:rPr>
                <w:rFonts w:ascii="Times New Roman" w:hAnsi="Times New Roman"/>
                <w:sz w:val="28"/>
                <w:szCs w:val="28"/>
              </w:rPr>
            </w:pPr>
            <w:r w:rsidRPr="00184343">
              <w:rPr>
                <w:rFonts w:ascii="Times New Roman" w:hAnsi="Times New Roman"/>
                <w:sz w:val="28"/>
                <w:szCs w:val="28"/>
              </w:rPr>
              <w:t>Ar Ministru kabineta 2006.gada 24.augusta rīkojuma Nr.636 „Par valsts īpašuma objektu nodošanu privatizācijai” 1.3.</w:t>
            </w:r>
            <w:r w:rsidR="00535E39">
              <w:rPr>
                <w:rFonts w:ascii="Times New Roman" w:hAnsi="Times New Roman"/>
                <w:sz w:val="28"/>
                <w:szCs w:val="28"/>
              </w:rPr>
              <w:t>apakš</w:t>
            </w:r>
            <w:r w:rsidRPr="00184343">
              <w:rPr>
                <w:rFonts w:ascii="Times New Roman" w:hAnsi="Times New Roman"/>
                <w:sz w:val="28"/>
                <w:szCs w:val="28"/>
              </w:rPr>
              <w:t>punktu nekustamais īpašums Kronvalda bulvārī 2B, Rīgā, kadastra Nr.01000100135,</w:t>
            </w:r>
            <w:r>
              <w:rPr>
                <w:rFonts w:ascii="Times New Roman" w:hAnsi="Times New Roman"/>
                <w:sz w:val="28"/>
                <w:szCs w:val="28"/>
              </w:rPr>
              <w:t xml:space="preserve"> </w:t>
            </w:r>
            <w:r w:rsidRPr="00184343">
              <w:rPr>
                <w:rFonts w:ascii="Times New Roman" w:hAnsi="Times New Roman"/>
                <w:sz w:val="28"/>
                <w:szCs w:val="28"/>
              </w:rPr>
              <w:t>(turpmāk – valsts īpašuma objekts)</w:t>
            </w:r>
            <w:r>
              <w:rPr>
                <w:rFonts w:ascii="Times New Roman" w:hAnsi="Times New Roman"/>
                <w:sz w:val="28"/>
                <w:szCs w:val="28"/>
              </w:rPr>
              <w:t xml:space="preserve"> </w:t>
            </w:r>
            <w:r w:rsidRPr="00184343">
              <w:rPr>
                <w:rFonts w:ascii="Times New Roman" w:hAnsi="Times New Roman"/>
                <w:sz w:val="28"/>
                <w:szCs w:val="28"/>
              </w:rPr>
              <w:t>nodots privatizācijai. Pamatojoties uz Ministru kabineta 2006.gada 24.augusta rīkojuma Nr.636 „Par valsts īpašuma objektu nodošanu privatizācijai” 4.punktu</w:t>
            </w:r>
            <w:r>
              <w:rPr>
                <w:rFonts w:ascii="Times New Roman" w:hAnsi="Times New Roman"/>
                <w:sz w:val="28"/>
                <w:szCs w:val="28"/>
              </w:rPr>
              <w:t>,</w:t>
            </w:r>
            <w:r w:rsidRPr="00184343">
              <w:rPr>
                <w:rFonts w:ascii="Times New Roman" w:hAnsi="Times New Roman"/>
                <w:sz w:val="28"/>
                <w:szCs w:val="28"/>
              </w:rPr>
              <w:t xml:space="preserve"> Izglītības un zinātnes ministrija valsts īpašuma objektu nodeva valsts akciju sabiedrības „Privatizācijas aģentūra” valdījumā. Saskaņā ar likuma „Par valsts un pašvaldību īpašuma objektu privatizāciju” 14.panta pirmo daļu un Administratīvā procesa likuma 55.panta pirmo daļu nekustamā īpašuma privatizācija ir uzskatāma par uzsāktu.</w:t>
            </w:r>
          </w:p>
          <w:p w:rsidR="009621E7" w:rsidRDefault="009621E7" w:rsidP="002A0049">
            <w:pPr>
              <w:pStyle w:val="Bezatstarpm"/>
              <w:tabs>
                <w:tab w:val="left" w:pos="422"/>
              </w:tabs>
              <w:ind w:left="142" w:right="148" w:firstLine="422"/>
              <w:jc w:val="both"/>
              <w:rPr>
                <w:rFonts w:ascii="Times New Roman" w:hAnsi="Times New Roman"/>
                <w:sz w:val="28"/>
                <w:szCs w:val="28"/>
              </w:rPr>
            </w:pPr>
            <w:r w:rsidRPr="00B953D3">
              <w:rPr>
                <w:rFonts w:ascii="Times New Roman" w:hAnsi="Times New Roman"/>
                <w:sz w:val="28"/>
                <w:szCs w:val="28"/>
              </w:rPr>
              <w:lastRenderedPageBreak/>
              <w:t>Ņemot vērā to, ka Ministru kabineta 2006.gada 24.augusta rīkojums Nr.636 „Par valsts īpašuma objektu nodošanu privatizācijai” ir labvēlīgs tiesisks administratīvais akts, tad to var atcelt tikai Administratīvā procesa likuma 85.panta otrajā daļā minētajos gadījumos. Administratīvā procesa likuma 85.panta otrās daļas 4.punkts nosaka, ka adresātam labvēlīgu tiesisku administratīvo aktu var atcelt tad, ja mainījušies lietas faktiskie vai tiesiskie apstākļi, kuriem pastāvot administratīvā akta izdošanas brīdī iestāde varētu šādu administratīvo aktu neizdot, un administratīvā akta palikšana spēkā skar būtiskas sabiedrības intereses.</w:t>
            </w:r>
          </w:p>
          <w:p w:rsidR="005F5206" w:rsidRDefault="009621E7" w:rsidP="009B7E06">
            <w:pPr>
              <w:pStyle w:val="Bezatstarpm"/>
              <w:ind w:left="142" w:right="148"/>
              <w:jc w:val="both"/>
              <w:rPr>
                <w:rFonts w:ascii="Times New Roman" w:hAnsi="Times New Roman"/>
                <w:sz w:val="28"/>
                <w:szCs w:val="28"/>
              </w:rPr>
            </w:pPr>
            <w:r w:rsidRPr="00184343">
              <w:rPr>
                <w:rFonts w:ascii="Times New Roman" w:hAnsi="Times New Roman"/>
                <w:sz w:val="28"/>
                <w:szCs w:val="28"/>
              </w:rPr>
              <w:t xml:space="preserve">     </w:t>
            </w:r>
            <w:r w:rsidR="005F5206">
              <w:rPr>
                <w:rFonts w:ascii="Times New Roman" w:hAnsi="Times New Roman"/>
                <w:sz w:val="28"/>
                <w:szCs w:val="28"/>
              </w:rPr>
              <w:t>Saskaņā ar</w:t>
            </w:r>
            <w:r w:rsidR="005F5206" w:rsidRPr="005F5206">
              <w:rPr>
                <w:rFonts w:ascii="Times New Roman" w:hAnsi="Times New Roman"/>
                <w:sz w:val="28"/>
                <w:szCs w:val="28"/>
              </w:rPr>
              <w:t xml:space="preserve"> Val</w:t>
            </w:r>
            <w:r w:rsidR="005F5206">
              <w:rPr>
                <w:rFonts w:ascii="Times New Roman" w:hAnsi="Times New Roman"/>
                <w:sz w:val="28"/>
                <w:szCs w:val="28"/>
              </w:rPr>
              <w:t>sts pārvaldes iekārtas likuma 41</w:t>
            </w:r>
            <w:r w:rsidR="005F5206" w:rsidRPr="005F5206">
              <w:rPr>
                <w:rFonts w:ascii="Times New Roman" w:hAnsi="Times New Roman"/>
                <w:sz w:val="28"/>
                <w:szCs w:val="28"/>
              </w:rPr>
              <w:t xml:space="preserve">.panta </w:t>
            </w:r>
            <w:r w:rsidR="005F5206">
              <w:rPr>
                <w:rFonts w:ascii="Times New Roman" w:hAnsi="Times New Roman"/>
                <w:sz w:val="28"/>
                <w:szCs w:val="28"/>
              </w:rPr>
              <w:t>pirmo daļu</w:t>
            </w:r>
            <w:r w:rsidR="005F5206" w:rsidRPr="005F5206">
              <w:rPr>
                <w:rFonts w:ascii="Times New Roman" w:hAnsi="Times New Roman"/>
                <w:sz w:val="28"/>
                <w:szCs w:val="28"/>
              </w:rPr>
              <w:t xml:space="preserve"> </w:t>
            </w:r>
            <w:r w:rsidR="005F5206">
              <w:rPr>
                <w:rFonts w:ascii="Times New Roman" w:hAnsi="Times New Roman"/>
                <w:sz w:val="28"/>
                <w:szCs w:val="28"/>
              </w:rPr>
              <w:t>p</w:t>
            </w:r>
            <w:r w:rsidR="005F5206" w:rsidRPr="005F5206">
              <w:rPr>
                <w:rFonts w:ascii="Times New Roman" w:hAnsi="Times New Roman"/>
                <w:sz w:val="28"/>
                <w:szCs w:val="28"/>
              </w:rPr>
              <w:t>ubliska persona var deleģēt pārvaldes uzdevumus, kuru izpilde ietilpst šīs publiskās perso</w:t>
            </w:r>
            <w:r w:rsidR="005F5206">
              <w:rPr>
                <w:rFonts w:ascii="Times New Roman" w:hAnsi="Times New Roman"/>
                <w:sz w:val="28"/>
                <w:szCs w:val="28"/>
              </w:rPr>
              <w:t>nas vai tās iestādes kompetencē</w:t>
            </w:r>
            <w:r w:rsidR="00FB0644">
              <w:rPr>
                <w:rFonts w:ascii="Times New Roman" w:hAnsi="Times New Roman"/>
                <w:sz w:val="28"/>
                <w:szCs w:val="28"/>
              </w:rPr>
              <w:t>.</w:t>
            </w:r>
            <w:r w:rsidR="005F5206">
              <w:rPr>
                <w:rFonts w:ascii="Times New Roman" w:hAnsi="Times New Roman"/>
                <w:sz w:val="28"/>
                <w:szCs w:val="28"/>
              </w:rPr>
              <w:t xml:space="preserve"> D</w:t>
            </w:r>
            <w:r w:rsidR="005F5206" w:rsidRPr="005F5206">
              <w:rPr>
                <w:rFonts w:ascii="Times New Roman" w:hAnsi="Times New Roman"/>
                <w:sz w:val="28"/>
                <w:szCs w:val="28"/>
              </w:rPr>
              <w:t>eleģējot pārvaldes uzdevumus, par funkcijas izpildi kopumā atbild attiecīgā publiskā persona.</w:t>
            </w:r>
            <w:r w:rsidR="005F5206">
              <w:rPr>
                <w:rFonts w:ascii="Times New Roman" w:hAnsi="Times New Roman"/>
                <w:sz w:val="28"/>
                <w:szCs w:val="28"/>
              </w:rPr>
              <w:t xml:space="preserve"> </w:t>
            </w:r>
            <w:r>
              <w:rPr>
                <w:rFonts w:ascii="Times New Roman" w:hAnsi="Times New Roman"/>
                <w:sz w:val="28"/>
                <w:szCs w:val="28"/>
              </w:rPr>
              <w:t>V</w:t>
            </w:r>
            <w:r w:rsidRPr="00184343">
              <w:rPr>
                <w:rFonts w:ascii="Times New Roman" w:hAnsi="Times New Roman"/>
                <w:sz w:val="28"/>
                <w:szCs w:val="28"/>
              </w:rPr>
              <w:t>alsts īpašuma objekts</w:t>
            </w:r>
            <w:r w:rsidRPr="00184343" w:rsidDel="00FD2C90">
              <w:rPr>
                <w:rFonts w:ascii="Times New Roman" w:hAnsi="Times New Roman"/>
                <w:sz w:val="28"/>
                <w:szCs w:val="28"/>
              </w:rPr>
              <w:t xml:space="preserve"> </w:t>
            </w:r>
            <w:r w:rsidRPr="00184343">
              <w:rPr>
                <w:rFonts w:ascii="Times New Roman" w:hAnsi="Times New Roman"/>
                <w:sz w:val="28"/>
                <w:szCs w:val="28"/>
              </w:rPr>
              <w:t xml:space="preserve">ir nepieciešams valsts sabiedrībai ar ierobežotu atbildību „Latvijas Nacionālais </w:t>
            </w:r>
            <w:r w:rsidRPr="005F5206">
              <w:rPr>
                <w:rFonts w:ascii="Times New Roman" w:hAnsi="Times New Roman"/>
                <w:sz w:val="28"/>
                <w:szCs w:val="28"/>
              </w:rPr>
              <w:t xml:space="preserve">teātris” (turpmāk – Latvijas Nacionālais teātris) </w:t>
            </w:r>
            <w:r w:rsidR="004652A6" w:rsidRPr="005F5206">
              <w:rPr>
                <w:rFonts w:ascii="Times New Roman" w:hAnsi="Times New Roman"/>
                <w:sz w:val="28"/>
                <w:szCs w:val="28"/>
              </w:rPr>
              <w:t xml:space="preserve">tam </w:t>
            </w:r>
            <w:r w:rsidR="005F5206" w:rsidRPr="005F5206">
              <w:rPr>
                <w:rFonts w:ascii="Times New Roman" w:hAnsi="Times New Roman"/>
                <w:sz w:val="28"/>
                <w:szCs w:val="28"/>
              </w:rPr>
              <w:t xml:space="preserve">saskaņā ar Valsts pārvaldes iekārtas likuma 40.panta otro daļu un 41.pantu, kā arī Kultūras institūciju likuma 23.panta otro daļu </w:t>
            </w:r>
            <w:r w:rsidR="004652A6" w:rsidRPr="005F5206">
              <w:rPr>
                <w:rFonts w:ascii="Times New Roman" w:hAnsi="Times New Roman"/>
                <w:sz w:val="28"/>
                <w:szCs w:val="28"/>
              </w:rPr>
              <w:t>deleģēto valsts pārvaldes uzdevumu kultūrpolitikas</w:t>
            </w:r>
            <w:r w:rsidR="004652A6" w:rsidRPr="004652A6">
              <w:rPr>
                <w:rFonts w:ascii="Times New Roman" w:hAnsi="Times New Roman"/>
                <w:sz w:val="28"/>
                <w:szCs w:val="28"/>
              </w:rPr>
              <w:t xml:space="preserve"> jomā veikšanai</w:t>
            </w:r>
            <w:r w:rsidRPr="004652A6">
              <w:rPr>
                <w:rFonts w:ascii="Times New Roman" w:hAnsi="Times New Roman"/>
                <w:sz w:val="28"/>
                <w:szCs w:val="28"/>
              </w:rPr>
              <w:t>, jo, kopš 2006./2007.gada sezonas pieaugot Latvijas Nacionālā teātra</w:t>
            </w:r>
            <w:r w:rsidRPr="004652A6">
              <w:rPr>
                <w:rFonts w:ascii="Times New Roman" w:eastAsia="Arial Unicode MS" w:hAnsi="Times New Roman"/>
                <w:sz w:val="28"/>
                <w:szCs w:val="28"/>
              </w:rPr>
              <w:t xml:space="preserve"> </w:t>
            </w:r>
            <w:r w:rsidRPr="004652A6">
              <w:rPr>
                <w:rFonts w:ascii="Times New Roman" w:hAnsi="Times New Roman"/>
                <w:sz w:val="28"/>
                <w:szCs w:val="28"/>
              </w:rPr>
              <w:t>darbības intensitātei sakarā ar politikas dokumentos</w:t>
            </w:r>
            <w:r w:rsidRPr="00967154">
              <w:rPr>
                <w:rFonts w:ascii="Times New Roman" w:hAnsi="Times New Roman"/>
                <w:sz w:val="28"/>
                <w:szCs w:val="28"/>
              </w:rPr>
              <w:t>, normatīvajos aktos</w:t>
            </w:r>
            <w:r w:rsidR="00F52658">
              <w:rPr>
                <w:rFonts w:ascii="Times New Roman" w:hAnsi="Times New Roman"/>
                <w:sz w:val="28"/>
                <w:szCs w:val="28"/>
              </w:rPr>
              <w:t xml:space="preserve"> un deleģēšanas līgumā noteikto</w:t>
            </w:r>
            <w:r>
              <w:rPr>
                <w:rFonts w:ascii="Times New Roman" w:hAnsi="Times New Roman"/>
                <w:sz w:val="28"/>
                <w:szCs w:val="28"/>
              </w:rPr>
              <w:t xml:space="preserve"> funkciju izpildes nodrošināšanu</w:t>
            </w:r>
            <w:r w:rsidRPr="00967154">
              <w:rPr>
                <w:rFonts w:ascii="Times New Roman" w:hAnsi="Times New Roman"/>
                <w:sz w:val="28"/>
                <w:szCs w:val="28"/>
              </w:rPr>
              <w:t xml:space="preserve"> un </w:t>
            </w:r>
            <w:r>
              <w:rPr>
                <w:rFonts w:ascii="Times New Roman" w:hAnsi="Times New Roman"/>
                <w:sz w:val="28"/>
                <w:szCs w:val="28"/>
              </w:rPr>
              <w:t xml:space="preserve">plānoto rezultatīvo rādītāju sasniegšanu, Latvijas Nacionālajam teātrim </w:t>
            </w:r>
            <w:r w:rsidRPr="00184343">
              <w:rPr>
                <w:rFonts w:ascii="Times New Roman" w:hAnsi="Times New Roman"/>
                <w:sz w:val="28"/>
                <w:szCs w:val="28"/>
              </w:rPr>
              <w:t xml:space="preserve">būtiski pieaugusi nepieciešamība pēc papildu telpām, kurās iestudēt un spēlēt izrādes, kā arī nepieciešamas telpas noliktavas un ražošanas ceha vajadzībām. </w:t>
            </w:r>
          </w:p>
          <w:p w:rsidR="009B7E06" w:rsidRDefault="009621E7" w:rsidP="005F5206">
            <w:pPr>
              <w:pStyle w:val="Bezatstarpm"/>
              <w:ind w:left="142" w:right="148" w:firstLine="422"/>
              <w:jc w:val="both"/>
              <w:rPr>
                <w:rFonts w:ascii="Times New Roman" w:eastAsia="Arial Unicode MS" w:hAnsi="Times New Roman"/>
                <w:sz w:val="28"/>
                <w:szCs w:val="28"/>
              </w:rPr>
            </w:pPr>
            <w:r w:rsidRPr="00137C7D">
              <w:rPr>
                <w:rFonts w:ascii="Times New Roman" w:eastAsia="Arial Unicode MS" w:hAnsi="Times New Roman"/>
                <w:sz w:val="28"/>
                <w:szCs w:val="28"/>
              </w:rPr>
              <w:t xml:space="preserve">Valsts īpašuma objekts atrodas blakus nekustamajam īpašumam Kronvalda bulvārī 2, Rīgā, un atbilstošā izvietojuma dēļ valsts īpašuma objekts ir vienīgais zemesgabals, uz kura nākotnē būtu iespējams uzbūvēt Latvijas Nacionālā teātra darbības nodrošināšanai nepieciešamo nekustamo </w:t>
            </w:r>
            <w:r w:rsidRPr="00137C7D">
              <w:rPr>
                <w:rFonts w:ascii="Times New Roman" w:eastAsia="Arial Unicode MS" w:hAnsi="Times New Roman"/>
                <w:sz w:val="28"/>
                <w:szCs w:val="28"/>
              </w:rPr>
              <w:lastRenderedPageBreak/>
              <w:t>īpašumu</w:t>
            </w:r>
            <w:r>
              <w:rPr>
                <w:rFonts w:ascii="Times New Roman" w:eastAsia="Arial Unicode MS" w:hAnsi="Times New Roman"/>
                <w:sz w:val="28"/>
                <w:szCs w:val="28"/>
              </w:rPr>
              <w:t xml:space="preserve">. </w:t>
            </w:r>
            <w:r w:rsidRPr="00184343">
              <w:rPr>
                <w:rFonts w:ascii="Times New Roman" w:hAnsi="Times New Roman"/>
                <w:sz w:val="28"/>
                <w:szCs w:val="28"/>
              </w:rPr>
              <w:t>Latvijas Nacionāla</w:t>
            </w:r>
            <w:r>
              <w:rPr>
                <w:rFonts w:ascii="Times New Roman" w:hAnsi="Times New Roman"/>
                <w:sz w:val="28"/>
                <w:szCs w:val="28"/>
              </w:rPr>
              <w:t>jam</w:t>
            </w:r>
            <w:r w:rsidRPr="00184343">
              <w:rPr>
                <w:rFonts w:ascii="Times New Roman" w:hAnsi="Times New Roman"/>
                <w:sz w:val="28"/>
                <w:szCs w:val="28"/>
              </w:rPr>
              <w:t xml:space="preserve"> teātri</w:t>
            </w:r>
            <w:r>
              <w:rPr>
                <w:rFonts w:ascii="Times New Roman" w:hAnsi="Times New Roman"/>
                <w:sz w:val="28"/>
                <w:szCs w:val="28"/>
              </w:rPr>
              <w:t>m</w:t>
            </w:r>
            <w:r w:rsidRPr="00184343">
              <w:rPr>
                <w:rFonts w:ascii="Times New Roman" w:hAnsi="Times New Roman"/>
                <w:sz w:val="28"/>
                <w:szCs w:val="28"/>
              </w:rPr>
              <w:t xml:space="preserve"> </w:t>
            </w:r>
            <w:r w:rsidRPr="00184343">
              <w:rPr>
                <w:rFonts w:ascii="Times New Roman" w:eastAsia="Arial Unicode MS" w:hAnsi="Times New Roman"/>
                <w:sz w:val="28"/>
                <w:szCs w:val="28"/>
              </w:rPr>
              <w:t xml:space="preserve">ir nepieciešams nodrošināt </w:t>
            </w:r>
            <w:r>
              <w:rPr>
                <w:rFonts w:ascii="Times New Roman" w:eastAsia="Arial Unicode MS" w:hAnsi="Times New Roman"/>
                <w:sz w:val="28"/>
                <w:szCs w:val="28"/>
              </w:rPr>
              <w:t xml:space="preserve">arī </w:t>
            </w:r>
            <w:r w:rsidRPr="00184343">
              <w:rPr>
                <w:rFonts w:ascii="Times New Roman" w:eastAsia="Arial Unicode MS" w:hAnsi="Times New Roman"/>
                <w:sz w:val="28"/>
                <w:szCs w:val="28"/>
              </w:rPr>
              <w:t>autostāvvietu skatītāju vajadzībām, kuru plānots izbūvēt zem jaunās Latvijas Nacionālā teātra piebūves ēkas.</w:t>
            </w:r>
            <w:r>
              <w:rPr>
                <w:rFonts w:ascii="Times New Roman" w:eastAsia="Arial Unicode MS" w:hAnsi="Times New Roman"/>
                <w:sz w:val="28"/>
                <w:szCs w:val="28"/>
              </w:rPr>
              <w:t xml:space="preserve"> Vienlaikus, ņ</w:t>
            </w:r>
            <w:r w:rsidRPr="00137C7D">
              <w:rPr>
                <w:rFonts w:ascii="Times New Roman" w:eastAsia="Arial Unicode MS" w:hAnsi="Times New Roman"/>
                <w:sz w:val="28"/>
                <w:szCs w:val="28"/>
              </w:rPr>
              <w:t xml:space="preserve">emot vērā to, ka Latvijas Nacionālā teātra telpas ir grūti pieejamas personām ar kustību traucējumiem, veicot </w:t>
            </w:r>
            <w:r w:rsidRPr="00FE0130">
              <w:rPr>
                <w:rFonts w:ascii="Times New Roman" w:eastAsia="Arial Unicode MS" w:hAnsi="Times New Roman"/>
                <w:sz w:val="28"/>
                <w:szCs w:val="28"/>
              </w:rPr>
              <w:t xml:space="preserve">jaunu telpu izbūvi, tiktu nodrošināta kultūras pasākumu pieejamība personām ar kustību traucējumiem. </w:t>
            </w:r>
          </w:p>
          <w:p w:rsidR="002A0049" w:rsidRDefault="002A0049" w:rsidP="005F5206">
            <w:pPr>
              <w:pStyle w:val="Bezatstarpm"/>
              <w:ind w:left="142" w:right="148" w:firstLine="422"/>
              <w:jc w:val="both"/>
              <w:rPr>
                <w:rFonts w:ascii="Times New Roman" w:eastAsia="Arial Unicode MS" w:hAnsi="Times New Roman"/>
                <w:sz w:val="28"/>
                <w:szCs w:val="28"/>
              </w:rPr>
            </w:pPr>
            <w:r w:rsidRPr="00B953D3">
              <w:rPr>
                <w:rFonts w:ascii="Times New Roman" w:hAnsi="Times New Roman"/>
                <w:sz w:val="28"/>
                <w:szCs w:val="28"/>
              </w:rPr>
              <w:t>Ņemot vērā, ka kopš 2006.gada pēc Ministru kabineta 2006.gada 24.augusta rīkojuma Nr.636 „Par valsts īpašuma objektu nodošanu privatizācijai” izdošanas</w:t>
            </w:r>
            <w:r>
              <w:rPr>
                <w:rFonts w:ascii="Times New Roman" w:hAnsi="Times New Roman"/>
                <w:sz w:val="28"/>
                <w:szCs w:val="28"/>
              </w:rPr>
              <w:t>,</w:t>
            </w:r>
            <w:r w:rsidRPr="00B953D3">
              <w:rPr>
                <w:rFonts w:ascii="Times New Roman" w:hAnsi="Times New Roman"/>
                <w:sz w:val="28"/>
                <w:szCs w:val="28"/>
              </w:rPr>
              <w:t xml:space="preserve"> būtiski ir mainījušies faktiskie apstākļi Administratīvā procesa likuma 85.panta otrās daļas 4.punkta izpratnē</w:t>
            </w:r>
            <w:r>
              <w:rPr>
                <w:rFonts w:ascii="Times New Roman" w:hAnsi="Times New Roman"/>
                <w:sz w:val="28"/>
                <w:szCs w:val="28"/>
              </w:rPr>
              <w:t xml:space="preserve"> (būtiskās izmaiņas faktiskajos apstākļos norādītas rīkojuma projekta 2.punktā), ir sagatavots </w:t>
            </w:r>
            <w:r w:rsidRPr="00B953D3">
              <w:rPr>
                <w:rFonts w:ascii="Times New Roman" w:hAnsi="Times New Roman"/>
                <w:sz w:val="28"/>
                <w:szCs w:val="28"/>
              </w:rPr>
              <w:t xml:space="preserve">Ministru kabineta </w:t>
            </w:r>
            <w:smartTag w:uri="schemas-tilde-lv/tildestengine" w:element="veidnes">
              <w:smartTagPr>
                <w:attr w:name="baseform" w:val="rīkojum|s"/>
                <w:attr w:name="id" w:val="-1"/>
                <w:attr w:name="text" w:val="rīkojuma"/>
              </w:smartTagPr>
              <w:r w:rsidRPr="00B953D3">
                <w:rPr>
                  <w:rFonts w:ascii="Times New Roman" w:hAnsi="Times New Roman"/>
                  <w:sz w:val="28"/>
                  <w:szCs w:val="28"/>
                </w:rPr>
                <w:t>rīkojuma</w:t>
              </w:r>
            </w:smartTag>
            <w:r w:rsidRPr="00B953D3">
              <w:rPr>
                <w:rFonts w:ascii="Times New Roman" w:hAnsi="Times New Roman"/>
                <w:sz w:val="28"/>
                <w:szCs w:val="28"/>
              </w:rPr>
              <w:t xml:space="preserve"> projekt</w:t>
            </w:r>
            <w:r>
              <w:rPr>
                <w:rFonts w:ascii="Times New Roman" w:hAnsi="Times New Roman"/>
                <w:sz w:val="28"/>
                <w:szCs w:val="28"/>
              </w:rPr>
              <w:t>s</w:t>
            </w:r>
            <w:r w:rsidRPr="00B953D3">
              <w:rPr>
                <w:rFonts w:ascii="Times New Roman" w:hAnsi="Times New Roman"/>
                <w:sz w:val="28"/>
                <w:szCs w:val="28"/>
              </w:rPr>
              <w:t xml:space="preserve"> „Par nekustamo īpašumu Kronvalda bulvārī 2B, Rīgā”</w:t>
            </w:r>
            <w:r>
              <w:rPr>
                <w:rFonts w:ascii="Times New Roman" w:hAnsi="Times New Roman"/>
                <w:sz w:val="28"/>
                <w:szCs w:val="28"/>
              </w:rPr>
              <w:t xml:space="preserve"> (turpmāk – rīkojuma projekts), kas paredz </w:t>
            </w:r>
            <w:r w:rsidRPr="005E5972">
              <w:rPr>
                <w:rFonts w:ascii="Times New Roman" w:hAnsi="Times New Roman"/>
                <w:sz w:val="28"/>
                <w:szCs w:val="28"/>
              </w:rPr>
              <w:t>atcelt Ministru kabineta 2006.gada 24.augusta rīkojumu Nr.636 „Par valsts īpašuma objektu nodošanu privatizācijai” daļā par nekustamā īpašuma Kronvalda bulvārī 2B, Rīgā (nekustamā īpašuma kadastra Nr.01000100135) nodošanu privatizācijai</w:t>
            </w:r>
            <w:bookmarkStart w:id="2" w:name="_GoBack"/>
            <w:bookmarkEnd w:id="2"/>
            <w:r w:rsidRPr="005E5972">
              <w:rPr>
                <w:rFonts w:ascii="Times New Roman" w:hAnsi="Times New Roman"/>
                <w:sz w:val="28"/>
                <w:szCs w:val="28"/>
              </w:rPr>
              <w:t xml:space="preserve"> un svītrot Ministru kabineta 2006.gada 24.augusta rīkojuma Nr.636 „Par valsts īpašuma objektu nodošanu privatizācijai” 1.3.apakšpunktu</w:t>
            </w:r>
            <w:r>
              <w:rPr>
                <w:rFonts w:ascii="Times New Roman" w:hAnsi="Times New Roman"/>
                <w:sz w:val="28"/>
                <w:szCs w:val="28"/>
              </w:rPr>
              <w:t>. Rīkojuma projekts vienlaikus paredz v</w:t>
            </w:r>
            <w:r w:rsidRPr="005E5972">
              <w:rPr>
                <w:rFonts w:ascii="Times New Roman" w:hAnsi="Times New Roman"/>
                <w:sz w:val="28"/>
                <w:szCs w:val="28"/>
              </w:rPr>
              <w:t>alsts akciju sabiedrībai „Privatizācijas aģentūra”, kuras valdījumā atrodas valsts īpašuma objekts, nodot un Finanšu ministrijai pārņemt to savā valdījumā.</w:t>
            </w:r>
          </w:p>
          <w:p w:rsidR="00E03DD7" w:rsidRPr="00E03DD7" w:rsidRDefault="009B7E06" w:rsidP="00E03DD7">
            <w:pPr>
              <w:pStyle w:val="Bezatstarpm"/>
              <w:ind w:left="142" w:right="148"/>
              <w:jc w:val="both"/>
              <w:rPr>
                <w:rFonts w:ascii="Times New Roman" w:hAnsi="Times New Roman"/>
                <w:sz w:val="28"/>
                <w:szCs w:val="28"/>
              </w:rPr>
            </w:pPr>
            <w:r>
              <w:rPr>
                <w:rFonts w:ascii="Times New Roman" w:eastAsia="Arial Unicode MS" w:hAnsi="Times New Roman"/>
                <w:sz w:val="28"/>
                <w:szCs w:val="28"/>
              </w:rPr>
              <w:t xml:space="preserve">     </w:t>
            </w:r>
            <w:r w:rsidRPr="009B7E06">
              <w:rPr>
                <w:rFonts w:ascii="Times New Roman" w:hAnsi="Times New Roman"/>
                <w:sz w:val="28"/>
                <w:szCs w:val="28"/>
              </w:rPr>
              <w:t xml:space="preserve">Saskaņā ar Administratīvā procesa likuma 62.panta pirmo daļu rīkojuma projekts </w:t>
            </w:r>
            <w:r w:rsidR="002A0049" w:rsidRPr="002A0049">
              <w:rPr>
                <w:rFonts w:ascii="Times New Roman" w:hAnsi="Times New Roman"/>
                <w:sz w:val="28"/>
                <w:szCs w:val="28"/>
              </w:rPr>
              <w:t xml:space="preserve">ar Kultūras ministrijas 2013.gada 25.februāra vēstuli Nr.5.1.-17/676 tika nosūtīts </w:t>
            </w:r>
            <w:r w:rsidRPr="009B7E06">
              <w:rPr>
                <w:rFonts w:ascii="Times New Roman" w:hAnsi="Times New Roman"/>
                <w:sz w:val="28"/>
                <w:szCs w:val="28"/>
              </w:rPr>
              <w:t>privatizācijas ierosinātājam – sabiedrībai ar ierobežotu atbildību „Kronvalda parks” viedokļa sniegšanai. Sabiedrība ar ierobežotu atbildību „Kronvalda parks” 2013.gada 8.marta vēstulē Nr.04/03-2013 sniedza viedokli,</w:t>
            </w:r>
            <w:r>
              <w:rPr>
                <w:rFonts w:ascii="Times New Roman" w:hAnsi="Times New Roman"/>
                <w:sz w:val="28"/>
                <w:szCs w:val="28"/>
              </w:rPr>
              <w:t xml:space="preserve"> </w:t>
            </w:r>
            <w:r w:rsidR="00FE0130" w:rsidRPr="00FE0130">
              <w:rPr>
                <w:rFonts w:ascii="Times New Roman" w:hAnsi="Times New Roman"/>
                <w:sz w:val="28"/>
                <w:szCs w:val="28"/>
              </w:rPr>
              <w:t>ka neatbalsta rīkojuma projekta tālāko virzību.</w:t>
            </w:r>
            <w:r w:rsidR="002A0049">
              <w:rPr>
                <w:rFonts w:ascii="Times New Roman" w:hAnsi="Times New Roman"/>
                <w:sz w:val="28"/>
                <w:szCs w:val="28"/>
              </w:rPr>
              <w:t xml:space="preserve"> </w:t>
            </w:r>
            <w:r w:rsidR="00E03DD7">
              <w:rPr>
                <w:rFonts w:ascii="Times New Roman" w:hAnsi="Times New Roman"/>
                <w:sz w:val="28"/>
                <w:szCs w:val="28"/>
              </w:rPr>
              <w:t>S</w:t>
            </w:r>
            <w:r w:rsidR="00E03DD7" w:rsidRPr="002A0049">
              <w:rPr>
                <w:rFonts w:ascii="Times New Roman" w:hAnsi="Times New Roman"/>
                <w:sz w:val="28"/>
                <w:szCs w:val="28"/>
              </w:rPr>
              <w:t>abiedrības ar ierobežotu atbildību „Kronvalda parks”</w:t>
            </w:r>
            <w:r w:rsidR="00E03DD7">
              <w:rPr>
                <w:rFonts w:ascii="Times New Roman" w:hAnsi="Times New Roman"/>
                <w:sz w:val="28"/>
                <w:szCs w:val="28"/>
              </w:rPr>
              <w:t xml:space="preserve"> sniegtais viedoklis izvērtēts </w:t>
            </w:r>
            <w:r w:rsidR="00E03DD7">
              <w:rPr>
                <w:rFonts w:ascii="Times New Roman" w:hAnsi="Times New Roman"/>
                <w:sz w:val="28"/>
                <w:szCs w:val="28"/>
              </w:rPr>
              <w:lastRenderedPageBreak/>
              <w:t>atbilstoši Administratīvā procesa likuma 65</w:t>
            </w:r>
            <w:r w:rsidR="00E03DD7" w:rsidRPr="009B7E06">
              <w:rPr>
                <w:rFonts w:ascii="Times New Roman" w:hAnsi="Times New Roman"/>
                <w:sz w:val="28"/>
                <w:szCs w:val="28"/>
              </w:rPr>
              <w:t>.</w:t>
            </w:r>
            <w:r w:rsidR="00E03DD7">
              <w:rPr>
                <w:rFonts w:ascii="Times New Roman" w:hAnsi="Times New Roman"/>
                <w:sz w:val="28"/>
                <w:szCs w:val="28"/>
              </w:rPr>
              <w:t xml:space="preserve"> un 66.</w:t>
            </w:r>
            <w:r w:rsidR="00E03DD7" w:rsidRPr="009B7E06">
              <w:rPr>
                <w:rFonts w:ascii="Times New Roman" w:hAnsi="Times New Roman"/>
                <w:sz w:val="28"/>
                <w:szCs w:val="28"/>
              </w:rPr>
              <w:t>panta</w:t>
            </w:r>
            <w:r w:rsidR="00E03DD7">
              <w:rPr>
                <w:rFonts w:ascii="Times New Roman" w:hAnsi="Times New Roman"/>
                <w:sz w:val="28"/>
                <w:szCs w:val="28"/>
              </w:rPr>
              <w:t xml:space="preserve">m un </w:t>
            </w:r>
            <w:r w:rsidR="00E03DD7" w:rsidRPr="00E03DD7">
              <w:rPr>
                <w:rFonts w:ascii="Times New Roman" w:hAnsi="Times New Roman"/>
                <w:sz w:val="28"/>
                <w:szCs w:val="28"/>
              </w:rPr>
              <w:t xml:space="preserve">sabiedrības ar ierobežotu atbildību „Kronvalda parks” </w:t>
            </w:r>
            <w:r w:rsidR="00E03DD7">
              <w:rPr>
                <w:rFonts w:ascii="Times New Roman" w:hAnsi="Times New Roman"/>
                <w:sz w:val="28"/>
                <w:szCs w:val="28"/>
              </w:rPr>
              <w:t>viedoklī sniegtie argumenti</w:t>
            </w:r>
            <w:r w:rsidR="00E03DD7" w:rsidRPr="00E03DD7">
              <w:rPr>
                <w:rFonts w:ascii="Times New Roman" w:hAnsi="Times New Roman"/>
                <w:sz w:val="28"/>
                <w:szCs w:val="28"/>
              </w:rPr>
              <w:t xml:space="preserve"> </w:t>
            </w:r>
            <w:r w:rsidR="00E03DD7">
              <w:rPr>
                <w:rFonts w:ascii="Times New Roman" w:hAnsi="Times New Roman"/>
                <w:sz w:val="28"/>
                <w:szCs w:val="28"/>
              </w:rPr>
              <w:t>atzīti par nepamatotiem,</w:t>
            </w:r>
            <w:r w:rsidR="00E03DD7" w:rsidRPr="00E03DD7">
              <w:rPr>
                <w:rFonts w:ascii="Times New Roman" w:hAnsi="Times New Roman"/>
                <w:sz w:val="28"/>
                <w:szCs w:val="28"/>
              </w:rPr>
              <w:t xml:space="preserve"> </w:t>
            </w:r>
            <w:r w:rsidR="00E03DD7">
              <w:rPr>
                <w:rFonts w:ascii="Times New Roman" w:hAnsi="Times New Roman"/>
                <w:sz w:val="28"/>
                <w:szCs w:val="28"/>
              </w:rPr>
              <w:t>rīkojuma projekta 4.punktā norādot Ministru kabineta</w:t>
            </w:r>
            <w:r w:rsidR="00E03DD7" w:rsidRPr="00E03DD7">
              <w:rPr>
                <w:rFonts w:ascii="Times New Roman" w:hAnsi="Times New Roman"/>
                <w:sz w:val="28"/>
                <w:szCs w:val="28"/>
              </w:rPr>
              <w:t xml:space="preserve"> </w:t>
            </w:r>
            <w:r w:rsidR="00E03DD7">
              <w:rPr>
                <w:rFonts w:ascii="Times New Roman" w:hAnsi="Times New Roman"/>
                <w:sz w:val="28"/>
                <w:szCs w:val="28"/>
              </w:rPr>
              <w:t>apsvērumus un argumentus administratīvā akta atcelšanai daļā.</w:t>
            </w:r>
            <w:r w:rsidR="00FC1D8E">
              <w:rPr>
                <w:rFonts w:ascii="Times New Roman" w:hAnsi="Times New Roman"/>
                <w:sz w:val="28"/>
                <w:szCs w:val="28"/>
              </w:rPr>
              <w:t xml:space="preserve"> Tāpat rīkojuma projekta sagatavošanas ietvaros ir izvērtēti administratīvā procesa principi, tai skaitā, tiesiskuma princips, </w:t>
            </w:r>
            <w:r w:rsidR="00075183">
              <w:rPr>
                <w:rFonts w:ascii="Times New Roman" w:hAnsi="Times New Roman"/>
                <w:sz w:val="28"/>
                <w:szCs w:val="28"/>
              </w:rPr>
              <w:t xml:space="preserve">labas pārvaldības princips, </w:t>
            </w:r>
            <w:r w:rsidR="00FC1D8E">
              <w:rPr>
                <w:rFonts w:ascii="Times New Roman" w:hAnsi="Times New Roman"/>
                <w:sz w:val="28"/>
                <w:szCs w:val="28"/>
              </w:rPr>
              <w:t>samērīguma princips un tiesiskās paļāvības princips.</w:t>
            </w:r>
          </w:p>
          <w:p w:rsidR="00FE0130" w:rsidRPr="00FE0130" w:rsidRDefault="00FE0130" w:rsidP="00FE0130">
            <w:pPr>
              <w:pStyle w:val="Bezatstarpm"/>
              <w:ind w:left="142" w:right="148"/>
              <w:jc w:val="both"/>
              <w:rPr>
                <w:rFonts w:ascii="Times New Roman" w:eastAsia="Arial Unicode MS" w:hAnsi="Times New Roman"/>
                <w:sz w:val="28"/>
                <w:szCs w:val="28"/>
              </w:rPr>
            </w:pPr>
          </w:p>
          <w:p w:rsidR="009621E7" w:rsidRPr="00FE0130" w:rsidRDefault="009621E7" w:rsidP="002A0049">
            <w:pPr>
              <w:pStyle w:val="Bezatstarpm"/>
              <w:ind w:left="142" w:right="148"/>
              <w:jc w:val="both"/>
              <w:rPr>
                <w:rFonts w:ascii="Times New Roman" w:hAnsi="Times New Roman"/>
                <w:b/>
                <w:sz w:val="28"/>
                <w:szCs w:val="28"/>
              </w:rPr>
            </w:pPr>
            <w:r w:rsidRPr="00FE0130">
              <w:rPr>
                <w:rFonts w:ascii="Times New Roman" w:hAnsi="Times New Roman"/>
                <w:b/>
                <w:sz w:val="28"/>
                <w:szCs w:val="28"/>
              </w:rPr>
              <w:t>Nekustamā īpašuma sastāvs</w:t>
            </w:r>
          </w:p>
          <w:p w:rsidR="009621E7" w:rsidRPr="00184343" w:rsidRDefault="009621E7" w:rsidP="002A0049">
            <w:pPr>
              <w:pStyle w:val="Bezatstarpm"/>
              <w:ind w:left="142" w:right="148"/>
              <w:jc w:val="both"/>
              <w:rPr>
                <w:rFonts w:ascii="Times New Roman" w:hAnsi="Times New Roman"/>
                <w:sz w:val="28"/>
                <w:szCs w:val="28"/>
              </w:rPr>
            </w:pPr>
            <w:r w:rsidRPr="00FE0130">
              <w:rPr>
                <w:rFonts w:ascii="Times New Roman" w:hAnsi="Times New Roman"/>
                <w:sz w:val="28"/>
                <w:szCs w:val="28"/>
              </w:rPr>
              <w:t>Nekustamais īpašums (nekustamā īpašuma kadastra apzīmējums Nr.01000100135) Kronvalda bulvārī 2B, Rīgā, sastāv no zemesgabala 3475 m</w:t>
            </w:r>
            <w:r w:rsidRPr="00FE0130">
              <w:rPr>
                <w:rFonts w:ascii="Times New Roman" w:hAnsi="Times New Roman"/>
                <w:sz w:val="28"/>
                <w:szCs w:val="28"/>
                <w:vertAlign w:val="superscript"/>
              </w:rPr>
              <w:t>2</w:t>
            </w:r>
            <w:r w:rsidRPr="00FE0130">
              <w:rPr>
                <w:rFonts w:ascii="Times New Roman" w:hAnsi="Times New Roman"/>
                <w:sz w:val="28"/>
                <w:szCs w:val="28"/>
              </w:rPr>
              <w:t xml:space="preserve"> platībā un vienas būves – tenisa klubs (būves kadastra apzīmējums 01000100135 001) un palīgceltnēm (kadastra apzīmējumi 01000100135</w:t>
            </w:r>
            <w:r w:rsidRPr="00184343">
              <w:rPr>
                <w:rFonts w:ascii="Times New Roman" w:hAnsi="Times New Roman"/>
                <w:sz w:val="28"/>
                <w:szCs w:val="28"/>
              </w:rPr>
              <w:t xml:space="preserve"> 002 un 01000100135 003).</w:t>
            </w:r>
          </w:p>
          <w:p w:rsidR="009621E7" w:rsidRPr="00184343" w:rsidRDefault="009621E7" w:rsidP="002A0049">
            <w:pPr>
              <w:pStyle w:val="Bezatstarpm"/>
              <w:ind w:left="142" w:right="148"/>
              <w:jc w:val="both"/>
              <w:rPr>
                <w:rFonts w:ascii="Times New Roman" w:hAnsi="Times New Roman"/>
                <w:sz w:val="28"/>
                <w:szCs w:val="28"/>
              </w:rPr>
            </w:pPr>
          </w:p>
          <w:p w:rsidR="009621E7" w:rsidRPr="00184343" w:rsidRDefault="009621E7" w:rsidP="002A0049">
            <w:pPr>
              <w:pStyle w:val="Bezatstarpm"/>
              <w:ind w:left="142" w:right="148"/>
              <w:jc w:val="both"/>
              <w:rPr>
                <w:rFonts w:ascii="Times New Roman" w:hAnsi="Times New Roman"/>
                <w:b/>
                <w:sz w:val="28"/>
                <w:szCs w:val="28"/>
              </w:rPr>
            </w:pPr>
            <w:r w:rsidRPr="00184343">
              <w:rPr>
                <w:rFonts w:ascii="Times New Roman" w:hAnsi="Times New Roman"/>
                <w:b/>
                <w:sz w:val="28"/>
                <w:szCs w:val="28"/>
              </w:rPr>
              <w:t>Īpašuma tiesību nostiprinājums zemesgrāmatā</w:t>
            </w:r>
          </w:p>
          <w:p w:rsidR="009621E7" w:rsidRPr="00184343" w:rsidRDefault="009621E7" w:rsidP="002A0049">
            <w:pPr>
              <w:pStyle w:val="Bezatstarpm"/>
              <w:ind w:left="142" w:right="148"/>
              <w:jc w:val="both"/>
              <w:rPr>
                <w:rFonts w:ascii="Times New Roman" w:hAnsi="Times New Roman"/>
                <w:sz w:val="28"/>
                <w:szCs w:val="28"/>
              </w:rPr>
            </w:pPr>
            <w:r w:rsidRPr="00184343">
              <w:rPr>
                <w:rFonts w:ascii="Times New Roman" w:hAnsi="Times New Roman"/>
                <w:sz w:val="28"/>
                <w:szCs w:val="28"/>
              </w:rPr>
              <w:t>Valsts īpašuma objekts, 2001.gada 2.jūlijā reģistrēts Rīgas pilsētas zemesgrāmatas nodalījumā Nr.100000008415 (žurnāla Nr.300000039550) ar kadastra Nr.0100 010 0135 uz valsts vārda Izglītības un zinātnes ministrijas personā.</w:t>
            </w:r>
          </w:p>
          <w:p w:rsidR="009621E7" w:rsidRPr="00184343" w:rsidRDefault="009621E7" w:rsidP="002A0049">
            <w:pPr>
              <w:pStyle w:val="Bezatstarpm"/>
              <w:ind w:left="142" w:right="148"/>
              <w:jc w:val="both"/>
              <w:rPr>
                <w:rFonts w:ascii="Times New Roman" w:hAnsi="Times New Roman"/>
                <w:sz w:val="28"/>
                <w:szCs w:val="28"/>
              </w:rPr>
            </w:pPr>
          </w:p>
          <w:p w:rsidR="009621E7" w:rsidRPr="00184343" w:rsidRDefault="009621E7" w:rsidP="002A0049">
            <w:pPr>
              <w:pStyle w:val="Bezatstarpm"/>
              <w:ind w:left="142" w:right="148"/>
              <w:jc w:val="both"/>
              <w:rPr>
                <w:rFonts w:ascii="Times New Roman" w:hAnsi="Times New Roman"/>
                <w:b/>
                <w:sz w:val="28"/>
                <w:szCs w:val="28"/>
              </w:rPr>
            </w:pPr>
            <w:r w:rsidRPr="00184343">
              <w:rPr>
                <w:rFonts w:ascii="Times New Roman" w:hAnsi="Times New Roman"/>
                <w:b/>
                <w:sz w:val="28"/>
                <w:szCs w:val="28"/>
              </w:rPr>
              <w:t>Nekustamā īpašuma nomas līgumi</w:t>
            </w:r>
          </w:p>
          <w:p w:rsidR="009621E7" w:rsidRPr="00184343" w:rsidRDefault="009621E7" w:rsidP="002A0049">
            <w:pPr>
              <w:pStyle w:val="Bezatstarpm"/>
              <w:ind w:left="142" w:right="148"/>
              <w:jc w:val="both"/>
              <w:rPr>
                <w:rFonts w:ascii="Times New Roman" w:hAnsi="Times New Roman"/>
                <w:sz w:val="28"/>
                <w:szCs w:val="28"/>
              </w:rPr>
            </w:pPr>
            <w:r w:rsidRPr="00184343">
              <w:rPr>
                <w:rFonts w:ascii="Times New Roman" w:hAnsi="Times New Roman"/>
                <w:sz w:val="28"/>
                <w:szCs w:val="28"/>
              </w:rPr>
              <w:t xml:space="preserve">2001.gada 5.martā Izglītības un zinātnes ministrija un sabiedrība ar ierobežotu atbildību „Centrālais tenisa klubs” (reģistrācijas Nr.40003369179) noslēdza nekustamā īpašuma Kronvalda bulvārī 2B, Rīgā, kadastra Nr.01000100135, nomas līgumu ar termiņu līdz 2021.gada 31.decembrim. 2009.gada 29.jūnijā tika noslēgts nekustamā īpašuma nomas līguma pārjaunojuma līgums, saskaņā ar kuru nekustamā īpašuma Kronvalda bulvārī 2B, Rīgā, kadastra Nr.01000100135 nomnieka sabiedrības ar ierobežotu atbildību „Centrālais tenisa klubs” vietā iestājās sabiedrība ar ierobežotu atbildību </w:t>
            </w:r>
            <w:r w:rsidRPr="00184343">
              <w:rPr>
                <w:rFonts w:ascii="Times New Roman" w:hAnsi="Times New Roman"/>
                <w:sz w:val="28"/>
                <w:szCs w:val="28"/>
              </w:rPr>
              <w:lastRenderedPageBreak/>
              <w:t xml:space="preserve">„Kronvalda parks” (reģistrācijas Nr.40103231180), pārņemot visas sabiedrības ar ierobežotu atbildību „Centrālais tenisa klubs” tiesības, saistības un pienākumus, kas izrietēja no noslēgtā nomas līguma. </w:t>
            </w:r>
          </w:p>
          <w:p w:rsidR="009621E7" w:rsidRPr="00184343" w:rsidRDefault="009621E7" w:rsidP="002A0049">
            <w:pPr>
              <w:pStyle w:val="Bezatstarpm"/>
              <w:ind w:left="142" w:right="148"/>
              <w:jc w:val="both"/>
              <w:rPr>
                <w:rFonts w:ascii="Times New Roman" w:hAnsi="Times New Roman"/>
                <w:sz w:val="28"/>
                <w:szCs w:val="28"/>
              </w:rPr>
            </w:pPr>
            <w:r w:rsidRPr="00184343">
              <w:rPr>
                <w:rFonts w:ascii="Times New Roman" w:hAnsi="Times New Roman"/>
                <w:sz w:val="28"/>
                <w:szCs w:val="28"/>
              </w:rPr>
              <w:t>Rīgas pilsētas zemesgrāmatas nodalījuma Nr.100000008415 III.daļas 1.iedaļas 1.1. ierakstā izdarīts ieraksts – nostiprināta nomas tiesība uz nekustamo īpašumu līdz 2021.gada 31.decembrim. Rīgas pilsētas zemesgrāmatas nodalījuma Nr.100000008415 III.daļas 2.iedaļas 1.1. ierakstā izdarīts ieraksts Nomnieks: sabiedrība ar ierobežotu atbildību „Kronvalda parks”, nodokļu maksātāja kods 40103231180. Pamats: 2009.gada 29.jūnija līguma Nr.2108-2002 pārjaunojuma līgums.</w:t>
            </w:r>
          </w:p>
          <w:p w:rsidR="009621E7" w:rsidRPr="00184343" w:rsidRDefault="009621E7" w:rsidP="002A0049">
            <w:pPr>
              <w:pStyle w:val="Bezatstarpm"/>
              <w:ind w:left="142" w:right="148"/>
              <w:jc w:val="both"/>
              <w:rPr>
                <w:rFonts w:ascii="Times New Roman" w:hAnsi="Times New Roman"/>
                <w:sz w:val="28"/>
                <w:szCs w:val="28"/>
              </w:rPr>
            </w:pPr>
          </w:p>
          <w:p w:rsidR="009621E7" w:rsidRPr="00184343" w:rsidRDefault="009621E7" w:rsidP="002A0049">
            <w:pPr>
              <w:pStyle w:val="Bezatstarpm"/>
              <w:ind w:left="142" w:right="148"/>
              <w:jc w:val="both"/>
              <w:rPr>
                <w:rFonts w:ascii="Times New Roman" w:hAnsi="Times New Roman"/>
                <w:b/>
                <w:sz w:val="28"/>
                <w:szCs w:val="28"/>
              </w:rPr>
            </w:pPr>
            <w:r w:rsidRPr="00184343">
              <w:rPr>
                <w:rFonts w:ascii="Times New Roman" w:hAnsi="Times New Roman"/>
                <w:b/>
                <w:sz w:val="28"/>
                <w:szCs w:val="28"/>
              </w:rPr>
              <w:t>Nekustamā īpašuma valdītājs</w:t>
            </w:r>
          </w:p>
          <w:p w:rsidR="009621E7" w:rsidRPr="00B953D3" w:rsidRDefault="009621E7" w:rsidP="0008026D">
            <w:pPr>
              <w:pStyle w:val="Bezatstarpm"/>
              <w:ind w:left="142" w:right="148"/>
              <w:jc w:val="both"/>
              <w:rPr>
                <w:rFonts w:ascii="Times New Roman" w:hAnsi="Times New Roman"/>
                <w:sz w:val="28"/>
                <w:szCs w:val="28"/>
              </w:rPr>
            </w:pPr>
            <w:r w:rsidRPr="00184343">
              <w:rPr>
                <w:rFonts w:ascii="Times New Roman" w:hAnsi="Times New Roman"/>
                <w:sz w:val="28"/>
                <w:szCs w:val="28"/>
              </w:rPr>
              <w:t>Pamatojoties uz Ministru kabineta 2006.gada 24.augusta rīkojuma Nr.636 „Par valsts īpašuma objektu nodošanu privatizācijai” 4.punktu</w:t>
            </w:r>
            <w:r>
              <w:rPr>
                <w:rFonts w:ascii="Times New Roman" w:hAnsi="Times New Roman"/>
                <w:sz w:val="28"/>
                <w:szCs w:val="28"/>
              </w:rPr>
              <w:t>,</w:t>
            </w:r>
            <w:r w:rsidRPr="00184343">
              <w:rPr>
                <w:rFonts w:ascii="Times New Roman" w:hAnsi="Times New Roman"/>
                <w:sz w:val="28"/>
                <w:szCs w:val="28"/>
              </w:rPr>
              <w:t xml:space="preserve"> Izglītības un zinātnes ministrija valsts īpašuma objektu nodeva valsts akciju sabiedrības „Privatizācijas aģentūra” valdījumā. </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right="156"/>
              <w:jc w:val="center"/>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lastRenderedPageBreak/>
              <w:t>3.</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41" w:right="156"/>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Saistītie politikas ietekmes novērtējumi un pētījumi</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pStyle w:val="Bezatstarpm"/>
              <w:ind w:left="142" w:right="148"/>
              <w:jc w:val="both"/>
              <w:rPr>
                <w:rFonts w:ascii="Times New Roman" w:hAnsi="Times New Roman"/>
                <w:sz w:val="28"/>
                <w:szCs w:val="28"/>
              </w:rPr>
            </w:pPr>
            <w:r w:rsidRPr="00184343">
              <w:rPr>
                <w:rFonts w:ascii="Times New Roman" w:hAnsi="Times New Roman"/>
                <w:sz w:val="28"/>
                <w:szCs w:val="28"/>
              </w:rPr>
              <w:t>Projekts šo jomu neskar.</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4.</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41" w:right="142"/>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Tiesiskā regulējuma mērķis un būtība</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Default="009621E7" w:rsidP="00956112">
            <w:pPr>
              <w:pStyle w:val="Bezatstarpm"/>
              <w:ind w:left="142" w:right="148"/>
              <w:jc w:val="both"/>
              <w:rPr>
                <w:rFonts w:ascii="Times New Roman" w:hAnsi="Times New Roman"/>
                <w:sz w:val="28"/>
                <w:szCs w:val="28"/>
              </w:rPr>
            </w:pPr>
            <w:r w:rsidRPr="00184343">
              <w:rPr>
                <w:rFonts w:ascii="Times New Roman" w:hAnsi="Times New Roman"/>
                <w:sz w:val="28"/>
                <w:szCs w:val="28"/>
              </w:rPr>
              <w:t xml:space="preserve">     Ņemot vērā to, ka mainījušies lietas faktiskie apstākļi, kuriem pastāvot administratīvā akta izdošanas brīdī iestāde varētu šādu administratīvo aktu neizdot, un administratīvā akta palikšana spēkā skar būtiskas sabiedrības intereses</w:t>
            </w:r>
            <w:r w:rsidR="00637234">
              <w:rPr>
                <w:rFonts w:ascii="Times New Roman" w:hAnsi="Times New Roman"/>
                <w:sz w:val="28"/>
                <w:szCs w:val="28"/>
              </w:rPr>
              <w:t xml:space="preserve"> (būtiskā</w:t>
            </w:r>
            <w:r w:rsidR="00637234" w:rsidRPr="00184343">
              <w:rPr>
                <w:rFonts w:ascii="Times New Roman" w:hAnsi="Times New Roman"/>
                <w:sz w:val="28"/>
                <w:szCs w:val="28"/>
              </w:rPr>
              <w:t>s sabiedrības intereses</w:t>
            </w:r>
            <w:r w:rsidR="00637234">
              <w:rPr>
                <w:rFonts w:ascii="Times New Roman" w:hAnsi="Times New Roman"/>
                <w:sz w:val="28"/>
                <w:szCs w:val="28"/>
              </w:rPr>
              <w:t xml:space="preserve"> pamatotas rīkojuma projekta 2., 4. un 6.punktā)</w:t>
            </w:r>
            <w:r w:rsidRPr="00184343">
              <w:rPr>
                <w:rFonts w:ascii="Times New Roman" w:hAnsi="Times New Roman"/>
                <w:sz w:val="28"/>
                <w:szCs w:val="28"/>
              </w:rPr>
              <w:t>, saskaņā ar likuma „Par valsts un pašvaldību īpašuma objektu priva</w:t>
            </w:r>
            <w:r w:rsidR="00956112">
              <w:rPr>
                <w:rFonts w:ascii="Times New Roman" w:hAnsi="Times New Roman"/>
                <w:sz w:val="28"/>
                <w:szCs w:val="28"/>
              </w:rPr>
              <w:t>tizāciju” 12.panta ceturto daļu un pamatojoties</w:t>
            </w:r>
            <w:r w:rsidRPr="00184343">
              <w:rPr>
                <w:rFonts w:ascii="Times New Roman" w:hAnsi="Times New Roman"/>
                <w:sz w:val="28"/>
                <w:szCs w:val="28"/>
              </w:rPr>
              <w:t xml:space="preserve"> </w:t>
            </w:r>
            <w:r w:rsidR="0008026D">
              <w:rPr>
                <w:rFonts w:ascii="Times New Roman" w:hAnsi="Times New Roman"/>
                <w:sz w:val="28"/>
                <w:szCs w:val="28"/>
              </w:rPr>
              <w:t>Administratīvā procesa likuma 51</w:t>
            </w:r>
            <w:r w:rsidRPr="00184343">
              <w:rPr>
                <w:rFonts w:ascii="Times New Roman" w:hAnsi="Times New Roman"/>
                <w:sz w:val="28"/>
                <w:szCs w:val="28"/>
              </w:rPr>
              <w:t xml:space="preserve">.pantu, 83.panta pirmo daļu un 85.panta otrās daļas 4.punktu, </w:t>
            </w:r>
            <w:r>
              <w:rPr>
                <w:rFonts w:ascii="Times New Roman" w:hAnsi="Times New Roman"/>
                <w:sz w:val="28"/>
                <w:szCs w:val="28"/>
              </w:rPr>
              <w:t xml:space="preserve">rīkojuma projekts paredz </w:t>
            </w:r>
            <w:r w:rsidRPr="00184343">
              <w:rPr>
                <w:rFonts w:ascii="Times New Roman" w:hAnsi="Times New Roman"/>
                <w:sz w:val="28"/>
                <w:szCs w:val="28"/>
              </w:rPr>
              <w:t xml:space="preserve">atcelt Ministru kabineta 2006.gada 24.augusta rīkojumu Nr.636 „Par valsts īpašuma objektu nodošanu privatizācijai” daļā par nekustamā īpašuma Kronvalda bulvārī </w:t>
            </w:r>
            <w:r w:rsidRPr="00184343">
              <w:rPr>
                <w:rFonts w:ascii="Times New Roman" w:hAnsi="Times New Roman"/>
                <w:sz w:val="28"/>
                <w:szCs w:val="28"/>
              </w:rPr>
              <w:lastRenderedPageBreak/>
              <w:t>2B, Rīgā (nekustamā īpašuma kadastra Nr.01000100135) nodošanu privatizācijai un svītrot Ministru kabineta 2006.gada 24.augusta rīkojuma Nr.636 „Par valsts īpašuma objektu nodošanu privatizācijai” 1.3.apakšpunktu.</w:t>
            </w:r>
            <w:r>
              <w:rPr>
                <w:rFonts w:ascii="Times New Roman" w:hAnsi="Times New Roman"/>
                <w:sz w:val="28"/>
                <w:szCs w:val="28"/>
              </w:rPr>
              <w:t xml:space="preserve"> Rīkojuma projekts paredz v</w:t>
            </w:r>
            <w:r w:rsidRPr="005E5972">
              <w:rPr>
                <w:rFonts w:ascii="Times New Roman" w:hAnsi="Times New Roman"/>
                <w:sz w:val="28"/>
                <w:szCs w:val="28"/>
              </w:rPr>
              <w:t>alsts akciju sabiedrībai „Privatizācijas aģentūra”, kuras valdījumā atrodas valsts īpašuma objekts, nodot un Finanšu ministrijai pārņemt to savā valdījumā</w:t>
            </w:r>
            <w:r>
              <w:rPr>
                <w:rFonts w:ascii="Times New Roman" w:hAnsi="Times New Roman"/>
                <w:sz w:val="28"/>
                <w:szCs w:val="28"/>
              </w:rPr>
              <w:t xml:space="preserve">, </w:t>
            </w:r>
            <w:r w:rsidRPr="005E5972">
              <w:rPr>
                <w:rFonts w:ascii="Times New Roman" w:hAnsi="Times New Roman"/>
                <w:sz w:val="28"/>
                <w:szCs w:val="28"/>
              </w:rPr>
              <w:t>sastādot attiecīgu pieņemšanas nodošanas aktu.</w:t>
            </w:r>
          </w:p>
          <w:p w:rsidR="009621E7" w:rsidRPr="00BC0D90" w:rsidRDefault="009621E7" w:rsidP="002A0049">
            <w:pPr>
              <w:pStyle w:val="Bezatstarpm"/>
              <w:ind w:left="142" w:right="148" w:firstLine="422"/>
              <w:jc w:val="both"/>
              <w:rPr>
                <w:rFonts w:ascii="Times New Roman" w:hAnsi="Times New Roman"/>
                <w:sz w:val="28"/>
                <w:szCs w:val="28"/>
              </w:rPr>
            </w:pPr>
            <w:r w:rsidRPr="00BC0D90">
              <w:rPr>
                <w:rFonts w:ascii="Times New Roman" w:hAnsi="Times New Roman"/>
                <w:sz w:val="28"/>
                <w:szCs w:val="28"/>
              </w:rPr>
              <w:t>Rīkojuma projektam pievienotais Minist</w:t>
            </w:r>
            <w:r w:rsidR="002D5BFF">
              <w:rPr>
                <w:rFonts w:ascii="Times New Roman" w:hAnsi="Times New Roman"/>
                <w:sz w:val="28"/>
                <w:szCs w:val="28"/>
              </w:rPr>
              <w:t>ru kabineta sēdes protokollēmuma</w:t>
            </w:r>
            <w:r w:rsidRPr="00BC0D90">
              <w:rPr>
                <w:rFonts w:ascii="Times New Roman" w:hAnsi="Times New Roman"/>
                <w:sz w:val="28"/>
                <w:szCs w:val="28"/>
              </w:rPr>
              <w:t xml:space="preserve"> projekts </w:t>
            </w:r>
            <w:r>
              <w:rPr>
                <w:rFonts w:ascii="Times New Roman" w:hAnsi="Times New Roman"/>
                <w:sz w:val="28"/>
                <w:szCs w:val="28"/>
              </w:rPr>
              <w:t>paredz</w:t>
            </w:r>
            <w:r w:rsidRPr="00BC0D90">
              <w:rPr>
                <w:rFonts w:ascii="Times New Roman" w:hAnsi="Times New Roman"/>
                <w:sz w:val="28"/>
                <w:szCs w:val="28"/>
              </w:rPr>
              <w:t xml:space="preserve"> </w:t>
            </w:r>
            <w:r>
              <w:rPr>
                <w:rFonts w:ascii="Times New Roman" w:hAnsi="Times New Roman"/>
                <w:sz w:val="28"/>
                <w:szCs w:val="28"/>
              </w:rPr>
              <w:t xml:space="preserve">uzdevumu </w:t>
            </w:r>
            <w:r w:rsidRPr="00BC0D90">
              <w:rPr>
                <w:rFonts w:ascii="Times New Roman" w:hAnsi="Times New Roman"/>
                <w:color w:val="000000" w:themeColor="text1"/>
                <w:sz w:val="28"/>
                <w:szCs w:val="28"/>
              </w:rPr>
              <w:t xml:space="preserve">Kultūras ministrijai sadarbībā ar Finanšu ministriju (valsts </w:t>
            </w:r>
            <w:r w:rsidRPr="002A5E49">
              <w:rPr>
                <w:rFonts w:ascii="Times New Roman" w:hAnsi="Times New Roman"/>
                <w:color w:val="000000" w:themeColor="text1"/>
                <w:sz w:val="28"/>
                <w:szCs w:val="28"/>
              </w:rPr>
              <w:t xml:space="preserve">akciju sabiedrību „Valsts nekustamie īpašumi”) </w:t>
            </w:r>
            <w:r w:rsidR="002A5E49" w:rsidRPr="002A5E49">
              <w:rPr>
                <w:rFonts w:ascii="Times New Roman" w:hAnsi="Times New Roman"/>
                <w:sz w:val="28"/>
                <w:szCs w:val="28"/>
              </w:rPr>
              <w:t xml:space="preserve">izstrādāt priekšlikumus </w:t>
            </w:r>
            <w:r w:rsidRPr="002A5E49">
              <w:rPr>
                <w:rFonts w:ascii="Times New Roman" w:hAnsi="Times New Roman"/>
                <w:color w:val="000000" w:themeColor="text1"/>
                <w:sz w:val="28"/>
                <w:szCs w:val="28"/>
              </w:rPr>
              <w:t xml:space="preserve">par turpmāko rīcību </w:t>
            </w:r>
            <w:r w:rsidRPr="002A5E49">
              <w:rPr>
                <w:rFonts w:ascii="Times New Roman" w:eastAsia="Arial Unicode MS" w:hAnsi="Times New Roman"/>
                <w:color w:val="000000" w:themeColor="text1"/>
                <w:sz w:val="28"/>
                <w:szCs w:val="28"/>
              </w:rPr>
              <w:t>Latvijas Nacionālā teātra</w:t>
            </w:r>
            <w:r w:rsidRPr="00BC0D90">
              <w:rPr>
                <w:rFonts w:ascii="Times New Roman" w:eastAsia="Arial Unicode MS" w:hAnsi="Times New Roman"/>
                <w:color w:val="000000" w:themeColor="text1"/>
                <w:sz w:val="28"/>
                <w:szCs w:val="28"/>
              </w:rPr>
              <w:t xml:space="preserve"> piebūves ēkas izveidošanai </w:t>
            </w:r>
            <w:r w:rsidRPr="00BC0D90">
              <w:rPr>
                <w:rFonts w:ascii="Times New Roman" w:hAnsi="Times New Roman"/>
                <w:color w:val="000000" w:themeColor="text1"/>
                <w:sz w:val="28"/>
                <w:szCs w:val="28"/>
              </w:rPr>
              <w:t xml:space="preserve">nekustamajā īpašumā Kronvalda bulvārī 2B, Rīgā, izvērtējot optimālākos būvniecības darbu finansēšanas modeļus un </w:t>
            </w:r>
            <w:r w:rsidR="002A5E49" w:rsidRPr="002A5E49">
              <w:rPr>
                <w:rFonts w:ascii="Times New Roman" w:hAnsi="Times New Roman"/>
                <w:color w:val="000000" w:themeColor="text1"/>
                <w:sz w:val="28"/>
                <w:szCs w:val="28"/>
              </w:rPr>
              <w:t xml:space="preserve">līdz 2018.gada 1.janvārim </w:t>
            </w:r>
            <w:r w:rsidRPr="00BC0D90">
              <w:rPr>
                <w:rFonts w:ascii="Times New Roman" w:hAnsi="Times New Roman"/>
                <w:color w:val="000000" w:themeColor="text1"/>
                <w:sz w:val="28"/>
                <w:szCs w:val="28"/>
              </w:rPr>
              <w:t xml:space="preserve">iesniegt noteiktā kārtībā Ministru kabinetā tiesību akta projektu par turpmāko rīcību </w:t>
            </w:r>
            <w:r w:rsidRPr="00BC0D90">
              <w:rPr>
                <w:rFonts w:ascii="Times New Roman" w:eastAsia="Arial Unicode MS" w:hAnsi="Times New Roman"/>
                <w:color w:val="000000" w:themeColor="text1"/>
                <w:sz w:val="28"/>
                <w:szCs w:val="28"/>
              </w:rPr>
              <w:t xml:space="preserve">Latvijas Nacionālā teātra piebūves ēkas izveidošanai </w:t>
            </w:r>
            <w:r w:rsidRPr="00BC0D90">
              <w:rPr>
                <w:rFonts w:ascii="Times New Roman" w:hAnsi="Times New Roman"/>
                <w:color w:val="000000" w:themeColor="text1"/>
                <w:sz w:val="28"/>
                <w:szCs w:val="28"/>
              </w:rPr>
              <w:t>nekustamajā īpašumā Kronvalda bulvārī 2B, Rīgā.</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lastRenderedPageBreak/>
              <w:t>5.</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42"/>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izstrādē iesaistītās institūcijas</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pStyle w:val="Bezatstarpm"/>
              <w:ind w:left="142" w:right="148"/>
              <w:jc w:val="both"/>
              <w:rPr>
                <w:rFonts w:ascii="Times New Roman" w:hAnsi="Times New Roman"/>
                <w:sz w:val="28"/>
                <w:szCs w:val="28"/>
              </w:rPr>
            </w:pPr>
            <w:r>
              <w:rPr>
                <w:rFonts w:ascii="Times New Roman" w:hAnsi="Times New Roman"/>
                <w:sz w:val="28"/>
                <w:szCs w:val="28"/>
              </w:rPr>
              <w:t>Kultūras ministrija, v</w:t>
            </w:r>
            <w:r w:rsidRPr="00184343">
              <w:rPr>
                <w:rFonts w:ascii="Times New Roman" w:hAnsi="Times New Roman"/>
                <w:sz w:val="28"/>
                <w:szCs w:val="28"/>
              </w:rPr>
              <w:t>alsts sabiedrība ar ierobežotu atbildību „Latvijas Nacionālais teātris”,</w:t>
            </w:r>
            <w:r w:rsidRPr="00184343">
              <w:rPr>
                <w:rFonts w:ascii="Times New Roman" w:eastAsia="Arial Unicode MS" w:hAnsi="Times New Roman"/>
                <w:sz w:val="28"/>
                <w:szCs w:val="28"/>
              </w:rPr>
              <w:t xml:space="preserve"> </w:t>
            </w:r>
            <w:r w:rsidRPr="00184343">
              <w:rPr>
                <w:rFonts w:ascii="Times New Roman" w:hAnsi="Times New Roman"/>
                <w:sz w:val="28"/>
                <w:szCs w:val="28"/>
              </w:rPr>
              <w:t>valsts akciju sabiedrība „Privatizācijas aģentūra” un Ekonomikas ministrija.</w:t>
            </w:r>
          </w:p>
        </w:tc>
      </w:tr>
      <w:tr w:rsidR="009621E7" w:rsidRPr="00184343" w:rsidTr="002A0049">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jc w:val="center"/>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6.</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41" w:right="142"/>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Iemesli, kādēļ netika nodrošināta sabiedrības līdzdalība</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956112">
            <w:pPr>
              <w:pStyle w:val="Bezatstarpm"/>
              <w:ind w:left="142" w:right="148"/>
              <w:jc w:val="both"/>
              <w:rPr>
                <w:rFonts w:ascii="Times New Roman" w:hAnsi="Times New Roman"/>
                <w:sz w:val="28"/>
                <w:szCs w:val="28"/>
              </w:rPr>
            </w:pPr>
            <w:r w:rsidRPr="00BC0D90">
              <w:rPr>
                <w:rFonts w:ascii="Times New Roman" w:hAnsi="Times New Roman"/>
                <w:sz w:val="28"/>
                <w:szCs w:val="28"/>
              </w:rPr>
              <w:t>Jautājuma būtība skar Ministru kabineta tiesības pieņemt lēmumu</w:t>
            </w:r>
            <w:r w:rsidR="00532B63">
              <w:rPr>
                <w:rFonts w:ascii="Times New Roman" w:hAnsi="Times New Roman"/>
                <w:sz w:val="28"/>
                <w:szCs w:val="28"/>
              </w:rPr>
              <w:t>,</w:t>
            </w:r>
            <w:r w:rsidRPr="00BC0D90">
              <w:rPr>
                <w:rFonts w:ascii="Times New Roman" w:hAnsi="Times New Roman"/>
                <w:sz w:val="28"/>
                <w:szCs w:val="28"/>
              </w:rPr>
              <w:t xml:space="preserve"> </w:t>
            </w:r>
            <w:r w:rsidR="00532B63">
              <w:rPr>
                <w:rFonts w:ascii="Times New Roman" w:hAnsi="Times New Roman"/>
                <w:sz w:val="28"/>
                <w:szCs w:val="28"/>
              </w:rPr>
              <w:t>atceļot administratīvā aktu daļā</w:t>
            </w:r>
            <w:r w:rsidR="00956112">
              <w:rPr>
                <w:rFonts w:ascii="Times New Roman" w:hAnsi="Times New Roman"/>
                <w:sz w:val="28"/>
                <w:szCs w:val="28"/>
              </w:rPr>
              <w:t>.</w:t>
            </w:r>
          </w:p>
        </w:tc>
      </w:tr>
      <w:tr w:rsidR="009621E7" w:rsidRPr="00184343" w:rsidTr="001658E7">
        <w:trPr>
          <w:trHeight w:val="514"/>
        </w:trPr>
        <w:tc>
          <w:tcPr>
            <w:tcW w:w="31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7.</w:t>
            </w:r>
          </w:p>
        </w:tc>
        <w:tc>
          <w:tcPr>
            <w:tcW w:w="1405"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Cita informācija</w:t>
            </w:r>
          </w:p>
        </w:tc>
        <w:tc>
          <w:tcPr>
            <w:tcW w:w="3278"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1658E7">
            <w:pPr>
              <w:pStyle w:val="Bezatstarpm"/>
              <w:ind w:left="142" w:right="148"/>
              <w:jc w:val="both"/>
              <w:rPr>
                <w:rFonts w:ascii="Times New Roman" w:eastAsia="Times New Roman" w:hAnsi="Times New Roman"/>
                <w:sz w:val="28"/>
                <w:szCs w:val="28"/>
              </w:rPr>
            </w:pPr>
            <w:r w:rsidRPr="00184343">
              <w:rPr>
                <w:rFonts w:ascii="Times New Roman" w:hAnsi="Times New Roman"/>
                <w:sz w:val="28"/>
                <w:szCs w:val="28"/>
              </w:rPr>
              <w:t>Nav</w:t>
            </w:r>
          </w:p>
        </w:tc>
      </w:tr>
    </w:tbl>
    <w:p w:rsidR="009621E7" w:rsidRPr="00E212F3" w:rsidRDefault="009621E7" w:rsidP="009621E7">
      <w:pPr>
        <w:spacing w:after="0" w:line="240" w:lineRule="auto"/>
        <w:rPr>
          <w:rFonts w:ascii="Times New Roman" w:eastAsia="Times New Roman" w:hAnsi="Times New Roman"/>
          <w:sz w:val="24"/>
          <w:szCs w:val="24"/>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86"/>
        <w:gridCol w:w="2593"/>
        <w:gridCol w:w="5908"/>
      </w:tblGrid>
      <w:tr w:rsidR="009621E7" w:rsidRPr="00184343" w:rsidTr="002A0049">
        <w:trPr>
          <w:trHeight w:val="506"/>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9621E7" w:rsidRPr="00184343" w:rsidRDefault="009621E7" w:rsidP="002A0049">
            <w:pPr>
              <w:spacing w:after="0" w:line="240" w:lineRule="auto"/>
              <w:jc w:val="center"/>
              <w:rPr>
                <w:rFonts w:ascii="Times New Roman" w:eastAsia="Times New Roman" w:hAnsi="Times New Roman"/>
                <w:b/>
                <w:bCs/>
                <w:sz w:val="28"/>
                <w:szCs w:val="28"/>
                <w:lang w:eastAsia="lv-LV"/>
              </w:rPr>
            </w:pPr>
            <w:r w:rsidRPr="00184343">
              <w:rPr>
                <w:rFonts w:ascii="Times New Roman" w:eastAsia="Times New Roman" w:hAnsi="Times New Roman"/>
                <w:b/>
                <w:bCs/>
                <w:sz w:val="28"/>
                <w:szCs w:val="28"/>
                <w:lang w:eastAsia="lv-LV"/>
              </w:rPr>
              <w:t> II. Tiesību akta projekta ietekme uz sabiedrību</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1.</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41"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Sabiedrības mērķgrupa</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pStyle w:val="Bezatstarpm"/>
              <w:ind w:left="142" w:right="148"/>
              <w:jc w:val="both"/>
              <w:rPr>
                <w:rFonts w:ascii="Times New Roman" w:hAnsi="Times New Roman"/>
                <w:sz w:val="28"/>
                <w:szCs w:val="28"/>
              </w:rPr>
            </w:pPr>
            <w:r w:rsidRPr="00184343">
              <w:rPr>
                <w:rFonts w:ascii="Times New Roman" w:eastAsia="Times New Roman" w:hAnsi="Times New Roman"/>
                <w:sz w:val="28"/>
                <w:szCs w:val="28"/>
                <w:lang w:eastAsia="lv-LV"/>
              </w:rPr>
              <w:t xml:space="preserve">Rīkojuma projekts uzskatāms par vispārīgo administratīvo aktu, ko </w:t>
            </w:r>
            <w:r w:rsidRPr="00184343">
              <w:rPr>
                <w:rFonts w:ascii="Times New Roman" w:hAnsi="Times New Roman"/>
                <w:sz w:val="28"/>
                <w:szCs w:val="28"/>
              </w:rPr>
              <w:t>iestāde izdod attiecībā uz individuāli nenoteiktu personu loku. Vispārīgo administratīvo aktu var pārsūdzēt Administratīvā procesa likuma noteiktajā kārtībā.</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2.</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xml:space="preserve"> Citas sabiedrības </w:t>
            </w:r>
            <w:r w:rsidRPr="00184343">
              <w:rPr>
                <w:rFonts w:ascii="Times New Roman" w:eastAsia="Times New Roman" w:hAnsi="Times New Roman"/>
                <w:sz w:val="28"/>
                <w:szCs w:val="28"/>
                <w:lang w:eastAsia="lv-LV"/>
              </w:rPr>
              <w:lastRenderedPageBreak/>
              <w:t>grupas (bez mērķgrupas), kuras tiesiskais regulējums arī ietekmē vai varētu ietekmēt</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 w:val="left" w:pos="5656"/>
              </w:tabs>
              <w:spacing w:after="120"/>
              <w:ind w:firstLine="142"/>
              <w:rPr>
                <w:rFonts w:ascii="Times New Roman" w:eastAsia="Times New Roman" w:hAnsi="Times New Roman"/>
                <w:sz w:val="28"/>
                <w:szCs w:val="28"/>
                <w:lang w:eastAsia="lv-LV"/>
              </w:rPr>
            </w:pPr>
            <w:r w:rsidRPr="00184343">
              <w:rPr>
                <w:rFonts w:ascii="Times New Roman" w:hAnsi="Times New Roman"/>
                <w:sz w:val="28"/>
                <w:szCs w:val="28"/>
              </w:rPr>
              <w:lastRenderedPageBreak/>
              <w:t>Projekts šo jomu neskar.</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lastRenderedPageBreak/>
              <w:t>3.</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Tiesiskā regulējuma 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 w:val="left" w:pos="5656"/>
              </w:tabs>
              <w:spacing w:after="120"/>
              <w:ind w:firstLine="142"/>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4.</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Tiesiskā regulējuma nefinansiālā ietekme</w:t>
            </w:r>
          </w:p>
        </w:tc>
        <w:tc>
          <w:tcPr>
            <w:tcW w:w="3251" w:type="pct"/>
            <w:tcBorders>
              <w:top w:val="outset" w:sz="6" w:space="0" w:color="000000"/>
              <w:left w:val="outset" w:sz="6" w:space="0" w:color="000000"/>
              <w:bottom w:val="outset" w:sz="6" w:space="0" w:color="000000"/>
              <w:right w:val="outset" w:sz="6" w:space="0" w:color="000000"/>
            </w:tcBorders>
            <w:hideMark/>
          </w:tcPr>
          <w:p w:rsidR="00E53CC0" w:rsidRDefault="0039065A" w:rsidP="00E53CC0">
            <w:pPr>
              <w:tabs>
                <w:tab w:val="center" w:pos="141"/>
                <w:tab w:val="left" w:pos="5656"/>
              </w:tabs>
              <w:spacing w:after="0" w:line="240" w:lineRule="auto"/>
              <w:ind w:left="90" w:right="148" w:firstLine="425"/>
              <w:jc w:val="both"/>
              <w:rPr>
                <w:rFonts w:ascii="Times New Roman" w:eastAsia="Times New Roman" w:hAnsi="Times New Roman"/>
                <w:sz w:val="28"/>
                <w:szCs w:val="28"/>
                <w:lang w:eastAsia="lv-LV"/>
              </w:rPr>
            </w:pPr>
            <w:r w:rsidRPr="0039065A">
              <w:rPr>
                <w:rFonts w:ascii="Times New Roman" w:eastAsia="Times New Roman" w:hAnsi="Times New Roman"/>
                <w:sz w:val="28"/>
                <w:szCs w:val="28"/>
                <w:lang w:eastAsia="lv-LV"/>
              </w:rPr>
              <w:t xml:space="preserve">Saglabājot valsts īpašuma objektu valsts īpašumā, tiek sasniegts sabiedrības interesēm atbilstošs mērķis. Latvijas Nacionālais teātris varēs attīstīties un paplašināties, uzbūvējot jaunu Latvijas Nacionālā teātra piebūvi, kā rezultātā tiks nodrošināta kultūras pasākumu pieejamība plašam personu lokam, tai skaitā personām ar kustību traucējumiem. </w:t>
            </w:r>
            <w:r w:rsidR="00E53CC0">
              <w:rPr>
                <w:rFonts w:ascii="Times New Roman" w:eastAsia="Times New Roman" w:hAnsi="Times New Roman"/>
                <w:sz w:val="28"/>
                <w:szCs w:val="28"/>
                <w:lang w:eastAsia="lv-LV"/>
              </w:rPr>
              <w:t>Tāpat</w:t>
            </w:r>
            <w:r w:rsidRPr="0039065A">
              <w:rPr>
                <w:rFonts w:ascii="Times New Roman" w:eastAsia="Times New Roman" w:hAnsi="Times New Roman"/>
                <w:sz w:val="28"/>
                <w:szCs w:val="28"/>
                <w:lang w:eastAsia="lv-LV"/>
              </w:rPr>
              <w:t xml:space="preserve"> valsts īpašuma objekta saglabāšana valsts īpašumā veicinās Latvijas Nacionālajam teātrim deleģēto valsts pārvaldes uzdevumu kultūrpolitikas jomā īstenošanu, kas saistīti ar bērnu un jauniešu personības veidošanās sekmēšanu ar teātra mākslas starpniecību un izglītojošu un sociālu programmu sabiedrības izglītošanai un integrācijas procesu veicināšanai īstenošanu. </w:t>
            </w:r>
          </w:p>
          <w:p w:rsidR="009621E7" w:rsidRPr="00184343" w:rsidRDefault="0039065A" w:rsidP="00E53CC0">
            <w:pPr>
              <w:tabs>
                <w:tab w:val="center" w:pos="141"/>
                <w:tab w:val="left" w:pos="5656"/>
              </w:tabs>
              <w:spacing w:after="0" w:line="240" w:lineRule="auto"/>
              <w:ind w:left="90" w:right="148" w:firstLine="425"/>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Ņ</w:t>
            </w:r>
            <w:r w:rsidRPr="0039065A">
              <w:rPr>
                <w:rFonts w:ascii="Times New Roman" w:eastAsia="Times New Roman" w:hAnsi="Times New Roman"/>
                <w:sz w:val="28"/>
                <w:szCs w:val="28"/>
                <w:lang w:eastAsia="lv-LV"/>
              </w:rPr>
              <w:t>emot vērā to, ka valsts īpašuma objekta nomas līguma termiņš ir spēkā līdz 2021.gada 31.decembrim un nomas līgumu nav plānots izbeigt pirms nomas līguma termiņa beigām, sabiedrībai ar ierobežotu atbildību „Kronvalda parks” zaudējumi netiks nodarīti.</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5.</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Administratīvās procedūras raksturojums</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 w:val="left" w:pos="5656"/>
              </w:tabs>
              <w:spacing w:after="120"/>
              <w:ind w:firstLine="142"/>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6.</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Administratīvo izmaksu monetārs novērtējums</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 w:val="left" w:pos="5656"/>
              </w:tabs>
              <w:spacing w:after="120"/>
              <w:ind w:firstLine="142"/>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c>
          <w:tcPr>
            <w:tcW w:w="322"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56"/>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7.</w:t>
            </w:r>
          </w:p>
        </w:tc>
        <w:tc>
          <w:tcPr>
            <w:tcW w:w="142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Cita informācija</w:t>
            </w:r>
          </w:p>
        </w:tc>
        <w:tc>
          <w:tcPr>
            <w:tcW w:w="3251"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 w:val="left" w:pos="5656"/>
              </w:tabs>
              <w:spacing w:after="120"/>
              <w:ind w:firstLine="142"/>
              <w:rPr>
                <w:rFonts w:ascii="Times New Roman" w:eastAsia="Times New Roman" w:hAnsi="Times New Roman"/>
                <w:sz w:val="28"/>
                <w:szCs w:val="28"/>
                <w:lang w:eastAsia="lv-LV"/>
              </w:rPr>
            </w:pPr>
            <w:r w:rsidRPr="00184343">
              <w:rPr>
                <w:rFonts w:ascii="Times New Roman" w:hAnsi="Times New Roman"/>
                <w:sz w:val="28"/>
                <w:szCs w:val="28"/>
              </w:rPr>
              <w:t>Nav</w:t>
            </w:r>
          </w:p>
        </w:tc>
      </w:tr>
    </w:tbl>
    <w:p w:rsidR="009621E7" w:rsidRPr="00184343" w:rsidRDefault="009621E7" w:rsidP="009621E7">
      <w:pPr>
        <w:spacing w:after="0" w:line="240" w:lineRule="auto"/>
        <w:rPr>
          <w:rFonts w:ascii="Times New Roman" w:eastAsia="Times New Roman" w:hAnsi="Times New Roman"/>
          <w:sz w:val="28"/>
          <w:szCs w:val="28"/>
          <w:lang w:eastAsia="lv-LV"/>
        </w:rPr>
      </w:pPr>
    </w:p>
    <w:p w:rsidR="009621E7" w:rsidRPr="00184343" w:rsidRDefault="009621E7" w:rsidP="009621E7">
      <w:pPr>
        <w:spacing w:after="0" w:line="240" w:lineRule="auto"/>
        <w:rPr>
          <w:rFonts w:ascii="Times New Roman" w:eastAsia="Times New Roman" w:hAnsi="Times New Roman"/>
          <w:i/>
          <w:sz w:val="28"/>
          <w:szCs w:val="28"/>
          <w:lang w:eastAsia="lv-LV"/>
        </w:rPr>
      </w:pPr>
      <w:r w:rsidRPr="00184343">
        <w:rPr>
          <w:rFonts w:ascii="Times New Roman" w:eastAsia="Times New Roman" w:hAnsi="Times New Roman"/>
          <w:i/>
          <w:sz w:val="28"/>
          <w:szCs w:val="28"/>
          <w:lang w:eastAsia="lv-LV"/>
        </w:rPr>
        <w:t xml:space="preserve">Anotācijas III, IV, V un VI sadaļa – </w:t>
      </w:r>
      <w:r w:rsidRPr="00184343">
        <w:rPr>
          <w:rFonts w:ascii="Times New Roman" w:hAnsi="Times New Roman"/>
          <w:i/>
          <w:sz w:val="28"/>
          <w:szCs w:val="28"/>
        </w:rPr>
        <w:t>projekts šīs jomas neskar</w:t>
      </w:r>
      <w:r w:rsidRPr="00184343">
        <w:rPr>
          <w:rFonts w:ascii="Times New Roman" w:eastAsia="Times New Roman" w:hAnsi="Times New Roman"/>
          <w:i/>
          <w:sz w:val="28"/>
          <w:szCs w:val="28"/>
          <w:lang w:eastAsia="lv-LV"/>
        </w:rPr>
        <w:t>.</w:t>
      </w:r>
    </w:p>
    <w:p w:rsidR="009621E7" w:rsidRPr="00184343" w:rsidRDefault="009621E7" w:rsidP="009621E7">
      <w:pPr>
        <w:spacing w:after="0" w:line="240" w:lineRule="auto"/>
        <w:rPr>
          <w:rFonts w:ascii="Times New Roman" w:eastAsia="Times New Roman" w:hAnsi="Times New Roman"/>
          <w:sz w:val="28"/>
          <w:szCs w:val="28"/>
          <w:lang w:eastAsia="lv-LV"/>
        </w:rPr>
      </w:pP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575"/>
        <w:gridCol w:w="3829"/>
        <w:gridCol w:w="4683"/>
      </w:tblGrid>
      <w:tr w:rsidR="009621E7" w:rsidRPr="00184343" w:rsidTr="002A0049">
        <w:tc>
          <w:tcPr>
            <w:tcW w:w="5000" w:type="pct"/>
            <w:gridSpan w:val="3"/>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jc w:val="center"/>
              <w:rPr>
                <w:rFonts w:ascii="Times New Roman" w:eastAsia="Times New Roman" w:hAnsi="Times New Roman"/>
                <w:b/>
                <w:bCs/>
                <w:sz w:val="28"/>
                <w:szCs w:val="28"/>
                <w:lang w:eastAsia="lv-LV"/>
              </w:rPr>
            </w:pPr>
            <w:r w:rsidRPr="00184343">
              <w:rPr>
                <w:rFonts w:ascii="Times New Roman" w:eastAsia="Times New Roman" w:hAnsi="Times New Roman"/>
                <w:b/>
                <w:bCs/>
                <w:sz w:val="28"/>
                <w:szCs w:val="28"/>
                <w:lang w:eastAsia="lv-LV"/>
              </w:rPr>
              <w:t xml:space="preserve">VII. </w:t>
            </w:r>
            <w:r w:rsidRPr="00184343">
              <w:rPr>
                <w:rFonts w:ascii="Times New Roman" w:eastAsia="Times New Roman" w:hAnsi="Times New Roman"/>
                <w:b/>
                <w:sz w:val="28"/>
                <w:szCs w:val="28"/>
                <w:lang w:eastAsia="lv-LV"/>
              </w:rPr>
              <w:t>Tiesību akta projekta izpildes nodrošināšana un tās ietekme uz institūcijām</w:t>
            </w:r>
          </w:p>
        </w:tc>
      </w:tr>
      <w:tr w:rsidR="009621E7" w:rsidRPr="00184343" w:rsidTr="002A0049">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1.</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izpildē iesaistītās institūcijas</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13" w:right="148"/>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 xml:space="preserve">Rīkojuma projekta izpildi nodrošinās </w:t>
            </w:r>
            <w:r w:rsidRPr="00184343">
              <w:rPr>
                <w:rFonts w:ascii="Times New Roman" w:hAnsi="Times New Roman"/>
                <w:sz w:val="28"/>
                <w:szCs w:val="28"/>
              </w:rPr>
              <w:t>valsts akciju sabiedrība</w:t>
            </w:r>
            <w:r w:rsidRPr="00184343">
              <w:rPr>
                <w:rFonts w:ascii="Times New Roman" w:eastAsia="Times New Roman" w:hAnsi="Times New Roman"/>
                <w:sz w:val="28"/>
                <w:szCs w:val="28"/>
                <w:lang w:eastAsia="lv-LV"/>
              </w:rPr>
              <w:t xml:space="preserve"> </w:t>
            </w:r>
            <w:r>
              <w:rPr>
                <w:rFonts w:ascii="Times New Roman" w:eastAsia="Times New Roman" w:hAnsi="Times New Roman"/>
                <w:sz w:val="28"/>
                <w:szCs w:val="28"/>
                <w:lang w:eastAsia="lv-LV"/>
              </w:rPr>
              <w:t>„</w:t>
            </w:r>
            <w:r w:rsidRPr="00184343">
              <w:rPr>
                <w:rFonts w:ascii="Times New Roman" w:eastAsia="Times New Roman" w:hAnsi="Times New Roman"/>
                <w:sz w:val="28"/>
                <w:szCs w:val="28"/>
                <w:lang w:eastAsia="lv-LV"/>
              </w:rPr>
              <w:t xml:space="preserve">Privatizācijas </w:t>
            </w:r>
            <w:r w:rsidRPr="00184343">
              <w:rPr>
                <w:rFonts w:ascii="Times New Roman" w:eastAsia="Times New Roman" w:hAnsi="Times New Roman"/>
                <w:sz w:val="28"/>
                <w:szCs w:val="28"/>
                <w:lang w:eastAsia="lv-LV"/>
              </w:rPr>
              <w:lastRenderedPageBreak/>
              <w:t>aģentūra</w:t>
            </w:r>
            <w:r>
              <w:rPr>
                <w:rFonts w:ascii="Times New Roman" w:eastAsia="Times New Roman" w:hAnsi="Times New Roman"/>
                <w:sz w:val="28"/>
                <w:szCs w:val="28"/>
                <w:lang w:eastAsia="lv-LV"/>
              </w:rPr>
              <w:t>”, Kultūras ministrija un Finanšu ministrija</w:t>
            </w:r>
            <w:r w:rsidRPr="00184343">
              <w:rPr>
                <w:rFonts w:ascii="Times New Roman" w:eastAsia="Times New Roman" w:hAnsi="Times New Roman"/>
                <w:sz w:val="28"/>
                <w:szCs w:val="28"/>
                <w:lang w:eastAsia="lv-LV"/>
              </w:rPr>
              <w:t>.</w:t>
            </w:r>
          </w:p>
        </w:tc>
      </w:tr>
      <w:tr w:rsidR="009621E7" w:rsidRPr="00184343" w:rsidTr="002A0049">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lastRenderedPageBreak/>
              <w:t>2.</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izpildes ietekme uz pārvaldes funkcijām</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13" w:right="148"/>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Esošās funkcijas un uzdevumi netiek paplašināti un netiek sašaurināti.</w:t>
            </w:r>
          </w:p>
        </w:tc>
      </w:tr>
      <w:tr w:rsidR="009621E7" w:rsidRPr="00184343" w:rsidTr="002A0049">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3.</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izpildes ietekme uz pārvaldes institucionālo struktūru. Jaunu institūciju izveide</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13" w:right="148"/>
              <w:jc w:val="both"/>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4.</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izpildes ietekme uz pārvaldes institucionālo struktūru. Esošu institūciju likvidācija</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13" w:right="148"/>
              <w:jc w:val="both"/>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5.</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jc w:val="both"/>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Projekta izpildes ietekme uz pārvaldes institucionālo struktūru. Esošu institūciju reorganizācija</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13" w:right="148"/>
              <w:jc w:val="both"/>
              <w:rPr>
                <w:rFonts w:ascii="Times New Roman" w:eastAsia="Times New Roman" w:hAnsi="Times New Roman"/>
                <w:sz w:val="28"/>
                <w:szCs w:val="28"/>
                <w:lang w:eastAsia="lv-LV"/>
              </w:rPr>
            </w:pPr>
            <w:r w:rsidRPr="00184343">
              <w:rPr>
                <w:rFonts w:ascii="Times New Roman" w:hAnsi="Times New Roman"/>
                <w:sz w:val="28"/>
                <w:szCs w:val="28"/>
              </w:rPr>
              <w:t>Projekts šo jomu neskar.</w:t>
            </w:r>
          </w:p>
        </w:tc>
      </w:tr>
      <w:tr w:rsidR="009621E7" w:rsidRPr="00184343" w:rsidTr="002A0049">
        <w:trPr>
          <w:trHeight w:val="469"/>
        </w:trPr>
        <w:tc>
          <w:tcPr>
            <w:tcW w:w="316"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6.</w:t>
            </w:r>
          </w:p>
        </w:tc>
        <w:tc>
          <w:tcPr>
            <w:tcW w:w="2107" w:type="pct"/>
            <w:tcBorders>
              <w:top w:val="outset" w:sz="6" w:space="0" w:color="000000"/>
              <w:left w:val="outset" w:sz="6" w:space="0" w:color="000000"/>
              <w:bottom w:val="outset" w:sz="6" w:space="0" w:color="000000"/>
              <w:right w:val="outset" w:sz="6" w:space="0" w:color="000000"/>
            </w:tcBorders>
          </w:tcPr>
          <w:p w:rsidR="009621E7" w:rsidRPr="00184343" w:rsidRDefault="009621E7" w:rsidP="002A0049">
            <w:pPr>
              <w:spacing w:after="0" w:line="240" w:lineRule="auto"/>
              <w:ind w:left="150" w:right="170"/>
              <w:rPr>
                <w:rFonts w:ascii="Times New Roman" w:eastAsia="Times New Roman" w:hAnsi="Times New Roman"/>
                <w:sz w:val="28"/>
                <w:szCs w:val="28"/>
                <w:lang w:eastAsia="lv-LV"/>
              </w:rPr>
            </w:pPr>
            <w:r w:rsidRPr="00184343">
              <w:rPr>
                <w:rFonts w:ascii="Times New Roman" w:eastAsia="Times New Roman" w:hAnsi="Times New Roman"/>
                <w:sz w:val="28"/>
                <w:szCs w:val="28"/>
                <w:lang w:eastAsia="lv-LV"/>
              </w:rPr>
              <w:t>Cita informācija</w:t>
            </w:r>
          </w:p>
        </w:tc>
        <w:tc>
          <w:tcPr>
            <w:tcW w:w="2577" w:type="pct"/>
            <w:tcBorders>
              <w:top w:val="outset" w:sz="6" w:space="0" w:color="000000"/>
              <w:left w:val="outset" w:sz="6" w:space="0" w:color="000000"/>
              <w:bottom w:val="outset" w:sz="6" w:space="0" w:color="000000"/>
              <w:right w:val="outset" w:sz="6" w:space="0" w:color="000000"/>
            </w:tcBorders>
            <w:hideMark/>
          </w:tcPr>
          <w:p w:rsidR="009621E7" w:rsidRPr="00184343" w:rsidRDefault="009621E7" w:rsidP="002A0049">
            <w:pPr>
              <w:tabs>
                <w:tab w:val="center" w:pos="141"/>
              </w:tabs>
              <w:spacing w:after="0" w:line="240" w:lineRule="auto"/>
              <w:ind w:left="113" w:right="148"/>
              <w:jc w:val="both"/>
              <w:rPr>
                <w:rFonts w:ascii="Times New Roman" w:hAnsi="Times New Roman"/>
                <w:sz w:val="28"/>
                <w:szCs w:val="28"/>
              </w:rPr>
            </w:pPr>
            <w:r w:rsidRPr="00184343">
              <w:rPr>
                <w:rFonts w:ascii="Times New Roman" w:hAnsi="Times New Roman"/>
                <w:sz w:val="28"/>
                <w:szCs w:val="28"/>
              </w:rPr>
              <w:t>Nav</w:t>
            </w:r>
          </w:p>
        </w:tc>
      </w:tr>
    </w:tbl>
    <w:p w:rsidR="009621E7" w:rsidRPr="00E212F3" w:rsidRDefault="009621E7" w:rsidP="009621E7">
      <w:pPr>
        <w:spacing w:after="0" w:line="20" w:lineRule="atLeast"/>
        <w:ind w:right="49" w:firstLine="709"/>
        <w:jc w:val="both"/>
        <w:rPr>
          <w:rFonts w:ascii="Times New Roman" w:hAnsi="Times New Roman"/>
          <w:sz w:val="24"/>
          <w:szCs w:val="24"/>
        </w:rPr>
      </w:pPr>
    </w:p>
    <w:p w:rsidR="009621E7" w:rsidRPr="00CC1C93" w:rsidRDefault="009621E7" w:rsidP="009621E7">
      <w:pPr>
        <w:spacing w:after="0" w:line="240" w:lineRule="auto"/>
        <w:rPr>
          <w:rFonts w:ascii="Times New Roman" w:hAnsi="Times New Roman"/>
          <w:sz w:val="28"/>
          <w:szCs w:val="28"/>
        </w:rPr>
      </w:pPr>
    </w:p>
    <w:p w:rsidR="009621E7" w:rsidRPr="0051476C" w:rsidRDefault="009621E7" w:rsidP="009621E7">
      <w:pPr>
        <w:spacing w:after="0" w:line="240" w:lineRule="auto"/>
        <w:rPr>
          <w:rFonts w:ascii="Times New Roman" w:hAnsi="Times New Roman"/>
          <w:sz w:val="28"/>
          <w:szCs w:val="28"/>
        </w:rPr>
      </w:pPr>
      <w:r w:rsidRPr="00CC1C93">
        <w:rPr>
          <w:rFonts w:ascii="Times New Roman" w:hAnsi="Times New Roman"/>
          <w:sz w:val="28"/>
          <w:szCs w:val="28"/>
        </w:rPr>
        <w:t xml:space="preserve">Kultūras </w:t>
      </w:r>
      <w:r w:rsidRPr="0051476C">
        <w:rPr>
          <w:rFonts w:ascii="Times New Roman" w:hAnsi="Times New Roman"/>
          <w:sz w:val="28"/>
          <w:szCs w:val="28"/>
        </w:rPr>
        <w:t>ministre                                                                 Ž.Jaunzeme – Grende</w:t>
      </w:r>
    </w:p>
    <w:p w:rsidR="009621E7" w:rsidRPr="0051476C" w:rsidRDefault="009621E7" w:rsidP="009621E7">
      <w:pPr>
        <w:spacing w:after="0" w:line="240" w:lineRule="auto"/>
        <w:rPr>
          <w:rFonts w:ascii="Times New Roman" w:hAnsi="Times New Roman"/>
          <w:sz w:val="28"/>
          <w:szCs w:val="28"/>
        </w:rPr>
      </w:pPr>
    </w:p>
    <w:p w:rsidR="009621E7" w:rsidRPr="0051476C" w:rsidRDefault="00444637" w:rsidP="009621E7">
      <w:pPr>
        <w:spacing w:after="0" w:line="240" w:lineRule="auto"/>
        <w:rPr>
          <w:rFonts w:ascii="Times New Roman" w:hAnsi="Times New Roman"/>
          <w:sz w:val="28"/>
          <w:szCs w:val="28"/>
        </w:rPr>
      </w:pPr>
      <w:r w:rsidRPr="0051476C">
        <w:rPr>
          <w:rFonts w:ascii="Times New Roman" w:hAnsi="Times New Roman"/>
          <w:sz w:val="28"/>
          <w:szCs w:val="28"/>
        </w:rPr>
        <w:t>Vīza: Valsts sekretāra p.i.</w:t>
      </w:r>
      <w:r w:rsidR="009621E7" w:rsidRPr="0051476C">
        <w:rPr>
          <w:rFonts w:ascii="Times New Roman" w:hAnsi="Times New Roman"/>
          <w:sz w:val="28"/>
          <w:szCs w:val="28"/>
        </w:rPr>
        <w:tab/>
      </w:r>
      <w:r w:rsidR="009621E7" w:rsidRPr="0051476C">
        <w:rPr>
          <w:rFonts w:ascii="Times New Roman" w:hAnsi="Times New Roman"/>
          <w:sz w:val="28"/>
          <w:szCs w:val="28"/>
        </w:rPr>
        <w:tab/>
      </w:r>
      <w:r w:rsidR="009621E7" w:rsidRPr="0051476C">
        <w:rPr>
          <w:rFonts w:ascii="Times New Roman" w:hAnsi="Times New Roman"/>
          <w:sz w:val="28"/>
          <w:szCs w:val="28"/>
        </w:rPr>
        <w:tab/>
      </w:r>
      <w:r w:rsidR="009621E7" w:rsidRPr="0051476C">
        <w:rPr>
          <w:rFonts w:ascii="Times New Roman" w:hAnsi="Times New Roman"/>
          <w:sz w:val="28"/>
          <w:szCs w:val="28"/>
        </w:rPr>
        <w:tab/>
      </w:r>
      <w:r w:rsidR="009621E7" w:rsidRPr="0051476C">
        <w:rPr>
          <w:rFonts w:ascii="Times New Roman" w:hAnsi="Times New Roman"/>
          <w:sz w:val="28"/>
          <w:szCs w:val="28"/>
        </w:rPr>
        <w:tab/>
      </w:r>
      <w:r w:rsidRPr="0051476C">
        <w:rPr>
          <w:rFonts w:ascii="Times New Roman" w:hAnsi="Times New Roman"/>
          <w:sz w:val="28"/>
          <w:szCs w:val="28"/>
        </w:rPr>
        <w:t xml:space="preserve"> E.Turka</w:t>
      </w:r>
    </w:p>
    <w:p w:rsidR="009621E7" w:rsidRDefault="009621E7" w:rsidP="009621E7">
      <w:pPr>
        <w:spacing w:after="0" w:line="240" w:lineRule="auto"/>
        <w:rPr>
          <w:rFonts w:ascii="Times New Roman" w:hAnsi="Times New Roman"/>
          <w:sz w:val="28"/>
          <w:szCs w:val="28"/>
        </w:rPr>
      </w:pPr>
    </w:p>
    <w:p w:rsidR="009621E7" w:rsidRDefault="009621E7" w:rsidP="009621E7">
      <w:pPr>
        <w:spacing w:after="0" w:line="240" w:lineRule="auto"/>
        <w:rPr>
          <w:rFonts w:ascii="Times New Roman" w:hAnsi="Times New Roman"/>
          <w:sz w:val="28"/>
          <w:szCs w:val="28"/>
        </w:rPr>
      </w:pPr>
    </w:p>
    <w:p w:rsidR="00844DF8" w:rsidRDefault="00844DF8" w:rsidP="009621E7">
      <w:pPr>
        <w:spacing w:after="0" w:line="240" w:lineRule="auto"/>
        <w:rPr>
          <w:rFonts w:ascii="Times New Roman" w:hAnsi="Times New Roman"/>
          <w:sz w:val="28"/>
          <w:szCs w:val="28"/>
        </w:rPr>
      </w:pPr>
    </w:p>
    <w:p w:rsidR="00844DF8" w:rsidRDefault="00844DF8" w:rsidP="009621E7">
      <w:pPr>
        <w:spacing w:after="0" w:line="240" w:lineRule="auto"/>
        <w:rPr>
          <w:rFonts w:ascii="Times New Roman" w:hAnsi="Times New Roman"/>
          <w:sz w:val="28"/>
          <w:szCs w:val="28"/>
        </w:rPr>
      </w:pPr>
    </w:p>
    <w:p w:rsidR="00844DF8" w:rsidRDefault="00844DF8" w:rsidP="009621E7">
      <w:pPr>
        <w:spacing w:after="0" w:line="240" w:lineRule="auto"/>
        <w:rPr>
          <w:rFonts w:ascii="Times New Roman" w:hAnsi="Times New Roman"/>
          <w:sz w:val="28"/>
          <w:szCs w:val="28"/>
        </w:rPr>
      </w:pPr>
    </w:p>
    <w:p w:rsidR="00844DF8" w:rsidRDefault="00844DF8" w:rsidP="009621E7">
      <w:pPr>
        <w:spacing w:after="0" w:line="240" w:lineRule="auto"/>
        <w:rPr>
          <w:rFonts w:ascii="Times New Roman" w:hAnsi="Times New Roman"/>
          <w:sz w:val="28"/>
          <w:szCs w:val="28"/>
        </w:rPr>
      </w:pPr>
    </w:p>
    <w:p w:rsidR="00844DF8" w:rsidRPr="00CC1C93" w:rsidRDefault="00844DF8" w:rsidP="009621E7">
      <w:pPr>
        <w:spacing w:after="0" w:line="240" w:lineRule="auto"/>
        <w:rPr>
          <w:rFonts w:ascii="Times New Roman" w:hAnsi="Times New Roman"/>
          <w:sz w:val="28"/>
          <w:szCs w:val="28"/>
        </w:rPr>
      </w:pPr>
    </w:p>
    <w:p w:rsidR="009621E7" w:rsidRPr="00CC1C93" w:rsidRDefault="009621E7" w:rsidP="009621E7">
      <w:pPr>
        <w:spacing w:after="0" w:line="240" w:lineRule="auto"/>
        <w:rPr>
          <w:rFonts w:ascii="Times New Roman" w:hAnsi="Times New Roman"/>
        </w:rPr>
      </w:pPr>
      <w:r w:rsidRPr="00CC1C93">
        <w:rPr>
          <w:rFonts w:ascii="Times New Roman" w:hAnsi="Times New Roman"/>
        </w:rPr>
        <w:t>2013.0</w:t>
      </w:r>
      <w:r w:rsidR="002E1F1B">
        <w:rPr>
          <w:rFonts w:ascii="Times New Roman" w:hAnsi="Times New Roman"/>
        </w:rPr>
        <w:t>4.16. 09</w:t>
      </w:r>
      <w:r w:rsidR="00844DF8">
        <w:rPr>
          <w:rFonts w:ascii="Times New Roman" w:hAnsi="Times New Roman"/>
        </w:rPr>
        <w:t>:0</w:t>
      </w:r>
      <w:r>
        <w:rPr>
          <w:rFonts w:ascii="Times New Roman" w:hAnsi="Times New Roman"/>
        </w:rPr>
        <w:t>2</w:t>
      </w:r>
    </w:p>
    <w:p w:rsidR="009621E7" w:rsidRPr="00CC1C93" w:rsidRDefault="00BD302E" w:rsidP="009621E7">
      <w:pPr>
        <w:spacing w:after="0" w:line="240" w:lineRule="auto"/>
        <w:rPr>
          <w:rFonts w:ascii="Times New Roman" w:hAnsi="Times New Roman"/>
        </w:rPr>
      </w:pPr>
      <w:r>
        <w:rPr>
          <w:rFonts w:ascii="Times New Roman" w:hAnsi="Times New Roman"/>
        </w:rPr>
        <w:t>1</w:t>
      </w:r>
      <w:r w:rsidR="00444637">
        <w:rPr>
          <w:rFonts w:ascii="Times New Roman" w:hAnsi="Times New Roman"/>
        </w:rPr>
        <w:t>611</w:t>
      </w:r>
    </w:p>
    <w:p w:rsidR="009621E7" w:rsidRPr="00CC1C93" w:rsidRDefault="009621E7" w:rsidP="009621E7">
      <w:pPr>
        <w:spacing w:after="0" w:line="240" w:lineRule="auto"/>
        <w:rPr>
          <w:rFonts w:ascii="Times New Roman" w:hAnsi="Times New Roman"/>
          <w:bCs/>
        </w:rPr>
      </w:pPr>
      <w:bookmarkStart w:id="3" w:name="OLE_LINK3"/>
      <w:bookmarkStart w:id="4" w:name="OLE_LINK4"/>
      <w:r w:rsidRPr="00CC1C93">
        <w:rPr>
          <w:rFonts w:ascii="Times New Roman" w:hAnsi="Times New Roman"/>
          <w:bCs/>
        </w:rPr>
        <w:t>J.Šumeiko</w:t>
      </w:r>
    </w:p>
    <w:p w:rsidR="009621E7" w:rsidRPr="00CC1C93" w:rsidRDefault="009621E7" w:rsidP="009621E7">
      <w:pPr>
        <w:spacing w:after="0" w:line="240" w:lineRule="auto"/>
        <w:rPr>
          <w:rFonts w:ascii="Times New Roman" w:hAnsi="Times New Roman"/>
          <w:bCs/>
        </w:rPr>
      </w:pPr>
      <w:bookmarkStart w:id="5" w:name="OLE_LINK5"/>
      <w:bookmarkStart w:id="6" w:name="OLE_LINK6"/>
      <w:bookmarkEnd w:id="3"/>
      <w:bookmarkEnd w:id="4"/>
      <w:r w:rsidRPr="00CC1C93">
        <w:rPr>
          <w:rFonts w:ascii="Times New Roman" w:hAnsi="Times New Roman"/>
          <w:bCs/>
        </w:rPr>
        <w:t xml:space="preserve">Tālr.67330269, </w:t>
      </w:r>
      <w:bookmarkEnd w:id="5"/>
      <w:bookmarkEnd w:id="6"/>
      <w:r w:rsidRPr="00CC1C93">
        <w:rPr>
          <w:rFonts w:ascii="Times New Roman" w:hAnsi="Times New Roman"/>
          <w:bCs/>
        </w:rPr>
        <w:t>fakss: 67330293</w:t>
      </w:r>
    </w:p>
    <w:p w:rsidR="009621E7" w:rsidRPr="00CC1C93" w:rsidRDefault="00415776" w:rsidP="009621E7">
      <w:pPr>
        <w:spacing w:after="0" w:line="240" w:lineRule="auto"/>
        <w:rPr>
          <w:rFonts w:ascii="Times New Roman" w:hAnsi="Times New Roman"/>
        </w:rPr>
      </w:pPr>
      <w:hyperlink r:id="rId7" w:history="1">
        <w:r w:rsidR="009621E7" w:rsidRPr="00CC1C93">
          <w:rPr>
            <w:rStyle w:val="Hipersaite"/>
            <w:rFonts w:ascii="Times New Roman" w:hAnsi="Times New Roman"/>
          </w:rPr>
          <w:t>Juris.Sumeiko@km.gov.lv</w:t>
        </w:r>
      </w:hyperlink>
      <w:r w:rsidR="009621E7" w:rsidRPr="00CC1C93">
        <w:rPr>
          <w:rFonts w:ascii="Times New Roman" w:hAnsi="Times New Roman"/>
        </w:rPr>
        <w:t xml:space="preserve"> </w:t>
      </w:r>
    </w:p>
    <w:p w:rsidR="003E3BA2" w:rsidRPr="009621E7" w:rsidRDefault="003E3BA2" w:rsidP="009621E7">
      <w:pPr>
        <w:rPr>
          <w:szCs w:val="20"/>
        </w:rPr>
      </w:pPr>
    </w:p>
    <w:sectPr w:rsidR="003E3BA2" w:rsidRPr="009621E7" w:rsidSect="00E212F3">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65A" w:rsidRDefault="0039065A" w:rsidP="005F59B9">
      <w:pPr>
        <w:spacing w:after="0" w:line="240" w:lineRule="auto"/>
      </w:pPr>
      <w:r>
        <w:separator/>
      </w:r>
    </w:p>
  </w:endnote>
  <w:endnote w:type="continuationSeparator" w:id="0">
    <w:p w:rsidR="0039065A" w:rsidRDefault="0039065A" w:rsidP="005F5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5A" w:rsidRPr="00844DF8" w:rsidRDefault="0039065A" w:rsidP="00844DF8">
    <w:pPr>
      <w:pStyle w:val="Bezatstarpm"/>
      <w:jc w:val="both"/>
      <w:rPr>
        <w:rFonts w:ascii="Times New Roman" w:hAnsi="Times New Roman"/>
      </w:rPr>
    </w:pPr>
    <w:r>
      <w:rPr>
        <w:rFonts w:ascii="Times New Roman" w:hAnsi="Times New Roman"/>
      </w:rPr>
      <w:t>KMAnot_1</w:t>
    </w:r>
    <w:r w:rsidR="002E1F1B">
      <w:rPr>
        <w:rFonts w:ascii="Times New Roman" w:hAnsi="Times New Roman"/>
      </w:rPr>
      <w:t>6</w:t>
    </w:r>
    <w:r>
      <w:rPr>
        <w:rFonts w:ascii="Times New Roman" w:hAnsi="Times New Roman"/>
      </w:rPr>
      <w:t>04</w:t>
    </w:r>
    <w:r w:rsidRPr="00844DF8">
      <w:rPr>
        <w:rFonts w:ascii="Times New Roman" w:hAnsi="Times New Roman"/>
      </w:rPr>
      <w:t xml:space="preserve">13_Kronvalda; Ministru kabineta </w:t>
    </w:r>
    <w:smartTag w:uri="schemas-tilde-lv/tildestengine" w:element="veidnes">
      <w:smartTagPr>
        <w:attr w:name="baseform" w:val="rīkojum|s"/>
        <w:attr w:name="id" w:val="-1"/>
        <w:attr w:name="text" w:val="rīkojuma"/>
      </w:smartTagPr>
      <w:r w:rsidRPr="00844DF8">
        <w:rPr>
          <w:rFonts w:ascii="Times New Roman" w:hAnsi="Times New Roman"/>
        </w:rPr>
        <w:t>rīkojuma</w:t>
      </w:r>
    </w:smartTag>
    <w:r w:rsidRPr="00844DF8">
      <w:rPr>
        <w:rFonts w:ascii="Times New Roman" w:hAnsi="Times New Roman"/>
      </w:rPr>
      <w:t xml:space="preserve"> projekta „Par nekustamo īpašumu Kronvalda bulvārī 2B, Rīgā” sākotnējās ietekmes novērtējuma </w:t>
    </w:r>
    <w:smartTag w:uri="schemas-tilde-lv/tildestengine" w:element="veidnes">
      <w:smartTagPr>
        <w:attr w:name="baseform" w:val="ziņojum|s"/>
        <w:attr w:name="id" w:val="-1"/>
        <w:attr w:name="text" w:val="ziņojums"/>
      </w:smartTagPr>
      <w:r w:rsidRPr="00844DF8">
        <w:rPr>
          <w:rFonts w:ascii="Times New Roman" w:hAnsi="Times New Roman"/>
        </w:rPr>
        <w:t>ziņojums (anotācija)</w:t>
      </w:r>
    </w:smartTag>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5A" w:rsidRPr="00844DF8" w:rsidRDefault="002E1F1B" w:rsidP="004A7CB5">
    <w:pPr>
      <w:pStyle w:val="Bezatstarpm"/>
      <w:jc w:val="both"/>
      <w:rPr>
        <w:rFonts w:ascii="Times New Roman" w:hAnsi="Times New Roman"/>
      </w:rPr>
    </w:pPr>
    <w:r>
      <w:rPr>
        <w:rFonts w:ascii="Times New Roman" w:hAnsi="Times New Roman"/>
      </w:rPr>
      <w:t>KMAnot_16</w:t>
    </w:r>
    <w:r w:rsidR="0039065A">
      <w:rPr>
        <w:rFonts w:ascii="Times New Roman" w:hAnsi="Times New Roman"/>
      </w:rPr>
      <w:t>04</w:t>
    </w:r>
    <w:r w:rsidR="0039065A" w:rsidRPr="00844DF8">
      <w:rPr>
        <w:rFonts w:ascii="Times New Roman" w:hAnsi="Times New Roman"/>
      </w:rPr>
      <w:t xml:space="preserve">13_Kronvalda; Ministru kabineta </w:t>
    </w:r>
    <w:smartTag w:uri="schemas-tilde-lv/tildestengine" w:element="veidnes">
      <w:smartTagPr>
        <w:attr w:name="baseform" w:val="rīkojum|s"/>
        <w:attr w:name="id" w:val="-1"/>
        <w:attr w:name="text" w:val="rīkojuma"/>
      </w:smartTagPr>
      <w:r w:rsidR="0039065A" w:rsidRPr="00844DF8">
        <w:rPr>
          <w:rFonts w:ascii="Times New Roman" w:hAnsi="Times New Roman"/>
        </w:rPr>
        <w:t>rīkojuma</w:t>
      </w:r>
    </w:smartTag>
    <w:r w:rsidR="0039065A" w:rsidRPr="00844DF8">
      <w:rPr>
        <w:rFonts w:ascii="Times New Roman" w:hAnsi="Times New Roman"/>
      </w:rPr>
      <w:t xml:space="preserve"> projekta „Par nekustamo īpašumu Kronvalda bulvārī 2B, Rīgā” sākotnējās ietekmes novērtējuma </w:t>
    </w:r>
    <w:smartTag w:uri="schemas-tilde-lv/tildestengine" w:element="veidnes">
      <w:smartTagPr>
        <w:attr w:name="baseform" w:val="ziņojum|s"/>
        <w:attr w:name="id" w:val="-1"/>
        <w:attr w:name="text" w:val="ziņojums"/>
      </w:smartTagPr>
      <w:r w:rsidR="0039065A" w:rsidRPr="00844DF8">
        <w:rPr>
          <w:rFonts w:ascii="Times New Roman" w:hAnsi="Times New Roman"/>
        </w:rPr>
        <w:t>ziņojums (anotācija)</w:t>
      </w:r>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65A" w:rsidRDefault="0039065A" w:rsidP="005F59B9">
      <w:pPr>
        <w:spacing w:after="0" w:line="240" w:lineRule="auto"/>
      </w:pPr>
      <w:r>
        <w:separator/>
      </w:r>
    </w:p>
  </w:footnote>
  <w:footnote w:type="continuationSeparator" w:id="0">
    <w:p w:rsidR="0039065A" w:rsidRDefault="0039065A" w:rsidP="005F59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65A" w:rsidRPr="00844DF8" w:rsidRDefault="00415776">
    <w:pPr>
      <w:pStyle w:val="Galvene"/>
      <w:jc w:val="center"/>
      <w:rPr>
        <w:rFonts w:ascii="Times New Roman" w:hAnsi="Times New Roman"/>
      </w:rPr>
    </w:pPr>
    <w:r w:rsidRPr="00844DF8">
      <w:rPr>
        <w:rFonts w:ascii="Times New Roman" w:hAnsi="Times New Roman"/>
      </w:rPr>
      <w:fldChar w:fldCharType="begin"/>
    </w:r>
    <w:r w:rsidR="0039065A" w:rsidRPr="00844DF8">
      <w:rPr>
        <w:rFonts w:ascii="Times New Roman" w:hAnsi="Times New Roman"/>
      </w:rPr>
      <w:instrText xml:space="preserve"> PAGE   \* MERGEFORMAT </w:instrText>
    </w:r>
    <w:r w:rsidRPr="00844DF8">
      <w:rPr>
        <w:rFonts w:ascii="Times New Roman" w:hAnsi="Times New Roman"/>
      </w:rPr>
      <w:fldChar w:fldCharType="separate"/>
    </w:r>
    <w:r w:rsidR="00B47991">
      <w:rPr>
        <w:rFonts w:ascii="Times New Roman" w:hAnsi="Times New Roman"/>
        <w:noProof/>
      </w:rPr>
      <w:t>8</w:t>
    </w:r>
    <w:r w:rsidRPr="00844DF8">
      <w:rPr>
        <w:rFonts w:ascii="Times New Roman" w:hAnsi="Times New Roman"/>
      </w:rPr>
      <w:fldChar w:fldCharType="end"/>
    </w:r>
  </w:p>
  <w:p w:rsidR="0039065A" w:rsidRDefault="0039065A">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7"/>
  </w:hdrShapeDefaults>
  <w:footnotePr>
    <w:footnote w:id="-1"/>
    <w:footnote w:id="0"/>
  </w:footnotePr>
  <w:endnotePr>
    <w:endnote w:id="-1"/>
    <w:endnote w:id="0"/>
  </w:endnotePr>
  <w:compat/>
  <w:rsids>
    <w:rsidRoot w:val="003C0736"/>
    <w:rsid w:val="00050B36"/>
    <w:rsid w:val="00051916"/>
    <w:rsid w:val="00075183"/>
    <w:rsid w:val="0008026D"/>
    <w:rsid w:val="00133DB7"/>
    <w:rsid w:val="001658E7"/>
    <w:rsid w:val="0026795C"/>
    <w:rsid w:val="002A0049"/>
    <w:rsid w:val="002A5E49"/>
    <w:rsid w:val="002D5BFF"/>
    <w:rsid w:val="002E1F1B"/>
    <w:rsid w:val="00310488"/>
    <w:rsid w:val="003443CE"/>
    <w:rsid w:val="00383FAE"/>
    <w:rsid w:val="0039065A"/>
    <w:rsid w:val="003C0736"/>
    <w:rsid w:val="003E3BA2"/>
    <w:rsid w:val="00415776"/>
    <w:rsid w:val="004423EE"/>
    <w:rsid w:val="00444637"/>
    <w:rsid w:val="004511CB"/>
    <w:rsid w:val="004652A6"/>
    <w:rsid w:val="004A7CB5"/>
    <w:rsid w:val="0051476C"/>
    <w:rsid w:val="00532B63"/>
    <w:rsid w:val="00535E39"/>
    <w:rsid w:val="005E6ECD"/>
    <w:rsid w:val="005F5206"/>
    <w:rsid w:val="005F59B9"/>
    <w:rsid w:val="00637234"/>
    <w:rsid w:val="006B6546"/>
    <w:rsid w:val="00785BB2"/>
    <w:rsid w:val="007A6302"/>
    <w:rsid w:val="00844DF8"/>
    <w:rsid w:val="00871F98"/>
    <w:rsid w:val="00956112"/>
    <w:rsid w:val="009621E7"/>
    <w:rsid w:val="009B7E06"/>
    <w:rsid w:val="009C75C0"/>
    <w:rsid w:val="009D1EB8"/>
    <w:rsid w:val="00AC6D80"/>
    <w:rsid w:val="00B47991"/>
    <w:rsid w:val="00BB0FDC"/>
    <w:rsid w:val="00BB4E4F"/>
    <w:rsid w:val="00BD302E"/>
    <w:rsid w:val="00C058FB"/>
    <w:rsid w:val="00C1429A"/>
    <w:rsid w:val="00C7484E"/>
    <w:rsid w:val="00D864EB"/>
    <w:rsid w:val="00DC6206"/>
    <w:rsid w:val="00E02483"/>
    <w:rsid w:val="00E03DD7"/>
    <w:rsid w:val="00E212F3"/>
    <w:rsid w:val="00E53CC0"/>
    <w:rsid w:val="00F52658"/>
    <w:rsid w:val="00FB0644"/>
    <w:rsid w:val="00FC1D8E"/>
    <w:rsid w:val="00FE0130"/>
  </w:rsids>
  <m:mathPr>
    <m:mathFont m:val="Cambria Math"/>
    <m:brkBin m:val="before"/>
    <m:brkBinSub m:val="--"/>
    <m:smallFrac m:val="off"/>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C073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nhideWhenUsed/>
    <w:rsid w:val="003C0736"/>
    <w:pPr>
      <w:tabs>
        <w:tab w:val="center" w:pos="4153"/>
        <w:tab w:val="right" w:pos="8306"/>
      </w:tabs>
      <w:spacing w:after="0" w:line="240" w:lineRule="auto"/>
    </w:pPr>
  </w:style>
  <w:style w:type="character" w:customStyle="1" w:styleId="GalveneRakstz">
    <w:name w:val="Galvene Rakstz."/>
    <w:basedOn w:val="Noklusjumarindkopasfonts"/>
    <w:link w:val="Galvene"/>
    <w:rsid w:val="003C0736"/>
    <w:rPr>
      <w:rFonts w:ascii="Calibri" w:eastAsia="Calibri" w:hAnsi="Calibri" w:cs="Times New Roman"/>
    </w:rPr>
  </w:style>
  <w:style w:type="paragraph" w:styleId="Kjene">
    <w:name w:val="footer"/>
    <w:basedOn w:val="Parastais"/>
    <w:link w:val="KjeneRakstz"/>
    <w:unhideWhenUsed/>
    <w:rsid w:val="003C0736"/>
    <w:pPr>
      <w:tabs>
        <w:tab w:val="center" w:pos="4153"/>
        <w:tab w:val="right" w:pos="8306"/>
      </w:tabs>
      <w:spacing w:after="0" w:line="240" w:lineRule="auto"/>
    </w:pPr>
  </w:style>
  <w:style w:type="character" w:customStyle="1" w:styleId="KjeneRakstz">
    <w:name w:val="Kājene Rakstz."/>
    <w:basedOn w:val="Noklusjumarindkopasfonts"/>
    <w:link w:val="Kjene"/>
    <w:rsid w:val="003C0736"/>
    <w:rPr>
      <w:rFonts w:ascii="Calibri" w:eastAsia="Calibri" w:hAnsi="Calibri" w:cs="Times New Roman"/>
    </w:rPr>
  </w:style>
  <w:style w:type="character" w:styleId="Hipersaite">
    <w:name w:val="Hyperlink"/>
    <w:basedOn w:val="Noklusjumarindkopasfonts"/>
    <w:rsid w:val="003C0736"/>
    <w:rPr>
      <w:color w:val="0000FF"/>
      <w:u w:val="single"/>
    </w:rPr>
  </w:style>
  <w:style w:type="paragraph" w:customStyle="1" w:styleId="naisc">
    <w:name w:val="naisc"/>
    <w:basedOn w:val="Parastais"/>
    <w:link w:val="naiscChar"/>
    <w:rsid w:val="003C073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cChar">
    <w:name w:val="naisc Char"/>
    <w:basedOn w:val="Noklusjumarindkopasfonts"/>
    <w:link w:val="naisc"/>
    <w:rsid w:val="003C0736"/>
    <w:rPr>
      <w:rFonts w:ascii="Times New Roman" w:eastAsia="Times New Roman" w:hAnsi="Times New Roman" w:cs="Times New Roman"/>
      <w:sz w:val="24"/>
      <w:szCs w:val="24"/>
      <w:lang w:eastAsia="lv-LV"/>
    </w:rPr>
  </w:style>
  <w:style w:type="paragraph" w:customStyle="1" w:styleId="naisf">
    <w:name w:val="naisf"/>
    <w:basedOn w:val="Parastais"/>
    <w:uiPriority w:val="99"/>
    <w:rsid w:val="003C0736"/>
    <w:pPr>
      <w:spacing w:before="75" w:after="75" w:line="240" w:lineRule="auto"/>
      <w:ind w:firstLine="375"/>
      <w:jc w:val="both"/>
    </w:pPr>
    <w:rPr>
      <w:rFonts w:ascii="Times New Roman" w:eastAsia="Times New Roman" w:hAnsi="Times New Roman"/>
      <w:sz w:val="24"/>
      <w:szCs w:val="24"/>
      <w:lang w:eastAsia="lv-LV"/>
    </w:rPr>
  </w:style>
  <w:style w:type="paragraph" w:styleId="Bezatstarpm">
    <w:name w:val="No Spacing"/>
    <w:uiPriority w:val="1"/>
    <w:qFormat/>
    <w:rsid w:val="003C0736"/>
    <w:pPr>
      <w:spacing w:after="0" w:line="240" w:lineRule="auto"/>
    </w:pPr>
    <w:rPr>
      <w:rFonts w:ascii="Calibri" w:eastAsia="Calibri" w:hAnsi="Calibri" w:cs="Times New Roman"/>
    </w:rPr>
  </w:style>
  <w:style w:type="paragraph" w:styleId="Pamatteksts">
    <w:name w:val="Body Text"/>
    <w:basedOn w:val="Parastais"/>
    <w:link w:val="PamattekstsRakstz"/>
    <w:uiPriority w:val="99"/>
    <w:semiHidden/>
    <w:unhideWhenUsed/>
    <w:rsid w:val="003C0736"/>
    <w:pPr>
      <w:spacing w:after="120"/>
    </w:pPr>
  </w:style>
  <w:style w:type="character" w:customStyle="1" w:styleId="PamattekstsRakstz">
    <w:name w:val="Pamatteksts Rakstz."/>
    <w:basedOn w:val="Noklusjumarindkopasfonts"/>
    <w:link w:val="Pamatteksts"/>
    <w:uiPriority w:val="99"/>
    <w:semiHidden/>
    <w:rsid w:val="003C0736"/>
    <w:rPr>
      <w:rFonts w:ascii="Calibri" w:eastAsia="Calibri" w:hAnsi="Calibri" w:cs="Times New Roman"/>
    </w:rPr>
  </w:style>
  <w:style w:type="paragraph" w:styleId="Pamattekstaatkpe2">
    <w:name w:val="Body Text Indent 2"/>
    <w:basedOn w:val="Parastais"/>
    <w:link w:val="Pamattekstaatkpe2Rakstz"/>
    <w:uiPriority w:val="99"/>
    <w:rsid w:val="00C1429A"/>
    <w:pPr>
      <w:spacing w:after="120" w:line="480" w:lineRule="auto"/>
      <w:ind w:left="283"/>
    </w:pPr>
    <w:rPr>
      <w:rFonts w:ascii="Times New Roman" w:eastAsia="Times New Roman" w:hAnsi="Times New Roman"/>
      <w:sz w:val="24"/>
      <w:szCs w:val="24"/>
      <w:lang w:eastAsia="lv-LV"/>
    </w:rPr>
  </w:style>
  <w:style w:type="character" w:customStyle="1" w:styleId="Pamattekstaatkpe2Rakstz">
    <w:name w:val="Pamatteksta atkāpe 2 Rakstz."/>
    <w:basedOn w:val="Noklusjumarindkopasfonts"/>
    <w:link w:val="Pamattekstaatkpe2"/>
    <w:uiPriority w:val="99"/>
    <w:rsid w:val="00C1429A"/>
    <w:rPr>
      <w:rFonts w:ascii="Times New Roman" w:eastAsia="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E212F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212F3"/>
    <w:rPr>
      <w:rFonts w:ascii="Tahoma" w:eastAsia="Calibri" w:hAnsi="Tahoma" w:cs="Tahoma"/>
      <w:sz w:val="16"/>
      <w:szCs w:val="16"/>
    </w:rPr>
  </w:style>
  <w:style w:type="character" w:styleId="Komentraatsauce">
    <w:name w:val="annotation reference"/>
    <w:basedOn w:val="Noklusjumarindkopasfonts"/>
    <w:uiPriority w:val="99"/>
    <w:semiHidden/>
    <w:unhideWhenUsed/>
    <w:rsid w:val="009621E7"/>
    <w:rPr>
      <w:sz w:val="16"/>
      <w:szCs w:val="16"/>
    </w:rPr>
  </w:style>
  <w:style w:type="paragraph" w:styleId="Komentrateksts">
    <w:name w:val="annotation text"/>
    <w:basedOn w:val="Parastais"/>
    <w:link w:val="KomentratekstsRakstz"/>
    <w:uiPriority w:val="99"/>
    <w:semiHidden/>
    <w:unhideWhenUsed/>
    <w:rsid w:val="009621E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21E7"/>
    <w:rPr>
      <w:rFonts w:ascii="Calibri" w:eastAsia="Calibri"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uris.Sumeiko@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CDD569-4768-48FD-947C-6CFBC3A3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8</Pages>
  <Words>8701</Words>
  <Characters>4960</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Ministru kabineta rīkojuma projekta „Par nekustamo īpašumu Kronvalda bulvārī 2B, Rīgā” sākotnējās ietekmes novērtējuma ziņojums (anotācija)</vt:lpstr>
    </vt:vector>
  </TitlesOfParts>
  <Company>LR Kultūras Ministrija</Company>
  <LinksUpToDate>false</LinksUpToDate>
  <CharactersWithSpaces>13634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Kronvalda bulvārī 2B, Rīgā” sākotnējās ietekmes novērtējuma ziņojums (anotācija)</dc:title>
  <dc:subject>KMAAnot_160413_Kronvalda</dc:subject>
  <dc:creator>J.Šumeiko</dc:creator>
  <cp:keywords/>
  <dc:description>J.Šumeiko
Tālr.67330269, fakss: 67330293
Juris.Sumeiko@km.gov.lv </dc:description>
  <cp:lastModifiedBy>Dzintra Rozīte</cp:lastModifiedBy>
  <cp:revision>40</cp:revision>
  <cp:lastPrinted>2013-04-12T12:10:00Z</cp:lastPrinted>
  <dcterms:created xsi:type="dcterms:W3CDTF">2013-01-31T10:38:00Z</dcterms:created>
  <dcterms:modified xsi:type="dcterms:W3CDTF">2013-04-16T14:18:00Z</dcterms:modified>
</cp:coreProperties>
</file>