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9C" w:rsidRPr="00FC2297" w:rsidRDefault="00C4599C" w:rsidP="00A07DA2">
      <w:pPr>
        <w:spacing w:after="0" w:line="240" w:lineRule="auto"/>
        <w:jc w:val="center"/>
        <w:rPr>
          <w:rFonts w:eastAsia="Times New Roman"/>
          <w:b/>
          <w:szCs w:val="24"/>
          <w:lang w:eastAsia="lv-LV"/>
        </w:rPr>
      </w:pPr>
      <w:r w:rsidRPr="00FC2297">
        <w:rPr>
          <w:rFonts w:eastAsia="Times New Roman"/>
          <w:b/>
          <w:bCs/>
          <w:szCs w:val="24"/>
          <w:lang w:eastAsia="lv-LV"/>
        </w:rPr>
        <w:t>Ministru kabineta rīkojuma projekta</w:t>
      </w:r>
    </w:p>
    <w:p w:rsidR="00C4599C" w:rsidRPr="00FC2297" w:rsidRDefault="00C4599C" w:rsidP="00A07DA2">
      <w:pPr>
        <w:spacing w:after="0" w:line="240" w:lineRule="auto"/>
        <w:jc w:val="center"/>
        <w:rPr>
          <w:b/>
          <w:szCs w:val="20"/>
        </w:rPr>
      </w:pPr>
      <w:r w:rsidRPr="00FC2297">
        <w:rPr>
          <w:b/>
        </w:rPr>
        <w:t>„Par valstij dividendēs izmaksājamo valsts sabiedrības ar ierobežotu atbildību "</w:t>
      </w:r>
      <w:r w:rsidR="00D80C09">
        <w:rPr>
          <w:b/>
        </w:rPr>
        <w:t>Latvijas Leļļu teātris</w:t>
      </w:r>
      <w:r w:rsidRPr="00FC2297">
        <w:rPr>
          <w:b/>
        </w:rPr>
        <w:t>" peļņas daļu” sākotnējās ietekmes novērtējuma ziņojums (anotācija)</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367"/>
        <w:gridCol w:w="6300"/>
      </w:tblGrid>
      <w:tr w:rsidR="00233886" w:rsidRPr="00082856">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233886" w:rsidRPr="00082856" w:rsidRDefault="00233886" w:rsidP="00A07DA2">
            <w:pPr>
              <w:spacing w:after="0" w:line="240" w:lineRule="auto"/>
              <w:jc w:val="center"/>
              <w:rPr>
                <w:rFonts w:eastAsia="Times New Roman"/>
                <w:szCs w:val="24"/>
                <w:lang w:eastAsia="lv-LV"/>
              </w:rPr>
            </w:pPr>
            <w:r w:rsidRPr="00082856">
              <w:rPr>
                <w:rFonts w:eastAsia="Times New Roman"/>
                <w:szCs w:val="24"/>
                <w:lang w:eastAsia="lv-LV"/>
              </w:rPr>
              <w:t> </w:t>
            </w:r>
            <w:r w:rsidRPr="00082856">
              <w:rPr>
                <w:rFonts w:eastAsia="Times New Roman"/>
                <w:b/>
                <w:bCs/>
                <w:szCs w:val="24"/>
                <w:lang w:eastAsia="lv-LV"/>
              </w:rPr>
              <w:t> I. Tiesību akta projekta izstrādes nepieciešamība</w:t>
            </w:r>
          </w:p>
        </w:tc>
      </w:tr>
      <w:tr w:rsidR="00233886" w:rsidRPr="0008285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1.</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Pamatojums</w:t>
            </w:r>
          </w:p>
        </w:tc>
        <w:tc>
          <w:tcPr>
            <w:tcW w:w="6300" w:type="dxa"/>
            <w:tcBorders>
              <w:top w:val="outset" w:sz="6" w:space="0" w:color="auto"/>
              <w:left w:val="outset" w:sz="6" w:space="0" w:color="auto"/>
              <w:bottom w:val="outset" w:sz="6" w:space="0" w:color="auto"/>
              <w:right w:val="outset" w:sz="6" w:space="0" w:color="auto"/>
            </w:tcBorders>
          </w:tcPr>
          <w:p w:rsidR="00233886" w:rsidRPr="00616BAB" w:rsidRDefault="008B1D70" w:rsidP="00A07DA2">
            <w:pPr>
              <w:spacing w:after="0" w:line="240" w:lineRule="auto"/>
              <w:jc w:val="both"/>
              <w:rPr>
                <w:color w:val="000000"/>
              </w:rPr>
            </w:pPr>
            <w:r w:rsidRPr="00671B0D">
              <w:rPr>
                <w:szCs w:val="24"/>
              </w:rPr>
              <w:t xml:space="preserve">Ministru kabineta </w:t>
            </w:r>
            <w:r w:rsidRPr="00671B0D">
              <w:rPr>
                <w:szCs w:val="24"/>
                <w:lang w:eastAsia="lv-LV"/>
              </w:rPr>
              <w:t>2009.gada 15.decembra noteikumu Nr.1471 "</w:t>
            </w:r>
            <w:r w:rsidRPr="00671B0D">
              <w:rPr>
                <w:bCs/>
                <w:szCs w:val="24"/>
              </w:rPr>
              <w:t>Kārtība, kādā tiek noteikta un ieskaitīta valsts budžetā izmaksājamā peļņas daļa par valsts kapitāla izmantošanu</w:t>
            </w:r>
            <w:r w:rsidRPr="00671B0D">
              <w:rPr>
                <w:szCs w:val="24"/>
                <w:lang w:eastAsia="lv-LV"/>
              </w:rPr>
              <w:t>"</w:t>
            </w:r>
            <w:proofErr w:type="gramStart"/>
            <w:r w:rsidRPr="00671B0D">
              <w:rPr>
                <w:szCs w:val="24"/>
                <w:lang w:eastAsia="lv-LV"/>
              </w:rPr>
              <w:t xml:space="preserve"> </w:t>
            </w:r>
            <w:r w:rsidRPr="00671B0D">
              <w:rPr>
                <w:szCs w:val="24"/>
              </w:rPr>
              <w:t xml:space="preserve"> </w:t>
            </w:r>
            <w:proofErr w:type="gramEnd"/>
            <w:r w:rsidRPr="00671B0D">
              <w:rPr>
                <w:szCs w:val="24"/>
              </w:rPr>
              <w:t>(turpmāk – noteikumi</w:t>
            </w:r>
            <w:r>
              <w:rPr>
                <w:szCs w:val="24"/>
              </w:rPr>
              <w:t xml:space="preserve"> Nr.1471</w:t>
            </w:r>
            <w:r w:rsidRPr="00671B0D">
              <w:rPr>
                <w:szCs w:val="24"/>
              </w:rPr>
              <w:t xml:space="preserve">) </w:t>
            </w:r>
            <w:r w:rsidR="00C8644E">
              <w:rPr>
                <w:szCs w:val="24"/>
              </w:rPr>
              <w:t>5</w:t>
            </w:r>
            <w:r w:rsidRPr="00671B0D">
              <w:rPr>
                <w:szCs w:val="24"/>
              </w:rPr>
              <w:t>. punkts</w:t>
            </w:r>
          </w:p>
        </w:tc>
      </w:tr>
      <w:tr w:rsidR="00233886" w:rsidRPr="0008285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2.</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Pašreizējā situācija un problēmas</w:t>
            </w:r>
          </w:p>
        </w:tc>
        <w:tc>
          <w:tcPr>
            <w:tcW w:w="6300" w:type="dxa"/>
            <w:tcBorders>
              <w:top w:val="outset" w:sz="6" w:space="0" w:color="auto"/>
              <w:left w:val="outset" w:sz="6" w:space="0" w:color="auto"/>
              <w:bottom w:val="outset" w:sz="6" w:space="0" w:color="auto"/>
              <w:right w:val="outset" w:sz="6" w:space="0" w:color="auto"/>
            </w:tcBorders>
          </w:tcPr>
          <w:p w:rsidR="004A6C30" w:rsidRDefault="004A6C30" w:rsidP="00A07DA2">
            <w:pPr>
              <w:pStyle w:val="Pamatteksts"/>
              <w:spacing w:after="0"/>
              <w:jc w:val="both"/>
              <w:rPr>
                <w:lang w:val="lv-LV"/>
              </w:rPr>
            </w:pPr>
            <w:r w:rsidRPr="00481D85">
              <w:rPr>
                <w:lang w:val="lv-LV"/>
              </w:rPr>
              <w:t>V</w:t>
            </w:r>
            <w:r>
              <w:rPr>
                <w:lang w:val="lv-LV"/>
              </w:rPr>
              <w:t>alsts sabiedrība ar ierobežotu atbildību</w:t>
            </w:r>
            <w:r w:rsidRPr="00481D85">
              <w:rPr>
                <w:lang w:val="lv-LV"/>
              </w:rPr>
              <w:t xml:space="preserve"> “</w:t>
            </w:r>
            <w:r>
              <w:rPr>
                <w:lang w:val="lv-LV"/>
              </w:rPr>
              <w:t>Latvijas Leļļu teātris</w:t>
            </w:r>
            <w:r w:rsidRPr="00481D85">
              <w:rPr>
                <w:lang w:val="lv-LV"/>
              </w:rPr>
              <w:t xml:space="preserve">” </w:t>
            </w:r>
            <w:r>
              <w:rPr>
                <w:lang w:val="lv-LV"/>
              </w:rPr>
              <w:t>(turpmāk – kapitālsabiedrība) komercdarbību 2010</w:t>
            </w:r>
            <w:r w:rsidRPr="00481D85">
              <w:rPr>
                <w:lang w:val="lv-LV"/>
              </w:rPr>
              <w:t>.</w:t>
            </w:r>
            <w:r>
              <w:rPr>
                <w:lang w:val="lv-LV"/>
              </w:rPr>
              <w:t> </w:t>
            </w:r>
            <w:r w:rsidRPr="00481D85">
              <w:rPr>
                <w:lang w:val="lv-LV"/>
              </w:rPr>
              <w:t xml:space="preserve">gadā ir noslēgusi ar </w:t>
            </w:r>
            <w:r>
              <w:rPr>
                <w:lang w:val="lv-LV"/>
              </w:rPr>
              <w:t xml:space="preserve">peļņu LVL 7 505 apmērā. </w:t>
            </w:r>
          </w:p>
          <w:p w:rsidR="004A6C30" w:rsidRPr="004E3631" w:rsidRDefault="004A6C30" w:rsidP="00A07DA2">
            <w:pPr>
              <w:pStyle w:val="Pamatteksts"/>
              <w:spacing w:after="0"/>
              <w:jc w:val="both"/>
              <w:rPr>
                <w:lang w:val="lv-LV"/>
              </w:rPr>
            </w:pPr>
            <w:r w:rsidRPr="00457259">
              <w:rPr>
                <w:lang w:val="lv-LV"/>
              </w:rPr>
              <w:t>Saskaņā ar likuma „Par valsts un pašvaldību kapitāla daļām un kapitālsabiedrīb</w:t>
            </w:r>
            <w:r w:rsidR="004E3631" w:rsidRPr="00457259">
              <w:rPr>
                <w:lang w:val="lv-LV"/>
              </w:rPr>
              <w:t>ām” 3.panta trešo daļu</w:t>
            </w:r>
            <w:r w:rsidRPr="00457259">
              <w:rPr>
                <w:lang w:val="lv-LV"/>
              </w:rPr>
              <w:t xml:space="preserve"> un Ministru kabineta 2009.gada 22.decembra noteikumu Nr.1471 „Kārtība, kādā tiek noteikta valsts budžetā izmaksājamā peļņas daļa par valsts kapitāla izmantošanu”</w:t>
            </w:r>
            <w:r w:rsidR="004E3631" w:rsidRPr="00457259">
              <w:rPr>
                <w:lang w:val="lv-LV"/>
              </w:rPr>
              <w:t xml:space="preserve"> (turpmāk noteikumi Nr.1471)</w:t>
            </w:r>
            <w:proofErr w:type="gramStart"/>
            <w:r w:rsidR="004E3631" w:rsidRPr="00457259">
              <w:rPr>
                <w:lang w:val="lv-LV"/>
              </w:rPr>
              <w:t xml:space="preserve"> </w:t>
            </w:r>
            <w:r w:rsidRPr="00457259">
              <w:rPr>
                <w:lang w:val="lv-LV"/>
              </w:rPr>
              <w:t xml:space="preserve"> </w:t>
            </w:r>
            <w:proofErr w:type="gramEnd"/>
            <w:r w:rsidR="004E3631" w:rsidRPr="00457259">
              <w:rPr>
                <w:lang w:val="lv-LV"/>
              </w:rPr>
              <w:t>4.</w:t>
            </w:r>
            <w:r w:rsidR="004E3631" w:rsidRPr="00457259">
              <w:rPr>
                <w:vertAlign w:val="superscript"/>
                <w:lang w:val="lv-LV"/>
              </w:rPr>
              <w:t>1</w:t>
            </w:r>
            <w:r w:rsidR="004E3631" w:rsidRPr="004E3631">
              <w:rPr>
                <w:lang w:val="lv-LV"/>
              </w:rPr>
              <w:t xml:space="preserve"> punktu minimālo dividendēs izmaksājamo peļņas daļu par 2010. pārskata gadu kapitālsabiedrībām, kurās visas kapitāla daļas tieši vai pastarpināti pieder valstij, – 90 procentu apmērā no attiecīgās kapitālsabiedrības tīrās peļņas, ja valsts budžeta likumā kārtējam gadam nav noteikts citādi.</w:t>
            </w:r>
            <w:r w:rsidR="004E3631">
              <w:rPr>
                <w:lang w:val="lv-LV"/>
              </w:rPr>
              <w:t xml:space="preserve"> </w:t>
            </w:r>
            <w:r w:rsidRPr="004E3631">
              <w:rPr>
                <w:lang w:val="lv-LV"/>
              </w:rPr>
              <w:t xml:space="preserve">Tādejādi kapitālsabiedrībai pēc lēmuma pieņemšanas par dividenžu sadali Valsts kasē par 2010.gadu būtu jāieskaita dividendes LVL 6 754.50 apmērā.  </w:t>
            </w:r>
          </w:p>
          <w:p w:rsidR="00233886" w:rsidRPr="00082856" w:rsidRDefault="004A6C30" w:rsidP="00A07DA2">
            <w:pPr>
              <w:spacing w:after="0" w:line="240" w:lineRule="auto"/>
              <w:jc w:val="both"/>
              <w:rPr>
                <w:rFonts w:eastAsia="Times New Roman"/>
                <w:szCs w:val="24"/>
                <w:lang w:eastAsia="lv-LV"/>
              </w:rPr>
            </w:pPr>
            <w:r w:rsidRPr="00DE6659">
              <w:t>Savukārt noteikumu Nr. 1471 5</w:t>
            </w:r>
            <w:r>
              <w:t>.</w:t>
            </w:r>
            <w:r w:rsidRPr="00DE6659">
              <w:t>punkts noteic</w:t>
            </w:r>
            <w:r w:rsidRPr="00481D85">
              <w:t>,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w:t>
            </w:r>
            <w:r>
              <w:t>t</w:t>
            </w:r>
            <w:r w:rsidRPr="00481D85">
              <w:t>spējīgai attīstībai un konkurētspējas saglabāšanai.</w:t>
            </w:r>
          </w:p>
        </w:tc>
      </w:tr>
      <w:tr w:rsidR="00233886" w:rsidRPr="00082856">
        <w:trPr>
          <w:trHeight w:val="837"/>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3.</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Saistītie politikas ietekmes novērtējumi un pētījumi</w:t>
            </w:r>
          </w:p>
        </w:tc>
        <w:tc>
          <w:tcPr>
            <w:tcW w:w="6300" w:type="dxa"/>
            <w:tcBorders>
              <w:top w:val="outset" w:sz="6" w:space="0" w:color="auto"/>
              <w:left w:val="outset" w:sz="6" w:space="0" w:color="auto"/>
              <w:bottom w:val="outset" w:sz="6" w:space="0" w:color="auto"/>
              <w:right w:val="outset" w:sz="6" w:space="0" w:color="auto"/>
            </w:tcBorders>
          </w:tcPr>
          <w:p w:rsidR="00233886" w:rsidRPr="008F36AC" w:rsidRDefault="008F36AC" w:rsidP="00A07DA2">
            <w:pPr>
              <w:spacing w:after="0" w:line="240" w:lineRule="auto"/>
              <w:rPr>
                <w:rFonts w:eastAsia="Times New Roman"/>
                <w:szCs w:val="24"/>
                <w:lang w:eastAsia="lv-LV"/>
              </w:rPr>
            </w:pPr>
            <w:r w:rsidRPr="008F36AC">
              <w:rPr>
                <w:szCs w:val="24"/>
              </w:rPr>
              <w:t>Projekts šo jomu neskar</w:t>
            </w:r>
          </w:p>
        </w:tc>
      </w:tr>
      <w:tr w:rsidR="00233886" w:rsidRPr="0008285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4.</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Tiesiskā regulējuma mērķis un būtība</w:t>
            </w:r>
          </w:p>
        </w:tc>
        <w:tc>
          <w:tcPr>
            <w:tcW w:w="6300" w:type="dxa"/>
            <w:tcBorders>
              <w:top w:val="outset" w:sz="6" w:space="0" w:color="auto"/>
              <w:left w:val="outset" w:sz="6" w:space="0" w:color="auto"/>
              <w:bottom w:val="outset" w:sz="6" w:space="0" w:color="auto"/>
              <w:right w:val="outset" w:sz="6" w:space="0" w:color="auto"/>
            </w:tcBorders>
          </w:tcPr>
          <w:p w:rsidR="004E3631" w:rsidRPr="004E3631" w:rsidRDefault="00233886" w:rsidP="00A07DA2">
            <w:pPr>
              <w:suppressAutoHyphens/>
              <w:spacing w:line="240" w:lineRule="auto"/>
              <w:ind w:firstLine="720"/>
              <w:jc w:val="both"/>
              <w:rPr>
                <w:bCs/>
                <w:szCs w:val="24"/>
              </w:rPr>
            </w:pPr>
            <w:r w:rsidRPr="004E3631">
              <w:rPr>
                <w:szCs w:val="24"/>
              </w:rPr>
              <w:t xml:space="preserve">Ministru kabineta rīkojuma projekts </w:t>
            </w:r>
            <w:r w:rsidRPr="004E3631">
              <w:rPr>
                <w:b/>
                <w:szCs w:val="24"/>
              </w:rPr>
              <w:t>“</w:t>
            </w:r>
            <w:r w:rsidRPr="004E3631">
              <w:rPr>
                <w:szCs w:val="24"/>
              </w:rPr>
              <w:t>Par valstij dividendēs izmaksājamo valsts sabiedrības ar ierobežotu atbildību „</w:t>
            </w:r>
            <w:r w:rsidR="004078E8" w:rsidRPr="004E3631">
              <w:rPr>
                <w:szCs w:val="24"/>
              </w:rPr>
              <w:t>Latvijas Leļļu teātris</w:t>
            </w:r>
            <w:r w:rsidRPr="004E3631">
              <w:rPr>
                <w:szCs w:val="24"/>
              </w:rPr>
              <w:t>” peļņas daļu”</w:t>
            </w:r>
            <w:r w:rsidRPr="004E3631">
              <w:rPr>
                <w:b/>
                <w:szCs w:val="24"/>
              </w:rPr>
              <w:t xml:space="preserve"> </w:t>
            </w:r>
            <w:r w:rsidR="002B533F" w:rsidRPr="004E3631">
              <w:rPr>
                <w:szCs w:val="24"/>
              </w:rPr>
              <w:t>paredz</w:t>
            </w:r>
            <w:r w:rsidRPr="004E3631">
              <w:rPr>
                <w:szCs w:val="24"/>
              </w:rPr>
              <w:t xml:space="preserve"> </w:t>
            </w:r>
            <w:r w:rsidR="009A2C8E" w:rsidRPr="004E3631">
              <w:rPr>
                <w:szCs w:val="24"/>
              </w:rPr>
              <w:t xml:space="preserve">kapitālsabiedrībai no peļņas </w:t>
            </w:r>
            <w:r w:rsidR="004A6C30" w:rsidRPr="004E3631">
              <w:rPr>
                <w:szCs w:val="24"/>
              </w:rPr>
              <w:t>2010</w:t>
            </w:r>
            <w:r w:rsidR="009A2C8E" w:rsidRPr="004E3631">
              <w:rPr>
                <w:szCs w:val="24"/>
              </w:rPr>
              <w:t>. pārskata</w:t>
            </w:r>
            <w:r w:rsidRPr="004E3631">
              <w:rPr>
                <w:szCs w:val="24"/>
              </w:rPr>
              <w:t xml:space="preserve"> gad</w:t>
            </w:r>
            <w:r w:rsidR="009A2C8E" w:rsidRPr="004E3631">
              <w:rPr>
                <w:szCs w:val="24"/>
              </w:rPr>
              <w:t xml:space="preserve">ā </w:t>
            </w:r>
            <w:r w:rsidR="004E3631" w:rsidRPr="004E3631">
              <w:rPr>
                <w:bCs/>
                <w:szCs w:val="24"/>
              </w:rPr>
              <w:t xml:space="preserve">nav jāmaksā dividendes no peļņas </w:t>
            </w:r>
            <w:r w:rsidR="004E3631">
              <w:rPr>
                <w:bCs/>
                <w:szCs w:val="24"/>
              </w:rPr>
              <w:t>par 2010</w:t>
            </w:r>
            <w:r w:rsidR="004E3631" w:rsidRPr="004E3631">
              <w:rPr>
                <w:bCs/>
                <w:szCs w:val="24"/>
              </w:rPr>
              <w:t>.gadu.</w:t>
            </w:r>
          </w:p>
          <w:p w:rsidR="00233886" w:rsidRDefault="00233886" w:rsidP="00A07DA2">
            <w:pPr>
              <w:spacing w:after="0" w:line="240" w:lineRule="auto"/>
              <w:jc w:val="both"/>
            </w:pPr>
            <w:r>
              <w:t xml:space="preserve">Rīkojuma projektam, atbilstoši </w:t>
            </w:r>
            <w:r w:rsidRPr="00DE6659">
              <w:t>noteikumu Nr. </w:t>
            </w:r>
            <w:r w:rsidR="00780E33" w:rsidRPr="00DE6659">
              <w:t>1471</w:t>
            </w:r>
            <w:r w:rsidRPr="00DE6659">
              <w:t xml:space="preserve"> </w:t>
            </w:r>
            <w:r w:rsidR="00780E33" w:rsidRPr="00DE6659">
              <w:t>5</w:t>
            </w:r>
            <w:r w:rsidRPr="00DE6659">
              <w:t>.1. apakšpunktam,</w:t>
            </w:r>
            <w:r>
              <w:t xml:space="preserve"> sniedzam sekojošu ekonomisko pamatojumu. </w:t>
            </w:r>
          </w:p>
          <w:p w:rsidR="00233886" w:rsidRDefault="00233886" w:rsidP="00A07DA2">
            <w:pPr>
              <w:spacing w:after="0" w:line="240" w:lineRule="auto"/>
              <w:jc w:val="both"/>
            </w:pPr>
            <w:r w:rsidRPr="006B1561">
              <w:t xml:space="preserve">Kultūras ministrija kā </w:t>
            </w:r>
            <w:r>
              <w:t>kapitālsabiedrības kapitāla daļu turētājs</w:t>
            </w:r>
            <w:r w:rsidRPr="006B1561">
              <w:t xml:space="preserve"> </w:t>
            </w:r>
            <w:r>
              <w:t>ir pieņēmusi sekojošus lēmumus par kapitālsabiedrības gada pārskatu apstiprināšanu:</w:t>
            </w:r>
          </w:p>
          <w:p w:rsidR="002B7C16" w:rsidRDefault="004A6C30" w:rsidP="00A07DA2">
            <w:pPr>
              <w:spacing w:after="0" w:line="240" w:lineRule="auto"/>
              <w:jc w:val="both"/>
            </w:pPr>
            <w:r>
              <w:t>2011</w:t>
            </w:r>
            <w:r w:rsidR="00233886" w:rsidRPr="002A58D0">
              <w:t xml:space="preserve">.gada </w:t>
            </w:r>
            <w:r>
              <w:t>28</w:t>
            </w:r>
            <w:r w:rsidR="00233886" w:rsidRPr="002A58D0">
              <w:t>.aprīļa lēmums Nr.</w:t>
            </w:r>
            <w:r>
              <w:t>6-3-12</w:t>
            </w:r>
            <w:r w:rsidR="00233886" w:rsidRPr="002A58D0">
              <w:t xml:space="preserve">, ar kuru apstiprināts valsts </w:t>
            </w:r>
            <w:r w:rsidR="00233886">
              <w:t xml:space="preserve">kapitālsabiedrības </w:t>
            </w:r>
            <w:r>
              <w:t>2010</w:t>
            </w:r>
            <w:r w:rsidR="00233886" w:rsidRPr="002A58D0">
              <w:t xml:space="preserve">.gada pārskats </w:t>
            </w:r>
            <w:r w:rsidR="00EA0EF2" w:rsidRPr="002A58D0">
              <w:t xml:space="preserve">un </w:t>
            </w:r>
            <w:r w:rsidR="002B7C16">
              <w:t xml:space="preserve">pieņemts lēmums priekšlikumu par atšķirīgas dividendēs izmaksājamās </w:t>
            </w:r>
            <w:r w:rsidR="002B7C16">
              <w:lastRenderedPageBreak/>
              <w:t xml:space="preserve">peļņas daļu virzīt izskatīšanai Ministru kabinetā. </w:t>
            </w:r>
          </w:p>
          <w:p w:rsidR="00233886" w:rsidRDefault="002B7C16" w:rsidP="00A07DA2">
            <w:pPr>
              <w:spacing w:after="0" w:line="240" w:lineRule="auto"/>
              <w:jc w:val="both"/>
            </w:pPr>
            <w:r>
              <w:t>Tādejādi šobrīd l</w:t>
            </w:r>
            <w:r w:rsidR="00792F44">
              <w:t xml:space="preserve">ēmums par </w:t>
            </w:r>
            <w:r w:rsidR="00233886">
              <w:t xml:space="preserve">kapitālsabiedrības </w:t>
            </w:r>
            <w:r w:rsidR="004A6C30">
              <w:t>2010</w:t>
            </w:r>
            <w:r w:rsidR="00233886">
              <w:t>.gada</w:t>
            </w:r>
            <w:r w:rsidR="00233886" w:rsidRPr="006B1561">
              <w:t xml:space="preserve"> peļņas sadali </w:t>
            </w:r>
            <w:r w:rsidR="00792F44">
              <w:t>nav pieņemts un peļņa nav sadalīta</w:t>
            </w:r>
            <w:r w:rsidR="00876F15">
              <w:t xml:space="preserve">. </w:t>
            </w:r>
            <w:r w:rsidR="004A6C30">
              <w:t>2010</w:t>
            </w:r>
            <w:r w:rsidR="00876F15" w:rsidRPr="006B1561">
              <w:t xml:space="preserve">.gada nesadalītā peļņa atbilstoši Gada pārskatu likuma 20.pantam ir ietverta attiecīgā pārskata gada bilances postenī „Pārskata gada nesadalītā peļņa”.  </w:t>
            </w:r>
            <w:r w:rsidR="00233886" w:rsidRPr="006B1561">
              <w:t xml:space="preserve">  </w:t>
            </w:r>
          </w:p>
          <w:p w:rsidR="00233886" w:rsidRDefault="00EB1ACD" w:rsidP="00A07DA2">
            <w:pPr>
              <w:spacing w:after="0" w:line="240" w:lineRule="auto"/>
              <w:jc w:val="both"/>
            </w:pPr>
            <w:r>
              <w:t>Ņ</w:t>
            </w:r>
            <w:r w:rsidR="00233886">
              <w:t xml:space="preserve">emot vērā </w:t>
            </w:r>
            <w:r w:rsidR="004E3631">
              <w:t>kapitālsabiedrības</w:t>
            </w:r>
            <w:r w:rsidR="00233886">
              <w:t xml:space="preserve"> izteikto lūgumu</w:t>
            </w:r>
            <w:r w:rsidR="004E3631">
              <w:t>,</w:t>
            </w:r>
            <w:r w:rsidR="00233886">
              <w:t xml:space="preserve"> kapitālsa</w:t>
            </w:r>
            <w:r w:rsidR="004A6C30">
              <w:t>biedrības 2010</w:t>
            </w:r>
            <w:r>
              <w:t xml:space="preserve">.pārskata gada peļņu </w:t>
            </w:r>
            <w:r w:rsidR="001554B7">
              <w:t>atstāt nesadalītu,</w:t>
            </w:r>
            <w:r w:rsidR="00233886">
              <w:t xml:space="preserve"> tika izvērtētas </w:t>
            </w:r>
            <w:r w:rsidR="004A6C30">
              <w:t>kapitālsabiedrības iespējas 2011</w:t>
            </w:r>
            <w:r w:rsidR="00233886">
              <w:t>.gadā</w:t>
            </w:r>
            <w:r w:rsidR="004A6C30">
              <w:t xml:space="preserve"> veikt dividenžu izmaksu par 2010</w:t>
            </w:r>
            <w:r w:rsidR="00233886">
              <w:t xml:space="preserve">.pārskata gadu – kopā </w:t>
            </w:r>
            <w:r w:rsidR="00F836F7">
              <w:t>LVL </w:t>
            </w:r>
            <w:r w:rsidR="004A6C30">
              <w:t>6 754.50</w:t>
            </w:r>
            <w:r w:rsidR="00F836F7">
              <w:t xml:space="preserve"> </w:t>
            </w:r>
            <w:r w:rsidR="00233886">
              <w:t xml:space="preserve">apmērā. </w:t>
            </w:r>
          </w:p>
          <w:p w:rsidR="0078384F" w:rsidRDefault="001D7247" w:rsidP="00A07DA2">
            <w:pPr>
              <w:spacing w:after="0" w:line="240" w:lineRule="auto"/>
              <w:jc w:val="both"/>
            </w:pPr>
            <w:r w:rsidRPr="00EE68D2">
              <w:t xml:space="preserve">Ņemot vērā to, ka </w:t>
            </w:r>
            <w:r w:rsidR="006B44C0">
              <w:t>k</w:t>
            </w:r>
            <w:r w:rsidRPr="00EE68D2">
              <w:t xml:space="preserve">opējais </w:t>
            </w:r>
            <w:r w:rsidR="00AB07E7">
              <w:t>kapitālsabiedrības</w:t>
            </w:r>
            <w:r w:rsidRPr="00EE68D2">
              <w:t xml:space="preserve"> ieņēmumu budžets ir samazinājies jo ekonomiskās </w:t>
            </w:r>
            <w:proofErr w:type="spellStart"/>
            <w:r w:rsidRPr="00EE68D2">
              <w:t>recesijas</w:t>
            </w:r>
            <w:proofErr w:type="spellEnd"/>
            <w:r w:rsidRPr="00EE68D2">
              <w:t xml:space="preserve"> apstākļos ievērojami kritusi iedzīvotāju pirktspēja, ko īpaši negatīvi izjūt ģimenes ar bērniem. Lai padarītu teātra pakalpojumu pieejamu dažādā</w:t>
            </w:r>
            <w:r>
              <w:t xml:space="preserve">m sabiedrības mērķgrupām, teātris nodrošina biļetes par pazeminātām cenām apmeklētāju grupām, daudzbērnu ģimenēm un ģimenēm ar bērniem ar īpašām vajadzībām. Lai nodrošinātu kultūras pakalpojumu pieejamību gan Latvijas reģionos, gan maznodrošinātajiem iedzīvotājiem, teātra izbraukumos biļetes tiek pārdotas par cenu, kas samazināta pat līdz 80% no ieejas biļešu cenas stacionāra izrādēm. Regulāri tiek izplatītas biļetes arī labdarības mērķiem, tādejādi dodot iespēju apmeklēt teātra izrādes Latvijas bērnunamu bērniem un bērniem no maznodrošinātajām ģimenēm. </w:t>
            </w:r>
            <w:r w:rsidR="00AB07E7">
              <w:t>Kapitālsabiedrība</w:t>
            </w:r>
            <w:r>
              <w:t xml:space="preserve"> regulāri organizē arī bezmaksas aktīvās atpūtas pasākumus ģimenēm, popularizējot leļļu teātra mākslu sabiedrībā un padarot teātra pakalpojumu pieejamu dažādām sabiedrības grupām.</w:t>
            </w:r>
          </w:p>
          <w:p w:rsidR="007624EA" w:rsidRDefault="00CE4699" w:rsidP="00A07DA2">
            <w:pPr>
              <w:spacing w:after="0" w:line="240" w:lineRule="auto"/>
              <w:jc w:val="both"/>
            </w:pPr>
            <w:r>
              <w:t>Kapitālsabiedrība apsaimnieko nekustamo īpašumu K.Barona ielā 16/18 pamatojoties uz kapitālsabiedrības un VAS „Valsts nekustamie īpašumi” 2006. gadā  noslēgto „Nekustamā īpašuma Rīgā, K.Barona ielā 16/18 pārvaldīšanas  un daļas lietošanas līgumu Nr. 2584”. Saskaņā ar līguma 3.1. punktu kapitālsabiedrības pienākums ir remontdarbu, t.sk. renovācijas, restaurācijas un</w:t>
            </w:r>
            <w:proofErr w:type="gramStart"/>
            <w:r>
              <w:t xml:space="preserve">  </w:t>
            </w:r>
            <w:proofErr w:type="gramEnd"/>
            <w:r>
              <w:t xml:space="preserve">rekonstrukcijas veikšana. </w:t>
            </w:r>
          </w:p>
          <w:p w:rsidR="001D7247" w:rsidRDefault="0078384F" w:rsidP="00A07DA2">
            <w:pPr>
              <w:spacing w:after="0" w:line="240" w:lineRule="auto"/>
              <w:jc w:val="both"/>
            </w:pPr>
            <w:r w:rsidRPr="0078384F">
              <w:t>Sakarā ar iepriekšējās ziemas sarežģītajiem laika apstākļiem, tika būtiski bojātas teātra ēkas jumta betona pārsedzes. Neraugoties uz to, ka tika veikti jumta tīrīšanas darbi, vairākkārtīgi gan izrāžu, gan mēģinājumu laikā uz teātra Lielās skatuves tecēja ūdens. Līdz ar to var tikt apdraudēta teātra darbinieku darba vides drošība, kā arī teātra pamatfunkcijas veikšana.</w:t>
            </w:r>
          </w:p>
          <w:p w:rsidR="001D7247" w:rsidRDefault="001D7247" w:rsidP="00A07DA2">
            <w:pPr>
              <w:spacing w:after="0" w:line="240" w:lineRule="auto"/>
              <w:jc w:val="both"/>
            </w:pPr>
            <w:r w:rsidRPr="00EE68D2">
              <w:t>Iepriekšējos gados nepietiekamā finansējuma dēļ, nebija iespēja novirzīt līdzekļus ēkas remontam.</w:t>
            </w:r>
            <w:r>
              <w:t xml:space="preserve"> </w:t>
            </w:r>
            <w:r w:rsidR="00FC1F98">
              <w:t>Līdz ar to</w:t>
            </w:r>
            <w:r w:rsidR="002F2CF5">
              <w:t>, krītoties pašu ieņēmumiem samazinātas pirktspējas apstākļos,</w:t>
            </w:r>
            <w:r w:rsidR="00233886">
              <w:t xml:space="preserve"> ies</w:t>
            </w:r>
            <w:r>
              <w:t>pēja novirzīt dividendes par 2010</w:t>
            </w:r>
            <w:r w:rsidR="00233886">
              <w:t xml:space="preserve">.pārskata gadu </w:t>
            </w:r>
            <w:r w:rsidRPr="00EE68D2">
              <w:t>teātra ēku jumtu remontam, ir ekonomiski pamatota un nepieciešama, lai novērstu draudus teātra pamatfunkciju nodrošināšanai.</w:t>
            </w:r>
          </w:p>
          <w:p w:rsidR="00F82798" w:rsidRDefault="00F82798" w:rsidP="00A07DA2">
            <w:pPr>
              <w:spacing w:after="0" w:line="240" w:lineRule="auto"/>
              <w:jc w:val="both"/>
              <w:rPr>
                <w:szCs w:val="24"/>
              </w:rPr>
            </w:pPr>
            <w:r w:rsidRPr="00036A8B">
              <w:rPr>
                <w:szCs w:val="24"/>
              </w:rPr>
              <w:t xml:space="preserve">Atbilstoši Noteikumu nr.1471 5.1.punktam, norādām: </w:t>
            </w:r>
            <w:r w:rsidRPr="00036A8B">
              <w:rPr>
                <w:szCs w:val="24"/>
              </w:rPr>
              <w:lastRenderedPageBreak/>
              <w:t xml:space="preserve">pamatojoties uz Kultūras institūciju likuma 23 panta otro daļu, kapitālsabiedrība veic valsts deleģētas kultūras funkcijas, </w:t>
            </w:r>
            <w:r w:rsidR="00974A21">
              <w:rPr>
                <w:szCs w:val="24"/>
              </w:rPr>
              <w:t xml:space="preserve">kuras ietvaros kapitālsabiedrības tieši uzdevumi ietver sabiedrības vajadzībām nodrošināt un padarīt pieejamus </w:t>
            </w:r>
            <w:r w:rsidRPr="00036A8B">
              <w:rPr>
                <w:szCs w:val="24"/>
              </w:rPr>
              <w:t>profesionālās mākslas produktus- teātra izrādes.</w:t>
            </w:r>
            <w:r w:rsidRPr="00F40E33">
              <w:rPr>
                <w:szCs w:val="24"/>
              </w:rPr>
              <w:t xml:space="preserve"> </w:t>
            </w:r>
            <w:r>
              <w:rPr>
                <w:szCs w:val="24"/>
              </w:rPr>
              <w:t xml:space="preserve">Ņemot vērā, ka kapitālsabiedrības darbības mērķis un darbība ir valsts deleģētu funkciju veikšana atbilstoši Kultūras institūciju likuma 23.panta otrajai daļai, atšķirīgas dividenžu daļas noteikšana un tās novirzīšanai šai funkcijai nerada kapitālsabiedrībai ekonomiskas priekšrocības.  </w:t>
            </w:r>
          </w:p>
          <w:p w:rsidR="00BF71AB" w:rsidRPr="00651C7C" w:rsidRDefault="00FB5DAD" w:rsidP="00A07DA2">
            <w:pPr>
              <w:spacing w:after="0" w:line="240" w:lineRule="auto"/>
              <w:jc w:val="both"/>
              <w:rPr>
                <w:szCs w:val="24"/>
                <w:u w:val="single"/>
              </w:rPr>
            </w:pPr>
            <w:r w:rsidRPr="00F40E33">
              <w:rPr>
                <w:szCs w:val="24"/>
              </w:rPr>
              <w:t>Lai novērstu draudus kapitālsabiedrības komercdarbības ilgtspējīgai attīstībai un lai kapitālsabiedrība spētu nodrošināt ar kultūras funkciju deleģēšanu saistītos uzdevumu</w:t>
            </w:r>
            <w:r w:rsidR="001D7247">
              <w:rPr>
                <w:szCs w:val="24"/>
              </w:rPr>
              <w:t>s un rezultatīvos rādītājus 2011</w:t>
            </w:r>
            <w:r w:rsidRPr="00F40E33">
              <w:rPr>
                <w:szCs w:val="24"/>
              </w:rPr>
              <w:t xml:space="preserve">.gadā, </w:t>
            </w:r>
            <w:r w:rsidR="001D7247" w:rsidRPr="00EE68D2">
              <w:rPr>
                <w:szCs w:val="24"/>
              </w:rPr>
              <w:t>efektīvi būtu maksimālu kapitālsabiedrības peļņas daļu ieguldīt teātra ēku jumtu remontam, tādejādi   veicinot kvalitatīvu teātra pamatfunkciju nodrošināšanu</w:t>
            </w:r>
            <w:r w:rsidR="001D7247">
              <w:rPr>
                <w:szCs w:val="24"/>
              </w:rPr>
              <w:t>.</w:t>
            </w:r>
            <w:r w:rsidR="00FC1F98">
              <w:rPr>
                <w:szCs w:val="24"/>
              </w:rPr>
              <w:t xml:space="preserve"> Tādē</w:t>
            </w:r>
            <w:r w:rsidRPr="00F40E33">
              <w:rPr>
                <w:szCs w:val="24"/>
              </w:rPr>
              <w:t xml:space="preserve">jādi </w:t>
            </w:r>
            <w:r w:rsidR="00C9627B">
              <w:rPr>
                <w:szCs w:val="24"/>
              </w:rPr>
              <w:t xml:space="preserve">Kultūras ministrijas ieskatā </w:t>
            </w:r>
            <w:r w:rsidRPr="00F40E33">
              <w:rPr>
                <w:szCs w:val="24"/>
              </w:rPr>
              <w:t>atšķirīgas dividendēs izmaksājamās peļņas daļas noteikšana atbilst Noteikumu Nr.1471 5.1.apakšpunktā noteiktajam „nepieciešams novērst draudus kapitālsabiedrības ilgtspējīgai attīstībai un</w:t>
            </w:r>
            <w:r>
              <w:rPr>
                <w:szCs w:val="24"/>
              </w:rPr>
              <w:t xml:space="preserve"> konkurētspējas saglabāšanai.</w:t>
            </w:r>
            <w:r w:rsidR="00C9627B">
              <w:rPr>
                <w:szCs w:val="24"/>
              </w:rPr>
              <w:t>”</w:t>
            </w:r>
            <w:r>
              <w:rPr>
                <w:szCs w:val="24"/>
              </w:rPr>
              <w:t xml:space="preserve"> </w:t>
            </w:r>
          </w:p>
        </w:tc>
      </w:tr>
      <w:tr w:rsidR="00233886" w:rsidRPr="0008285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lastRenderedPageBreak/>
              <w:t> 5.</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Projekta izstrādē iesaistītās institūcijas</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rFonts w:eastAsia="Times New Roman"/>
                <w:szCs w:val="24"/>
                <w:lang w:eastAsia="lv-LV"/>
              </w:rPr>
              <w:t>Kultūras ministrija</w:t>
            </w:r>
          </w:p>
        </w:tc>
      </w:tr>
      <w:tr w:rsidR="00233886" w:rsidRPr="00082856">
        <w:trPr>
          <w:trHeight w:val="900"/>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6.</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Iemesli, kādēļ netika nodrošināta sabiedrības līdzdalība</w:t>
            </w:r>
          </w:p>
        </w:tc>
        <w:tc>
          <w:tcPr>
            <w:tcW w:w="6300" w:type="dxa"/>
            <w:tcBorders>
              <w:top w:val="outset" w:sz="6" w:space="0" w:color="auto"/>
              <w:left w:val="outset" w:sz="6" w:space="0" w:color="auto"/>
              <w:bottom w:val="outset" w:sz="6" w:space="0" w:color="auto"/>
              <w:right w:val="outset" w:sz="6" w:space="0" w:color="auto"/>
            </w:tcBorders>
          </w:tcPr>
          <w:p w:rsidR="00233886" w:rsidRPr="008F36AC" w:rsidRDefault="008F36AC" w:rsidP="00A07DA2">
            <w:pPr>
              <w:spacing w:after="0" w:line="240" w:lineRule="auto"/>
              <w:rPr>
                <w:rFonts w:eastAsia="Times New Roman"/>
                <w:szCs w:val="24"/>
                <w:lang w:eastAsia="lv-LV"/>
              </w:rPr>
            </w:pPr>
            <w:r w:rsidRPr="008F36AC">
              <w:rPr>
                <w:szCs w:val="24"/>
              </w:rPr>
              <w:t>Projekts šo jomu neskar</w:t>
            </w:r>
          </w:p>
        </w:tc>
      </w:tr>
      <w:tr w:rsidR="00233886" w:rsidRPr="00082856">
        <w:trPr>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7.</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Cita informācija</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rFonts w:eastAsia="Times New Roman"/>
                <w:szCs w:val="24"/>
                <w:lang w:eastAsia="lv-LV"/>
              </w:rPr>
              <w:t>Nav</w:t>
            </w:r>
          </w:p>
        </w:tc>
      </w:tr>
    </w:tbl>
    <w:p w:rsidR="00233886" w:rsidRDefault="00233886" w:rsidP="00A07DA2">
      <w:pPr>
        <w:spacing w:before="75" w:after="75" w:line="240" w:lineRule="auto"/>
        <w:ind w:firstLine="375"/>
        <w:jc w:val="both"/>
        <w:rPr>
          <w:rFonts w:eastAsia="Times New Roman"/>
          <w:i/>
          <w:szCs w:val="24"/>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99"/>
        <w:gridCol w:w="1256"/>
        <w:gridCol w:w="1309"/>
        <w:gridCol w:w="1295"/>
        <w:gridCol w:w="1295"/>
        <w:gridCol w:w="1041"/>
      </w:tblGrid>
      <w:tr w:rsidR="0047032E" w:rsidRPr="0012616F">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150" w:after="150" w:line="240" w:lineRule="auto"/>
              <w:jc w:val="center"/>
              <w:rPr>
                <w:rFonts w:eastAsia="Times New Roman"/>
                <w:b/>
                <w:bCs/>
                <w:szCs w:val="24"/>
                <w:lang w:eastAsia="lv-LV"/>
              </w:rPr>
            </w:pPr>
            <w:r w:rsidRPr="0012616F">
              <w:rPr>
                <w:rFonts w:eastAsia="Times New Roman"/>
                <w:b/>
                <w:bCs/>
                <w:szCs w:val="24"/>
                <w:lang w:eastAsia="lv-LV"/>
              </w:rPr>
              <w:t>III. Tiesību akta projekta ietekme uz valsts budžetu un pašvaldību budžetiem</w:t>
            </w:r>
          </w:p>
        </w:tc>
      </w:tr>
      <w:tr w:rsidR="0047032E" w:rsidRPr="0012616F">
        <w:trPr>
          <w:tblCellSpacing w:w="0" w:type="dxa"/>
        </w:trPr>
        <w:tc>
          <w:tcPr>
            <w:tcW w:w="2999" w:type="dxa"/>
            <w:vMerge w:val="restart"/>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w:t>
            </w:r>
            <w:r w:rsidRPr="0012616F">
              <w:rPr>
                <w:rFonts w:eastAsia="Times New Roman"/>
                <w:b/>
                <w:bCs/>
                <w:szCs w:val="24"/>
                <w:lang w:eastAsia="lv-LV"/>
              </w:rPr>
              <w:t>Rādītāji</w:t>
            </w:r>
          </w:p>
        </w:tc>
        <w:tc>
          <w:tcPr>
            <w:tcW w:w="2565" w:type="dxa"/>
            <w:gridSpan w:val="2"/>
            <w:vMerge w:val="restart"/>
            <w:tcBorders>
              <w:top w:val="outset" w:sz="6" w:space="0" w:color="auto"/>
              <w:left w:val="outset" w:sz="6" w:space="0" w:color="auto"/>
              <w:bottom w:val="outset" w:sz="6" w:space="0" w:color="auto"/>
              <w:right w:val="outset" w:sz="6" w:space="0" w:color="auto"/>
            </w:tcBorders>
            <w:vAlign w:val="center"/>
          </w:tcPr>
          <w:p w:rsidR="0047032E" w:rsidRPr="0012616F" w:rsidRDefault="001D7247" w:rsidP="00A07DA2">
            <w:pPr>
              <w:spacing w:before="75" w:after="75" w:line="240" w:lineRule="auto"/>
              <w:jc w:val="center"/>
              <w:rPr>
                <w:rFonts w:eastAsia="Times New Roman"/>
                <w:szCs w:val="24"/>
                <w:lang w:eastAsia="lv-LV"/>
              </w:rPr>
            </w:pPr>
            <w:r>
              <w:rPr>
                <w:rFonts w:eastAsia="Times New Roman"/>
                <w:b/>
                <w:szCs w:val="24"/>
                <w:lang w:eastAsia="lv-LV"/>
              </w:rPr>
              <w:t>2011</w:t>
            </w:r>
            <w:r w:rsidR="0047032E" w:rsidRPr="00CC365D">
              <w:rPr>
                <w:rFonts w:eastAsia="Times New Roman"/>
                <w:b/>
                <w:szCs w:val="24"/>
                <w:lang w:eastAsia="lv-LV"/>
              </w:rPr>
              <w:t>.</w:t>
            </w:r>
            <w:r w:rsidR="0047032E" w:rsidRPr="0012616F">
              <w:rPr>
                <w:rFonts w:eastAsia="Times New Roman"/>
                <w:b/>
                <w:bCs/>
                <w:szCs w:val="24"/>
                <w:lang w:eastAsia="lv-LV"/>
              </w:rPr>
              <w:t>gads</w:t>
            </w:r>
          </w:p>
        </w:tc>
        <w:tc>
          <w:tcPr>
            <w:tcW w:w="3631" w:type="dxa"/>
            <w:gridSpan w:val="3"/>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Turpmākie trīs gadi (tūkst. latu)</w:t>
            </w:r>
          </w:p>
        </w:tc>
      </w:tr>
      <w:tr w:rsidR="0047032E" w:rsidRPr="001261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150" w:after="150" w:line="240" w:lineRule="auto"/>
              <w:jc w:val="center"/>
              <w:rPr>
                <w:rFonts w:eastAsia="Times New Roman"/>
                <w:b/>
                <w:bCs/>
                <w:szCs w:val="24"/>
                <w:lang w:eastAsia="lv-LV"/>
              </w:rPr>
            </w:pPr>
            <w:r>
              <w:rPr>
                <w:rFonts w:eastAsia="Times New Roman"/>
                <w:b/>
                <w:bCs/>
                <w:szCs w:val="24"/>
                <w:lang w:eastAsia="lv-LV"/>
              </w:rPr>
              <w:t>201</w:t>
            </w:r>
            <w:r w:rsidR="001D7247">
              <w:rPr>
                <w:rFonts w:eastAsia="Times New Roman"/>
                <w:b/>
                <w:bCs/>
                <w:szCs w:val="24"/>
                <w:lang w:eastAsia="lv-LV"/>
              </w:rPr>
              <w:t>2</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150" w:after="150" w:line="240" w:lineRule="auto"/>
              <w:jc w:val="center"/>
              <w:rPr>
                <w:rFonts w:eastAsia="Times New Roman"/>
                <w:b/>
                <w:bCs/>
                <w:szCs w:val="24"/>
                <w:lang w:eastAsia="lv-LV"/>
              </w:rPr>
            </w:pPr>
            <w:r>
              <w:rPr>
                <w:rFonts w:eastAsia="Times New Roman"/>
                <w:b/>
                <w:bCs/>
                <w:szCs w:val="24"/>
                <w:lang w:eastAsia="lv-LV"/>
              </w:rPr>
              <w:t>201</w:t>
            </w:r>
            <w:r w:rsidR="001D7247">
              <w:rPr>
                <w:rFonts w:eastAsia="Times New Roman"/>
                <w:b/>
                <w:bCs/>
                <w:szCs w:val="24"/>
                <w:lang w:eastAsia="lv-LV"/>
              </w:rPr>
              <w:t>3</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150" w:after="150" w:line="240" w:lineRule="auto"/>
              <w:jc w:val="center"/>
              <w:rPr>
                <w:rFonts w:eastAsia="Times New Roman"/>
                <w:b/>
                <w:bCs/>
                <w:szCs w:val="24"/>
                <w:lang w:eastAsia="lv-LV"/>
              </w:rPr>
            </w:pPr>
            <w:r>
              <w:rPr>
                <w:rFonts w:eastAsia="Times New Roman"/>
                <w:b/>
                <w:bCs/>
                <w:szCs w:val="24"/>
                <w:lang w:eastAsia="lv-LV"/>
              </w:rPr>
              <w:t>201</w:t>
            </w:r>
            <w:r w:rsidR="001D7247">
              <w:rPr>
                <w:rFonts w:eastAsia="Times New Roman"/>
                <w:b/>
                <w:bCs/>
                <w:szCs w:val="24"/>
                <w:lang w:eastAsia="lv-LV"/>
              </w:rPr>
              <w:t>4</w:t>
            </w:r>
          </w:p>
        </w:tc>
      </w:tr>
      <w:tr w:rsidR="0047032E" w:rsidRPr="001261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256"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Saskaņā ar valsts budžetu kārtējam gadam</w:t>
            </w:r>
          </w:p>
        </w:tc>
        <w:tc>
          <w:tcPr>
            <w:tcW w:w="1309"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Izmaiņas kārtējā gadā, salīdzinot ar budžetu kārtējam gadam</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1</w:t>
            </w:r>
          </w:p>
        </w:tc>
        <w:tc>
          <w:tcPr>
            <w:tcW w:w="1256"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2</w:t>
            </w:r>
          </w:p>
        </w:tc>
        <w:tc>
          <w:tcPr>
            <w:tcW w:w="1309"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3</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4</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5</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6</w:t>
            </w:r>
          </w:p>
        </w:tc>
      </w:tr>
      <w:tr w:rsidR="00C26E4F"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C26E4F" w:rsidRPr="0012616F" w:rsidRDefault="00C26E4F" w:rsidP="00A07DA2">
            <w:pPr>
              <w:spacing w:before="75" w:after="75" w:line="240" w:lineRule="auto"/>
              <w:rPr>
                <w:rFonts w:eastAsia="Times New Roman"/>
                <w:szCs w:val="24"/>
                <w:lang w:eastAsia="lv-LV"/>
              </w:rPr>
            </w:pPr>
            <w:r w:rsidRPr="0012616F">
              <w:rPr>
                <w:rFonts w:eastAsia="Times New Roman"/>
                <w:szCs w:val="24"/>
                <w:lang w:eastAsia="lv-LV"/>
              </w:rPr>
              <w:t> 1. Budžeta ieņēmumi:</w:t>
            </w:r>
          </w:p>
        </w:tc>
        <w:tc>
          <w:tcPr>
            <w:tcW w:w="1256" w:type="dxa"/>
            <w:tcBorders>
              <w:top w:val="outset" w:sz="6" w:space="0" w:color="auto"/>
              <w:left w:val="outset" w:sz="6" w:space="0" w:color="auto"/>
              <w:bottom w:val="outset" w:sz="6" w:space="0" w:color="auto"/>
              <w:right w:val="outset" w:sz="6" w:space="0" w:color="auto"/>
            </w:tcBorders>
          </w:tcPr>
          <w:p w:rsidR="00C26E4F" w:rsidRPr="0012616F" w:rsidRDefault="002E72B5" w:rsidP="00C26E4F">
            <w:pPr>
              <w:spacing w:before="75" w:after="75" w:line="240" w:lineRule="auto"/>
              <w:ind w:firstLine="375"/>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C26E4F" w:rsidRPr="0012616F" w:rsidRDefault="00C26E4F" w:rsidP="00C26E4F">
            <w:pPr>
              <w:spacing w:before="75" w:after="75" w:line="240" w:lineRule="auto"/>
              <w:ind w:firstLine="375"/>
              <w:jc w:val="center"/>
              <w:rPr>
                <w:rFonts w:eastAsia="Times New Roman"/>
                <w:szCs w:val="24"/>
                <w:lang w:eastAsia="lv-LV"/>
              </w:rPr>
            </w:pPr>
            <w:r>
              <w:rPr>
                <w:rFonts w:eastAsia="Times New Roman"/>
                <w:szCs w:val="24"/>
                <w:lang w:eastAsia="lv-LV"/>
              </w:rPr>
              <w:t>-6.7</w:t>
            </w:r>
          </w:p>
        </w:tc>
        <w:tc>
          <w:tcPr>
            <w:tcW w:w="1295" w:type="dxa"/>
            <w:tcBorders>
              <w:top w:val="outset" w:sz="6" w:space="0" w:color="auto"/>
              <w:left w:val="outset" w:sz="6" w:space="0" w:color="auto"/>
              <w:bottom w:val="outset" w:sz="6" w:space="0" w:color="auto"/>
              <w:right w:val="outset" w:sz="6" w:space="0" w:color="auto"/>
            </w:tcBorders>
          </w:tcPr>
          <w:p w:rsidR="00C26E4F" w:rsidRPr="004C7665" w:rsidRDefault="00C26E4F" w:rsidP="00C26E4F">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C26E4F" w:rsidRPr="004C7665" w:rsidRDefault="00C26E4F" w:rsidP="00C26E4F">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C26E4F" w:rsidRPr="004C7665" w:rsidRDefault="00C26E4F" w:rsidP="00C26E4F">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1.1. valsts pamatbudžets, tai sk</w:t>
            </w:r>
            <w:r>
              <w:rPr>
                <w:rFonts w:eastAsia="Times New Roman"/>
                <w:szCs w:val="24"/>
                <w:lang w:eastAsia="lv-LV"/>
              </w:rPr>
              <w:t xml:space="preserve">aitā ieņēmumi no maksas </w:t>
            </w:r>
            <w:r>
              <w:rPr>
                <w:rFonts w:eastAsia="Times New Roman"/>
                <w:szCs w:val="24"/>
                <w:lang w:eastAsia="lv-LV"/>
              </w:rPr>
              <w:lastRenderedPageBreak/>
              <w:t>pakalpo</w:t>
            </w:r>
            <w:r w:rsidRPr="0012616F">
              <w:rPr>
                <w:rFonts w:eastAsia="Times New Roman"/>
                <w:szCs w:val="24"/>
                <w:lang w:eastAsia="lv-LV"/>
              </w:rPr>
              <w:t>jumiem un citi pašu ieņēmumi</w:t>
            </w:r>
          </w:p>
        </w:tc>
        <w:tc>
          <w:tcPr>
            <w:tcW w:w="1256" w:type="dxa"/>
            <w:tcBorders>
              <w:top w:val="outset" w:sz="6" w:space="0" w:color="auto"/>
              <w:left w:val="outset" w:sz="6" w:space="0" w:color="auto"/>
              <w:bottom w:val="outset" w:sz="6" w:space="0" w:color="auto"/>
              <w:right w:val="outset" w:sz="6" w:space="0" w:color="auto"/>
            </w:tcBorders>
          </w:tcPr>
          <w:p w:rsidR="0047032E" w:rsidRPr="002E72B5" w:rsidRDefault="002E72B5" w:rsidP="00C26E4F">
            <w:pPr>
              <w:spacing w:before="75" w:after="75" w:line="240" w:lineRule="auto"/>
              <w:ind w:firstLine="375"/>
              <w:jc w:val="center"/>
              <w:rPr>
                <w:rFonts w:eastAsia="Times New Roman"/>
                <w:szCs w:val="24"/>
                <w:lang w:eastAsia="lv-LV"/>
              </w:rPr>
            </w:pPr>
            <w:r w:rsidRPr="002E72B5">
              <w:rPr>
                <w:rFonts w:eastAsia="Times New Roman"/>
                <w:szCs w:val="24"/>
                <w:lang w:eastAsia="lv-LV"/>
              </w:rPr>
              <w:lastRenderedPageBreak/>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C26E4F" w:rsidP="00C26E4F">
            <w:pPr>
              <w:spacing w:before="75" w:after="75" w:line="240" w:lineRule="auto"/>
              <w:ind w:firstLine="375"/>
              <w:jc w:val="center"/>
              <w:rPr>
                <w:rFonts w:eastAsia="Times New Roman"/>
                <w:szCs w:val="24"/>
                <w:lang w:eastAsia="lv-LV"/>
              </w:rPr>
            </w:pPr>
            <w:r>
              <w:rPr>
                <w:rFonts w:eastAsia="Times New Roman"/>
                <w:szCs w:val="24"/>
                <w:lang w:eastAsia="lv-LV"/>
              </w:rPr>
              <w:t>-6.7</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lastRenderedPageBreak/>
              <w:t> 1.2. valsts speciālais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12"/>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1.3. pašvaldību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2. Budžeta izdevumi:</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2E72B5" w:rsidP="00C26E4F">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2E72B5" w:rsidP="00C26E4F">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2.1. valsts pamatbudžets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2E72B5" w:rsidP="00C26E4F">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2E72B5" w:rsidP="00C26E4F">
            <w:pPr>
              <w:tabs>
                <w:tab w:val="left" w:pos="510"/>
                <w:tab w:val="center" w:pos="624"/>
              </w:tabs>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2.2. valsts speciālais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C26E4F" w:rsidP="00C26E4F">
            <w:pPr>
              <w:spacing w:before="75" w:after="75" w:line="240" w:lineRule="auto"/>
              <w:ind w:firstLine="375"/>
              <w:rPr>
                <w:rFonts w:eastAsia="Times New Roman"/>
                <w:szCs w:val="24"/>
                <w:lang w:eastAsia="lv-LV"/>
              </w:rPr>
            </w:pPr>
            <w:r>
              <w:rPr>
                <w:rFonts w:eastAsia="Times New Roman"/>
                <w:szCs w:val="24"/>
                <w:lang w:eastAsia="lv-LV"/>
              </w:rPr>
              <w:t xml:space="preserve">  </w:t>
            </w:r>
            <w:r w:rsidR="0047032E">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C26E4F">
            <w:pPr>
              <w:spacing w:before="75" w:after="75" w:line="240" w:lineRule="auto"/>
              <w:ind w:firstLine="50"/>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 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2.3. pašvaldību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47032E" w:rsidP="00C26E4F">
            <w:pPr>
              <w:spacing w:before="75" w:after="75" w:line="240" w:lineRule="auto"/>
              <w:ind w:firstLine="12"/>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C26E4F">
            <w:pPr>
              <w:spacing w:before="75" w:after="75" w:line="240" w:lineRule="auto"/>
              <w:ind w:firstLine="50"/>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3. Finansiālā ietekme:</w:t>
            </w:r>
          </w:p>
        </w:tc>
        <w:tc>
          <w:tcPr>
            <w:tcW w:w="1256"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2E72B5">
              <w:rPr>
                <w:rFonts w:eastAsia="Times New Roman"/>
                <w:szCs w:val="24"/>
                <w:lang w:eastAsia="lv-LV"/>
              </w:rPr>
              <w:t>-6.7</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3.1. valsts pamatbudžets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61"/>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2E72B5" w:rsidP="00A07DA2">
            <w:pPr>
              <w:spacing w:before="75" w:after="75" w:line="240" w:lineRule="auto"/>
              <w:ind w:firstLine="65"/>
              <w:jc w:val="center"/>
              <w:rPr>
                <w:rFonts w:eastAsia="Times New Roman"/>
                <w:szCs w:val="24"/>
                <w:lang w:eastAsia="lv-LV"/>
              </w:rPr>
            </w:pPr>
            <w:r>
              <w:rPr>
                <w:rFonts w:eastAsia="Times New Roman"/>
                <w:szCs w:val="24"/>
                <w:lang w:eastAsia="lv-LV"/>
              </w:rPr>
              <w:t>-6.7</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3.2. speciālais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61"/>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65"/>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3.3. pašvaldību budžets</w:t>
            </w:r>
          </w:p>
        </w:tc>
        <w:tc>
          <w:tcPr>
            <w:tcW w:w="1256" w:type="dxa"/>
            <w:tcBorders>
              <w:top w:val="outset" w:sz="6" w:space="0" w:color="auto"/>
              <w:left w:val="outset" w:sz="6" w:space="0" w:color="auto"/>
              <w:bottom w:val="outset" w:sz="6" w:space="0" w:color="auto"/>
              <w:right w:val="outset" w:sz="6" w:space="0" w:color="auto"/>
            </w:tcBorders>
          </w:tcPr>
          <w:p w:rsidR="0047032E" w:rsidRPr="0012616F" w:rsidRDefault="00DD7D18" w:rsidP="00A07DA2">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DD7D18" w:rsidP="00A07DA2">
            <w:pPr>
              <w:spacing w:before="75" w:after="75" w:line="240" w:lineRule="auto"/>
              <w:ind w:firstLine="65"/>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4. Finanšu līdzekļi papildu izde</w:t>
            </w:r>
            <w:r w:rsidRPr="0012616F">
              <w:rPr>
                <w:rFonts w:eastAsia="Times New Roman"/>
                <w:szCs w:val="24"/>
                <w:lang w:eastAsia="lv-LV"/>
              </w:rPr>
              <w:softHyphen/>
              <w:t>vumu finansēšanai (kompensējošu izdevumu samazinājumu norāda ar "+" zīmi)</w:t>
            </w:r>
          </w:p>
        </w:tc>
        <w:tc>
          <w:tcPr>
            <w:tcW w:w="1256" w:type="dxa"/>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5. Precizēta finansiālā ietekme:</w:t>
            </w:r>
          </w:p>
        </w:tc>
        <w:tc>
          <w:tcPr>
            <w:tcW w:w="1256" w:type="dxa"/>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jc w:val="center"/>
              <w:rPr>
                <w:rFonts w:eastAsia="Times New Roman"/>
                <w:szCs w:val="24"/>
                <w:lang w:eastAsia="lv-LV"/>
              </w:rPr>
            </w:pPr>
            <w:r w:rsidRPr="0012616F">
              <w:rPr>
                <w:rFonts w:eastAsia="Times New Roman"/>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A07DA2">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6. Detalizēts ieņēmumu un izdevu</w:t>
            </w:r>
            <w:r w:rsidRPr="0012616F">
              <w:rPr>
                <w:rFonts w:eastAsia="Times New Roman"/>
                <w:szCs w:val="24"/>
                <w:lang w:eastAsia="lv-LV"/>
              </w:rPr>
              <w:softHyphen/>
              <w:t xml:space="preserve">mu aprēķins (ja nepieciešams, detalizētu ieņēmumu un izdevumu aprēķinu var pievienot </w:t>
            </w:r>
            <w:r w:rsidRPr="0012616F">
              <w:rPr>
                <w:rFonts w:eastAsia="Times New Roman"/>
                <w:szCs w:val="24"/>
                <w:lang w:eastAsia="lv-LV"/>
              </w:rPr>
              <w:lastRenderedPageBreak/>
              <w:t>anotācijas pielikumā):</w:t>
            </w:r>
          </w:p>
        </w:tc>
        <w:tc>
          <w:tcPr>
            <w:tcW w:w="6196" w:type="dxa"/>
            <w:gridSpan w:val="5"/>
            <w:vMerge w:val="restart"/>
            <w:tcBorders>
              <w:top w:val="outset" w:sz="6" w:space="0" w:color="auto"/>
              <w:left w:val="outset" w:sz="6" w:space="0" w:color="auto"/>
              <w:bottom w:val="outset" w:sz="6" w:space="0" w:color="auto"/>
              <w:right w:val="outset" w:sz="6" w:space="0" w:color="auto"/>
            </w:tcBorders>
            <w:vAlign w:val="center"/>
          </w:tcPr>
          <w:p w:rsidR="0047032E" w:rsidRPr="008F36AC" w:rsidRDefault="008F36AC" w:rsidP="00A07DA2">
            <w:pPr>
              <w:spacing w:before="75" w:after="75" w:line="240" w:lineRule="auto"/>
              <w:jc w:val="both"/>
              <w:rPr>
                <w:rFonts w:eastAsia="Times New Roman"/>
                <w:szCs w:val="24"/>
                <w:lang w:eastAsia="lv-LV"/>
              </w:rPr>
            </w:pPr>
            <w:r w:rsidRPr="008F36AC">
              <w:rPr>
                <w:szCs w:val="24"/>
              </w:rPr>
              <w:lastRenderedPageBreak/>
              <w:t>Projekts šo jomu neskar</w:t>
            </w: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lastRenderedPageBreak/>
              <w:t> 6.1. detalizēts ieņēmumu aprēķins</w:t>
            </w:r>
          </w:p>
        </w:tc>
        <w:tc>
          <w:tcPr>
            <w:tcW w:w="6196" w:type="dxa"/>
            <w:gridSpan w:val="5"/>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6.2. detalizēts izdevumu aprēķins</w:t>
            </w:r>
          </w:p>
        </w:tc>
        <w:tc>
          <w:tcPr>
            <w:tcW w:w="6196" w:type="dxa"/>
            <w:gridSpan w:val="5"/>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A07DA2">
            <w:pPr>
              <w:spacing w:after="0" w:line="240" w:lineRule="auto"/>
              <w:rPr>
                <w:rFonts w:eastAsia="Times New Roman"/>
                <w:szCs w:val="24"/>
                <w:lang w:eastAsia="lv-LV"/>
              </w:rPr>
            </w:pPr>
          </w:p>
        </w:tc>
      </w:tr>
      <w:tr w:rsidR="0047032E" w:rsidRPr="0012616F">
        <w:trPr>
          <w:tblCellSpacing w:w="0" w:type="dxa"/>
        </w:trPr>
        <w:tc>
          <w:tcPr>
            <w:tcW w:w="2999" w:type="dxa"/>
            <w:tcBorders>
              <w:top w:val="outset" w:sz="6" w:space="0" w:color="auto"/>
              <w:left w:val="outset" w:sz="6" w:space="0" w:color="auto"/>
              <w:bottom w:val="outset" w:sz="6" w:space="0" w:color="auto"/>
              <w:right w:val="outset" w:sz="6" w:space="0" w:color="auto"/>
            </w:tcBorders>
          </w:tcPr>
          <w:p w:rsidR="0047032E" w:rsidRPr="0012616F" w:rsidRDefault="0047032E" w:rsidP="00A07DA2">
            <w:pPr>
              <w:spacing w:before="75" w:after="75" w:line="240" w:lineRule="auto"/>
              <w:rPr>
                <w:rFonts w:eastAsia="Times New Roman"/>
                <w:szCs w:val="24"/>
                <w:lang w:eastAsia="lv-LV"/>
              </w:rPr>
            </w:pPr>
            <w:r w:rsidRPr="0012616F">
              <w:rPr>
                <w:rFonts w:eastAsia="Times New Roman"/>
                <w:szCs w:val="24"/>
                <w:lang w:eastAsia="lv-LV"/>
              </w:rPr>
              <w:t> 7. Cita informācija</w:t>
            </w:r>
          </w:p>
        </w:tc>
        <w:tc>
          <w:tcPr>
            <w:tcW w:w="6196" w:type="dxa"/>
            <w:gridSpan w:val="5"/>
            <w:tcBorders>
              <w:top w:val="outset" w:sz="6" w:space="0" w:color="auto"/>
              <w:left w:val="outset" w:sz="6" w:space="0" w:color="auto"/>
              <w:bottom w:val="outset" w:sz="6" w:space="0" w:color="auto"/>
              <w:right w:val="outset" w:sz="6" w:space="0" w:color="auto"/>
            </w:tcBorders>
          </w:tcPr>
          <w:p w:rsidR="0047032E" w:rsidRPr="0012616F" w:rsidRDefault="001D7247" w:rsidP="00A07DA2">
            <w:pPr>
              <w:spacing w:before="75" w:after="75" w:line="240" w:lineRule="auto"/>
              <w:jc w:val="both"/>
              <w:rPr>
                <w:rFonts w:eastAsia="Times New Roman"/>
                <w:szCs w:val="24"/>
                <w:lang w:eastAsia="lv-LV"/>
              </w:rPr>
            </w:pPr>
            <w:r>
              <w:rPr>
                <w:rFonts w:eastAsia="Times New Roman"/>
                <w:szCs w:val="24"/>
                <w:lang w:eastAsia="lv-LV"/>
              </w:rPr>
              <w:t>Ņemot vērā ievērojamu teātra ieņēmumu budžeta samazinājumu salīdzinājumā ar 2009.gadu,</w:t>
            </w:r>
            <w:r w:rsidRPr="0012616F">
              <w:rPr>
                <w:rFonts w:eastAsia="Times New Roman"/>
                <w:szCs w:val="24"/>
                <w:lang w:eastAsia="lv-LV"/>
              </w:rPr>
              <w:t> </w:t>
            </w:r>
            <w:r>
              <w:rPr>
                <w:rFonts w:eastAsia="Times New Roman"/>
                <w:szCs w:val="24"/>
                <w:lang w:eastAsia="lv-LV"/>
              </w:rPr>
              <w:t xml:space="preserve">2011.gada budžetā līdzekļi dividenžu samaksai netika plānoti. Kapitālsabiedrības dividenžu samaksa par 2010.gadu būtu jāveic no pašlaik kapitālsabiedrības rīcībā esošajiem līdzekļiem. Pieņemot lēmumu par atšķirīgu dividendēs izmaksājamo summu (nosakot 0% likmi), valsts budžetā netiktu pārskaitīta summa </w:t>
            </w:r>
            <w:r>
              <w:t xml:space="preserve">LVL 6 754.50 </w:t>
            </w:r>
            <w:r w:rsidRPr="00EE68D2">
              <w:rPr>
                <w:rFonts w:eastAsia="Times New Roman"/>
                <w:szCs w:val="24"/>
                <w:lang w:eastAsia="lv-LV"/>
              </w:rPr>
              <w:t>apmērā, bet minētā summa paliktu kapitālsabiedrības rīcībā un tiktu novirzīta kapitālsabiedrības deleģētās valsts kultūras funkcijas nodrošināšanas izdevumu segšanai 2011.gadā</w:t>
            </w:r>
            <w:r w:rsidR="00F04ABC">
              <w:rPr>
                <w:rFonts w:eastAsia="Times New Roman"/>
                <w:szCs w:val="24"/>
                <w:lang w:eastAsia="lv-LV"/>
              </w:rPr>
              <w:t xml:space="preserve">, </w:t>
            </w:r>
            <w:r w:rsidR="00DD7D18">
              <w:rPr>
                <w:rFonts w:eastAsia="Times New Roman"/>
                <w:szCs w:val="24"/>
                <w:lang w:eastAsia="lv-LV"/>
              </w:rPr>
              <w:t>nepalielinot kapitālsabiedrībai nepiecieš</w:t>
            </w:r>
            <w:r w:rsidR="00F04ABC">
              <w:rPr>
                <w:rFonts w:eastAsia="Times New Roman"/>
                <w:szCs w:val="24"/>
                <w:lang w:eastAsia="lv-LV"/>
              </w:rPr>
              <w:t>amo valsts budžeta dotāciju 2011</w:t>
            </w:r>
            <w:r w:rsidR="00DD7D18">
              <w:rPr>
                <w:rFonts w:eastAsia="Times New Roman"/>
                <w:szCs w:val="24"/>
                <w:lang w:eastAsia="lv-LV"/>
              </w:rPr>
              <w:t xml:space="preserve">.gadā deleģētās valsts kultūras funkcijas īstenošanai.  </w:t>
            </w:r>
          </w:p>
        </w:tc>
      </w:tr>
    </w:tbl>
    <w:p w:rsidR="008F36AC" w:rsidRDefault="008F36AC" w:rsidP="00A07DA2">
      <w:pPr>
        <w:spacing w:before="75" w:after="75" w:line="240" w:lineRule="auto"/>
        <w:rPr>
          <w:rFonts w:eastAsia="Times New Roman"/>
          <w:i/>
          <w:iCs/>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4242"/>
      </w:tblGrid>
      <w:tr w:rsidR="00233886" w:rsidRPr="00082856">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jc w:val="center"/>
              <w:rPr>
                <w:rFonts w:eastAsia="Times New Roman"/>
                <w:szCs w:val="24"/>
                <w:lang w:eastAsia="lv-LV"/>
              </w:rPr>
            </w:pPr>
            <w:r w:rsidRPr="00082856">
              <w:rPr>
                <w:rFonts w:eastAsia="Times New Roman"/>
                <w:szCs w:val="24"/>
                <w:lang w:eastAsia="lv-LV"/>
              </w:rPr>
              <w:t> </w:t>
            </w:r>
            <w:r w:rsidRPr="00082856">
              <w:rPr>
                <w:rFonts w:eastAsia="Times New Roman"/>
                <w:b/>
                <w:bCs/>
                <w:szCs w:val="24"/>
                <w:lang w:eastAsia="lv-LV"/>
              </w:rPr>
              <w:t> VII. Tiesību akta projekta izpildes nodrošināšana un tās ietekme uz institūcijām</w:t>
            </w:r>
          </w:p>
        </w:tc>
      </w:tr>
      <w:tr w:rsidR="00233886" w:rsidRPr="00082856">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1.</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Projekta izpildē iesaistītās institūcijas</w:t>
            </w:r>
          </w:p>
        </w:tc>
        <w:tc>
          <w:tcPr>
            <w:tcW w:w="4242"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rFonts w:eastAsia="Times New Roman"/>
                <w:szCs w:val="24"/>
                <w:lang w:eastAsia="lv-LV"/>
              </w:rPr>
              <w:t xml:space="preserve">Kultūras ministrija, Valsts ieņēmumu dienests </w:t>
            </w:r>
          </w:p>
        </w:tc>
      </w:tr>
      <w:tr w:rsidR="00233886" w:rsidRPr="00082856">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2.</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Projekta izpildes ietekme uz pārvaldes funkcijām</w:t>
            </w:r>
          </w:p>
        </w:tc>
        <w:tc>
          <w:tcPr>
            <w:tcW w:w="4242"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rFonts w:eastAsia="Times New Roman"/>
                <w:szCs w:val="24"/>
                <w:lang w:eastAsia="lv-LV"/>
              </w:rPr>
              <w:t xml:space="preserve">Funkcijas netiek paplašinātas. </w:t>
            </w:r>
          </w:p>
        </w:tc>
      </w:tr>
      <w:tr w:rsidR="00233886" w:rsidRPr="00082856">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3.</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Jaunu institūciju izveide</w:t>
            </w:r>
          </w:p>
        </w:tc>
        <w:tc>
          <w:tcPr>
            <w:tcW w:w="4242"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color w:val="000000"/>
                <w:szCs w:val="26"/>
              </w:rPr>
              <w:t xml:space="preserve">Projekta </w:t>
            </w:r>
            <w:r w:rsidRPr="00863771">
              <w:rPr>
                <w:color w:val="000000"/>
                <w:szCs w:val="26"/>
              </w:rPr>
              <w:t xml:space="preserve">izpildei nav </w:t>
            </w:r>
            <w:r>
              <w:rPr>
                <w:color w:val="000000"/>
                <w:szCs w:val="26"/>
              </w:rPr>
              <w:t>nepieciešams radīt jaunas pārvaldes</w:t>
            </w:r>
            <w:r w:rsidRPr="00863771">
              <w:rPr>
                <w:color w:val="000000"/>
                <w:szCs w:val="26"/>
              </w:rPr>
              <w:t xml:space="preserve"> institūcijas</w:t>
            </w:r>
            <w:r>
              <w:rPr>
                <w:color w:val="000000"/>
                <w:szCs w:val="26"/>
              </w:rPr>
              <w:t>.</w:t>
            </w:r>
          </w:p>
        </w:tc>
      </w:tr>
      <w:tr w:rsidR="00233886" w:rsidRPr="00082856">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4.</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Esošu institūciju likvidācija</w:t>
            </w:r>
          </w:p>
        </w:tc>
        <w:tc>
          <w:tcPr>
            <w:tcW w:w="4242" w:type="dxa"/>
            <w:tcBorders>
              <w:top w:val="outset" w:sz="6" w:space="0" w:color="auto"/>
              <w:left w:val="outset" w:sz="6" w:space="0" w:color="auto"/>
              <w:bottom w:val="outset" w:sz="6" w:space="0" w:color="auto"/>
              <w:right w:val="outset" w:sz="6" w:space="0" w:color="auto"/>
            </w:tcBorders>
          </w:tcPr>
          <w:p w:rsidR="00233886" w:rsidRPr="008F36AC" w:rsidRDefault="008F36AC" w:rsidP="00A07DA2">
            <w:pPr>
              <w:spacing w:after="0" w:line="240" w:lineRule="auto"/>
              <w:rPr>
                <w:rFonts w:eastAsia="Times New Roman"/>
                <w:szCs w:val="24"/>
                <w:lang w:eastAsia="lv-LV"/>
              </w:rPr>
            </w:pPr>
            <w:r w:rsidRPr="008F36AC">
              <w:rPr>
                <w:szCs w:val="24"/>
              </w:rPr>
              <w:t>Projekts šo jomu neskar</w:t>
            </w:r>
          </w:p>
        </w:tc>
      </w:tr>
      <w:tr w:rsidR="00233886" w:rsidRPr="00082856">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5.</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Esošu institūciju reorganizācija</w:t>
            </w:r>
          </w:p>
        </w:tc>
        <w:tc>
          <w:tcPr>
            <w:tcW w:w="4242" w:type="dxa"/>
            <w:tcBorders>
              <w:top w:val="outset" w:sz="6" w:space="0" w:color="auto"/>
              <w:left w:val="outset" w:sz="6" w:space="0" w:color="auto"/>
              <w:bottom w:val="outset" w:sz="6" w:space="0" w:color="auto"/>
              <w:right w:val="outset" w:sz="6" w:space="0" w:color="auto"/>
            </w:tcBorders>
          </w:tcPr>
          <w:p w:rsidR="00233886" w:rsidRPr="008F36AC" w:rsidRDefault="008F36AC" w:rsidP="00A07DA2">
            <w:pPr>
              <w:spacing w:after="0" w:line="240" w:lineRule="auto"/>
              <w:rPr>
                <w:rFonts w:eastAsia="Times New Roman"/>
                <w:szCs w:val="24"/>
                <w:lang w:eastAsia="lv-LV"/>
              </w:rPr>
            </w:pPr>
            <w:r w:rsidRPr="008F36AC">
              <w:rPr>
                <w:szCs w:val="24"/>
              </w:rPr>
              <w:t>Projekts šo jomu neskar</w:t>
            </w:r>
          </w:p>
        </w:tc>
      </w:tr>
      <w:tr w:rsidR="00233886" w:rsidRPr="00082856">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6.</w:t>
            </w:r>
          </w:p>
        </w:tc>
        <w:tc>
          <w:tcPr>
            <w:tcW w:w="3618"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sidRPr="00082856">
              <w:rPr>
                <w:rFonts w:eastAsia="Times New Roman"/>
                <w:szCs w:val="24"/>
                <w:lang w:eastAsia="lv-LV"/>
              </w:rPr>
              <w:t> Cita informācija</w:t>
            </w:r>
          </w:p>
        </w:tc>
        <w:tc>
          <w:tcPr>
            <w:tcW w:w="4242" w:type="dxa"/>
            <w:tcBorders>
              <w:top w:val="outset" w:sz="6" w:space="0" w:color="auto"/>
              <w:left w:val="outset" w:sz="6" w:space="0" w:color="auto"/>
              <w:bottom w:val="outset" w:sz="6" w:space="0" w:color="auto"/>
              <w:right w:val="outset" w:sz="6" w:space="0" w:color="auto"/>
            </w:tcBorders>
          </w:tcPr>
          <w:p w:rsidR="00233886" w:rsidRPr="00082856" w:rsidRDefault="00233886" w:rsidP="00A07DA2">
            <w:pPr>
              <w:spacing w:after="0" w:line="240" w:lineRule="auto"/>
              <w:rPr>
                <w:rFonts w:eastAsia="Times New Roman"/>
                <w:szCs w:val="24"/>
                <w:lang w:eastAsia="lv-LV"/>
              </w:rPr>
            </w:pPr>
            <w:r>
              <w:rPr>
                <w:rFonts w:eastAsia="Times New Roman"/>
                <w:szCs w:val="24"/>
                <w:lang w:eastAsia="lv-LV"/>
              </w:rPr>
              <w:t>Nav</w:t>
            </w:r>
          </w:p>
        </w:tc>
      </w:tr>
    </w:tbl>
    <w:p w:rsidR="00F04ABC" w:rsidRPr="00EB527F" w:rsidRDefault="008F36AC" w:rsidP="00EB527F">
      <w:pPr>
        <w:pStyle w:val="tvhtml"/>
        <w:rPr>
          <w:rFonts w:ascii="Times New Roman" w:hAnsi="Times New Roman"/>
          <w:sz w:val="24"/>
          <w:szCs w:val="24"/>
        </w:rPr>
      </w:pPr>
      <w:r w:rsidRPr="008F36AC">
        <w:rPr>
          <w:rFonts w:ascii="Times New Roman" w:hAnsi="Times New Roman"/>
          <w:i/>
          <w:iCs/>
          <w:sz w:val="24"/>
          <w:szCs w:val="24"/>
        </w:rPr>
        <w:t>Anotācijas II, IV, V un V</w:t>
      </w:r>
      <w:r w:rsidR="005325D2">
        <w:rPr>
          <w:rFonts w:ascii="Times New Roman" w:hAnsi="Times New Roman"/>
          <w:i/>
          <w:iCs/>
          <w:sz w:val="24"/>
          <w:szCs w:val="24"/>
        </w:rPr>
        <w:t>I</w:t>
      </w:r>
      <w:r w:rsidRPr="008F36AC">
        <w:rPr>
          <w:rFonts w:ascii="Times New Roman" w:hAnsi="Times New Roman"/>
          <w:i/>
          <w:iCs/>
          <w:sz w:val="24"/>
          <w:szCs w:val="24"/>
        </w:rPr>
        <w:t xml:space="preserve"> sadaļa – projekts šīs jomas neskar</w:t>
      </w:r>
    </w:p>
    <w:p w:rsidR="00F04ABC" w:rsidRPr="00752E02" w:rsidRDefault="00F04ABC" w:rsidP="00A07DA2">
      <w:pPr>
        <w:spacing w:after="0" w:line="240" w:lineRule="auto"/>
        <w:ind w:firstLine="720"/>
        <w:rPr>
          <w:szCs w:val="24"/>
        </w:rPr>
      </w:pPr>
      <w:r>
        <w:rPr>
          <w:szCs w:val="24"/>
        </w:rPr>
        <w:t>Kultūras ministre</w:t>
      </w:r>
      <w:r>
        <w:rPr>
          <w:szCs w:val="24"/>
        </w:rPr>
        <w:tab/>
      </w:r>
      <w:r>
        <w:rPr>
          <w:szCs w:val="24"/>
        </w:rPr>
        <w:tab/>
      </w:r>
      <w:r>
        <w:rPr>
          <w:szCs w:val="24"/>
        </w:rPr>
        <w:tab/>
      </w:r>
      <w:r>
        <w:rPr>
          <w:szCs w:val="24"/>
        </w:rPr>
        <w:tab/>
      </w:r>
      <w:r>
        <w:rPr>
          <w:szCs w:val="24"/>
        </w:rPr>
        <w:tab/>
      </w:r>
      <w:proofErr w:type="gramStart"/>
      <w:r>
        <w:rPr>
          <w:szCs w:val="24"/>
        </w:rPr>
        <w:t xml:space="preserve">           </w:t>
      </w:r>
      <w:proofErr w:type="gramEnd"/>
      <w:r>
        <w:rPr>
          <w:szCs w:val="24"/>
        </w:rPr>
        <w:t>S.Ēlerte</w:t>
      </w:r>
    </w:p>
    <w:p w:rsidR="00F04ABC" w:rsidRDefault="00F04ABC" w:rsidP="00B204CB">
      <w:pPr>
        <w:spacing w:after="0" w:line="240" w:lineRule="auto"/>
        <w:rPr>
          <w:szCs w:val="24"/>
        </w:rPr>
      </w:pPr>
    </w:p>
    <w:p w:rsidR="00EB527F" w:rsidRPr="00EB527F" w:rsidRDefault="00F04ABC" w:rsidP="00EB527F">
      <w:pPr>
        <w:spacing w:after="0" w:line="240" w:lineRule="auto"/>
        <w:ind w:firstLine="720"/>
        <w:rPr>
          <w:szCs w:val="24"/>
        </w:rPr>
      </w:pPr>
      <w:r w:rsidRPr="00752E02">
        <w:rPr>
          <w:szCs w:val="24"/>
        </w:rPr>
        <w:t>Vīza: Valsts sekretār</w:t>
      </w:r>
      <w:r>
        <w:rPr>
          <w:szCs w:val="24"/>
        </w:rPr>
        <w:t>e</w:t>
      </w:r>
      <w:r w:rsidRPr="00752E02">
        <w:rPr>
          <w:szCs w:val="24"/>
        </w:rPr>
        <w:tab/>
      </w:r>
      <w:r w:rsidRPr="00752E02">
        <w:rPr>
          <w:szCs w:val="24"/>
        </w:rPr>
        <w:tab/>
      </w:r>
      <w:r w:rsidRPr="00752E02">
        <w:rPr>
          <w:szCs w:val="24"/>
        </w:rPr>
        <w:tab/>
      </w:r>
      <w:r w:rsidRPr="00752E02">
        <w:rPr>
          <w:szCs w:val="24"/>
        </w:rPr>
        <w:tab/>
      </w:r>
      <w:r w:rsidRPr="00752E02">
        <w:rPr>
          <w:szCs w:val="24"/>
        </w:rPr>
        <w:tab/>
      </w:r>
      <w:proofErr w:type="gramStart"/>
      <w:r>
        <w:rPr>
          <w:szCs w:val="24"/>
        </w:rPr>
        <w:t xml:space="preserve">           </w:t>
      </w:r>
      <w:proofErr w:type="gramEnd"/>
      <w:r>
        <w:rPr>
          <w:szCs w:val="24"/>
        </w:rPr>
        <w:t>S.Zvidriņa</w:t>
      </w:r>
    </w:p>
    <w:p w:rsidR="00233886" w:rsidRPr="00211240" w:rsidRDefault="00EB527F" w:rsidP="00A07DA2">
      <w:pPr>
        <w:tabs>
          <w:tab w:val="left" w:pos="5325"/>
        </w:tabs>
        <w:spacing w:after="0" w:line="240" w:lineRule="auto"/>
        <w:jc w:val="both"/>
        <w:rPr>
          <w:sz w:val="20"/>
          <w:szCs w:val="20"/>
        </w:rPr>
      </w:pPr>
      <w:r>
        <w:rPr>
          <w:sz w:val="20"/>
          <w:szCs w:val="20"/>
        </w:rPr>
        <w:t>16</w:t>
      </w:r>
      <w:r w:rsidR="000E3FE7">
        <w:rPr>
          <w:sz w:val="20"/>
          <w:szCs w:val="20"/>
        </w:rPr>
        <w:t>.0</w:t>
      </w:r>
      <w:r>
        <w:rPr>
          <w:sz w:val="20"/>
          <w:szCs w:val="20"/>
        </w:rPr>
        <w:t>6</w:t>
      </w:r>
      <w:r w:rsidR="000E3FE7">
        <w:rPr>
          <w:sz w:val="20"/>
          <w:szCs w:val="20"/>
        </w:rPr>
        <w:t>.</w:t>
      </w:r>
      <w:r w:rsidR="00457259">
        <w:rPr>
          <w:sz w:val="20"/>
          <w:szCs w:val="20"/>
        </w:rPr>
        <w:t>20</w:t>
      </w:r>
      <w:r w:rsidR="000E3FE7">
        <w:rPr>
          <w:sz w:val="20"/>
          <w:szCs w:val="20"/>
        </w:rPr>
        <w:t>11</w:t>
      </w:r>
      <w:r w:rsidR="00457259">
        <w:rPr>
          <w:sz w:val="20"/>
          <w:szCs w:val="20"/>
        </w:rPr>
        <w:t>.</w:t>
      </w:r>
    </w:p>
    <w:p w:rsidR="00EB527F" w:rsidRDefault="00EB527F" w:rsidP="00A07DA2">
      <w:pPr>
        <w:spacing w:after="0" w:line="240" w:lineRule="auto"/>
        <w:jc w:val="both"/>
        <w:rPr>
          <w:sz w:val="20"/>
          <w:szCs w:val="20"/>
        </w:rPr>
      </w:pPr>
      <w:r>
        <w:rPr>
          <w:sz w:val="20"/>
          <w:szCs w:val="20"/>
        </w:rPr>
        <w:t>1293</w:t>
      </w:r>
    </w:p>
    <w:p w:rsidR="00233886" w:rsidRDefault="000E3FE7" w:rsidP="00EB527F">
      <w:pPr>
        <w:spacing w:after="0" w:line="240" w:lineRule="auto"/>
        <w:jc w:val="both"/>
      </w:pPr>
      <w:r>
        <w:rPr>
          <w:sz w:val="20"/>
          <w:szCs w:val="20"/>
        </w:rPr>
        <w:t>I.Vasmane</w:t>
      </w:r>
      <w:r w:rsidR="00EB527F">
        <w:rPr>
          <w:sz w:val="20"/>
          <w:szCs w:val="20"/>
        </w:rPr>
        <w:t xml:space="preserve">, </w:t>
      </w:r>
      <w:r w:rsidR="00B619A0">
        <w:rPr>
          <w:sz w:val="20"/>
          <w:szCs w:val="20"/>
        </w:rPr>
        <w:t>673302</w:t>
      </w:r>
      <w:r>
        <w:rPr>
          <w:sz w:val="20"/>
          <w:szCs w:val="20"/>
        </w:rPr>
        <w:t>62</w:t>
      </w:r>
      <w:r w:rsidR="00EB527F">
        <w:rPr>
          <w:sz w:val="20"/>
          <w:szCs w:val="20"/>
        </w:rPr>
        <w:t xml:space="preserve">, </w:t>
      </w:r>
      <w:r>
        <w:rPr>
          <w:sz w:val="20"/>
          <w:szCs w:val="20"/>
        </w:rPr>
        <w:t>Iluta.Vasmane@km.gov.lv</w:t>
      </w:r>
    </w:p>
    <w:sectPr w:rsidR="00233886" w:rsidSect="00F6251D">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1B" w:rsidRDefault="0078231B">
      <w:r>
        <w:separator/>
      </w:r>
    </w:p>
  </w:endnote>
  <w:endnote w:type="continuationSeparator" w:id="0">
    <w:p w:rsidR="0078231B" w:rsidRDefault="0078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1B" w:rsidRDefault="0078231B"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8231B" w:rsidRDefault="0078231B" w:rsidP="004B7207">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1B" w:rsidRDefault="0078231B"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074B">
      <w:rPr>
        <w:rStyle w:val="Lappusesnumurs"/>
        <w:noProof/>
      </w:rPr>
      <w:t>5</w:t>
    </w:r>
    <w:r>
      <w:rPr>
        <w:rStyle w:val="Lappusesnumurs"/>
      </w:rPr>
      <w:fldChar w:fldCharType="end"/>
    </w:r>
  </w:p>
  <w:p w:rsidR="0078231B" w:rsidRPr="00196730" w:rsidRDefault="0078231B" w:rsidP="004B7207">
    <w:pPr>
      <w:spacing w:after="0" w:line="240" w:lineRule="auto"/>
      <w:ind w:right="360"/>
      <w:jc w:val="both"/>
      <w:rPr>
        <w:sz w:val="20"/>
        <w:szCs w:val="20"/>
      </w:rPr>
    </w:pPr>
    <w:r w:rsidRPr="00B470EC">
      <w:rPr>
        <w:sz w:val="20"/>
        <w:szCs w:val="20"/>
      </w:rPr>
      <w:fldChar w:fldCharType="begin"/>
    </w:r>
    <w:r w:rsidRPr="00B470EC">
      <w:rPr>
        <w:sz w:val="20"/>
        <w:szCs w:val="20"/>
      </w:rPr>
      <w:instrText xml:space="preserve"> FILENAME </w:instrText>
    </w:r>
    <w:r w:rsidRPr="00B470EC">
      <w:rPr>
        <w:sz w:val="20"/>
        <w:szCs w:val="20"/>
      </w:rPr>
      <w:fldChar w:fldCharType="separate"/>
    </w:r>
    <w:r>
      <w:rPr>
        <w:noProof/>
        <w:sz w:val="20"/>
        <w:szCs w:val="20"/>
      </w:rPr>
      <w:t>KMAnot_160611_LLTdividendes</w:t>
    </w:r>
    <w:r w:rsidRPr="00B470EC">
      <w:rPr>
        <w:sz w:val="20"/>
        <w:szCs w:val="20"/>
      </w:rPr>
      <w:fldChar w:fldCharType="end"/>
    </w:r>
    <w:r w:rsidRPr="00196730">
      <w:rPr>
        <w:sz w:val="20"/>
        <w:szCs w:val="20"/>
      </w:rPr>
      <w:t>; Ministru kabineta rīkojuma projekta „Par valstij dividendēs izmaksājamo valsts sabiedrības ar ierobežotu atbildību "</w:t>
    </w:r>
    <w:r>
      <w:rPr>
        <w:sz w:val="20"/>
        <w:szCs w:val="20"/>
      </w:rPr>
      <w:t>Latvijas Leļļu teātris</w:t>
    </w:r>
    <w:r w:rsidRPr="00196730">
      <w:rPr>
        <w:sz w:val="20"/>
        <w:szCs w:val="20"/>
      </w:rPr>
      <w:t>" peļņas daļu” sākotnējā</w:t>
    </w:r>
    <w:r>
      <w:rPr>
        <w:sz w:val="20"/>
        <w:szCs w:val="20"/>
      </w:rPr>
      <w:t>s ietekmes novērtējuma ziņojums (anotācija)</w:t>
    </w:r>
  </w:p>
  <w:p w:rsidR="0078231B" w:rsidRDefault="0078231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1B" w:rsidRDefault="0078231B">
      <w:r>
        <w:separator/>
      </w:r>
    </w:p>
  </w:footnote>
  <w:footnote w:type="continuationSeparator" w:id="0">
    <w:p w:rsidR="0078231B" w:rsidRDefault="00782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4599C"/>
    <w:rsid w:val="000368D1"/>
    <w:rsid w:val="0006635A"/>
    <w:rsid w:val="00072E9D"/>
    <w:rsid w:val="00076481"/>
    <w:rsid w:val="00084832"/>
    <w:rsid w:val="0009304F"/>
    <w:rsid w:val="000A3D40"/>
    <w:rsid w:val="000B5E22"/>
    <w:rsid w:val="000C7CD4"/>
    <w:rsid w:val="000D3819"/>
    <w:rsid w:val="000D6DB8"/>
    <w:rsid w:val="000E3FE7"/>
    <w:rsid w:val="001012B1"/>
    <w:rsid w:val="00110D7A"/>
    <w:rsid w:val="00111DA0"/>
    <w:rsid w:val="00124012"/>
    <w:rsid w:val="00137350"/>
    <w:rsid w:val="00140E53"/>
    <w:rsid w:val="00144F7F"/>
    <w:rsid w:val="001554B7"/>
    <w:rsid w:val="001825C5"/>
    <w:rsid w:val="0019573B"/>
    <w:rsid w:val="00197169"/>
    <w:rsid w:val="001A297A"/>
    <w:rsid w:val="001C08A1"/>
    <w:rsid w:val="001D12FB"/>
    <w:rsid w:val="001D7247"/>
    <w:rsid w:val="001E3115"/>
    <w:rsid w:val="001F06E1"/>
    <w:rsid w:val="002269AA"/>
    <w:rsid w:val="002310DC"/>
    <w:rsid w:val="00233886"/>
    <w:rsid w:val="00240BF4"/>
    <w:rsid w:val="0025645B"/>
    <w:rsid w:val="0026497D"/>
    <w:rsid w:val="002864B2"/>
    <w:rsid w:val="00294E1C"/>
    <w:rsid w:val="002A0589"/>
    <w:rsid w:val="002B442D"/>
    <w:rsid w:val="002B47F7"/>
    <w:rsid w:val="002B533F"/>
    <w:rsid w:val="002B7C16"/>
    <w:rsid w:val="002D3D68"/>
    <w:rsid w:val="002D712D"/>
    <w:rsid w:val="002E10A2"/>
    <w:rsid w:val="002E72B5"/>
    <w:rsid w:val="002F2CF5"/>
    <w:rsid w:val="002F439F"/>
    <w:rsid w:val="00303D7E"/>
    <w:rsid w:val="00310432"/>
    <w:rsid w:val="003146B0"/>
    <w:rsid w:val="00325840"/>
    <w:rsid w:val="00340F72"/>
    <w:rsid w:val="0035363F"/>
    <w:rsid w:val="003623A4"/>
    <w:rsid w:val="00363690"/>
    <w:rsid w:val="003A3486"/>
    <w:rsid w:val="003A620B"/>
    <w:rsid w:val="003B3FBF"/>
    <w:rsid w:val="003D0E94"/>
    <w:rsid w:val="003D36B4"/>
    <w:rsid w:val="003E6C7F"/>
    <w:rsid w:val="003E7553"/>
    <w:rsid w:val="003F3872"/>
    <w:rsid w:val="0040379E"/>
    <w:rsid w:val="004078E8"/>
    <w:rsid w:val="00412D20"/>
    <w:rsid w:val="004237C4"/>
    <w:rsid w:val="00431737"/>
    <w:rsid w:val="00435C58"/>
    <w:rsid w:val="00436944"/>
    <w:rsid w:val="00457259"/>
    <w:rsid w:val="004576DF"/>
    <w:rsid w:val="0047032E"/>
    <w:rsid w:val="004705B7"/>
    <w:rsid w:val="0047185E"/>
    <w:rsid w:val="00490AC6"/>
    <w:rsid w:val="00492EB8"/>
    <w:rsid w:val="004A4CEB"/>
    <w:rsid w:val="004A6C30"/>
    <w:rsid w:val="004A753E"/>
    <w:rsid w:val="004B0A07"/>
    <w:rsid w:val="004B7207"/>
    <w:rsid w:val="004C126A"/>
    <w:rsid w:val="004C2F08"/>
    <w:rsid w:val="004C33B9"/>
    <w:rsid w:val="004C5E99"/>
    <w:rsid w:val="004D0F26"/>
    <w:rsid w:val="004D481B"/>
    <w:rsid w:val="004E014D"/>
    <w:rsid w:val="004E3631"/>
    <w:rsid w:val="004E5DAF"/>
    <w:rsid w:val="0050031C"/>
    <w:rsid w:val="00500D8A"/>
    <w:rsid w:val="0050320E"/>
    <w:rsid w:val="0050469F"/>
    <w:rsid w:val="005122C1"/>
    <w:rsid w:val="00522759"/>
    <w:rsid w:val="005325D2"/>
    <w:rsid w:val="00553A75"/>
    <w:rsid w:val="005677F1"/>
    <w:rsid w:val="00570C16"/>
    <w:rsid w:val="00572F0B"/>
    <w:rsid w:val="00590EFB"/>
    <w:rsid w:val="005B0ACA"/>
    <w:rsid w:val="005C2A97"/>
    <w:rsid w:val="005D6C2D"/>
    <w:rsid w:val="005E1FE5"/>
    <w:rsid w:val="005E4777"/>
    <w:rsid w:val="005E51E6"/>
    <w:rsid w:val="005E64E4"/>
    <w:rsid w:val="005F0612"/>
    <w:rsid w:val="00602FE4"/>
    <w:rsid w:val="0061033C"/>
    <w:rsid w:val="0062074B"/>
    <w:rsid w:val="00620E02"/>
    <w:rsid w:val="00640990"/>
    <w:rsid w:val="00646E47"/>
    <w:rsid w:val="00651C7C"/>
    <w:rsid w:val="006619C7"/>
    <w:rsid w:val="00665DA5"/>
    <w:rsid w:val="00671240"/>
    <w:rsid w:val="006764ED"/>
    <w:rsid w:val="00685A37"/>
    <w:rsid w:val="006A4293"/>
    <w:rsid w:val="006A4E2F"/>
    <w:rsid w:val="006B2EE7"/>
    <w:rsid w:val="006B44C0"/>
    <w:rsid w:val="006E2664"/>
    <w:rsid w:val="006E2822"/>
    <w:rsid w:val="006F7ED2"/>
    <w:rsid w:val="007105B4"/>
    <w:rsid w:val="00733001"/>
    <w:rsid w:val="00751F67"/>
    <w:rsid w:val="00757154"/>
    <w:rsid w:val="007624EA"/>
    <w:rsid w:val="0077784A"/>
    <w:rsid w:val="00780E33"/>
    <w:rsid w:val="00780E8E"/>
    <w:rsid w:val="0078231B"/>
    <w:rsid w:val="0078384F"/>
    <w:rsid w:val="00785E37"/>
    <w:rsid w:val="00792F44"/>
    <w:rsid w:val="007A3B64"/>
    <w:rsid w:val="007A48C5"/>
    <w:rsid w:val="007A71C8"/>
    <w:rsid w:val="007B3C39"/>
    <w:rsid w:val="007C331B"/>
    <w:rsid w:val="00800087"/>
    <w:rsid w:val="00803814"/>
    <w:rsid w:val="00825805"/>
    <w:rsid w:val="00845B8F"/>
    <w:rsid w:val="0085271F"/>
    <w:rsid w:val="00853B8D"/>
    <w:rsid w:val="00863894"/>
    <w:rsid w:val="00876F15"/>
    <w:rsid w:val="00881E83"/>
    <w:rsid w:val="00882CF9"/>
    <w:rsid w:val="008832B8"/>
    <w:rsid w:val="00883E4B"/>
    <w:rsid w:val="00886EDA"/>
    <w:rsid w:val="008901AA"/>
    <w:rsid w:val="008905EC"/>
    <w:rsid w:val="008B1D70"/>
    <w:rsid w:val="008B781B"/>
    <w:rsid w:val="008E18CB"/>
    <w:rsid w:val="008E5461"/>
    <w:rsid w:val="008F36AC"/>
    <w:rsid w:val="008F4F8F"/>
    <w:rsid w:val="00902FA1"/>
    <w:rsid w:val="009044C5"/>
    <w:rsid w:val="00905D8A"/>
    <w:rsid w:val="009075F8"/>
    <w:rsid w:val="00910026"/>
    <w:rsid w:val="00914CE4"/>
    <w:rsid w:val="00943372"/>
    <w:rsid w:val="00966683"/>
    <w:rsid w:val="00967EB3"/>
    <w:rsid w:val="00974A21"/>
    <w:rsid w:val="0098647B"/>
    <w:rsid w:val="009912E3"/>
    <w:rsid w:val="00994AA2"/>
    <w:rsid w:val="009A2C8E"/>
    <w:rsid w:val="009B36FF"/>
    <w:rsid w:val="009C0E12"/>
    <w:rsid w:val="009D545C"/>
    <w:rsid w:val="009D660D"/>
    <w:rsid w:val="009D6AFF"/>
    <w:rsid w:val="00A07DA2"/>
    <w:rsid w:val="00A10B03"/>
    <w:rsid w:val="00A21ABE"/>
    <w:rsid w:val="00A22215"/>
    <w:rsid w:val="00A237EA"/>
    <w:rsid w:val="00A33FF8"/>
    <w:rsid w:val="00A478DA"/>
    <w:rsid w:val="00A60F45"/>
    <w:rsid w:val="00A84E31"/>
    <w:rsid w:val="00A973BD"/>
    <w:rsid w:val="00AA242A"/>
    <w:rsid w:val="00AA645F"/>
    <w:rsid w:val="00AB07E7"/>
    <w:rsid w:val="00AB6128"/>
    <w:rsid w:val="00AB6B10"/>
    <w:rsid w:val="00AB7FEA"/>
    <w:rsid w:val="00AD3A08"/>
    <w:rsid w:val="00AD6628"/>
    <w:rsid w:val="00AE1474"/>
    <w:rsid w:val="00AE673A"/>
    <w:rsid w:val="00B128C7"/>
    <w:rsid w:val="00B204CB"/>
    <w:rsid w:val="00B310A3"/>
    <w:rsid w:val="00B452E7"/>
    <w:rsid w:val="00B470EC"/>
    <w:rsid w:val="00B57682"/>
    <w:rsid w:val="00B619A0"/>
    <w:rsid w:val="00B701FC"/>
    <w:rsid w:val="00B70DDB"/>
    <w:rsid w:val="00B81B33"/>
    <w:rsid w:val="00B86640"/>
    <w:rsid w:val="00BA577B"/>
    <w:rsid w:val="00BB5F38"/>
    <w:rsid w:val="00BC1082"/>
    <w:rsid w:val="00BC35F4"/>
    <w:rsid w:val="00BC4B0C"/>
    <w:rsid w:val="00BD034B"/>
    <w:rsid w:val="00BD03EE"/>
    <w:rsid w:val="00BE6335"/>
    <w:rsid w:val="00BF71AB"/>
    <w:rsid w:val="00C02CC9"/>
    <w:rsid w:val="00C26E4F"/>
    <w:rsid w:val="00C36001"/>
    <w:rsid w:val="00C4599C"/>
    <w:rsid w:val="00C60C40"/>
    <w:rsid w:val="00C63B53"/>
    <w:rsid w:val="00C7639D"/>
    <w:rsid w:val="00C813AA"/>
    <w:rsid w:val="00C8644E"/>
    <w:rsid w:val="00C8753B"/>
    <w:rsid w:val="00C90F7C"/>
    <w:rsid w:val="00C9105C"/>
    <w:rsid w:val="00C9627B"/>
    <w:rsid w:val="00CA4307"/>
    <w:rsid w:val="00CE2A66"/>
    <w:rsid w:val="00CE4699"/>
    <w:rsid w:val="00D006B7"/>
    <w:rsid w:val="00D0554D"/>
    <w:rsid w:val="00D10EAB"/>
    <w:rsid w:val="00D226E3"/>
    <w:rsid w:val="00D23790"/>
    <w:rsid w:val="00D34DCC"/>
    <w:rsid w:val="00D52A95"/>
    <w:rsid w:val="00D645B6"/>
    <w:rsid w:val="00D67AE9"/>
    <w:rsid w:val="00D72AEB"/>
    <w:rsid w:val="00D80C09"/>
    <w:rsid w:val="00D840DC"/>
    <w:rsid w:val="00D9172F"/>
    <w:rsid w:val="00D941D8"/>
    <w:rsid w:val="00D958BD"/>
    <w:rsid w:val="00DC6876"/>
    <w:rsid w:val="00DC7E8C"/>
    <w:rsid w:val="00DD3A97"/>
    <w:rsid w:val="00DD7D18"/>
    <w:rsid w:val="00DE6659"/>
    <w:rsid w:val="00DF443B"/>
    <w:rsid w:val="00E01896"/>
    <w:rsid w:val="00E226A7"/>
    <w:rsid w:val="00E25900"/>
    <w:rsid w:val="00E2645D"/>
    <w:rsid w:val="00E33DD9"/>
    <w:rsid w:val="00E536D9"/>
    <w:rsid w:val="00E56430"/>
    <w:rsid w:val="00E63574"/>
    <w:rsid w:val="00E73685"/>
    <w:rsid w:val="00E83682"/>
    <w:rsid w:val="00E924AE"/>
    <w:rsid w:val="00E97C80"/>
    <w:rsid w:val="00EA0EF2"/>
    <w:rsid w:val="00EB1ACD"/>
    <w:rsid w:val="00EB527F"/>
    <w:rsid w:val="00ED7629"/>
    <w:rsid w:val="00EE54AE"/>
    <w:rsid w:val="00EF256D"/>
    <w:rsid w:val="00F04ABC"/>
    <w:rsid w:val="00F16DCB"/>
    <w:rsid w:val="00F231C0"/>
    <w:rsid w:val="00F33BBB"/>
    <w:rsid w:val="00F40E33"/>
    <w:rsid w:val="00F4371B"/>
    <w:rsid w:val="00F57361"/>
    <w:rsid w:val="00F6061E"/>
    <w:rsid w:val="00F6251D"/>
    <w:rsid w:val="00F82798"/>
    <w:rsid w:val="00F836F7"/>
    <w:rsid w:val="00FB5DAD"/>
    <w:rsid w:val="00FB5EBF"/>
    <w:rsid w:val="00FC1F98"/>
    <w:rsid w:val="00FC2F6A"/>
    <w:rsid w:val="00FD08B1"/>
    <w:rsid w:val="00FE1922"/>
    <w:rsid w:val="00FE42C7"/>
    <w:rsid w:val="00FF2E68"/>
    <w:rsid w:val="00FF72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4599C"/>
    <w:pPr>
      <w:spacing w:after="200" w:line="276" w:lineRule="auto"/>
    </w:pPr>
    <w:rPr>
      <w:rFonts w:eastAsia="Calibri"/>
      <w:sz w:val="24"/>
      <w:szCs w:val="22"/>
      <w:lang w:eastAsia="en-US"/>
    </w:rPr>
  </w:style>
  <w:style w:type="paragraph" w:styleId="Virsraksts1">
    <w:name w:val="heading 1"/>
    <w:basedOn w:val="Parastais"/>
    <w:next w:val="Parastais"/>
    <w:qFormat/>
    <w:rsid w:val="003146B0"/>
    <w:pPr>
      <w:keepNext/>
      <w:tabs>
        <w:tab w:val="left" w:pos="6521"/>
        <w:tab w:val="left" w:pos="7938"/>
      </w:tabs>
      <w:spacing w:after="0" w:line="240" w:lineRule="auto"/>
      <w:jc w:val="center"/>
      <w:outlineLvl w:val="0"/>
    </w:pPr>
    <w:rPr>
      <w:rFonts w:eastAsia="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233886"/>
    <w:pPr>
      <w:spacing w:after="120" w:line="240" w:lineRule="auto"/>
    </w:pPr>
    <w:rPr>
      <w:rFonts w:eastAsia="Times New Roman"/>
      <w:szCs w:val="24"/>
      <w:lang w:val="en-GB"/>
    </w:rPr>
  </w:style>
  <w:style w:type="character" w:styleId="Hipersaite">
    <w:name w:val="Hyperlink"/>
    <w:basedOn w:val="Noklusjumarindkopasfonts"/>
    <w:rsid w:val="00233886"/>
    <w:rPr>
      <w:color w:val="0000FF"/>
      <w:u w:val="single"/>
    </w:rPr>
  </w:style>
  <w:style w:type="paragraph" w:styleId="Galvene">
    <w:name w:val="header"/>
    <w:basedOn w:val="Parastais"/>
    <w:rsid w:val="00E73685"/>
    <w:pPr>
      <w:tabs>
        <w:tab w:val="center" w:pos="4153"/>
        <w:tab w:val="right" w:pos="8306"/>
      </w:tabs>
    </w:pPr>
  </w:style>
  <w:style w:type="paragraph" w:styleId="Kjene">
    <w:name w:val="footer"/>
    <w:basedOn w:val="Parastais"/>
    <w:rsid w:val="00E73685"/>
    <w:pPr>
      <w:tabs>
        <w:tab w:val="center" w:pos="4153"/>
        <w:tab w:val="right" w:pos="8306"/>
      </w:tabs>
    </w:pPr>
  </w:style>
  <w:style w:type="character" w:styleId="Lappusesnumurs">
    <w:name w:val="page number"/>
    <w:basedOn w:val="Noklusjumarindkopasfonts"/>
    <w:rsid w:val="004B7207"/>
  </w:style>
  <w:style w:type="paragraph" w:customStyle="1" w:styleId="naisf">
    <w:name w:val="naisf"/>
    <w:basedOn w:val="Parastais"/>
    <w:rsid w:val="00BF71AB"/>
    <w:pPr>
      <w:spacing w:before="75" w:after="75" w:line="240" w:lineRule="auto"/>
      <w:ind w:firstLine="375"/>
      <w:jc w:val="both"/>
    </w:pPr>
    <w:rPr>
      <w:rFonts w:eastAsia="Times New Roman"/>
      <w:szCs w:val="24"/>
      <w:lang w:eastAsia="lv-LV"/>
    </w:rPr>
  </w:style>
  <w:style w:type="paragraph" w:customStyle="1" w:styleId="naispant">
    <w:name w:val="naispant"/>
    <w:basedOn w:val="Parastais"/>
    <w:rsid w:val="00BF71AB"/>
    <w:pPr>
      <w:spacing w:before="75" w:after="75" w:line="240" w:lineRule="auto"/>
      <w:ind w:left="375" w:firstLine="375"/>
      <w:jc w:val="both"/>
    </w:pPr>
    <w:rPr>
      <w:rFonts w:eastAsia="Times New Roman"/>
      <w:b/>
      <w:bCs/>
      <w:szCs w:val="24"/>
      <w:lang w:eastAsia="lv-LV"/>
    </w:rPr>
  </w:style>
  <w:style w:type="character" w:styleId="Komentraatsauce">
    <w:name w:val="annotation reference"/>
    <w:basedOn w:val="Noklusjumarindkopasfonts"/>
    <w:rsid w:val="000E3FE7"/>
    <w:rPr>
      <w:sz w:val="16"/>
      <w:szCs w:val="16"/>
    </w:rPr>
  </w:style>
  <w:style w:type="paragraph" w:styleId="Komentrateksts">
    <w:name w:val="annotation text"/>
    <w:basedOn w:val="Parastais"/>
    <w:link w:val="KomentratekstsRakstz"/>
    <w:rsid w:val="000E3FE7"/>
    <w:rPr>
      <w:sz w:val="20"/>
      <w:szCs w:val="20"/>
    </w:rPr>
  </w:style>
  <w:style w:type="character" w:customStyle="1" w:styleId="KomentratekstsRakstz">
    <w:name w:val="Komentāra teksts Rakstz."/>
    <w:basedOn w:val="Noklusjumarindkopasfonts"/>
    <w:link w:val="Komentrateksts"/>
    <w:rsid w:val="000E3FE7"/>
    <w:rPr>
      <w:rFonts w:eastAsia="Calibri"/>
      <w:lang w:eastAsia="en-US"/>
    </w:rPr>
  </w:style>
  <w:style w:type="paragraph" w:styleId="Komentratma">
    <w:name w:val="annotation subject"/>
    <w:basedOn w:val="Komentrateksts"/>
    <w:next w:val="Komentrateksts"/>
    <w:link w:val="KomentratmaRakstz"/>
    <w:rsid w:val="000E3FE7"/>
    <w:rPr>
      <w:b/>
      <w:bCs/>
    </w:rPr>
  </w:style>
  <w:style w:type="character" w:customStyle="1" w:styleId="KomentratmaRakstz">
    <w:name w:val="Komentāra tēma Rakstz."/>
    <w:basedOn w:val="KomentratekstsRakstz"/>
    <w:link w:val="Komentratma"/>
    <w:rsid w:val="000E3FE7"/>
    <w:rPr>
      <w:b/>
      <w:bCs/>
    </w:rPr>
  </w:style>
  <w:style w:type="paragraph" w:styleId="Balonteksts">
    <w:name w:val="Balloon Text"/>
    <w:basedOn w:val="Parastais"/>
    <w:link w:val="BalontekstsRakstz"/>
    <w:rsid w:val="000E3F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0E3FE7"/>
    <w:rPr>
      <w:rFonts w:ascii="Tahoma" w:eastAsia="Calibri" w:hAnsi="Tahoma" w:cs="Tahoma"/>
      <w:sz w:val="16"/>
      <w:szCs w:val="16"/>
      <w:lang w:eastAsia="en-US"/>
    </w:rPr>
  </w:style>
  <w:style w:type="paragraph" w:customStyle="1" w:styleId="tvhtml">
    <w:name w:val="tv_html"/>
    <w:basedOn w:val="Parastais"/>
    <w:rsid w:val="008F36AC"/>
    <w:pPr>
      <w:spacing w:before="100" w:beforeAutospacing="1" w:after="100" w:afterAutospacing="1" w:line="240" w:lineRule="auto"/>
    </w:pPr>
    <w:rPr>
      <w:rFonts w:ascii="Verdana" w:eastAsia="Times New Roman" w:hAnsi="Verdana"/>
      <w:sz w:val="18"/>
      <w:szCs w:val="18"/>
      <w:lang w:eastAsia="lv-LV"/>
    </w:rPr>
  </w:style>
</w:styles>
</file>

<file path=word/webSettings.xml><?xml version="1.0" encoding="utf-8"?>
<w:webSettings xmlns:r="http://schemas.openxmlformats.org/officeDocument/2006/relationships" xmlns:w="http://schemas.openxmlformats.org/wordprocessingml/2006/main">
  <w:divs>
    <w:div w:id="440298830">
      <w:bodyDiv w:val="1"/>
      <w:marLeft w:val="0"/>
      <w:marRight w:val="0"/>
      <w:marTop w:val="0"/>
      <w:marBottom w:val="0"/>
      <w:divBdr>
        <w:top w:val="none" w:sz="0" w:space="0" w:color="auto"/>
        <w:left w:val="none" w:sz="0" w:space="0" w:color="auto"/>
        <w:bottom w:val="none" w:sz="0" w:space="0" w:color="auto"/>
        <w:right w:val="none" w:sz="0" w:space="0" w:color="auto"/>
      </w:divBdr>
    </w:div>
    <w:div w:id="654264545">
      <w:bodyDiv w:val="1"/>
      <w:marLeft w:val="0"/>
      <w:marRight w:val="0"/>
      <w:marTop w:val="0"/>
      <w:marBottom w:val="0"/>
      <w:divBdr>
        <w:top w:val="none" w:sz="0" w:space="0" w:color="auto"/>
        <w:left w:val="none" w:sz="0" w:space="0" w:color="auto"/>
        <w:bottom w:val="none" w:sz="0" w:space="0" w:color="auto"/>
        <w:right w:val="none" w:sz="0" w:space="0" w:color="auto"/>
      </w:divBdr>
    </w:div>
    <w:div w:id="13864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1293</Words>
  <Characters>9375</Characters>
  <Application>Microsoft Office Word</Application>
  <DocSecurity>0</DocSecurity>
  <Lines>78</Lines>
  <Paragraphs>21</Paragraphs>
  <ScaleCrop>false</ScaleCrop>
  <HeadingPairs>
    <vt:vector size="2" baseType="variant">
      <vt:variant>
        <vt:lpstr>Nosaukums</vt:lpstr>
      </vt:variant>
      <vt:variant>
        <vt:i4>1</vt:i4>
      </vt:variant>
    </vt:vector>
  </HeadingPairs>
  <TitlesOfParts>
    <vt:vector size="1" baseType="lpstr">
      <vt:lpstr>KMAnot_160611_LLTdividendes</vt:lpstr>
    </vt:vector>
  </TitlesOfParts>
  <Manager>U.Lielpeters</Manager>
  <Company>LR Kulturas Ministrija</Company>
  <LinksUpToDate>false</LinksUpToDate>
  <CharactersWithSpaces>10647</CharactersWithSpaces>
  <SharedDoc>false</SharedDoc>
  <HLinks>
    <vt:vector size="6" baseType="variant">
      <vt:variant>
        <vt:i4>852024</vt:i4>
      </vt:variant>
      <vt:variant>
        <vt:i4>0</vt:i4>
      </vt:variant>
      <vt:variant>
        <vt:i4>0</vt:i4>
      </vt:variant>
      <vt:variant>
        <vt:i4>5</vt:i4>
      </vt:variant>
      <vt:variant>
        <vt:lpwstr>mailto:sandis.voldins@km.gov.lv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KMAnot_160611_LLTdividendes</dc:title>
  <dc:subject>Anotācija</dc:subject>
  <dc:creator>I.Vasmane</dc:creator>
  <dc:description>Tel: 67330262
Fakss: 67330293
Iluta.Vasmane@km.gov.lv</dc:description>
  <cp:lastModifiedBy>Dace Vilsone</cp:lastModifiedBy>
  <cp:revision>6</cp:revision>
  <cp:lastPrinted>2011-06-28T11:13:00Z</cp:lastPrinted>
  <dcterms:created xsi:type="dcterms:W3CDTF">2011-06-16T13:37:00Z</dcterms:created>
  <dcterms:modified xsi:type="dcterms:W3CDTF">2011-06-28T12:00:00Z</dcterms:modified>
</cp:coreProperties>
</file>