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9C" w:rsidRPr="00FC2297" w:rsidRDefault="00C4599C" w:rsidP="00C4599C">
      <w:pPr>
        <w:spacing w:after="0" w:line="240" w:lineRule="auto"/>
        <w:jc w:val="center"/>
        <w:rPr>
          <w:rFonts w:eastAsia="Times New Roman"/>
          <w:b/>
          <w:szCs w:val="24"/>
          <w:lang w:eastAsia="lv-LV"/>
        </w:rPr>
      </w:pPr>
      <w:r w:rsidRPr="00FC2297">
        <w:rPr>
          <w:rFonts w:eastAsia="Times New Roman"/>
          <w:b/>
          <w:bCs/>
          <w:szCs w:val="24"/>
          <w:lang w:eastAsia="lv-LV"/>
        </w:rPr>
        <w:t>Ministru kabineta rīkojuma projekta</w:t>
      </w:r>
    </w:p>
    <w:p w:rsidR="00C4599C" w:rsidRPr="00FC2297" w:rsidRDefault="00C4599C" w:rsidP="00C4599C">
      <w:pPr>
        <w:spacing w:after="0" w:line="240" w:lineRule="auto"/>
        <w:jc w:val="center"/>
        <w:rPr>
          <w:b/>
          <w:szCs w:val="20"/>
        </w:rPr>
      </w:pPr>
      <w:r w:rsidRPr="00FC2297">
        <w:rPr>
          <w:b/>
        </w:rPr>
        <w:t>„Par valstij dividendēs izmaksājamo valsts sabiedrības ar ierobežotu atbildību "</w:t>
      </w:r>
      <w:r>
        <w:rPr>
          <w:b/>
        </w:rPr>
        <w:t>Valsts Akadēmiskais koris „Latvija”</w:t>
      </w:r>
      <w:r w:rsidRPr="00FC2297">
        <w:rPr>
          <w:b/>
        </w:rPr>
        <w:t>" peļņas daļu” sākotnējās ietekmes novērtējuma ziņojums (anotācija)</w:t>
      </w:r>
    </w:p>
    <w:p w:rsidR="00233886" w:rsidRPr="00082856" w:rsidRDefault="00233886" w:rsidP="00233886">
      <w:pPr>
        <w:spacing w:after="0" w:line="240" w:lineRule="auto"/>
        <w:jc w:val="center"/>
        <w:rPr>
          <w:rFonts w:eastAsia="Times New Roman"/>
          <w:szCs w:val="24"/>
          <w:lang w:eastAsia="lv-LV"/>
        </w:rPr>
      </w:pPr>
      <w:r w:rsidRPr="00082856">
        <w:rPr>
          <w:rFonts w:eastAsia="Times New Roman"/>
          <w:szCs w:val="24"/>
          <w:lang w:eastAsia="lv-LV"/>
        </w:rPr>
        <w:t> </w:t>
      </w: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8"/>
        <w:gridCol w:w="2367"/>
        <w:gridCol w:w="6300"/>
      </w:tblGrid>
      <w:tr w:rsidR="00233886" w:rsidRPr="00082856" w:rsidTr="00233886">
        <w:trPr>
          <w:tblCellSpacing w:w="0" w:type="dxa"/>
        </w:trPr>
        <w:tc>
          <w:tcPr>
            <w:tcW w:w="9195" w:type="dxa"/>
            <w:gridSpan w:val="3"/>
            <w:tcBorders>
              <w:top w:val="outset" w:sz="6" w:space="0" w:color="auto"/>
              <w:left w:val="outset" w:sz="6" w:space="0" w:color="auto"/>
              <w:bottom w:val="outset" w:sz="6" w:space="0" w:color="auto"/>
              <w:right w:val="outset" w:sz="6" w:space="0" w:color="auto"/>
            </w:tcBorders>
            <w:vAlign w:val="center"/>
          </w:tcPr>
          <w:p w:rsidR="00233886" w:rsidRPr="00082856" w:rsidRDefault="00233886" w:rsidP="00233886">
            <w:pPr>
              <w:spacing w:after="0" w:line="240" w:lineRule="auto"/>
              <w:jc w:val="center"/>
              <w:rPr>
                <w:rFonts w:eastAsia="Times New Roman"/>
                <w:szCs w:val="24"/>
                <w:lang w:eastAsia="lv-LV"/>
              </w:rPr>
            </w:pPr>
            <w:r w:rsidRPr="00082856">
              <w:rPr>
                <w:rFonts w:eastAsia="Times New Roman"/>
                <w:b/>
                <w:bCs/>
                <w:szCs w:val="24"/>
                <w:lang w:eastAsia="lv-LV"/>
              </w:rPr>
              <w:t> I. Tiesību akta projekta izstrādes nepieciešamība</w:t>
            </w:r>
          </w:p>
        </w:tc>
      </w:tr>
      <w:tr w:rsidR="00233886" w:rsidRPr="00082856" w:rsidTr="00233886">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1.</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Pamatojums</w:t>
            </w:r>
          </w:p>
        </w:tc>
        <w:tc>
          <w:tcPr>
            <w:tcW w:w="6300" w:type="dxa"/>
            <w:tcBorders>
              <w:top w:val="outset" w:sz="6" w:space="0" w:color="auto"/>
              <w:left w:val="outset" w:sz="6" w:space="0" w:color="auto"/>
              <w:bottom w:val="outset" w:sz="6" w:space="0" w:color="auto"/>
              <w:right w:val="outset" w:sz="6" w:space="0" w:color="auto"/>
            </w:tcBorders>
          </w:tcPr>
          <w:p w:rsidR="00233886" w:rsidRPr="00616BAB" w:rsidRDefault="008B1D70" w:rsidP="00233886">
            <w:pPr>
              <w:spacing w:after="0" w:line="240" w:lineRule="auto"/>
              <w:jc w:val="both"/>
              <w:rPr>
                <w:color w:val="000000"/>
              </w:rPr>
            </w:pPr>
            <w:r w:rsidRPr="00671B0D">
              <w:rPr>
                <w:szCs w:val="24"/>
              </w:rPr>
              <w:t xml:space="preserve">Ministru kabineta </w:t>
            </w:r>
            <w:r w:rsidRPr="00671B0D">
              <w:rPr>
                <w:szCs w:val="24"/>
                <w:lang w:eastAsia="lv-LV"/>
              </w:rPr>
              <w:t>2009.gada 15.decembra noteikumu Nr.1471 "</w:t>
            </w:r>
            <w:r w:rsidRPr="00671B0D">
              <w:rPr>
                <w:bCs/>
                <w:szCs w:val="24"/>
              </w:rPr>
              <w:t>Kārtība, kādā tiek noteikta un ieskaitīta valsts budžetā izmaksājamā peļņas daļa par valsts kapitāla izmantošanu</w:t>
            </w:r>
            <w:r w:rsidRPr="00671B0D">
              <w:rPr>
                <w:szCs w:val="24"/>
                <w:lang w:eastAsia="lv-LV"/>
              </w:rPr>
              <w:t>"</w:t>
            </w:r>
            <w:proofErr w:type="gramStart"/>
            <w:r w:rsidRPr="00671B0D">
              <w:rPr>
                <w:szCs w:val="24"/>
                <w:lang w:eastAsia="lv-LV"/>
              </w:rPr>
              <w:t xml:space="preserve"> </w:t>
            </w:r>
            <w:r w:rsidRPr="00671B0D">
              <w:rPr>
                <w:szCs w:val="24"/>
              </w:rPr>
              <w:t xml:space="preserve"> </w:t>
            </w:r>
            <w:proofErr w:type="gramEnd"/>
            <w:r w:rsidRPr="00671B0D">
              <w:rPr>
                <w:szCs w:val="24"/>
              </w:rPr>
              <w:t>(turpmāk – noteikumi</w:t>
            </w:r>
            <w:r>
              <w:rPr>
                <w:szCs w:val="24"/>
              </w:rPr>
              <w:t xml:space="preserve"> Nr.1471</w:t>
            </w:r>
            <w:r w:rsidRPr="00671B0D">
              <w:rPr>
                <w:szCs w:val="24"/>
              </w:rPr>
              <w:t xml:space="preserve">) </w:t>
            </w:r>
            <w:r w:rsidR="00C8644E">
              <w:rPr>
                <w:szCs w:val="24"/>
              </w:rPr>
              <w:t>5</w:t>
            </w:r>
            <w:r w:rsidRPr="00671B0D">
              <w:rPr>
                <w:szCs w:val="24"/>
              </w:rPr>
              <w:t>. punkts</w:t>
            </w:r>
          </w:p>
        </w:tc>
      </w:tr>
      <w:tr w:rsidR="00233886" w:rsidRPr="00082856" w:rsidTr="00233886">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2.</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Pašreizējā situācija un problēmas</w:t>
            </w:r>
          </w:p>
        </w:tc>
        <w:tc>
          <w:tcPr>
            <w:tcW w:w="6300" w:type="dxa"/>
            <w:tcBorders>
              <w:top w:val="outset" w:sz="6" w:space="0" w:color="auto"/>
              <w:left w:val="outset" w:sz="6" w:space="0" w:color="auto"/>
              <w:bottom w:val="outset" w:sz="6" w:space="0" w:color="auto"/>
              <w:right w:val="outset" w:sz="6" w:space="0" w:color="auto"/>
            </w:tcBorders>
          </w:tcPr>
          <w:p w:rsidR="00233886" w:rsidRDefault="00233886" w:rsidP="00233886">
            <w:pPr>
              <w:pStyle w:val="Pamatteksts"/>
              <w:spacing w:after="0"/>
              <w:jc w:val="both"/>
              <w:rPr>
                <w:lang w:val="lv-LV"/>
              </w:rPr>
            </w:pPr>
            <w:r w:rsidRPr="00481D85">
              <w:rPr>
                <w:lang w:val="lv-LV"/>
              </w:rPr>
              <w:t>V</w:t>
            </w:r>
            <w:r>
              <w:rPr>
                <w:lang w:val="lv-LV"/>
              </w:rPr>
              <w:t>alsts sabiedrība ar ierobežotu atbildību</w:t>
            </w:r>
            <w:r w:rsidRPr="00481D85">
              <w:rPr>
                <w:lang w:val="lv-LV"/>
              </w:rPr>
              <w:t xml:space="preserve"> “</w:t>
            </w:r>
            <w:r>
              <w:rPr>
                <w:lang w:val="lv-LV"/>
              </w:rPr>
              <w:t>Valsts Akadēmiskais koris „Latvija”</w:t>
            </w:r>
            <w:r w:rsidRPr="00481D85">
              <w:rPr>
                <w:lang w:val="lv-LV"/>
              </w:rPr>
              <w:t xml:space="preserve">” </w:t>
            </w:r>
            <w:r>
              <w:rPr>
                <w:lang w:val="lv-LV"/>
              </w:rPr>
              <w:t xml:space="preserve">(turpmāk – kapitālsabiedrība) </w:t>
            </w:r>
            <w:r w:rsidRPr="00481D85">
              <w:rPr>
                <w:lang w:val="lv-LV"/>
              </w:rPr>
              <w:t>komercdarbību 20</w:t>
            </w:r>
            <w:r w:rsidR="001B2237">
              <w:rPr>
                <w:lang w:val="lv-LV"/>
              </w:rPr>
              <w:t>10</w:t>
            </w:r>
            <w:r w:rsidRPr="00481D85">
              <w:rPr>
                <w:lang w:val="lv-LV"/>
              </w:rPr>
              <w:t>.</w:t>
            </w:r>
            <w:r>
              <w:rPr>
                <w:lang w:val="lv-LV"/>
              </w:rPr>
              <w:t> </w:t>
            </w:r>
            <w:r w:rsidRPr="00481D85">
              <w:rPr>
                <w:lang w:val="lv-LV"/>
              </w:rPr>
              <w:t xml:space="preserve">gadā ir noslēgusi ar peļņu </w:t>
            </w:r>
            <w:r>
              <w:rPr>
                <w:lang w:val="lv-LV"/>
              </w:rPr>
              <w:t xml:space="preserve">LVL </w:t>
            </w:r>
            <w:r w:rsidR="001B2237">
              <w:rPr>
                <w:lang w:val="lv-LV"/>
              </w:rPr>
              <w:t>10 015</w:t>
            </w:r>
            <w:r w:rsidRPr="00481D85">
              <w:rPr>
                <w:lang w:val="lv-LV"/>
              </w:rPr>
              <w:t xml:space="preserve"> </w:t>
            </w:r>
            <w:r>
              <w:rPr>
                <w:lang w:val="lv-LV"/>
              </w:rPr>
              <w:t xml:space="preserve">apmērā. </w:t>
            </w:r>
          </w:p>
          <w:p w:rsidR="001E3115" w:rsidRPr="001E3115" w:rsidRDefault="00A21ABE" w:rsidP="001E3115">
            <w:pPr>
              <w:spacing w:after="0" w:line="240" w:lineRule="auto"/>
              <w:jc w:val="both"/>
              <w:rPr>
                <w:szCs w:val="24"/>
              </w:rPr>
            </w:pPr>
            <w:r w:rsidRPr="001E3115">
              <w:rPr>
                <w:szCs w:val="24"/>
              </w:rPr>
              <w:t xml:space="preserve">Saskaņā ar </w:t>
            </w:r>
            <w:r w:rsidR="00072E9D" w:rsidRPr="001E3115">
              <w:rPr>
                <w:szCs w:val="24"/>
              </w:rPr>
              <w:t xml:space="preserve">Ministru kabineta </w:t>
            </w:r>
            <w:r w:rsidR="001E3115" w:rsidRPr="001E3115">
              <w:rPr>
                <w:szCs w:val="24"/>
              </w:rPr>
              <w:t>2004.gada Ministru kabineta 2004.gada 30.novembra noteikumu Nr.996 „Kārtība, kādā tiek noteikta valsts budžetā izmaksājamā peļņas daļa un citi maksājumi par valsts kapitāla izmantošanu”</w:t>
            </w:r>
            <w:r w:rsidR="00F744B2">
              <w:rPr>
                <w:szCs w:val="24"/>
              </w:rPr>
              <w:t>4.</w:t>
            </w:r>
            <w:r w:rsidR="00BD1891" w:rsidRPr="00BD1891">
              <w:rPr>
                <w:szCs w:val="24"/>
                <w:vertAlign w:val="superscript"/>
              </w:rPr>
              <w:t>1</w:t>
            </w:r>
            <w:r w:rsidR="001E3115" w:rsidRPr="001E3115">
              <w:rPr>
                <w:szCs w:val="24"/>
              </w:rPr>
              <w:t xml:space="preserve">.punktu valsts kapitālsabiedrībām minimālā dividendēs izmaksājamā peļņas daļa </w:t>
            </w:r>
            <w:r w:rsidR="001B2237">
              <w:rPr>
                <w:szCs w:val="24"/>
              </w:rPr>
              <w:t>ir</w:t>
            </w:r>
            <w:r w:rsidR="001E3115" w:rsidRPr="001E3115">
              <w:rPr>
                <w:szCs w:val="24"/>
              </w:rPr>
              <w:t xml:space="preserve"> noteikta </w:t>
            </w:r>
            <w:r w:rsidR="001B2237">
              <w:rPr>
                <w:szCs w:val="24"/>
              </w:rPr>
              <w:t>90</w:t>
            </w:r>
            <w:r w:rsidR="001E3115" w:rsidRPr="001E3115">
              <w:rPr>
                <w:szCs w:val="24"/>
              </w:rPr>
              <w:t xml:space="preserve"> procentu apmērā no tīrās peļņas. </w:t>
            </w:r>
          </w:p>
          <w:p w:rsidR="00233886" w:rsidRDefault="001E3115" w:rsidP="00233886">
            <w:pPr>
              <w:pStyle w:val="Pamatteksts"/>
              <w:spacing w:after="0"/>
              <w:jc w:val="both"/>
              <w:rPr>
                <w:lang w:val="lv-LV"/>
              </w:rPr>
            </w:pPr>
            <w:r w:rsidRPr="001E3115">
              <w:rPr>
                <w:lang w:val="lv-LV"/>
              </w:rPr>
              <w:t xml:space="preserve">Tādejādi </w:t>
            </w:r>
            <w:r w:rsidR="00233886" w:rsidRPr="001E3115">
              <w:rPr>
                <w:lang w:val="lv-LV"/>
              </w:rPr>
              <w:t xml:space="preserve">kapitālsabiedrībai pēc lēmuma pieņemšanas par dividenžu sadali </w:t>
            </w:r>
            <w:r w:rsidR="001B2237">
              <w:rPr>
                <w:lang w:val="lv-LV"/>
              </w:rPr>
              <w:t xml:space="preserve">par 2010. gada pārskatu </w:t>
            </w:r>
            <w:r w:rsidR="00233886" w:rsidRPr="001E3115">
              <w:rPr>
                <w:lang w:val="lv-LV"/>
              </w:rPr>
              <w:t xml:space="preserve">Valsts kasē būtu jāieskaita dividendes </w:t>
            </w:r>
            <w:r w:rsidR="00233886">
              <w:rPr>
                <w:lang w:val="lv-LV"/>
              </w:rPr>
              <w:t>LVL </w:t>
            </w:r>
            <w:r w:rsidR="001B2237">
              <w:rPr>
                <w:lang w:val="lv-LV"/>
              </w:rPr>
              <w:t>9013.50</w:t>
            </w:r>
            <w:r w:rsidR="00233886">
              <w:rPr>
                <w:lang w:val="lv-LV"/>
              </w:rPr>
              <w:t xml:space="preserve"> apmērā,</w:t>
            </w:r>
          </w:p>
          <w:p w:rsidR="00233886" w:rsidRPr="001B2237" w:rsidRDefault="00233886" w:rsidP="001B2237">
            <w:pPr>
              <w:pStyle w:val="Pamatteksts"/>
              <w:spacing w:after="0"/>
              <w:jc w:val="both"/>
              <w:rPr>
                <w:lang w:val="lv-LV" w:eastAsia="lv-LV"/>
              </w:rPr>
            </w:pPr>
            <w:r w:rsidRPr="001B2237">
              <w:rPr>
                <w:lang w:val="lv-LV"/>
              </w:rPr>
              <w:t>Savukārt noteikumu Nr. </w:t>
            </w:r>
            <w:r w:rsidR="004E5DAF" w:rsidRPr="001B2237">
              <w:rPr>
                <w:lang w:val="lv-LV"/>
              </w:rPr>
              <w:t>1471</w:t>
            </w:r>
            <w:r w:rsidRPr="001B2237">
              <w:rPr>
                <w:lang w:val="lv-LV"/>
              </w:rPr>
              <w:t xml:space="preserve"> </w:t>
            </w:r>
            <w:r w:rsidR="00124012" w:rsidRPr="001B2237">
              <w:rPr>
                <w:lang w:val="lv-LV"/>
              </w:rPr>
              <w:t>5</w:t>
            </w:r>
            <w:r w:rsidRPr="001B2237">
              <w:rPr>
                <w:lang w:val="lv-LV"/>
              </w:rPr>
              <w:t>.1. apakšpunkts noteic,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tc>
      </w:tr>
      <w:tr w:rsidR="00233886" w:rsidRPr="00082856" w:rsidTr="00590EFB">
        <w:trPr>
          <w:trHeight w:val="837"/>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3.</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Saistītie politikas ietekmes novērtējumi un pētījumi</w:t>
            </w:r>
          </w:p>
        </w:tc>
        <w:tc>
          <w:tcPr>
            <w:tcW w:w="6300" w:type="dxa"/>
            <w:tcBorders>
              <w:top w:val="outset" w:sz="6" w:space="0" w:color="auto"/>
              <w:left w:val="outset" w:sz="6" w:space="0" w:color="auto"/>
              <w:bottom w:val="outset" w:sz="6" w:space="0" w:color="auto"/>
              <w:right w:val="outset" w:sz="6" w:space="0" w:color="auto"/>
            </w:tcBorders>
          </w:tcPr>
          <w:p w:rsidR="00233886" w:rsidRPr="00082856" w:rsidRDefault="001251D8" w:rsidP="00233886">
            <w:pPr>
              <w:spacing w:after="0" w:line="240" w:lineRule="auto"/>
              <w:rPr>
                <w:rFonts w:eastAsia="Times New Roman"/>
                <w:szCs w:val="24"/>
                <w:lang w:eastAsia="lv-LV"/>
              </w:rPr>
            </w:pPr>
            <w:r w:rsidRPr="008F36AC">
              <w:rPr>
                <w:szCs w:val="24"/>
              </w:rPr>
              <w:t>Projekts šo jomu neskar</w:t>
            </w:r>
            <w:r>
              <w:rPr>
                <w:rFonts w:eastAsia="Times New Roman"/>
                <w:szCs w:val="24"/>
                <w:lang w:eastAsia="lv-LV"/>
              </w:rPr>
              <w:t>.</w:t>
            </w:r>
          </w:p>
        </w:tc>
      </w:tr>
      <w:tr w:rsidR="00233886" w:rsidRPr="00082856" w:rsidTr="00233886">
        <w:trPr>
          <w:trHeight w:val="384"/>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4.</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Tiesiskā regulējuma mērķis un būtība</w:t>
            </w:r>
          </w:p>
        </w:tc>
        <w:tc>
          <w:tcPr>
            <w:tcW w:w="6300" w:type="dxa"/>
            <w:tcBorders>
              <w:top w:val="outset" w:sz="6" w:space="0" w:color="auto"/>
              <w:left w:val="outset" w:sz="6" w:space="0" w:color="auto"/>
              <w:bottom w:val="outset" w:sz="6" w:space="0" w:color="auto"/>
              <w:right w:val="outset" w:sz="6" w:space="0" w:color="auto"/>
            </w:tcBorders>
          </w:tcPr>
          <w:p w:rsidR="00233886" w:rsidRDefault="00233886" w:rsidP="00233886">
            <w:pPr>
              <w:spacing w:after="0" w:line="240" w:lineRule="auto"/>
              <w:jc w:val="both"/>
            </w:pPr>
            <w:r w:rsidRPr="00A1678B">
              <w:t xml:space="preserve">Ministru kabineta rīkojuma projekts </w:t>
            </w:r>
            <w:r w:rsidRPr="00A1678B">
              <w:rPr>
                <w:b/>
              </w:rPr>
              <w:t>“</w:t>
            </w:r>
            <w:r w:rsidRPr="00766B00">
              <w:t>Par valstij dividendēs izmaksājamo valsts sabiedrības ar ierobežotu atbildību „Valsts Akadēmiskais koris „Latvija”” peļņas daļu”</w:t>
            </w:r>
            <w:r w:rsidRPr="00A1678B">
              <w:rPr>
                <w:b/>
              </w:rPr>
              <w:t xml:space="preserve"> </w:t>
            </w:r>
            <w:r w:rsidRPr="00A1678B">
              <w:t xml:space="preserve">paredz, </w:t>
            </w:r>
            <w:r>
              <w:t>atbrīvot kapitālsabiedrību no</w:t>
            </w:r>
            <w:r w:rsidRPr="00A1678B">
              <w:t xml:space="preserve"> valstij</w:t>
            </w:r>
            <w:r>
              <w:t xml:space="preserve"> dividendēs izmaksās peļņas daļas par </w:t>
            </w:r>
            <w:r w:rsidR="001B2237">
              <w:t>2010</w:t>
            </w:r>
            <w:r>
              <w:t>.</w:t>
            </w:r>
            <w:r w:rsidR="001B2237">
              <w:t xml:space="preserve"> gada pārskatu</w:t>
            </w:r>
            <w:r w:rsidR="00F744B2">
              <w:t xml:space="preserve">, </w:t>
            </w:r>
            <w:r>
              <w:t>nosakot</w:t>
            </w:r>
            <w:r w:rsidR="00F744B2">
              <w:t xml:space="preserve">, ka </w:t>
            </w:r>
            <w:r>
              <w:t>valstij</w:t>
            </w:r>
            <w:r w:rsidR="00F744B2">
              <w:t xml:space="preserve"> netiek maksātas dividendes no peļņas par 2010.gadu</w:t>
            </w:r>
            <w:r>
              <w:t xml:space="preserve"> apmērā, </w:t>
            </w:r>
            <w:r w:rsidRPr="00A1678B">
              <w:t xml:space="preserve">nevis </w:t>
            </w:r>
            <w:r w:rsidR="001B2237">
              <w:t>90</w:t>
            </w:r>
            <w:r w:rsidRPr="00A1678B">
              <w:t>% apmēr</w:t>
            </w:r>
            <w:r>
              <w:t>ā).</w:t>
            </w:r>
          </w:p>
          <w:p w:rsidR="00233886" w:rsidRDefault="00233886" w:rsidP="00233886">
            <w:pPr>
              <w:spacing w:after="0" w:line="240" w:lineRule="auto"/>
              <w:jc w:val="both"/>
            </w:pPr>
            <w:r>
              <w:t>Rīkojuma projektam, atbilstoši n</w:t>
            </w:r>
            <w:r w:rsidRPr="00481D85">
              <w:t>oteikumu</w:t>
            </w:r>
            <w:r>
              <w:t xml:space="preserve"> Nr. </w:t>
            </w:r>
            <w:r w:rsidR="00780E33">
              <w:t>1471</w:t>
            </w:r>
            <w:r w:rsidRPr="00481D85">
              <w:t xml:space="preserve"> </w:t>
            </w:r>
            <w:r w:rsidR="00780E33">
              <w:t>5</w:t>
            </w:r>
            <w:r w:rsidRPr="00A57BFA">
              <w:t>.1. apakšpunkt</w:t>
            </w:r>
            <w:r>
              <w:t xml:space="preserve">am, sniedzam sekojošu ekonomisko pamatojumu. </w:t>
            </w:r>
          </w:p>
          <w:p w:rsidR="00233886" w:rsidRDefault="00233886" w:rsidP="00233886">
            <w:pPr>
              <w:spacing w:after="0" w:line="240" w:lineRule="auto"/>
              <w:jc w:val="both"/>
            </w:pPr>
            <w:r w:rsidRPr="006B1561">
              <w:t xml:space="preserve">Kultūras ministrija kā </w:t>
            </w:r>
            <w:r>
              <w:t>kapitālsabiedrības kapitāla daļu turētājs</w:t>
            </w:r>
            <w:r w:rsidR="001B2237">
              <w:t xml:space="preserve"> 2011. gada 26.aprīlī </w:t>
            </w:r>
            <w:r>
              <w:t xml:space="preserve">ir pieņēmusi </w:t>
            </w:r>
            <w:r w:rsidR="001B2237">
              <w:t>šādu lēmumu</w:t>
            </w:r>
            <w:r>
              <w:t xml:space="preserve"> </w:t>
            </w:r>
            <w:r w:rsidR="001B2237">
              <w:t xml:space="preserve">Nr. 6-3-7 </w:t>
            </w:r>
            <w:r>
              <w:t xml:space="preserve">par kapitālsabiedrības </w:t>
            </w:r>
            <w:r w:rsidR="001B2237">
              <w:t>2010.</w:t>
            </w:r>
            <w:r>
              <w:t>gada pārskat</w:t>
            </w:r>
            <w:r w:rsidR="001B2237">
              <w:t>a</w:t>
            </w:r>
            <w:r>
              <w:t xml:space="preserve"> apstiprināšanu</w:t>
            </w:r>
            <w:r w:rsidRPr="002A58D0">
              <w:t>, kurā peļņas sadale nav noteikta</w:t>
            </w:r>
            <w:r w:rsidR="001B2237">
              <w:t xml:space="preserve"> </w:t>
            </w:r>
            <w:r w:rsidRPr="002A58D0">
              <w:t xml:space="preserve">un apstiprināts valdes priekšlikums pārskata </w:t>
            </w:r>
            <w:r w:rsidR="001B2237">
              <w:t xml:space="preserve">perioda peļņu atstāt nesadalītu. </w:t>
            </w:r>
            <w:r w:rsidR="00792F44">
              <w:t xml:space="preserve">Lēmums par </w:t>
            </w:r>
            <w:r>
              <w:t xml:space="preserve">kapitālsabiedrības </w:t>
            </w:r>
            <w:r w:rsidR="001B2237">
              <w:t>2010</w:t>
            </w:r>
            <w:r>
              <w:t>.</w:t>
            </w:r>
            <w:r w:rsidR="001B2237">
              <w:t xml:space="preserve"> </w:t>
            </w:r>
            <w:r>
              <w:t>gada</w:t>
            </w:r>
            <w:r w:rsidRPr="006B1561">
              <w:t xml:space="preserve"> peļņas sadali </w:t>
            </w:r>
            <w:r w:rsidR="00792F44">
              <w:t>nav pieņemts un peļņa nav sadalīta</w:t>
            </w:r>
            <w:r w:rsidR="00876F15">
              <w:t xml:space="preserve">. </w:t>
            </w:r>
            <w:r w:rsidR="001B2237">
              <w:t>2010</w:t>
            </w:r>
            <w:r w:rsidR="00876F15" w:rsidRPr="006B1561">
              <w:t>.</w:t>
            </w:r>
            <w:r w:rsidR="001B2237">
              <w:t xml:space="preserve"> </w:t>
            </w:r>
            <w:r w:rsidR="00876F15" w:rsidRPr="006B1561">
              <w:t xml:space="preserve">gada nesadalītā peļņa atbilstoši Gada </w:t>
            </w:r>
            <w:r w:rsidR="00876F15" w:rsidRPr="006B1561">
              <w:lastRenderedPageBreak/>
              <w:t xml:space="preserve">pārskatu likuma 20.pantam ir ietverta attiecīgā pārskata gada bilances postenī „Pārskata gada nesadalītā peļņa”.  </w:t>
            </w:r>
            <w:r w:rsidRPr="006B1561">
              <w:t xml:space="preserve">  </w:t>
            </w:r>
          </w:p>
          <w:p w:rsidR="008A18C6" w:rsidRDefault="008A18C6" w:rsidP="00233886">
            <w:pPr>
              <w:spacing w:after="0" w:line="240" w:lineRule="auto"/>
              <w:jc w:val="both"/>
            </w:pPr>
          </w:p>
          <w:p w:rsidR="00233886" w:rsidRDefault="00233886" w:rsidP="00233886">
            <w:pPr>
              <w:spacing w:after="0" w:line="240" w:lineRule="auto"/>
              <w:jc w:val="both"/>
            </w:pPr>
            <w:r>
              <w:t xml:space="preserve">Ņemot vērā to, ka </w:t>
            </w:r>
            <w:r w:rsidR="008A18C6">
              <w:t xml:space="preserve">kopš 2009. gada būtiski ir samazināts finansējums kultūras nozarei, </w:t>
            </w:r>
            <w:r>
              <w:t xml:space="preserve">t.sk. arī budžeta dotācija kapitālsabiedrībai, dividenžu izmaksa </w:t>
            </w:r>
            <w:r w:rsidR="003E7553">
              <w:t xml:space="preserve">par </w:t>
            </w:r>
            <w:r w:rsidR="008A18C6">
              <w:t xml:space="preserve">2010. gada </w:t>
            </w:r>
            <w:r w:rsidR="003E7553">
              <w:t>pārskat</w:t>
            </w:r>
            <w:r w:rsidR="008A18C6">
              <w:t>u</w:t>
            </w:r>
            <w:r w:rsidR="003E7553">
              <w:t xml:space="preserve"> </w:t>
            </w:r>
            <w:r>
              <w:t>ietekmētu 201</w:t>
            </w:r>
            <w:r w:rsidR="008A18C6">
              <w:t>1</w:t>
            </w:r>
            <w:r>
              <w:t xml:space="preserve">.gadā kapitālsabiedrības darbības </w:t>
            </w:r>
            <w:r w:rsidR="008A18C6">
              <w:t xml:space="preserve">rezultātus. </w:t>
            </w:r>
          </w:p>
          <w:p w:rsidR="00F5721E" w:rsidRDefault="00F5721E" w:rsidP="00233886">
            <w:pPr>
              <w:spacing w:after="0" w:line="240" w:lineRule="auto"/>
              <w:jc w:val="both"/>
            </w:pPr>
          </w:p>
          <w:p w:rsidR="000D25D6" w:rsidRDefault="008A18C6" w:rsidP="00233886">
            <w:pPr>
              <w:spacing w:after="0" w:line="240" w:lineRule="auto"/>
              <w:jc w:val="both"/>
            </w:pPr>
            <w:r>
              <w:t>Kapit</w:t>
            </w:r>
            <w:r w:rsidR="00F5721E">
              <w:t>ālsabiedrība 2011. gadā turpina</w:t>
            </w:r>
            <w:r>
              <w:t xml:space="preserve"> plaši iesākto starptautisko koncertdarbību sadarbībā ar Nīderlandes Karalisko </w:t>
            </w:r>
            <w:proofErr w:type="spellStart"/>
            <w:r>
              <w:t>Koncertgebau</w:t>
            </w:r>
            <w:proofErr w:type="spellEnd"/>
            <w:r>
              <w:t xml:space="preserve"> orķestri, Bavārijas Radio orķestri u.c. sadarbības partneriem, kas finansiāli nodrošina </w:t>
            </w:r>
            <w:r w:rsidR="00F5721E">
              <w:t xml:space="preserve">starptautiskās </w:t>
            </w:r>
            <w:r>
              <w:t>koncertdarbības izdevumus.</w:t>
            </w:r>
            <w:r w:rsidR="00F5721E">
              <w:t xml:space="preserve"> </w:t>
            </w:r>
            <w:r w:rsidR="000D25D6">
              <w:t>Eiropas koncertnamos ir pieņemts lietot frakas ar tām piemērotiem aksesuāriem – vestēm, baltu tauriņu, laka kurpēm, u.c. Kora dziedātājiem frakas ar aksesuāriem pēdējo reizi iegādātas 1991.gadā.</w:t>
            </w:r>
            <w:r w:rsidR="00677587">
              <w:t>.</w:t>
            </w:r>
            <w:r w:rsidR="000D25D6">
              <w:t xml:space="preserve"> Šobrīd frakas ir nonēsātas un kapitālsabiedrībai tās jāiegādājas no jauna. Fraku iegādes izmaksas 22 dziedātājiem sastāda LVL 4 400. </w:t>
            </w:r>
          </w:p>
          <w:p w:rsidR="00BB4D5A" w:rsidRDefault="00BB4D5A" w:rsidP="00233886">
            <w:pPr>
              <w:spacing w:after="0" w:line="240" w:lineRule="auto"/>
              <w:jc w:val="both"/>
            </w:pPr>
          </w:p>
          <w:p w:rsidR="00F5721E" w:rsidRDefault="00F5721E" w:rsidP="00233886">
            <w:pPr>
              <w:spacing w:after="0" w:line="240" w:lineRule="auto"/>
              <w:jc w:val="both"/>
            </w:pPr>
            <w:r>
              <w:t>Tajā pat laikā kapitālsabiedrībai 2011. gadā ir būtiski samazinājies finansējums reģionālās koncertdarbības nodrošināšanai Latvijā, jo:</w:t>
            </w:r>
          </w:p>
          <w:p w:rsidR="00F5721E" w:rsidRPr="00F5721E" w:rsidRDefault="00F5721E" w:rsidP="00233886">
            <w:pPr>
              <w:numPr>
                <w:ilvl w:val="0"/>
                <w:numId w:val="1"/>
              </w:numPr>
              <w:spacing w:after="0" w:line="240" w:lineRule="auto"/>
              <w:jc w:val="both"/>
            </w:pPr>
            <w:r>
              <w:t xml:space="preserve">2011. gadā ir noslēdzies kapitālsabiedrības īstenotais projekts </w:t>
            </w:r>
            <w:r w:rsidRPr="00F5721E">
              <w:rPr>
                <w:szCs w:val="24"/>
              </w:rPr>
              <w:t xml:space="preserve">„Centrālā Baltijas jūras reģiona programma – INTERREG IVA, kura ietvaros tika finansēta reģionālā koncertdarbība Latvijā; </w:t>
            </w:r>
          </w:p>
          <w:p w:rsidR="008A18C6" w:rsidRDefault="00F5721E" w:rsidP="00233886">
            <w:pPr>
              <w:numPr>
                <w:ilvl w:val="0"/>
                <w:numId w:val="1"/>
              </w:numPr>
              <w:spacing w:after="0" w:line="240" w:lineRule="auto"/>
              <w:jc w:val="both"/>
            </w:pPr>
            <w:r>
              <w:t>kopš 2008. gada būtiski samazinājies projektu finansējums Valsts Kultūrkapitāla fondā, līdz ar to kapitālsabiedrības reģionālās koncertdarbības projektiem</w:t>
            </w:r>
            <w:proofErr w:type="gramStart"/>
            <w:r>
              <w:t xml:space="preserve">  </w:t>
            </w:r>
            <w:proofErr w:type="gramEnd"/>
            <w:r w:rsidR="00E94022">
              <w:t>nav pieejams.</w:t>
            </w:r>
          </w:p>
          <w:p w:rsidR="00E94022" w:rsidRDefault="00E94022" w:rsidP="00E94022">
            <w:pPr>
              <w:spacing w:after="0" w:line="240" w:lineRule="auto"/>
              <w:jc w:val="both"/>
            </w:pPr>
            <w:r w:rsidRPr="00F744B2">
              <w:rPr>
                <w:szCs w:val="24"/>
              </w:rPr>
              <w:t xml:space="preserve">Reģionālā koncertdarbība ir viena no kultūrpolitikas prioritātēm, kuras mērķis ir </w:t>
            </w:r>
            <w:r w:rsidR="00BD1891" w:rsidRPr="00BD1891">
              <w:rPr>
                <w:szCs w:val="24"/>
              </w:rPr>
              <w:t xml:space="preserve">stiprināt kvalitatīvu </w:t>
            </w:r>
            <w:proofErr w:type="spellStart"/>
            <w:r w:rsidR="00BD1891" w:rsidRPr="00BD1891">
              <w:rPr>
                <w:szCs w:val="24"/>
              </w:rPr>
              <w:t>kultūrtelpu</w:t>
            </w:r>
            <w:proofErr w:type="spellEnd"/>
            <w:r w:rsidR="00BD1891" w:rsidRPr="00BD1891">
              <w:rPr>
                <w:szCs w:val="24"/>
              </w:rPr>
              <w:t xml:space="preserve"> Latvijā, stiprināt vietējo kopienu, kā arī dažādot kultūras piedāvājumu tuvāk cilvēku dzīvesvietām, ne tikai Rīgā. </w:t>
            </w:r>
            <w:r w:rsidR="00BB4D5A">
              <w:rPr>
                <w:szCs w:val="24"/>
              </w:rPr>
              <w:t xml:space="preserve">Kapitālsabiedrība 2011. gadā iecerējusi sniegt koncertus Cēsīs, Liepājā, Saldū un Slokā. </w:t>
            </w:r>
          </w:p>
          <w:p w:rsidR="00FB5DAD" w:rsidRDefault="00F5721E" w:rsidP="00233886">
            <w:pPr>
              <w:spacing w:after="0" w:line="240" w:lineRule="auto"/>
              <w:jc w:val="both"/>
              <w:rPr>
                <w:szCs w:val="24"/>
              </w:rPr>
            </w:pPr>
            <w:r w:rsidRPr="00F40E33">
              <w:rPr>
                <w:szCs w:val="24"/>
              </w:rPr>
              <w:t xml:space="preserve">Lai novērstu draudus </w:t>
            </w:r>
            <w:r w:rsidR="00E94022">
              <w:rPr>
                <w:szCs w:val="24"/>
              </w:rPr>
              <w:t xml:space="preserve">sabiedrības pieejai kultūras pakalpojumiem, kā arī </w:t>
            </w:r>
            <w:r w:rsidRPr="00F40E33">
              <w:rPr>
                <w:szCs w:val="24"/>
              </w:rPr>
              <w:t xml:space="preserve">kapitālsabiedrības </w:t>
            </w:r>
            <w:r w:rsidR="00E94022">
              <w:rPr>
                <w:szCs w:val="24"/>
              </w:rPr>
              <w:t>spējai</w:t>
            </w:r>
            <w:r w:rsidRPr="00F40E33">
              <w:rPr>
                <w:szCs w:val="24"/>
              </w:rPr>
              <w:t xml:space="preserve"> nodrošināt</w:t>
            </w:r>
            <w:r w:rsidR="00E94022">
              <w:rPr>
                <w:szCs w:val="24"/>
              </w:rPr>
              <w:t xml:space="preserve"> reģionālo koncertdarbību, kas ir viens no </w:t>
            </w:r>
            <w:r w:rsidR="00683FB7">
              <w:rPr>
                <w:szCs w:val="24"/>
              </w:rPr>
              <w:t xml:space="preserve">2011. gadā </w:t>
            </w:r>
            <w:r w:rsidR="00E94022">
              <w:rPr>
                <w:szCs w:val="24"/>
              </w:rPr>
              <w:t>kapitālsabiedrība</w:t>
            </w:r>
            <w:r w:rsidR="00683FB7">
              <w:rPr>
                <w:szCs w:val="24"/>
              </w:rPr>
              <w:t xml:space="preserve">i deleģētajiem </w:t>
            </w:r>
            <w:r w:rsidR="00E94022">
              <w:rPr>
                <w:szCs w:val="24"/>
              </w:rPr>
              <w:t>uzdevumiem,</w:t>
            </w:r>
            <w:r w:rsidR="00683FB7">
              <w:rPr>
                <w:szCs w:val="24"/>
              </w:rPr>
              <w:t xml:space="preserve"> </w:t>
            </w:r>
            <w:r w:rsidR="00FB5DAD" w:rsidRPr="00F40E33">
              <w:rPr>
                <w:bCs/>
                <w:szCs w:val="24"/>
              </w:rPr>
              <w:t>ir nepieciešams nodrošināt pietiekošu finanšu plūsmu.</w:t>
            </w:r>
            <w:r w:rsidR="00FB5DAD" w:rsidRPr="00F40E33">
              <w:rPr>
                <w:szCs w:val="24"/>
              </w:rPr>
              <w:t xml:space="preserve"> </w:t>
            </w:r>
            <w:r w:rsidR="00683FB7">
              <w:rPr>
                <w:szCs w:val="24"/>
              </w:rPr>
              <w:t xml:space="preserve">Šo mērķi var sasniegt ieguldot </w:t>
            </w:r>
            <w:r w:rsidR="00FB5DAD" w:rsidRPr="00F40E33">
              <w:rPr>
                <w:szCs w:val="24"/>
              </w:rPr>
              <w:t xml:space="preserve">maksimālu kapitālsabiedrības </w:t>
            </w:r>
            <w:r w:rsidR="00683FB7">
              <w:rPr>
                <w:szCs w:val="24"/>
              </w:rPr>
              <w:t xml:space="preserve">2010. gada </w:t>
            </w:r>
            <w:r w:rsidR="00FB5DAD" w:rsidRPr="00F40E33">
              <w:rPr>
                <w:szCs w:val="24"/>
              </w:rPr>
              <w:t xml:space="preserve">peļņas daļu minēto koncertu nodrošināšanai, tādejādi veicinot kvalitatīvu profesionālās mūzikas produktu pieejamību Latvijas reģionos, maznodrošinātām sabiedrības grupām. </w:t>
            </w:r>
            <w:r w:rsidR="00683FB7">
              <w:rPr>
                <w:szCs w:val="24"/>
              </w:rPr>
              <w:t>U</w:t>
            </w:r>
            <w:r w:rsidR="00FB5DAD" w:rsidRPr="00F40E33">
              <w:rPr>
                <w:szCs w:val="24"/>
              </w:rPr>
              <w:t>zskatām, ka atšķirīgas dividendēs izmaksājamās peļņas daļas noteikšana atbilst Noteikumu Nr.1471 5.1.apakšpunktā noteiktajam „nepieciešams novērst draudus kapitālsabiedrības ilgtspējīgai attīstībai un</w:t>
            </w:r>
            <w:r w:rsidR="00FB5DAD">
              <w:rPr>
                <w:szCs w:val="24"/>
              </w:rPr>
              <w:t xml:space="preserve"> konkurētspējas saglabāšanai.” </w:t>
            </w:r>
          </w:p>
          <w:p w:rsidR="00BF71AB" w:rsidRPr="00FB5DAD" w:rsidRDefault="00BF71AB" w:rsidP="00233886">
            <w:pPr>
              <w:spacing w:after="0" w:line="240" w:lineRule="auto"/>
              <w:jc w:val="both"/>
              <w:rPr>
                <w:szCs w:val="24"/>
              </w:rPr>
            </w:pPr>
          </w:p>
        </w:tc>
      </w:tr>
      <w:tr w:rsidR="00233886" w:rsidRPr="00082856" w:rsidTr="00233886">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lastRenderedPageBreak/>
              <w:t> 5.</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Projekta izstrādē iesaistītās institūcijas</w:t>
            </w:r>
          </w:p>
        </w:tc>
        <w:tc>
          <w:tcPr>
            <w:tcW w:w="6300"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Pr>
                <w:rFonts w:eastAsia="Times New Roman"/>
                <w:szCs w:val="24"/>
                <w:lang w:eastAsia="lv-LV"/>
              </w:rPr>
              <w:t>Kultūras ministrija</w:t>
            </w:r>
          </w:p>
        </w:tc>
      </w:tr>
      <w:tr w:rsidR="00233886" w:rsidRPr="00082856" w:rsidTr="00233886">
        <w:trPr>
          <w:trHeight w:val="900"/>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6.</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Iemesli, kādēļ netika nodrošināta sabiedrības līdzdalība</w:t>
            </w:r>
          </w:p>
        </w:tc>
        <w:tc>
          <w:tcPr>
            <w:tcW w:w="6300" w:type="dxa"/>
            <w:tcBorders>
              <w:top w:val="outset" w:sz="6" w:space="0" w:color="auto"/>
              <w:left w:val="outset" w:sz="6" w:space="0" w:color="auto"/>
              <w:bottom w:val="outset" w:sz="6" w:space="0" w:color="auto"/>
              <w:right w:val="outset" w:sz="6" w:space="0" w:color="auto"/>
            </w:tcBorders>
          </w:tcPr>
          <w:p w:rsidR="00233886" w:rsidRPr="00082856" w:rsidRDefault="001251D8" w:rsidP="00233886">
            <w:pPr>
              <w:spacing w:after="0" w:line="240" w:lineRule="auto"/>
              <w:rPr>
                <w:rFonts w:eastAsia="Times New Roman"/>
                <w:szCs w:val="24"/>
                <w:lang w:eastAsia="lv-LV"/>
              </w:rPr>
            </w:pPr>
            <w:r w:rsidRPr="008F36AC">
              <w:rPr>
                <w:szCs w:val="24"/>
              </w:rPr>
              <w:t>Projekts šo jomu neskar</w:t>
            </w:r>
            <w:r>
              <w:rPr>
                <w:szCs w:val="24"/>
              </w:rPr>
              <w:t>.</w:t>
            </w:r>
          </w:p>
        </w:tc>
      </w:tr>
      <w:tr w:rsidR="00233886" w:rsidRPr="00082856" w:rsidTr="00233886">
        <w:trPr>
          <w:tblCellSpacing w:w="0" w:type="dxa"/>
        </w:trPr>
        <w:tc>
          <w:tcPr>
            <w:tcW w:w="528"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7.</w:t>
            </w:r>
          </w:p>
        </w:tc>
        <w:tc>
          <w:tcPr>
            <w:tcW w:w="2367"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Cita informācija</w:t>
            </w:r>
          </w:p>
        </w:tc>
        <w:tc>
          <w:tcPr>
            <w:tcW w:w="6300"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Pr>
                <w:rFonts w:eastAsia="Times New Roman"/>
                <w:szCs w:val="24"/>
                <w:lang w:eastAsia="lv-LV"/>
              </w:rPr>
              <w:t>Nav</w:t>
            </w:r>
          </w:p>
        </w:tc>
      </w:tr>
    </w:tbl>
    <w:p w:rsidR="00233886" w:rsidRDefault="00233886" w:rsidP="00233886">
      <w:pPr>
        <w:spacing w:before="75" w:after="75" w:line="240" w:lineRule="auto"/>
        <w:ind w:firstLine="375"/>
        <w:jc w:val="both"/>
        <w:rPr>
          <w:rFonts w:eastAsia="Times New Roman"/>
          <w:i/>
          <w:szCs w:val="24"/>
          <w:lang w:eastAsia="lv-LV"/>
        </w:rPr>
      </w:pPr>
      <w:r w:rsidRPr="0012616F">
        <w:rPr>
          <w:rFonts w:eastAsia="Times New Roman"/>
          <w:szCs w:val="24"/>
          <w:lang w:eastAsia="lv-LV"/>
        </w:rPr>
        <w:t> </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2523"/>
        <w:gridCol w:w="1095"/>
        <w:gridCol w:w="161"/>
        <w:gridCol w:w="1309"/>
        <w:gridCol w:w="1295"/>
        <w:gridCol w:w="1295"/>
        <w:gridCol w:w="1041"/>
        <w:gridCol w:w="34"/>
      </w:tblGrid>
      <w:tr w:rsidR="0047032E" w:rsidRPr="0012616F" w:rsidTr="001251D8">
        <w:trPr>
          <w:gridAfter w:val="1"/>
          <w:wAfter w:w="34" w:type="dxa"/>
          <w:trHeight w:val="652"/>
          <w:tblCellSpacing w:w="0" w:type="dxa"/>
        </w:trPr>
        <w:tc>
          <w:tcPr>
            <w:tcW w:w="9195" w:type="dxa"/>
            <w:gridSpan w:val="8"/>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150" w:after="150" w:line="240" w:lineRule="auto"/>
              <w:jc w:val="center"/>
              <w:rPr>
                <w:rFonts w:eastAsia="Times New Roman"/>
                <w:b/>
                <w:bCs/>
                <w:szCs w:val="24"/>
                <w:lang w:eastAsia="lv-LV"/>
              </w:rPr>
            </w:pPr>
            <w:r w:rsidRPr="0012616F">
              <w:rPr>
                <w:rFonts w:eastAsia="Times New Roman"/>
                <w:b/>
                <w:bCs/>
                <w:szCs w:val="24"/>
                <w:lang w:eastAsia="lv-LV"/>
              </w:rPr>
              <w:t>III. Tiesību akta projekta ietekme uz valsts budžetu un pašvaldību budžetiem</w:t>
            </w:r>
          </w:p>
        </w:tc>
      </w:tr>
      <w:tr w:rsidR="0047032E" w:rsidRPr="0012616F" w:rsidTr="001251D8">
        <w:trPr>
          <w:gridAfter w:val="1"/>
          <w:wAfter w:w="34" w:type="dxa"/>
          <w:tblCellSpacing w:w="0" w:type="dxa"/>
        </w:trPr>
        <w:tc>
          <w:tcPr>
            <w:tcW w:w="2999" w:type="dxa"/>
            <w:gridSpan w:val="2"/>
            <w:vMerge w:val="restart"/>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w:t>
            </w:r>
            <w:r w:rsidRPr="0012616F">
              <w:rPr>
                <w:rFonts w:eastAsia="Times New Roman"/>
                <w:b/>
                <w:bCs/>
                <w:szCs w:val="24"/>
                <w:lang w:eastAsia="lv-LV"/>
              </w:rPr>
              <w:t>Rādītāji</w:t>
            </w:r>
          </w:p>
        </w:tc>
        <w:tc>
          <w:tcPr>
            <w:tcW w:w="2565" w:type="dxa"/>
            <w:gridSpan w:val="3"/>
            <w:vMerge w:val="restart"/>
            <w:tcBorders>
              <w:top w:val="outset" w:sz="6" w:space="0" w:color="auto"/>
              <w:left w:val="outset" w:sz="6" w:space="0" w:color="auto"/>
              <w:bottom w:val="outset" w:sz="6" w:space="0" w:color="auto"/>
              <w:right w:val="outset" w:sz="6" w:space="0" w:color="auto"/>
            </w:tcBorders>
            <w:vAlign w:val="center"/>
          </w:tcPr>
          <w:p w:rsidR="0047032E" w:rsidRPr="0012616F" w:rsidRDefault="0047032E" w:rsidP="00683FB7">
            <w:pPr>
              <w:spacing w:before="75" w:after="75" w:line="240" w:lineRule="auto"/>
              <w:jc w:val="center"/>
              <w:rPr>
                <w:rFonts w:eastAsia="Times New Roman"/>
                <w:szCs w:val="24"/>
                <w:lang w:eastAsia="lv-LV"/>
              </w:rPr>
            </w:pPr>
            <w:r w:rsidRPr="00CC365D">
              <w:rPr>
                <w:rFonts w:eastAsia="Times New Roman"/>
                <w:b/>
                <w:szCs w:val="24"/>
                <w:lang w:eastAsia="lv-LV"/>
              </w:rPr>
              <w:t>201</w:t>
            </w:r>
            <w:r w:rsidR="00683FB7">
              <w:rPr>
                <w:rFonts w:eastAsia="Times New Roman"/>
                <w:b/>
                <w:szCs w:val="24"/>
                <w:lang w:eastAsia="lv-LV"/>
              </w:rPr>
              <w:t>1</w:t>
            </w:r>
            <w:r w:rsidRPr="00CC365D">
              <w:rPr>
                <w:rFonts w:eastAsia="Times New Roman"/>
                <w:b/>
                <w:szCs w:val="24"/>
                <w:lang w:eastAsia="lv-LV"/>
              </w:rPr>
              <w:t>.</w:t>
            </w:r>
            <w:r w:rsidRPr="0012616F">
              <w:rPr>
                <w:rFonts w:eastAsia="Times New Roman"/>
                <w:b/>
                <w:bCs/>
                <w:szCs w:val="24"/>
                <w:lang w:eastAsia="lv-LV"/>
              </w:rPr>
              <w:t>gads</w:t>
            </w:r>
          </w:p>
        </w:tc>
        <w:tc>
          <w:tcPr>
            <w:tcW w:w="3631" w:type="dxa"/>
            <w:gridSpan w:val="3"/>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Turpmākie trīs gadi (tūkst. latu)</w:t>
            </w:r>
          </w:p>
        </w:tc>
      </w:tr>
      <w:tr w:rsidR="0047032E" w:rsidRPr="0012616F" w:rsidTr="001251D8">
        <w:trPr>
          <w:gridAfter w:val="1"/>
          <w:wAfter w:w="3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683FB7">
            <w:pPr>
              <w:spacing w:before="150" w:after="150" w:line="240" w:lineRule="auto"/>
              <w:jc w:val="center"/>
              <w:rPr>
                <w:rFonts w:eastAsia="Times New Roman"/>
                <w:b/>
                <w:bCs/>
                <w:szCs w:val="24"/>
                <w:lang w:eastAsia="lv-LV"/>
              </w:rPr>
            </w:pPr>
            <w:r>
              <w:rPr>
                <w:rFonts w:eastAsia="Times New Roman"/>
                <w:b/>
                <w:bCs/>
                <w:szCs w:val="24"/>
                <w:lang w:eastAsia="lv-LV"/>
              </w:rPr>
              <w:t>201</w:t>
            </w:r>
            <w:r w:rsidR="00683FB7">
              <w:rPr>
                <w:rFonts w:eastAsia="Times New Roman"/>
                <w:b/>
                <w:bCs/>
                <w:szCs w:val="24"/>
                <w:lang w:eastAsia="lv-LV"/>
              </w:rPr>
              <w:t>2</w:t>
            </w: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683FB7">
            <w:pPr>
              <w:spacing w:before="150" w:after="150" w:line="240" w:lineRule="auto"/>
              <w:jc w:val="center"/>
              <w:rPr>
                <w:rFonts w:eastAsia="Times New Roman"/>
                <w:b/>
                <w:bCs/>
                <w:szCs w:val="24"/>
                <w:lang w:eastAsia="lv-LV"/>
              </w:rPr>
            </w:pPr>
            <w:r>
              <w:rPr>
                <w:rFonts w:eastAsia="Times New Roman"/>
                <w:b/>
                <w:bCs/>
                <w:szCs w:val="24"/>
                <w:lang w:eastAsia="lv-LV"/>
              </w:rPr>
              <w:t>201</w:t>
            </w:r>
            <w:r w:rsidR="00683FB7">
              <w:rPr>
                <w:rFonts w:eastAsia="Times New Roman"/>
                <w:b/>
                <w:bCs/>
                <w:szCs w:val="24"/>
                <w:lang w:eastAsia="lv-LV"/>
              </w:rPr>
              <w:t>3</w:t>
            </w:r>
          </w:p>
        </w:tc>
        <w:tc>
          <w:tcPr>
            <w:tcW w:w="1041"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683FB7">
            <w:pPr>
              <w:spacing w:before="150" w:after="150" w:line="240" w:lineRule="auto"/>
              <w:jc w:val="center"/>
              <w:rPr>
                <w:rFonts w:eastAsia="Times New Roman"/>
                <w:b/>
                <w:bCs/>
                <w:szCs w:val="24"/>
                <w:lang w:eastAsia="lv-LV"/>
              </w:rPr>
            </w:pPr>
            <w:r>
              <w:rPr>
                <w:rFonts w:eastAsia="Times New Roman"/>
                <w:b/>
                <w:bCs/>
                <w:szCs w:val="24"/>
                <w:lang w:eastAsia="lv-LV"/>
              </w:rPr>
              <w:t>201</w:t>
            </w:r>
            <w:r w:rsidR="00683FB7">
              <w:rPr>
                <w:rFonts w:eastAsia="Times New Roman"/>
                <w:b/>
                <w:bCs/>
                <w:szCs w:val="24"/>
                <w:lang w:eastAsia="lv-LV"/>
              </w:rPr>
              <w:t>4</w:t>
            </w:r>
          </w:p>
        </w:tc>
      </w:tr>
      <w:tr w:rsidR="0047032E" w:rsidRPr="0012616F" w:rsidTr="001251D8">
        <w:trPr>
          <w:gridAfter w:val="1"/>
          <w:wAfter w:w="3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c>
          <w:tcPr>
            <w:tcW w:w="1256" w:type="dxa"/>
            <w:gridSpan w:val="2"/>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Saskaņā ar valsts budžetu kārtējam gadam</w:t>
            </w:r>
          </w:p>
        </w:tc>
        <w:tc>
          <w:tcPr>
            <w:tcW w:w="1309"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Izmaiņas kārtējā gadā, salīdzinot ar budžetu kārtējam gadam</w:t>
            </w: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Izmaiņas, salīdzinot ar kārtējo (n) gadu</w:t>
            </w: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Izmaiņas, salīdzinot ar kārtējo (n) gadu</w:t>
            </w:r>
          </w:p>
        </w:tc>
        <w:tc>
          <w:tcPr>
            <w:tcW w:w="1041"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Izmaiņas, salīdzinot ar kārtējo (n) gadu</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1</w:t>
            </w:r>
          </w:p>
        </w:tc>
        <w:tc>
          <w:tcPr>
            <w:tcW w:w="1256" w:type="dxa"/>
            <w:gridSpan w:val="2"/>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2</w:t>
            </w:r>
          </w:p>
        </w:tc>
        <w:tc>
          <w:tcPr>
            <w:tcW w:w="1309"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3</w:t>
            </w: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4</w:t>
            </w:r>
          </w:p>
        </w:tc>
        <w:tc>
          <w:tcPr>
            <w:tcW w:w="1295"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5</w:t>
            </w:r>
          </w:p>
        </w:tc>
        <w:tc>
          <w:tcPr>
            <w:tcW w:w="1041" w:type="dxa"/>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6</w:t>
            </w:r>
          </w:p>
        </w:tc>
      </w:tr>
      <w:tr w:rsidR="001251D8"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1251D8" w:rsidRPr="0012616F" w:rsidRDefault="001251D8" w:rsidP="0077784A">
            <w:pPr>
              <w:spacing w:before="75" w:after="75" w:line="240" w:lineRule="auto"/>
              <w:rPr>
                <w:rFonts w:eastAsia="Times New Roman"/>
                <w:szCs w:val="24"/>
                <w:lang w:eastAsia="lv-LV"/>
              </w:rPr>
            </w:pPr>
            <w:r w:rsidRPr="0012616F">
              <w:rPr>
                <w:rFonts w:eastAsia="Times New Roman"/>
                <w:szCs w:val="24"/>
                <w:lang w:eastAsia="lv-LV"/>
              </w:rPr>
              <w:t> 1. Budžeta ieņēmumi:</w:t>
            </w:r>
          </w:p>
        </w:tc>
        <w:tc>
          <w:tcPr>
            <w:tcW w:w="1256" w:type="dxa"/>
            <w:gridSpan w:val="2"/>
            <w:tcBorders>
              <w:top w:val="outset" w:sz="6" w:space="0" w:color="auto"/>
              <w:left w:val="outset" w:sz="6" w:space="0" w:color="auto"/>
              <w:bottom w:val="outset" w:sz="6" w:space="0" w:color="auto"/>
              <w:right w:val="outset" w:sz="6" w:space="0" w:color="auto"/>
            </w:tcBorders>
          </w:tcPr>
          <w:p w:rsidR="001251D8" w:rsidRPr="0012616F" w:rsidRDefault="001251D8" w:rsidP="0077784A">
            <w:pPr>
              <w:spacing w:before="75" w:after="75" w:line="240" w:lineRule="auto"/>
              <w:ind w:firstLine="375"/>
              <w:jc w:val="both"/>
              <w:rPr>
                <w:rFonts w:eastAsia="Times New Roman"/>
                <w:szCs w:val="24"/>
                <w:lang w:eastAsia="lv-LV"/>
              </w:rPr>
            </w:pPr>
            <w:r w:rsidRPr="0012616F">
              <w:rPr>
                <w:rFonts w:eastAsia="Times New Roman"/>
                <w:szCs w:val="24"/>
                <w:lang w:eastAsia="lv-LV"/>
              </w:rPr>
              <w:t>  </w:t>
            </w:r>
          </w:p>
        </w:tc>
        <w:tc>
          <w:tcPr>
            <w:tcW w:w="1309" w:type="dxa"/>
            <w:tcBorders>
              <w:top w:val="outset" w:sz="6" w:space="0" w:color="auto"/>
              <w:left w:val="outset" w:sz="6" w:space="0" w:color="auto"/>
              <w:bottom w:val="outset" w:sz="6" w:space="0" w:color="auto"/>
              <w:right w:val="outset" w:sz="6" w:space="0" w:color="auto"/>
            </w:tcBorders>
          </w:tcPr>
          <w:p w:rsidR="001251D8" w:rsidRPr="0012616F" w:rsidRDefault="001251D8" w:rsidP="0077784A">
            <w:pPr>
              <w:spacing w:before="75" w:after="75" w:line="240" w:lineRule="auto"/>
              <w:ind w:firstLine="375"/>
              <w:jc w:val="both"/>
              <w:rPr>
                <w:rFonts w:eastAsia="Times New Roman"/>
                <w:szCs w:val="24"/>
                <w:lang w:eastAsia="lv-LV"/>
              </w:rPr>
            </w:pPr>
            <w:r>
              <w:rPr>
                <w:rFonts w:eastAsia="Times New Roman"/>
                <w:szCs w:val="24"/>
                <w:lang w:eastAsia="lv-LV"/>
              </w:rPr>
              <w:t>-9</w:t>
            </w:r>
            <w:r w:rsidRPr="0012616F">
              <w:rPr>
                <w:rFonts w:eastAsia="Times New Roman"/>
                <w:szCs w:val="24"/>
                <w:lang w:eastAsia="lv-LV"/>
              </w:rPr>
              <w:t>  </w:t>
            </w:r>
          </w:p>
        </w:tc>
        <w:tc>
          <w:tcPr>
            <w:tcW w:w="1295" w:type="dxa"/>
            <w:tcBorders>
              <w:top w:val="outset" w:sz="6" w:space="0" w:color="auto"/>
              <w:left w:val="outset" w:sz="6" w:space="0" w:color="auto"/>
              <w:bottom w:val="outset" w:sz="6" w:space="0" w:color="auto"/>
              <w:right w:val="outset" w:sz="6" w:space="0" w:color="auto"/>
            </w:tcBorders>
          </w:tcPr>
          <w:p w:rsidR="001251D8" w:rsidRPr="004C7665" w:rsidRDefault="001251D8" w:rsidP="00E82170">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1251D8" w:rsidRPr="004C7665" w:rsidRDefault="001251D8" w:rsidP="00E82170">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1251D8" w:rsidRPr="004C7665" w:rsidRDefault="001251D8" w:rsidP="00E82170">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1.1. valsts pamatbudžets, tai sk</w:t>
            </w:r>
            <w:r>
              <w:rPr>
                <w:rFonts w:eastAsia="Times New Roman"/>
                <w:szCs w:val="24"/>
                <w:lang w:eastAsia="lv-LV"/>
              </w:rPr>
              <w:t>aitā ieņēmumi no maksas pakalpo</w:t>
            </w:r>
            <w:r w:rsidRPr="0012616F">
              <w:rPr>
                <w:rFonts w:eastAsia="Times New Roman"/>
                <w:szCs w:val="24"/>
                <w:lang w:eastAsia="lv-LV"/>
              </w:rPr>
              <w:t>jumiem un citi pašu ieņēmumi</w:t>
            </w:r>
          </w:p>
        </w:tc>
        <w:tc>
          <w:tcPr>
            <w:tcW w:w="1256"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DD7D18">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1251D8" w:rsidP="0077784A">
            <w:pPr>
              <w:spacing w:before="75" w:after="75" w:line="240" w:lineRule="auto"/>
              <w:ind w:firstLine="375"/>
              <w:jc w:val="both"/>
              <w:rPr>
                <w:rFonts w:eastAsia="Times New Roman"/>
                <w:szCs w:val="24"/>
                <w:lang w:eastAsia="lv-LV"/>
              </w:rPr>
            </w:pPr>
            <w:r>
              <w:rPr>
                <w:rFonts w:eastAsia="Times New Roman"/>
                <w:szCs w:val="24"/>
                <w:lang w:eastAsia="lv-LV"/>
              </w:rPr>
              <w:t>-9</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1.2. valsts speciālais budžets</w:t>
            </w:r>
          </w:p>
        </w:tc>
        <w:tc>
          <w:tcPr>
            <w:tcW w:w="1256"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12"/>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1.3. pašvaldību budžets</w:t>
            </w:r>
          </w:p>
        </w:tc>
        <w:tc>
          <w:tcPr>
            <w:tcW w:w="1256"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2. Budžeta izdevumi:</w:t>
            </w:r>
          </w:p>
        </w:tc>
        <w:tc>
          <w:tcPr>
            <w:tcW w:w="1256"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2.1. valsts pamatbudžets</w:t>
            </w:r>
          </w:p>
        </w:tc>
        <w:tc>
          <w:tcPr>
            <w:tcW w:w="1256"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tabs>
                <w:tab w:val="left" w:pos="510"/>
                <w:tab w:val="center" w:pos="624"/>
              </w:tabs>
              <w:spacing w:before="75" w:after="75" w:line="240" w:lineRule="auto"/>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2.2. valsts speciālais budžets</w:t>
            </w:r>
          </w:p>
        </w:tc>
        <w:tc>
          <w:tcPr>
            <w:tcW w:w="1256"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50"/>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 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2.3. pašvaldību budžets</w:t>
            </w:r>
          </w:p>
        </w:tc>
        <w:tc>
          <w:tcPr>
            <w:tcW w:w="1256"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12"/>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50"/>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3. Finansiālā ietekme:</w:t>
            </w:r>
          </w:p>
        </w:tc>
        <w:tc>
          <w:tcPr>
            <w:tcW w:w="1256" w:type="dxa"/>
            <w:gridSpan w:val="2"/>
            <w:tcBorders>
              <w:top w:val="outset" w:sz="6" w:space="0" w:color="auto"/>
              <w:left w:val="outset" w:sz="6" w:space="0" w:color="auto"/>
              <w:bottom w:val="outset" w:sz="6" w:space="0" w:color="auto"/>
              <w:right w:val="outset" w:sz="6" w:space="0" w:color="auto"/>
            </w:tcBorders>
            <w:vAlign w:val="center"/>
          </w:tcPr>
          <w:p w:rsidR="0047032E" w:rsidRPr="0012616F" w:rsidRDefault="001251D8" w:rsidP="0077784A">
            <w:pPr>
              <w:spacing w:before="75" w:after="75" w:line="240" w:lineRule="auto"/>
              <w:jc w:val="center"/>
              <w:rPr>
                <w:rFonts w:eastAsia="Times New Roman"/>
                <w:szCs w:val="24"/>
                <w:lang w:eastAsia="lv-LV"/>
              </w:rPr>
            </w:pPr>
            <w:r>
              <w:rPr>
                <w:rFonts w:eastAsia="Times New Roman"/>
                <w:szCs w:val="24"/>
                <w:lang w:eastAsia="lv-LV"/>
              </w:rPr>
              <w:t>0</w:t>
            </w:r>
            <w:r w:rsidR="0047032E" w:rsidRPr="0012616F">
              <w:rPr>
                <w:rFonts w:eastAsia="Times New Roman"/>
                <w:szCs w:val="24"/>
                <w:lang w:eastAsia="lv-LV"/>
              </w:rPr>
              <w:t>  </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1251D8">
              <w:rPr>
                <w:rFonts w:eastAsia="Times New Roman"/>
                <w:szCs w:val="24"/>
                <w:lang w:eastAsia="lv-LV"/>
              </w:rPr>
              <w:t>-9</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lastRenderedPageBreak/>
              <w:t> 3.1. valsts pamatbudžets</w:t>
            </w:r>
          </w:p>
        </w:tc>
        <w:tc>
          <w:tcPr>
            <w:tcW w:w="1256"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61"/>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1251D8" w:rsidP="00DD7D18">
            <w:pPr>
              <w:spacing w:before="75" w:after="75" w:line="240" w:lineRule="auto"/>
              <w:ind w:firstLine="65"/>
              <w:jc w:val="center"/>
              <w:rPr>
                <w:rFonts w:eastAsia="Times New Roman"/>
                <w:szCs w:val="24"/>
                <w:lang w:eastAsia="lv-LV"/>
              </w:rPr>
            </w:pPr>
            <w:r>
              <w:rPr>
                <w:rFonts w:eastAsia="Times New Roman"/>
                <w:szCs w:val="24"/>
                <w:lang w:eastAsia="lv-LV"/>
              </w:rPr>
              <w:t>-9</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3.2. speciālais budžets</w:t>
            </w:r>
          </w:p>
        </w:tc>
        <w:tc>
          <w:tcPr>
            <w:tcW w:w="1256"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61"/>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65"/>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3.3. pašvaldību budžets</w:t>
            </w:r>
          </w:p>
        </w:tc>
        <w:tc>
          <w:tcPr>
            <w:tcW w:w="1256" w:type="dxa"/>
            <w:gridSpan w:val="2"/>
            <w:tcBorders>
              <w:top w:val="outset" w:sz="6" w:space="0" w:color="auto"/>
              <w:left w:val="outset" w:sz="6" w:space="0" w:color="auto"/>
              <w:bottom w:val="outset" w:sz="6" w:space="0" w:color="auto"/>
              <w:right w:val="outset" w:sz="6" w:space="0" w:color="auto"/>
            </w:tcBorders>
          </w:tcPr>
          <w:p w:rsidR="0047032E" w:rsidRPr="0012616F" w:rsidRDefault="00DD7D18" w:rsidP="00DD7D18">
            <w:pPr>
              <w:spacing w:before="75" w:after="75" w:line="240" w:lineRule="auto"/>
              <w:jc w:val="center"/>
              <w:rPr>
                <w:rFonts w:eastAsia="Times New Roman"/>
                <w:szCs w:val="24"/>
                <w:lang w:eastAsia="lv-LV"/>
              </w:rPr>
            </w:pPr>
            <w:r>
              <w:rPr>
                <w:rFonts w:eastAsia="Times New Roman"/>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DD7D18" w:rsidP="00DD7D18">
            <w:pPr>
              <w:spacing w:before="75" w:after="75" w:line="240" w:lineRule="auto"/>
              <w:ind w:firstLine="65"/>
              <w:jc w:val="center"/>
              <w:rPr>
                <w:rFonts w:eastAsia="Times New Roman"/>
                <w:szCs w:val="24"/>
                <w:lang w:eastAsia="lv-LV"/>
              </w:rPr>
            </w:pPr>
            <w:r>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vMerge w:val="restart"/>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4. Finanšu līdzekļi papildu izde</w:t>
            </w:r>
            <w:r w:rsidRPr="0012616F">
              <w:rPr>
                <w:rFonts w:eastAsia="Times New Roman"/>
                <w:szCs w:val="24"/>
                <w:lang w:eastAsia="lv-LV"/>
              </w:rPr>
              <w:softHyphen/>
              <w:t>vumu finansēšanai (kompensējošu izdevumu samazinājumu norāda ar "+" zīmi)</w:t>
            </w:r>
          </w:p>
        </w:tc>
        <w:tc>
          <w:tcPr>
            <w:tcW w:w="1256" w:type="dxa"/>
            <w:gridSpan w:val="2"/>
            <w:vMerge w:val="restart"/>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X</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r>
      <w:tr w:rsidR="0047032E" w:rsidRPr="0012616F" w:rsidTr="001251D8">
        <w:trPr>
          <w:gridAfter w:val="1"/>
          <w:wAfter w:w="3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5. Precizēta finansiālā ietekme:</w:t>
            </w:r>
          </w:p>
        </w:tc>
        <w:tc>
          <w:tcPr>
            <w:tcW w:w="1256" w:type="dxa"/>
            <w:gridSpan w:val="2"/>
            <w:vMerge w:val="restart"/>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jc w:val="center"/>
              <w:rPr>
                <w:rFonts w:eastAsia="Times New Roman"/>
                <w:szCs w:val="24"/>
                <w:lang w:eastAsia="lv-LV"/>
              </w:rPr>
            </w:pPr>
            <w:r w:rsidRPr="0012616F">
              <w:rPr>
                <w:rFonts w:eastAsia="Times New Roman"/>
                <w:szCs w:val="24"/>
                <w:lang w:eastAsia="lv-LV"/>
              </w:rPr>
              <w:t> X</w:t>
            </w: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  </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5.3. pašvaldību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ind w:firstLine="375"/>
              <w:jc w:val="both"/>
              <w:rPr>
                <w:rFonts w:eastAsia="Times New Roman"/>
                <w:szCs w:val="24"/>
                <w:lang w:eastAsia="lv-LV"/>
              </w:rPr>
            </w:pPr>
            <w:r w:rsidRPr="0012616F">
              <w:rPr>
                <w:rFonts w:eastAsia="Times New Roman"/>
                <w:szCs w:val="24"/>
                <w:lang w:eastAsia="lv-LV"/>
              </w:rPr>
              <w:t>  </w:t>
            </w:r>
            <w:r w:rsidR="00B86640">
              <w:rPr>
                <w:rFonts w:eastAsia="Times New Roman"/>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295"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c>
          <w:tcPr>
            <w:tcW w:w="1041" w:type="dxa"/>
            <w:tcBorders>
              <w:top w:val="outset" w:sz="6" w:space="0" w:color="auto"/>
              <w:left w:val="outset" w:sz="6" w:space="0" w:color="auto"/>
              <w:bottom w:val="outset" w:sz="6" w:space="0" w:color="auto"/>
              <w:right w:val="outset" w:sz="6" w:space="0" w:color="auto"/>
            </w:tcBorders>
          </w:tcPr>
          <w:p w:rsidR="0047032E" w:rsidRPr="004C7665" w:rsidRDefault="0047032E" w:rsidP="0077784A">
            <w:pPr>
              <w:spacing w:before="75" w:after="75" w:line="240" w:lineRule="auto"/>
              <w:jc w:val="both"/>
              <w:rPr>
                <w:rFonts w:eastAsia="Times New Roman"/>
                <w:sz w:val="20"/>
                <w:szCs w:val="20"/>
                <w:lang w:eastAsia="lv-LV"/>
              </w:rPr>
            </w:pPr>
            <w:r w:rsidRPr="004C7665">
              <w:rPr>
                <w:rFonts w:eastAsia="Times New Roman"/>
                <w:sz w:val="20"/>
                <w:szCs w:val="20"/>
                <w:lang w:eastAsia="lv-LV"/>
              </w:rPr>
              <w:t>Nav attiecināms</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6. Detalizēts ieņēmumu un izdevu</w:t>
            </w:r>
            <w:r w:rsidRPr="0012616F">
              <w:rPr>
                <w:rFonts w:eastAsia="Times New Roman"/>
                <w:szCs w:val="24"/>
                <w:lang w:eastAsia="lv-LV"/>
              </w:rPr>
              <w:softHyphen/>
              <w:t>mu aprēķins (ja nepieciešams, detalizētu ieņēmumu un izdevumu aprēķinu var pievienot anotācijas pielikumā):</w:t>
            </w:r>
          </w:p>
        </w:tc>
        <w:tc>
          <w:tcPr>
            <w:tcW w:w="6196" w:type="dxa"/>
            <w:gridSpan w:val="6"/>
            <w:vMerge w:val="restart"/>
            <w:tcBorders>
              <w:top w:val="outset" w:sz="6" w:space="0" w:color="auto"/>
              <w:left w:val="outset" w:sz="6" w:space="0" w:color="auto"/>
              <w:bottom w:val="outset" w:sz="6" w:space="0" w:color="auto"/>
              <w:right w:val="outset" w:sz="6" w:space="0" w:color="auto"/>
            </w:tcBorders>
            <w:vAlign w:val="center"/>
          </w:tcPr>
          <w:p w:rsidR="0047032E" w:rsidRPr="0012616F" w:rsidRDefault="001251D8" w:rsidP="0077784A">
            <w:pPr>
              <w:spacing w:before="75" w:after="75" w:line="240" w:lineRule="auto"/>
              <w:jc w:val="both"/>
              <w:rPr>
                <w:rFonts w:eastAsia="Times New Roman"/>
                <w:szCs w:val="24"/>
                <w:lang w:eastAsia="lv-LV"/>
              </w:rPr>
            </w:pPr>
            <w:r w:rsidRPr="008F36AC">
              <w:rPr>
                <w:szCs w:val="24"/>
              </w:rPr>
              <w:t>Projekts šo jomu neskar</w:t>
            </w:r>
            <w:r>
              <w:rPr>
                <w:szCs w:val="24"/>
              </w:rPr>
              <w:t>.</w:t>
            </w: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6.1. detalizēts ieņēmumu aprēķins</w:t>
            </w:r>
          </w:p>
        </w:tc>
        <w:tc>
          <w:tcPr>
            <w:tcW w:w="6196" w:type="dxa"/>
            <w:gridSpan w:val="6"/>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6.2. detalizēts izdevumu aprēķins</w:t>
            </w:r>
          </w:p>
        </w:tc>
        <w:tc>
          <w:tcPr>
            <w:tcW w:w="6196" w:type="dxa"/>
            <w:gridSpan w:val="6"/>
            <w:vMerge/>
            <w:tcBorders>
              <w:top w:val="outset" w:sz="6" w:space="0" w:color="auto"/>
              <w:left w:val="outset" w:sz="6" w:space="0" w:color="auto"/>
              <w:bottom w:val="outset" w:sz="6" w:space="0" w:color="auto"/>
              <w:right w:val="outset" w:sz="6" w:space="0" w:color="auto"/>
            </w:tcBorders>
            <w:vAlign w:val="center"/>
          </w:tcPr>
          <w:p w:rsidR="0047032E" w:rsidRPr="0012616F" w:rsidRDefault="0047032E" w:rsidP="0077784A">
            <w:pPr>
              <w:spacing w:after="0" w:line="240" w:lineRule="auto"/>
              <w:rPr>
                <w:rFonts w:eastAsia="Times New Roman"/>
                <w:szCs w:val="24"/>
                <w:lang w:eastAsia="lv-LV"/>
              </w:rPr>
            </w:pPr>
          </w:p>
        </w:tc>
      </w:tr>
      <w:tr w:rsidR="0047032E" w:rsidRPr="0012616F" w:rsidTr="001251D8">
        <w:trPr>
          <w:gridAfter w:val="1"/>
          <w:wAfter w:w="34" w:type="dxa"/>
          <w:tblCellSpacing w:w="0" w:type="dxa"/>
        </w:trPr>
        <w:tc>
          <w:tcPr>
            <w:tcW w:w="2999" w:type="dxa"/>
            <w:gridSpan w:val="2"/>
            <w:tcBorders>
              <w:top w:val="outset" w:sz="6" w:space="0" w:color="auto"/>
              <w:left w:val="outset" w:sz="6" w:space="0" w:color="auto"/>
              <w:bottom w:val="outset" w:sz="6" w:space="0" w:color="auto"/>
              <w:right w:val="outset" w:sz="6" w:space="0" w:color="auto"/>
            </w:tcBorders>
          </w:tcPr>
          <w:p w:rsidR="0047032E" w:rsidRPr="0012616F" w:rsidRDefault="0047032E" w:rsidP="0077784A">
            <w:pPr>
              <w:spacing w:before="75" w:after="75" w:line="240" w:lineRule="auto"/>
              <w:rPr>
                <w:rFonts w:eastAsia="Times New Roman"/>
                <w:szCs w:val="24"/>
                <w:lang w:eastAsia="lv-LV"/>
              </w:rPr>
            </w:pPr>
            <w:r w:rsidRPr="0012616F">
              <w:rPr>
                <w:rFonts w:eastAsia="Times New Roman"/>
                <w:szCs w:val="24"/>
                <w:lang w:eastAsia="lv-LV"/>
              </w:rPr>
              <w:t> 7. Cita informācija</w:t>
            </w:r>
          </w:p>
        </w:tc>
        <w:tc>
          <w:tcPr>
            <w:tcW w:w="6196" w:type="dxa"/>
            <w:gridSpan w:val="6"/>
            <w:tcBorders>
              <w:top w:val="outset" w:sz="6" w:space="0" w:color="auto"/>
              <w:left w:val="outset" w:sz="6" w:space="0" w:color="auto"/>
              <w:bottom w:val="outset" w:sz="6" w:space="0" w:color="auto"/>
              <w:right w:val="outset" w:sz="6" w:space="0" w:color="auto"/>
            </w:tcBorders>
          </w:tcPr>
          <w:p w:rsidR="0047032E" w:rsidRPr="0012616F" w:rsidRDefault="0047032E" w:rsidP="001251D8">
            <w:pPr>
              <w:spacing w:before="75" w:after="75" w:line="240" w:lineRule="auto"/>
              <w:jc w:val="both"/>
              <w:rPr>
                <w:rFonts w:eastAsia="Times New Roman"/>
                <w:szCs w:val="24"/>
                <w:lang w:eastAsia="lv-LV"/>
              </w:rPr>
            </w:pPr>
            <w:r w:rsidRPr="0012616F">
              <w:rPr>
                <w:rFonts w:eastAsia="Times New Roman"/>
                <w:szCs w:val="24"/>
                <w:lang w:eastAsia="lv-LV"/>
              </w:rPr>
              <w:t> </w:t>
            </w:r>
            <w:r w:rsidR="00DD7D18">
              <w:rPr>
                <w:rFonts w:eastAsia="Times New Roman"/>
                <w:szCs w:val="24"/>
                <w:lang w:eastAsia="lv-LV"/>
              </w:rPr>
              <w:t>Ņemot vērā, ka dividenžu maksājumi par</w:t>
            </w:r>
            <w:proofErr w:type="gramStart"/>
            <w:r w:rsidR="00DD7D18">
              <w:rPr>
                <w:rFonts w:eastAsia="Times New Roman"/>
                <w:szCs w:val="24"/>
                <w:lang w:eastAsia="lv-LV"/>
              </w:rPr>
              <w:t xml:space="preserve">  </w:t>
            </w:r>
            <w:proofErr w:type="gramEnd"/>
            <w:r w:rsidR="00683FB7">
              <w:rPr>
                <w:rFonts w:eastAsia="Times New Roman"/>
                <w:szCs w:val="24"/>
                <w:lang w:eastAsia="lv-LV"/>
              </w:rPr>
              <w:t>2010.gadu neattiecas uz 2011</w:t>
            </w:r>
            <w:r w:rsidR="00DD7D18">
              <w:rPr>
                <w:rFonts w:eastAsia="Times New Roman"/>
                <w:szCs w:val="24"/>
                <w:lang w:eastAsia="lv-LV"/>
              </w:rPr>
              <w:t>.g</w:t>
            </w:r>
            <w:r w:rsidR="00683FB7">
              <w:rPr>
                <w:rFonts w:eastAsia="Times New Roman"/>
                <w:szCs w:val="24"/>
                <w:lang w:eastAsia="lv-LV"/>
              </w:rPr>
              <w:t>ada budžeta izdevumiem, tad 2011</w:t>
            </w:r>
            <w:r w:rsidR="00DD7D18">
              <w:rPr>
                <w:rFonts w:eastAsia="Times New Roman"/>
                <w:szCs w:val="24"/>
                <w:lang w:eastAsia="lv-LV"/>
              </w:rPr>
              <w:t xml:space="preserve">.gada budžetā līdzekļi šo dividenžu samaksai netika plānoti. Kapitālsabiedrības dividenžu samaksa par </w:t>
            </w:r>
            <w:r w:rsidR="00683FB7">
              <w:rPr>
                <w:rFonts w:eastAsia="Times New Roman"/>
                <w:szCs w:val="24"/>
                <w:lang w:eastAsia="lv-LV"/>
              </w:rPr>
              <w:t>2010</w:t>
            </w:r>
            <w:r w:rsidR="00DD7D18">
              <w:rPr>
                <w:rFonts w:eastAsia="Times New Roman"/>
                <w:szCs w:val="24"/>
                <w:lang w:eastAsia="lv-LV"/>
              </w:rPr>
              <w:t>.</w:t>
            </w:r>
            <w:r w:rsidR="00683FB7">
              <w:rPr>
                <w:rFonts w:eastAsia="Times New Roman"/>
                <w:szCs w:val="24"/>
                <w:lang w:eastAsia="lv-LV"/>
              </w:rPr>
              <w:t xml:space="preserve"> </w:t>
            </w:r>
            <w:r w:rsidR="00DD7D18">
              <w:rPr>
                <w:rFonts w:eastAsia="Times New Roman"/>
                <w:szCs w:val="24"/>
                <w:lang w:eastAsia="lv-LV"/>
              </w:rPr>
              <w:t xml:space="preserve">gadu būtu jāveic no pašlaik kapitālsabiedrības rīcībā esošajiem līdzekļiem. Pieņemot lēmumu par atšķirīgu dividendēs izmaksājamo summu (nosakot 0% likmi), valsts budžetā netiktu pārskaitīta summa </w:t>
            </w:r>
            <w:r w:rsidR="00683FB7">
              <w:t>LVL 9013.50 apmērā</w:t>
            </w:r>
            <w:r w:rsidR="00DD7D18">
              <w:rPr>
                <w:rFonts w:eastAsia="Times New Roman"/>
                <w:szCs w:val="24"/>
                <w:lang w:eastAsia="lv-LV"/>
              </w:rPr>
              <w:t>, bet minētā summa paliktu kapitālsabiedrības rīcībā un tiktu novirzīta kapitālsabiedrības deleģētās valsts kultūras funkcijas nodrošināš</w:t>
            </w:r>
            <w:r w:rsidR="005B0ACA">
              <w:rPr>
                <w:rFonts w:eastAsia="Times New Roman"/>
                <w:szCs w:val="24"/>
                <w:lang w:eastAsia="lv-LV"/>
              </w:rPr>
              <w:t>anas izdevumu segšanai 201</w:t>
            </w:r>
            <w:r w:rsidR="00683FB7">
              <w:rPr>
                <w:rFonts w:eastAsia="Times New Roman"/>
                <w:szCs w:val="24"/>
                <w:lang w:eastAsia="lv-LV"/>
              </w:rPr>
              <w:t>1</w:t>
            </w:r>
            <w:r w:rsidR="005B0ACA">
              <w:rPr>
                <w:rFonts w:eastAsia="Times New Roman"/>
                <w:szCs w:val="24"/>
                <w:lang w:eastAsia="lv-LV"/>
              </w:rPr>
              <w:t>.gadā</w:t>
            </w:r>
            <w:r w:rsidR="001251D8">
              <w:rPr>
                <w:rFonts w:eastAsia="Times New Roman"/>
                <w:szCs w:val="24"/>
                <w:lang w:eastAsia="lv-LV"/>
              </w:rPr>
              <w:t xml:space="preserve">, </w:t>
            </w:r>
            <w:r w:rsidR="00DD7D18">
              <w:rPr>
                <w:rFonts w:eastAsia="Times New Roman"/>
                <w:szCs w:val="24"/>
                <w:lang w:eastAsia="lv-LV"/>
              </w:rPr>
              <w:t>nepalielinot kapitālsabiedrībai nepieciešamo valsts budžeta dotāciju 201</w:t>
            </w:r>
            <w:r w:rsidR="00683FB7">
              <w:rPr>
                <w:rFonts w:eastAsia="Times New Roman"/>
                <w:szCs w:val="24"/>
                <w:lang w:eastAsia="lv-LV"/>
              </w:rPr>
              <w:t>1</w:t>
            </w:r>
            <w:r w:rsidR="00DD7D18">
              <w:rPr>
                <w:rFonts w:eastAsia="Times New Roman"/>
                <w:szCs w:val="24"/>
                <w:lang w:eastAsia="lv-LV"/>
              </w:rPr>
              <w:t xml:space="preserve">.gadā deleģētās valsts </w:t>
            </w:r>
            <w:r w:rsidR="00DD7D18">
              <w:rPr>
                <w:rFonts w:eastAsia="Times New Roman"/>
                <w:szCs w:val="24"/>
                <w:lang w:eastAsia="lv-LV"/>
              </w:rPr>
              <w:lastRenderedPageBreak/>
              <w:t xml:space="preserve">kultūras funkcijas īstenošanai.  </w:t>
            </w:r>
          </w:p>
        </w:tc>
      </w:tr>
      <w:tr w:rsidR="00233886" w:rsidRPr="00082856" w:rsidTr="001251D8">
        <w:trPr>
          <w:tblCellSpacing w:w="0" w:type="dxa"/>
        </w:trPr>
        <w:tc>
          <w:tcPr>
            <w:tcW w:w="9229" w:type="dxa"/>
            <w:gridSpan w:val="9"/>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jc w:val="center"/>
              <w:rPr>
                <w:rFonts w:eastAsia="Times New Roman"/>
                <w:szCs w:val="24"/>
                <w:lang w:eastAsia="lv-LV"/>
              </w:rPr>
            </w:pPr>
            <w:r w:rsidRPr="00082856">
              <w:rPr>
                <w:rFonts w:eastAsia="Times New Roman"/>
                <w:szCs w:val="24"/>
                <w:lang w:eastAsia="lv-LV"/>
              </w:rPr>
              <w:lastRenderedPageBreak/>
              <w:t> </w:t>
            </w:r>
            <w:r w:rsidRPr="00082856">
              <w:rPr>
                <w:rFonts w:eastAsia="Times New Roman"/>
                <w:b/>
                <w:bCs/>
                <w:szCs w:val="24"/>
                <w:lang w:eastAsia="lv-LV"/>
              </w:rPr>
              <w:t> VII. Tiesību akta projekta izpildes nodrošināšana un tās ietekme uz institūcijām</w:t>
            </w:r>
          </w:p>
        </w:tc>
      </w:tr>
      <w:tr w:rsidR="00233886" w:rsidRPr="00082856" w:rsidTr="001251D8">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1.</w:t>
            </w:r>
          </w:p>
        </w:tc>
        <w:tc>
          <w:tcPr>
            <w:tcW w:w="3618" w:type="dxa"/>
            <w:gridSpan w:val="2"/>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Projekta izpildē iesaistītās institūcijas</w:t>
            </w:r>
          </w:p>
        </w:tc>
        <w:tc>
          <w:tcPr>
            <w:tcW w:w="5135" w:type="dxa"/>
            <w:gridSpan w:val="6"/>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Pr>
                <w:rFonts w:eastAsia="Times New Roman"/>
                <w:szCs w:val="24"/>
                <w:lang w:eastAsia="lv-LV"/>
              </w:rPr>
              <w:t xml:space="preserve">Kultūras ministrija, Valsts ieņēmumu dienests </w:t>
            </w:r>
          </w:p>
        </w:tc>
      </w:tr>
      <w:tr w:rsidR="00233886" w:rsidRPr="00082856" w:rsidTr="001251D8">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2.</w:t>
            </w:r>
          </w:p>
        </w:tc>
        <w:tc>
          <w:tcPr>
            <w:tcW w:w="3618" w:type="dxa"/>
            <w:gridSpan w:val="2"/>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Projekta izpildes ietekme uz pārvaldes funkcijām</w:t>
            </w:r>
          </w:p>
        </w:tc>
        <w:tc>
          <w:tcPr>
            <w:tcW w:w="5135" w:type="dxa"/>
            <w:gridSpan w:val="6"/>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Pr>
                <w:rFonts w:eastAsia="Times New Roman"/>
                <w:szCs w:val="24"/>
                <w:lang w:eastAsia="lv-LV"/>
              </w:rPr>
              <w:t xml:space="preserve">Funkcijas netiek paplašinātas. </w:t>
            </w:r>
          </w:p>
        </w:tc>
      </w:tr>
      <w:tr w:rsidR="00233886" w:rsidRPr="00082856" w:rsidTr="001251D8">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3.</w:t>
            </w:r>
          </w:p>
        </w:tc>
        <w:tc>
          <w:tcPr>
            <w:tcW w:w="3618" w:type="dxa"/>
            <w:gridSpan w:val="2"/>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Projekta izpildes ietekme uz pārvaldes institucionālo struktūru.</w:t>
            </w:r>
          </w:p>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Jaunu institūciju izveide</w:t>
            </w:r>
          </w:p>
        </w:tc>
        <w:tc>
          <w:tcPr>
            <w:tcW w:w="5135" w:type="dxa"/>
            <w:gridSpan w:val="6"/>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Pr>
                <w:color w:val="000000"/>
                <w:szCs w:val="26"/>
              </w:rPr>
              <w:t xml:space="preserve">Projekta </w:t>
            </w:r>
            <w:r w:rsidRPr="00863771">
              <w:rPr>
                <w:color w:val="000000"/>
                <w:szCs w:val="26"/>
              </w:rPr>
              <w:t xml:space="preserve">izpildei nav </w:t>
            </w:r>
            <w:r>
              <w:rPr>
                <w:color w:val="000000"/>
                <w:szCs w:val="26"/>
              </w:rPr>
              <w:t>nepieciešams radīt jaunas pārvaldes</w:t>
            </w:r>
            <w:r w:rsidRPr="00863771">
              <w:rPr>
                <w:color w:val="000000"/>
                <w:szCs w:val="26"/>
              </w:rPr>
              <w:t xml:space="preserve"> institūcijas</w:t>
            </w:r>
            <w:r>
              <w:rPr>
                <w:color w:val="000000"/>
                <w:szCs w:val="26"/>
              </w:rPr>
              <w:t>.</w:t>
            </w:r>
          </w:p>
        </w:tc>
      </w:tr>
      <w:tr w:rsidR="00233886" w:rsidRPr="00082856" w:rsidTr="001251D8">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4.</w:t>
            </w:r>
          </w:p>
        </w:tc>
        <w:tc>
          <w:tcPr>
            <w:tcW w:w="3618" w:type="dxa"/>
            <w:gridSpan w:val="2"/>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Projekta izpildes ietekme uz pārvaldes institucionālo struktūru.</w:t>
            </w:r>
          </w:p>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Esošu institūciju likvidācija</w:t>
            </w:r>
          </w:p>
        </w:tc>
        <w:tc>
          <w:tcPr>
            <w:tcW w:w="5135" w:type="dxa"/>
            <w:gridSpan w:val="6"/>
            <w:tcBorders>
              <w:top w:val="outset" w:sz="6" w:space="0" w:color="auto"/>
              <w:left w:val="outset" w:sz="6" w:space="0" w:color="auto"/>
              <w:bottom w:val="outset" w:sz="6" w:space="0" w:color="auto"/>
              <w:right w:val="outset" w:sz="6" w:space="0" w:color="auto"/>
            </w:tcBorders>
          </w:tcPr>
          <w:p w:rsidR="00233886" w:rsidRPr="00082856" w:rsidRDefault="001251D8" w:rsidP="00233886">
            <w:pPr>
              <w:spacing w:after="0" w:line="240" w:lineRule="auto"/>
              <w:rPr>
                <w:rFonts w:eastAsia="Times New Roman"/>
                <w:szCs w:val="24"/>
                <w:lang w:eastAsia="lv-LV"/>
              </w:rPr>
            </w:pPr>
            <w:r w:rsidRPr="008F36AC">
              <w:rPr>
                <w:szCs w:val="24"/>
              </w:rPr>
              <w:t>Projekts šo jomu neskar</w:t>
            </w:r>
            <w:r>
              <w:rPr>
                <w:szCs w:val="24"/>
              </w:rPr>
              <w:t>.</w:t>
            </w:r>
          </w:p>
        </w:tc>
      </w:tr>
      <w:tr w:rsidR="00233886" w:rsidRPr="00082856" w:rsidTr="001251D8">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5.</w:t>
            </w:r>
          </w:p>
        </w:tc>
        <w:tc>
          <w:tcPr>
            <w:tcW w:w="3618" w:type="dxa"/>
            <w:gridSpan w:val="2"/>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Projekta izpildes ietekme uz pārvaldes institucionālo struktūru.</w:t>
            </w:r>
          </w:p>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Esošu institūciju reorganizācija</w:t>
            </w:r>
          </w:p>
        </w:tc>
        <w:tc>
          <w:tcPr>
            <w:tcW w:w="5135" w:type="dxa"/>
            <w:gridSpan w:val="6"/>
            <w:tcBorders>
              <w:top w:val="outset" w:sz="6" w:space="0" w:color="auto"/>
              <w:left w:val="outset" w:sz="6" w:space="0" w:color="auto"/>
              <w:bottom w:val="outset" w:sz="6" w:space="0" w:color="auto"/>
              <w:right w:val="outset" w:sz="6" w:space="0" w:color="auto"/>
            </w:tcBorders>
          </w:tcPr>
          <w:p w:rsidR="00233886" w:rsidRPr="00082856" w:rsidRDefault="001251D8" w:rsidP="00233886">
            <w:pPr>
              <w:spacing w:after="0" w:line="240" w:lineRule="auto"/>
              <w:rPr>
                <w:rFonts w:eastAsia="Times New Roman"/>
                <w:szCs w:val="24"/>
                <w:lang w:eastAsia="lv-LV"/>
              </w:rPr>
            </w:pPr>
            <w:r w:rsidRPr="008F36AC">
              <w:rPr>
                <w:szCs w:val="24"/>
              </w:rPr>
              <w:t>Projekts šo jomu neskar</w:t>
            </w:r>
            <w:r>
              <w:rPr>
                <w:szCs w:val="24"/>
              </w:rPr>
              <w:t>.</w:t>
            </w:r>
          </w:p>
        </w:tc>
      </w:tr>
      <w:tr w:rsidR="00233886" w:rsidRPr="00082856" w:rsidTr="001251D8">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6.</w:t>
            </w:r>
          </w:p>
        </w:tc>
        <w:tc>
          <w:tcPr>
            <w:tcW w:w="3618" w:type="dxa"/>
            <w:gridSpan w:val="2"/>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sidRPr="00082856">
              <w:rPr>
                <w:rFonts w:eastAsia="Times New Roman"/>
                <w:szCs w:val="24"/>
                <w:lang w:eastAsia="lv-LV"/>
              </w:rPr>
              <w:t> Cita informācija</w:t>
            </w:r>
          </w:p>
        </w:tc>
        <w:tc>
          <w:tcPr>
            <w:tcW w:w="5135" w:type="dxa"/>
            <w:gridSpan w:val="6"/>
            <w:tcBorders>
              <w:top w:val="outset" w:sz="6" w:space="0" w:color="auto"/>
              <w:left w:val="outset" w:sz="6" w:space="0" w:color="auto"/>
              <w:bottom w:val="outset" w:sz="6" w:space="0" w:color="auto"/>
              <w:right w:val="outset" w:sz="6" w:space="0" w:color="auto"/>
            </w:tcBorders>
          </w:tcPr>
          <w:p w:rsidR="00233886" w:rsidRPr="00082856" w:rsidRDefault="00233886" w:rsidP="00233886">
            <w:pPr>
              <w:spacing w:after="0" w:line="240" w:lineRule="auto"/>
              <w:rPr>
                <w:rFonts w:eastAsia="Times New Roman"/>
                <w:szCs w:val="24"/>
                <w:lang w:eastAsia="lv-LV"/>
              </w:rPr>
            </w:pPr>
            <w:r>
              <w:rPr>
                <w:rFonts w:eastAsia="Times New Roman"/>
                <w:szCs w:val="24"/>
                <w:lang w:eastAsia="lv-LV"/>
              </w:rPr>
              <w:t>Nav</w:t>
            </w:r>
          </w:p>
        </w:tc>
      </w:tr>
    </w:tbl>
    <w:p w:rsidR="001251D8" w:rsidRDefault="00233886" w:rsidP="001251D8">
      <w:pPr>
        <w:spacing w:before="75" w:after="75" w:line="240" w:lineRule="auto"/>
        <w:rPr>
          <w:rFonts w:eastAsia="Times New Roman"/>
          <w:i/>
          <w:iCs/>
          <w:szCs w:val="24"/>
          <w:lang w:eastAsia="lv-LV"/>
        </w:rPr>
      </w:pPr>
      <w:r w:rsidRPr="00082856">
        <w:rPr>
          <w:rFonts w:eastAsia="Times New Roman"/>
          <w:szCs w:val="24"/>
          <w:lang w:eastAsia="lv-LV"/>
        </w:rPr>
        <w:t> </w:t>
      </w:r>
      <w:r w:rsidR="001251D8">
        <w:rPr>
          <w:rFonts w:eastAsia="Times New Roman"/>
          <w:i/>
          <w:iCs/>
          <w:szCs w:val="24"/>
          <w:lang w:eastAsia="lv-LV"/>
        </w:rPr>
        <w:t>Anotācijas II,</w:t>
      </w:r>
      <w:proofErr w:type="gramStart"/>
      <w:r w:rsidR="001251D8">
        <w:rPr>
          <w:rFonts w:eastAsia="Times New Roman"/>
          <w:i/>
          <w:iCs/>
          <w:szCs w:val="24"/>
          <w:lang w:eastAsia="lv-LV"/>
        </w:rPr>
        <w:t xml:space="preserve">  </w:t>
      </w:r>
      <w:proofErr w:type="gramEnd"/>
      <w:r w:rsidR="001251D8">
        <w:rPr>
          <w:rFonts w:eastAsia="Times New Roman"/>
          <w:i/>
          <w:iCs/>
          <w:szCs w:val="24"/>
          <w:lang w:eastAsia="lv-LV"/>
        </w:rPr>
        <w:t xml:space="preserve">IV, V un VI sadaļa nav attiecināms </w:t>
      </w:r>
    </w:p>
    <w:p w:rsidR="00233886" w:rsidRDefault="00233886" w:rsidP="00233886">
      <w:pPr>
        <w:spacing w:after="0" w:line="240" w:lineRule="auto"/>
        <w:ind w:firstLine="375"/>
        <w:jc w:val="both"/>
        <w:rPr>
          <w:rFonts w:eastAsia="Times New Roman"/>
          <w:szCs w:val="24"/>
          <w:lang w:eastAsia="lv-LV"/>
        </w:rPr>
      </w:pPr>
    </w:p>
    <w:p w:rsidR="00233886" w:rsidRPr="00752E02" w:rsidRDefault="00233886" w:rsidP="00233886">
      <w:pPr>
        <w:spacing w:after="0" w:line="240" w:lineRule="auto"/>
        <w:ind w:firstLine="720"/>
        <w:rPr>
          <w:szCs w:val="24"/>
        </w:rPr>
      </w:pPr>
      <w:r w:rsidRPr="00752E02">
        <w:rPr>
          <w:szCs w:val="24"/>
        </w:rPr>
        <w:t>Kultūras ministrs</w:t>
      </w:r>
      <w:r w:rsidRPr="00752E02">
        <w:rPr>
          <w:szCs w:val="24"/>
        </w:rPr>
        <w:tab/>
      </w:r>
      <w:r w:rsidRPr="00752E02">
        <w:rPr>
          <w:szCs w:val="24"/>
        </w:rPr>
        <w:tab/>
      </w:r>
      <w:r w:rsidRPr="00752E02">
        <w:rPr>
          <w:szCs w:val="24"/>
        </w:rPr>
        <w:tab/>
      </w:r>
      <w:r w:rsidRPr="00752E02">
        <w:rPr>
          <w:szCs w:val="24"/>
        </w:rPr>
        <w:tab/>
      </w:r>
      <w:r w:rsidRPr="00752E02">
        <w:rPr>
          <w:szCs w:val="24"/>
        </w:rPr>
        <w:tab/>
      </w:r>
      <w:r w:rsidRPr="00752E02">
        <w:rPr>
          <w:szCs w:val="24"/>
        </w:rPr>
        <w:tab/>
      </w:r>
      <w:r w:rsidR="00683FB7">
        <w:rPr>
          <w:szCs w:val="24"/>
        </w:rPr>
        <w:t>S.Ēlerte</w:t>
      </w:r>
    </w:p>
    <w:p w:rsidR="00233886" w:rsidRPr="00752E02" w:rsidRDefault="00233886" w:rsidP="00233886">
      <w:pPr>
        <w:spacing w:after="0" w:line="240" w:lineRule="auto"/>
        <w:rPr>
          <w:szCs w:val="24"/>
        </w:rPr>
      </w:pPr>
    </w:p>
    <w:p w:rsidR="00233886" w:rsidRPr="00752E02" w:rsidRDefault="00683FB7" w:rsidP="00683FB7">
      <w:pPr>
        <w:tabs>
          <w:tab w:val="left" w:pos="720"/>
          <w:tab w:val="left" w:pos="1440"/>
          <w:tab w:val="left" w:pos="2160"/>
          <w:tab w:val="left" w:pos="2880"/>
          <w:tab w:val="left" w:pos="3600"/>
          <w:tab w:val="left" w:pos="4320"/>
          <w:tab w:val="left" w:pos="5040"/>
          <w:tab w:val="left" w:pos="5760"/>
          <w:tab w:val="left" w:pos="6480"/>
          <w:tab w:val="left" w:pos="7335"/>
        </w:tabs>
        <w:spacing w:after="0" w:line="240" w:lineRule="auto"/>
        <w:ind w:firstLine="720"/>
        <w:rPr>
          <w:szCs w:val="24"/>
        </w:rPr>
      </w:pPr>
      <w:r>
        <w:rPr>
          <w:szCs w:val="24"/>
        </w:rPr>
        <w:t>Vīza: Valsts sekretāre</w:t>
      </w:r>
      <w:r w:rsidR="00233886" w:rsidRPr="00752E02">
        <w:rPr>
          <w:szCs w:val="24"/>
        </w:rPr>
        <w:tab/>
      </w:r>
      <w:r w:rsidR="00233886" w:rsidRPr="00752E02">
        <w:rPr>
          <w:szCs w:val="24"/>
        </w:rPr>
        <w:tab/>
      </w:r>
      <w:r w:rsidR="00233886" w:rsidRPr="00752E02">
        <w:rPr>
          <w:szCs w:val="24"/>
        </w:rPr>
        <w:tab/>
      </w:r>
      <w:r w:rsidR="00233886" w:rsidRPr="00752E02">
        <w:rPr>
          <w:szCs w:val="24"/>
        </w:rPr>
        <w:tab/>
      </w:r>
      <w:r w:rsidR="00233886" w:rsidRPr="00752E02">
        <w:rPr>
          <w:szCs w:val="24"/>
        </w:rPr>
        <w:tab/>
      </w:r>
      <w:r>
        <w:rPr>
          <w:szCs w:val="24"/>
        </w:rPr>
        <w:tab/>
        <w:t>S.Zvidriņa</w:t>
      </w:r>
    </w:p>
    <w:p w:rsidR="00233886" w:rsidRDefault="00233886" w:rsidP="00233886">
      <w:pPr>
        <w:spacing w:after="0" w:line="240" w:lineRule="auto"/>
        <w:jc w:val="both"/>
        <w:rPr>
          <w:sz w:val="20"/>
          <w:szCs w:val="20"/>
        </w:rPr>
      </w:pPr>
    </w:p>
    <w:p w:rsidR="00233886" w:rsidRPr="00211240" w:rsidRDefault="00C813AA" w:rsidP="00233886">
      <w:pPr>
        <w:spacing w:after="0" w:line="240" w:lineRule="auto"/>
        <w:jc w:val="both"/>
        <w:rPr>
          <w:sz w:val="20"/>
          <w:szCs w:val="20"/>
        </w:rPr>
      </w:pPr>
      <w:r>
        <w:rPr>
          <w:sz w:val="20"/>
          <w:szCs w:val="20"/>
        </w:rPr>
        <w:t>1</w:t>
      </w:r>
      <w:r w:rsidR="001251D8">
        <w:rPr>
          <w:sz w:val="20"/>
          <w:szCs w:val="20"/>
        </w:rPr>
        <w:t>6</w:t>
      </w:r>
      <w:r w:rsidR="00233886">
        <w:rPr>
          <w:sz w:val="20"/>
          <w:szCs w:val="20"/>
        </w:rPr>
        <w:t>.0</w:t>
      </w:r>
      <w:r w:rsidR="001251D8">
        <w:rPr>
          <w:sz w:val="20"/>
          <w:szCs w:val="20"/>
        </w:rPr>
        <w:t>6</w:t>
      </w:r>
      <w:r w:rsidR="00233886">
        <w:rPr>
          <w:sz w:val="20"/>
          <w:szCs w:val="20"/>
        </w:rPr>
        <w:t>.201</w:t>
      </w:r>
      <w:r w:rsidR="00683FB7">
        <w:rPr>
          <w:sz w:val="20"/>
          <w:szCs w:val="20"/>
        </w:rPr>
        <w:t>1</w:t>
      </w:r>
      <w:r w:rsidR="00233886">
        <w:rPr>
          <w:sz w:val="20"/>
          <w:szCs w:val="20"/>
        </w:rPr>
        <w:t xml:space="preserve"> 08:25</w:t>
      </w:r>
    </w:p>
    <w:p w:rsidR="00233886" w:rsidRPr="00211240" w:rsidRDefault="001251D8" w:rsidP="00233886">
      <w:pPr>
        <w:spacing w:after="0" w:line="240" w:lineRule="auto"/>
        <w:jc w:val="both"/>
        <w:rPr>
          <w:sz w:val="20"/>
          <w:szCs w:val="20"/>
        </w:rPr>
      </w:pPr>
      <w:r>
        <w:rPr>
          <w:sz w:val="20"/>
          <w:szCs w:val="20"/>
        </w:rPr>
        <w:t>1126</w:t>
      </w:r>
    </w:p>
    <w:p w:rsidR="00233886" w:rsidRDefault="00683FB7" w:rsidP="00233886">
      <w:pPr>
        <w:spacing w:after="0" w:line="240" w:lineRule="auto"/>
        <w:jc w:val="both"/>
        <w:rPr>
          <w:sz w:val="20"/>
          <w:szCs w:val="20"/>
        </w:rPr>
      </w:pPr>
      <w:r>
        <w:rPr>
          <w:sz w:val="20"/>
          <w:szCs w:val="20"/>
        </w:rPr>
        <w:t>D.Vilsone</w:t>
      </w:r>
    </w:p>
    <w:p w:rsidR="00233886" w:rsidRDefault="00233886" w:rsidP="00233886">
      <w:pPr>
        <w:spacing w:after="0" w:line="240" w:lineRule="auto"/>
        <w:jc w:val="both"/>
      </w:pPr>
      <w:r>
        <w:rPr>
          <w:sz w:val="20"/>
          <w:szCs w:val="20"/>
        </w:rPr>
        <w:t>673302</w:t>
      </w:r>
      <w:r w:rsidR="00683FB7">
        <w:rPr>
          <w:sz w:val="20"/>
          <w:szCs w:val="20"/>
        </w:rPr>
        <w:t>40</w:t>
      </w:r>
      <w:r w:rsidRPr="006049E8">
        <w:rPr>
          <w:sz w:val="20"/>
          <w:szCs w:val="20"/>
        </w:rPr>
        <w:t xml:space="preserve">; </w:t>
      </w:r>
      <w:hyperlink r:id="rId7" w:history="1">
        <w:r w:rsidR="00683FB7" w:rsidRPr="004056BC">
          <w:rPr>
            <w:rStyle w:val="Hipersaite"/>
            <w:sz w:val="20"/>
            <w:szCs w:val="20"/>
          </w:rPr>
          <w:t>Dace.Vilsone@km.gov.lv</w:t>
        </w:r>
      </w:hyperlink>
    </w:p>
    <w:p w:rsidR="00233886" w:rsidRDefault="00233886"/>
    <w:sectPr w:rsidR="00233886" w:rsidSect="0029556B">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70" w:rsidRDefault="00E82170">
      <w:r>
        <w:separator/>
      </w:r>
    </w:p>
  </w:endnote>
  <w:endnote w:type="continuationSeparator" w:id="0">
    <w:p w:rsidR="00E82170" w:rsidRDefault="00E82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70" w:rsidRDefault="00E82170" w:rsidP="00D840D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82170" w:rsidRDefault="00E82170" w:rsidP="004B7207">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70" w:rsidRDefault="00E82170" w:rsidP="00D840D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4EB">
      <w:rPr>
        <w:rStyle w:val="Lappusesnumurs"/>
        <w:noProof/>
      </w:rPr>
      <w:t>5</w:t>
    </w:r>
    <w:r>
      <w:rPr>
        <w:rStyle w:val="Lappusesnumurs"/>
      </w:rPr>
      <w:fldChar w:fldCharType="end"/>
    </w:r>
  </w:p>
  <w:p w:rsidR="00E82170" w:rsidRPr="00196730" w:rsidRDefault="00E82170" w:rsidP="004B7207">
    <w:pPr>
      <w:spacing w:after="0" w:line="240" w:lineRule="auto"/>
      <w:ind w:right="360"/>
      <w:jc w:val="both"/>
      <w:rPr>
        <w:sz w:val="20"/>
        <w:szCs w:val="20"/>
      </w:rPr>
    </w:pPr>
    <w:r w:rsidRPr="007C331B">
      <w:rPr>
        <w:sz w:val="20"/>
        <w:szCs w:val="20"/>
      </w:rPr>
      <w:fldChar w:fldCharType="begin"/>
    </w:r>
    <w:r w:rsidRPr="007C331B">
      <w:rPr>
        <w:sz w:val="20"/>
        <w:szCs w:val="20"/>
      </w:rPr>
      <w:instrText xml:space="preserve"> FILENAME </w:instrText>
    </w:r>
    <w:r w:rsidRPr="007C331B">
      <w:rPr>
        <w:sz w:val="20"/>
        <w:szCs w:val="20"/>
      </w:rPr>
      <w:fldChar w:fldCharType="separate"/>
    </w:r>
    <w:r>
      <w:rPr>
        <w:noProof/>
        <w:sz w:val="20"/>
        <w:szCs w:val="20"/>
      </w:rPr>
      <w:t>KMAnot_16062011_VAK_dividendes</w:t>
    </w:r>
    <w:r w:rsidRPr="007C331B">
      <w:rPr>
        <w:sz w:val="20"/>
        <w:szCs w:val="20"/>
      </w:rPr>
      <w:fldChar w:fldCharType="end"/>
    </w:r>
    <w:r w:rsidRPr="00196730">
      <w:rPr>
        <w:sz w:val="20"/>
        <w:szCs w:val="20"/>
      </w:rPr>
      <w:t>; Ministru kabineta rīkojuma projekta „Par valstij dividendēs izmaksājamo valsts sabiedrības ar ierobežotu atbildību "Valsts Akadēmiskais koris „Latvija”" peļņas daļu” sākotnējās ietekmes novērtējuma ziņojums (anotācija)</w:t>
    </w:r>
  </w:p>
  <w:p w:rsidR="00E82170" w:rsidRDefault="00E82170" w:rsidP="00683FB7">
    <w:pPr>
      <w:pStyle w:val="Kjene"/>
      <w:tabs>
        <w:tab w:val="clear" w:pos="4153"/>
        <w:tab w:val="clear" w:pos="8306"/>
        <w:tab w:val="left" w:pos="46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70" w:rsidRDefault="00E82170">
      <w:r>
        <w:separator/>
      </w:r>
    </w:p>
  </w:footnote>
  <w:footnote w:type="continuationSeparator" w:id="0">
    <w:p w:rsidR="00E82170" w:rsidRDefault="00E82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A5D4E"/>
    <w:multiLevelType w:val="hybridMultilevel"/>
    <w:tmpl w:val="AC9A0154"/>
    <w:lvl w:ilvl="0" w:tplc="803C2084">
      <w:start w:val="200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C4599C"/>
    <w:rsid w:val="000017AF"/>
    <w:rsid w:val="0006635A"/>
    <w:rsid w:val="00072E9D"/>
    <w:rsid w:val="0009304F"/>
    <w:rsid w:val="000C7CD4"/>
    <w:rsid w:val="000D25D6"/>
    <w:rsid w:val="00124012"/>
    <w:rsid w:val="001251D8"/>
    <w:rsid w:val="0019357F"/>
    <w:rsid w:val="001B2237"/>
    <w:rsid w:val="001E0666"/>
    <w:rsid w:val="001E3115"/>
    <w:rsid w:val="002018F4"/>
    <w:rsid w:val="002268A9"/>
    <w:rsid w:val="002310DC"/>
    <w:rsid w:val="00233886"/>
    <w:rsid w:val="0025645B"/>
    <w:rsid w:val="0026497D"/>
    <w:rsid w:val="002864B2"/>
    <w:rsid w:val="00294E1C"/>
    <w:rsid w:val="0029556B"/>
    <w:rsid w:val="002B442D"/>
    <w:rsid w:val="002B47F7"/>
    <w:rsid w:val="002D3D68"/>
    <w:rsid w:val="002D712D"/>
    <w:rsid w:val="003146B0"/>
    <w:rsid w:val="00325840"/>
    <w:rsid w:val="003A3486"/>
    <w:rsid w:val="003A620B"/>
    <w:rsid w:val="003B3FBF"/>
    <w:rsid w:val="003D0E94"/>
    <w:rsid w:val="003D36B4"/>
    <w:rsid w:val="003E7553"/>
    <w:rsid w:val="003F4056"/>
    <w:rsid w:val="00436944"/>
    <w:rsid w:val="004576DF"/>
    <w:rsid w:val="0047032E"/>
    <w:rsid w:val="0047185E"/>
    <w:rsid w:val="004A753E"/>
    <w:rsid w:val="004B7207"/>
    <w:rsid w:val="004C126A"/>
    <w:rsid w:val="004C2F08"/>
    <w:rsid w:val="004E34EB"/>
    <w:rsid w:val="004E5DAF"/>
    <w:rsid w:val="00500D8A"/>
    <w:rsid w:val="0050320E"/>
    <w:rsid w:val="00522759"/>
    <w:rsid w:val="005677F1"/>
    <w:rsid w:val="00590EFB"/>
    <w:rsid w:val="005B0ACA"/>
    <w:rsid w:val="005D6C2D"/>
    <w:rsid w:val="005F0612"/>
    <w:rsid w:val="00611891"/>
    <w:rsid w:val="00640990"/>
    <w:rsid w:val="00646E47"/>
    <w:rsid w:val="00677587"/>
    <w:rsid w:val="00683FB7"/>
    <w:rsid w:val="00697A08"/>
    <w:rsid w:val="006A1323"/>
    <w:rsid w:val="006B7EA0"/>
    <w:rsid w:val="006E2822"/>
    <w:rsid w:val="006F7ED2"/>
    <w:rsid w:val="00733001"/>
    <w:rsid w:val="0077784A"/>
    <w:rsid w:val="00780E33"/>
    <w:rsid w:val="00780E8E"/>
    <w:rsid w:val="00785E37"/>
    <w:rsid w:val="00792F44"/>
    <w:rsid w:val="007A48C5"/>
    <w:rsid w:val="007C331B"/>
    <w:rsid w:val="00803814"/>
    <w:rsid w:val="00825805"/>
    <w:rsid w:val="00845B8F"/>
    <w:rsid w:val="0085271F"/>
    <w:rsid w:val="00853B8D"/>
    <w:rsid w:val="008657B0"/>
    <w:rsid w:val="00876F15"/>
    <w:rsid w:val="008832B8"/>
    <w:rsid w:val="008901AA"/>
    <w:rsid w:val="008905EC"/>
    <w:rsid w:val="008A18C6"/>
    <w:rsid w:val="008B1D70"/>
    <w:rsid w:val="008B781B"/>
    <w:rsid w:val="008E18CB"/>
    <w:rsid w:val="008F3DDC"/>
    <w:rsid w:val="00902FA1"/>
    <w:rsid w:val="00905D8A"/>
    <w:rsid w:val="009075F8"/>
    <w:rsid w:val="00914CE4"/>
    <w:rsid w:val="0098647B"/>
    <w:rsid w:val="00994AA2"/>
    <w:rsid w:val="009D660D"/>
    <w:rsid w:val="009D6AFF"/>
    <w:rsid w:val="00A10B03"/>
    <w:rsid w:val="00A21ABE"/>
    <w:rsid w:val="00A22215"/>
    <w:rsid w:val="00A478DA"/>
    <w:rsid w:val="00A60F45"/>
    <w:rsid w:val="00A84E31"/>
    <w:rsid w:val="00AA242A"/>
    <w:rsid w:val="00AA645F"/>
    <w:rsid w:val="00AB7FEA"/>
    <w:rsid w:val="00AD6628"/>
    <w:rsid w:val="00AE673A"/>
    <w:rsid w:val="00B128C7"/>
    <w:rsid w:val="00B12CA7"/>
    <w:rsid w:val="00B2670D"/>
    <w:rsid w:val="00B310A3"/>
    <w:rsid w:val="00B36442"/>
    <w:rsid w:val="00B86640"/>
    <w:rsid w:val="00BA577B"/>
    <w:rsid w:val="00BB4D5A"/>
    <w:rsid w:val="00BC1082"/>
    <w:rsid w:val="00BC35F4"/>
    <w:rsid w:val="00BD1891"/>
    <w:rsid w:val="00BF71AB"/>
    <w:rsid w:val="00C36001"/>
    <w:rsid w:val="00C4599C"/>
    <w:rsid w:val="00C60C40"/>
    <w:rsid w:val="00C63B53"/>
    <w:rsid w:val="00C66A3C"/>
    <w:rsid w:val="00C74C08"/>
    <w:rsid w:val="00C7639D"/>
    <w:rsid w:val="00C813AA"/>
    <w:rsid w:val="00C8644E"/>
    <w:rsid w:val="00C90F7C"/>
    <w:rsid w:val="00C9105C"/>
    <w:rsid w:val="00D0607C"/>
    <w:rsid w:val="00D10EAB"/>
    <w:rsid w:val="00D34DCC"/>
    <w:rsid w:val="00D645B6"/>
    <w:rsid w:val="00D840DC"/>
    <w:rsid w:val="00D9172F"/>
    <w:rsid w:val="00DD3A97"/>
    <w:rsid w:val="00DD7D18"/>
    <w:rsid w:val="00DF443B"/>
    <w:rsid w:val="00E226A7"/>
    <w:rsid w:val="00E25900"/>
    <w:rsid w:val="00E53E31"/>
    <w:rsid w:val="00E73685"/>
    <w:rsid w:val="00E82170"/>
    <w:rsid w:val="00E924AE"/>
    <w:rsid w:val="00E94022"/>
    <w:rsid w:val="00EC535A"/>
    <w:rsid w:val="00EE54AE"/>
    <w:rsid w:val="00EF256D"/>
    <w:rsid w:val="00F40E33"/>
    <w:rsid w:val="00F5721E"/>
    <w:rsid w:val="00F744B2"/>
    <w:rsid w:val="00F94978"/>
    <w:rsid w:val="00FB5DAD"/>
    <w:rsid w:val="00FB5EBF"/>
    <w:rsid w:val="00FD08B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C4599C"/>
    <w:pPr>
      <w:spacing w:after="200" w:line="276" w:lineRule="auto"/>
    </w:pPr>
    <w:rPr>
      <w:rFonts w:eastAsia="Calibri"/>
      <w:sz w:val="24"/>
      <w:szCs w:val="22"/>
      <w:lang w:eastAsia="en-US"/>
    </w:rPr>
  </w:style>
  <w:style w:type="paragraph" w:styleId="Virsraksts1">
    <w:name w:val="heading 1"/>
    <w:basedOn w:val="Parastais"/>
    <w:next w:val="Parastais"/>
    <w:qFormat/>
    <w:rsid w:val="003146B0"/>
    <w:pPr>
      <w:keepNext/>
      <w:tabs>
        <w:tab w:val="left" w:pos="6521"/>
        <w:tab w:val="left" w:pos="7938"/>
      </w:tabs>
      <w:spacing w:after="0" w:line="240" w:lineRule="auto"/>
      <w:jc w:val="center"/>
      <w:outlineLvl w:val="0"/>
    </w:pPr>
    <w:rPr>
      <w:rFonts w:eastAsia="Times New Roman"/>
      <w:b/>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233886"/>
    <w:pPr>
      <w:spacing w:after="120" w:line="240" w:lineRule="auto"/>
    </w:pPr>
    <w:rPr>
      <w:rFonts w:eastAsia="Times New Roman"/>
      <w:szCs w:val="24"/>
      <w:lang w:val="en-GB"/>
    </w:rPr>
  </w:style>
  <w:style w:type="character" w:styleId="Hipersaite">
    <w:name w:val="Hyperlink"/>
    <w:basedOn w:val="Noklusjumarindkopasfonts"/>
    <w:rsid w:val="00233886"/>
    <w:rPr>
      <w:color w:val="0000FF"/>
      <w:u w:val="single"/>
    </w:rPr>
  </w:style>
  <w:style w:type="paragraph" w:styleId="Galvene">
    <w:name w:val="header"/>
    <w:basedOn w:val="Parastais"/>
    <w:rsid w:val="00E73685"/>
    <w:pPr>
      <w:tabs>
        <w:tab w:val="center" w:pos="4153"/>
        <w:tab w:val="right" w:pos="8306"/>
      </w:tabs>
    </w:pPr>
  </w:style>
  <w:style w:type="paragraph" w:styleId="Kjene">
    <w:name w:val="footer"/>
    <w:basedOn w:val="Parastais"/>
    <w:rsid w:val="00E73685"/>
    <w:pPr>
      <w:tabs>
        <w:tab w:val="center" w:pos="4153"/>
        <w:tab w:val="right" w:pos="8306"/>
      </w:tabs>
    </w:pPr>
  </w:style>
  <w:style w:type="character" w:styleId="Lappusesnumurs">
    <w:name w:val="page number"/>
    <w:basedOn w:val="Noklusjumarindkopasfonts"/>
    <w:rsid w:val="004B7207"/>
  </w:style>
  <w:style w:type="paragraph" w:customStyle="1" w:styleId="naisf">
    <w:name w:val="naisf"/>
    <w:basedOn w:val="Parastais"/>
    <w:rsid w:val="00BF71AB"/>
    <w:pPr>
      <w:spacing w:before="75" w:after="75" w:line="240" w:lineRule="auto"/>
      <w:ind w:firstLine="375"/>
      <w:jc w:val="both"/>
    </w:pPr>
    <w:rPr>
      <w:rFonts w:eastAsia="Times New Roman"/>
      <w:szCs w:val="24"/>
      <w:lang w:eastAsia="lv-LV"/>
    </w:rPr>
  </w:style>
  <w:style w:type="paragraph" w:customStyle="1" w:styleId="naispant">
    <w:name w:val="naispant"/>
    <w:basedOn w:val="Parastais"/>
    <w:rsid w:val="00BF71AB"/>
    <w:pPr>
      <w:spacing w:before="75" w:after="75" w:line="240" w:lineRule="auto"/>
      <w:ind w:left="375" w:firstLine="375"/>
      <w:jc w:val="both"/>
    </w:pPr>
    <w:rPr>
      <w:rFonts w:eastAsia="Times New Roman"/>
      <w:b/>
      <w:bCs/>
      <w:szCs w:val="24"/>
      <w:lang w:eastAsia="lv-LV"/>
    </w:rPr>
  </w:style>
  <w:style w:type="paragraph" w:styleId="Balonteksts">
    <w:name w:val="Balloon Text"/>
    <w:basedOn w:val="Parastais"/>
    <w:link w:val="BalontekstsRakstz"/>
    <w:rsid w:val="00F744B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rsid w:val="00F744B2"/>
    <w:rPr>
      <w:rFonts w:ascii="Tahoma" w:eastAsia="Calibri" w:hAnsi="Tahoma" w:cs="Tahoma"/>
      <w:sz w:val="16"/>
      <w:szCs w:val="16"/>
      <w:lang w:eastAsia="en-US"/>
    </w:rPr>
  </w:style>
  <w:style w:type="paragraph" w:styleId="Vienkrsteksts">
    <w:name w:val="Plain Text"/>
    <w:basedOn w:val="Parastais"/>
    <w:link w:val="VienkrstekstsRakstz"/>
    <w:uiPriority w:val="99"/>
    <w:unhideWhenUsed/>
    <w:rsid w:val="00BB4D5A"/>
    <w:pPr>
      <w:spacing w:after="0" w:line="240" w:lineRule="auto"/>
    </w:pPr>
    <w:rPr>
      <w:rFonts w:ascii="Consolas" w:eastAsiaTheme="minorHAnsi" w:hAnsi="Consolas" w:cstheme="minorBidi"/>
      <w:sz w:val="21"/>
      <w:szCs w:val="21"/>
    </w:rPr>
  </w:style>
  <w:style w:type="character" w:customStyle="1" w:styleId="VienkrstekstsRakstz">
    <w:name w:val="Vienkāršs teksts Rakstz."/>
    <w:basedOn w:val="Noklusjumarindkopasfonts"/>
    <w:link w:val="Vienkrsteksts"/>
    <w:uiPriority w:val="99"/>
    <w:rsid w:val="00BB4D5A"/>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40298830">
      <w:bodyDiv w:val="1"/>
      <w:marLeft w:val="0"/>
      <w:marRight w:val="0"/>
      <w:marTop w:val="0"/>
      <w:marBottom w:val="0"/>
      <w:divBdr>
        <w:top w:val="none" w:sz="0" w:space="0" w:color="auto"/>
        <w:left w:val="none" w:sz="0" w:space="0" w:color="auto"/>
        <w:bottom w:val="none" w:sz="0" w:space="0" w:color="auto"/>
        <w:right w:val="none" w:sz="0" w:space="0" w:color="auto"/>
      </w:divBdr>
    </w:div>
    <w:div w:id="20357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ce.Vilsone@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1126</Words>
  <Characters>8159</Characters>
  <Application>Microsoft Office Word</Application>
  <DocSecurity>0</DocSecurity>
  <Lines>67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KMAnot_16062011_VAK_dividendes</vt:lpstr>
      <vt:lpstr>KMAnot_160210_VAK_dividendes</vt:lpstr>
    </vt:vector>
  </TitlesOfParts>
  <Manager>U.Lielpeters</Manager>
  <Company>LR Kulturas Ministrija</Company>
  <LinksUpToDate>false</LinksUpToDate>
  <CharactersWithSpaces>9267</CharactersWithSpaces>
  <SharedDoc>false</SharedDoc>
  <HLinks>
    <vt:vector size="6" baseType="variant">
      <vt:variant>
        <vt:i4>852024</vt:i4>
      </vt:variant>
      <vt:variant>
        <vt:i4>0</vt:i4>
      </vt:variant>
      <vt:variant>
        <vt:i4>0</vt:i4>
      </vt:variant>
      <vt:variant>
        <vt:i4>5</vt:i4>
      </vt:variant>
      <vt:variant>
        <vt:lpwstr>mailto:Sandis.Voldins@km.gov.lv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KMAnot_16062011_VAK_dividendes</dc:title>
  <dc:subject>Anotācija</dc:subject>
  <dc:creator>D.Vilsone</dc:creator>
  <dc:description>Tel: 67330240; F:67330293;
Dace.Vilsone@km.gov.lv</dc:description>
  <cp:lastModifiedBy>Dace Vilsone</cp:lastModifiedBy>
  <cp:revision>4</cp:revision>
  <cp:lastPrinted>2011-06-28T11:13:00Z</cp:lastPrinted>
  <dcterms:created xsi:type="dcterms:W3CDTF">2011-06-16T14:29:00Z</dcterms:created>
  <dcterms:modified xsi:type="dcterms:W3CDTF">2011-06-28T12:00:00Z</dcterms:modified>
</cp:coreProperties>
</file>