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07" w:rsidRDefault="00DF1CDD" w:rsidP="00F95433">
      <w:pPr>
        <w:jc w:val="center"/>
        <w:rPr>
          <w:b/>
          <w:sz w:val="28"/>
          <w:szCs w:val="28"/>
        </w:rPr>
      </w:pPr>
      <w:r w:rsidRPr="00F95433">
        <w:rPr>
          <w:b/>
          <w:sz w:val="28"/>
          <w:szCs w:val="28"/>
        </w:rPr>
        <w:t xml:space="preserve">Ministru kabineta noteikumu </w:t>
      </w:r>
      <w:r w:rsidR="00A96107">
        <w:rPr>
          <w:b/>
          <w:sz w:val="28"/>
          <w:szCs w:val="28"/>
        </w:rPr>
        <w:t xml:space="preserve">projekta </w:t>
      </w:r>
    </w:p>
    <w:p w:rsidR="00634120" w:rsidRPr="00F95433" w:rsidRDefault="00DF1CDD" w:rsidP="00F95433">
      <w:pPr>
        <w:jc w:val="center"/>
        <w:rPr>
          <w:b/>
          <w:color w:val="0D0D0D"/>
          <w:sz w:val="28"/>
          <w:szCs w:val="28"/>
        </w:rPr>
      </w:pPr>
      <w:r w:rsidRPr="00F95433">
        <w:rPr>
          <w:b/>
          <w:sz w:val="28"/>
          <w:szCs w:val="28"/>
        </w:rPr>
        <w:t>„</w:t>
      </w:r>
      <w:r w:rsidR="00F95433" w:rsidRPr="00F95433">
        <w:rPr>
          <w:b/>
          <w:bCs/>
          <w:sz w:val="28"/>
          <w:szCs w:val="28"/>
          <w:lang w:eastAsia="lv-LV"/>
        </w:rPr>
        <w:t xml:space="preserve">Kārtība, kādā tiek aprēķināta un sadalīta pašvaldībām </w:t>
      </w:r>
      <w:r w:rsidR="00F95433" w:rsidRPr="00F95433">
        <w:rPr>
          <w:b/>
          <w:color w:val="000000"/>
          <w:sz w:val="28"/>
          <w:szCs w:val="28"/>
          <w:shd w:val="clear" w:color="auto" w:fill="FFFFFF"/>
        </w:rPr>
        <w:t xml:space="preserve">valsts budžeta mērķdotācija māksliniecisko kolektīvu vadītāju darba samaksai un valsts sociālās apdrošināšanas obligātajām iemaksām </w:t>
      </w:r>
      <w:r w:rsidR="00F95433" w:rsidRPr="00F95433">
        <w:rPr>
          <w:b/>
          <w:sz w:val="28"/>
          <w:szCs w:val="28"/>
        </w:rPr>
        <w:t>2012.gadā</w:t>
      </w:r>
      <w:r w:rsidR="00F95433">
        <w:rPr>
          <w:b/>
          <w:sz w:val="28"/>
          <w:szCs w:val="28"/>
        </w:rPr>
        <w:t>”</w:t>
      </w:r>
      <w:r w:rsidR="00483F0F" w:rsidRPr="00F95433">
        <w:rPr>
          <w:b/>
          <w:sz w:val="28"/>
          <w:szCs w:val="28"/>
        </w:rPr>
        <w:t xml:space="preserve"> </w:t>
      </w:r>
      <w:r w:rsidR="00634120" w:rsidRPr="00F95433">
        <w:rPr>
          <w:b/>
          <w:bCs/>
          <w:sz w:val="28"/>
          <w:szCs w:val="28"/>
        </w:rPr>
        <w:t>sākotnējās ietekmes novērtējuma ziņojums (anotācija)</w:t>
      </w:r>
    </w:p>
    <w:p w:rsidR="00634120" w:rsidRPr="001D0A49" w:rsidRDefault="00634120" w:rsidP="00634120">
      <w:pPr>
        <w:pStyle w:val="naisc"/>
        <w:spacing w:before="0" w:after="0"/>
        <w:jc w:val="left"/>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634120" w:rsidRPr="001D0A49" w:rsidTr="00DF1CDD">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634120" w:rsidRPr="001D0A49" w:rsidRDefault="00634120" w:rsidP="00DF1CDD">
            <w:pPr>
              <w:spacing w:before="100" w:beforeAutospacing="1" w:after="100" w:afterAutospacing="1"/>
              <w:jc w:val="center"/>
              <w:rPr>
                <w:sz w:val="28"/>
                <w:szCs w:val="28"/>
              </w:rPr>
            </w:pPr>
            <w:bookmarkStart w:id="0" w:name="OLE_LINK3"/>
            <w:bookmarkStart w:id="1" w:name="OLE_LINK1"/>
            <w:bookmarkStart w:id="2" w:name="OLE_LINK2"/>
            <w:bookmarkStart w:id="3" w:name="OLE_LINK4"/>
            <w:r w:rsidRPr="001D0A49">
              <w:rPr>
                <w:b/>
                <w:bCs/>
                <w:sz w:val="28"/>
                <w:szCs w:val="28"/>
              </w:rPr>
              <w:t>I. Tiesību akta projekta izstrādes nepieciešamība</w:t>
            </w:r>
          </w:p>
        </w:tc>
      </w:tr>
      <w:tr w:rsidR="00634120" w:rsidRPr="001D0A49" w:rsidTr="00DF1CDD">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1.</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634120" w:rsidRPr="00680FD0" w:rsidRDefault="00483F0F" w:rsidP="003453C9">
            <w:pPr>
              <w:ind w:left="127" w:firstLine="284"/>
              <w:jc w:val="both"/>
              <w:rPr>
                <w:iCs/>
                <w:sz w:val="28"/>
                <w:szCs w:val="28"/>
                <w:shd w:val="clear" w:color="auto" w:fill="FFFFFF"/>
              </w:rPr>
            </w:pPr>
            <w:r>
              <w:rPr>
                <w:sz w:val="28"/>
                <w:szCs w:val="28"/>
              </w:rPr>
              <w:t>Ministru kabineta noteikumu projekts „</w:t>
            </w:r>
            <w:r w:rsidR="00F95433">
              <w:rPr>
                <w:sz w:val="28"/>
                <w:szCs w:val="28"/>
              </w:rPr>
              <w:t>Kārtība, kādā tiek aprēķināta un sadalīta pašvaldībām valsts budžeta mērķdotācija māksliniecisko kolektīvu vadītāju darba samaksai un valsts sociālās apdrošināšanas obligātajām iemaksām 2012.gadā</w:t>
            </w:r>
            <w:r>
              <w:rPr>
                <w:sz w:val="28"/>
                <w:szCs w:val="28"/>
              </w:rPr>
              <w:t>”</w:t>
            </w:r>
            <w:r w:rsidR="00634120" w:rsidRPr="001D0A49">
              <w:rPr>
                <w:sz w:val="28"/>
                <w:szCs w:val="28"/>
              </w:rPr>
              <w:t xml:space="preserve"> (tu</w:t>
            </w:r>
            <w:r w:rsidR="00634120">
              <w:rPr>
                <w:sz w:val="28"/>
                <w:szCs w:val="28"/>
              </w:rPr>
              <w:t xml:space="preserve">rpmāk – </w:t>
            </w:r>
            <w:r w:rsidR="00634120" w:rsidRPr="001D0A49">
              <w:rPr>
                <w:sz w:val="28"/>
                <w:szCs w:val="28"/>
              </w:rPr>
              <w:t>Projekts) izstrādāts</w:t>
            </w:r>
            <w:r w:rsidR="00BF090B">
              <w:rPr>
                <w:sz w:val="28"/>
                <w:szCs w:val="28"/>
              </w:rPr>
              <w:t>,</w:t>
            </w:r>
            <w:r w:rsidR="00B96B33">
              <w:rPr>
                <w:sz w:val="28"/>
                <w:szCs w:val="28"/>
              </w:rPr>
              <w:t xml:space="preserve"> pamatojoties uz </w:t>
            </w:r>
            <w:r w:rsidR="00B96B33" w:rsidRPr="00032D22">
              <w:rPr>
                <w:sz w:val="28"/>
                <w:szCs w:val="28"/>
              </w:rPr>
              <w:t>likum</w:t>
            </w:r>
            <w:r w:rsidR="00814B30" w:rsidRPr="00032D22">
              <w:rPr>
                <w:sz w:val="28"/>
                <w:szCs w:val="28"/>
              </w:rPr>
              <w:t>a</w:t>
            </w:r>
            <w:proofErr w:type="gramStart"/>
            <w:r w:rsidR="00B96B33">
              <w:rPr>
                <w:sz w:val="28"/>
                <w:szCs w:val="28"/>
              </w:rPr>
              <w:t xml:space="preserve"> </w:t>
            </w:r>
            <w:r w:rsidR="00F95433">
              <w:rPr>
                <w:rStyle w:val="apple-converted-space"/>
                <w:iCs/>
                <w:sz w:val="28"/>
                <w:szCs w:val="28"/>
                <w:shd w:val="clear" w:color="auto" w:fill="FFFFFF"/>
              </w:rPr>
              <w:t xml:space="preserve"> </w:t>
            </w:r>
            <w:proofErr w:type="gramEnd"/>
            <w:r w:rsidR="00F95433">
              <w:rPr>
                <w:rStyle w:val="apple-converted-space"/>
                <w:iCs/>
                <w:sz w:val="28"/>
                <w:szCs w:val="28"/>
                <w:shd w:val="clear" w:color="auto" w:fill="FFFFFF"/>
              </w:rPr>
              <w:t>„Par valsts budžetu 2012.gadam” 3.panta pirmās daļas 4.punktu</w:t>
            </w:r>
            <w:r w:rsidR="003817C7">
              <w:rPr>
                <w:rStyle w:val="apple-converted-space"/>
                <w:iCs/>
                <w:sz w:val="28"/>
                <w:szCs w:val="28"/>
                <w:shd w:val="clear" w:color="auto" w:fill="FFFFFF"/>
              </w:rPr>
              <w:t>.</w:t>
            </w:r>
          </w:p>
        </w:tc>
      </w:tr>
      <w:tr w:rsidR="00634120" w:rsidRPr="001D0A49" w:rsidTr="00DF1CDD">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2.</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634120" w:rsidRPr="009205DB" w:rsidRDefault="00634120" w:rsidP="00DF1CDD">
            <w:pPr>
              <w:pStyle w:val="Pamatteksts"/>
              <w:spacing w:before="0" w:beforeAutospacing="0" w:after="0" w:afterAutospacing="0"/>
              <w:ind w:firstLine="360"/>
              <w:jc w:val="both"/>
              <w:rPr>
                <w:bCs/>
                <w:color w:val="FF0000"/>
                <w:sz w:val="28"/>
                <w:szCs w:val="28"/>
              </w:rPr>
            </w:pPr>
            <w:r w:rsidRPr="009205DB">
              <w:rPr>
                <w:sz w:val="28"/>
                <w:szCs w:val="28"/>
              </w:rPr>
              <w:t xml:space="preserve">Valsts uzdevums ir </w:t>
            </w:r>
            <w:r>
              <w:rPr>
                <w:sz w:val="28"/>
                <w:szCs w:val="28"/>
              </w:rPr>
              <w:t xml:space="preserve">gan </w:t>
            </w:r>
            <w:r w:rsidRPr="009205DB">
              <w:rPr>
                <w:sz w:val="28"/>
                <w:szCs w:val="28"/>
              </w:rPr>
              <w:t xml:space="preserve">nodrošināt kvalitatīvu </w:t>
            </w:r>
            <w:r>
              <w:rPr>
                <w:sz w:val="28"/>
                <w:szCs w:val="28"/>
              </w:rPr>
              <w:t xml:space="preserve">kārtējo Dziesmu un deju svētku sagatavošanu un norisi, gan nostiprināt Dziesmu un deju svētku tradīcijas ilgtspējas faktorus. </w:t>
            </w:r>
            <w:r w:rsidRPr="009205DB">
              <w:rPr>
                <w:sz w:val="28"/>
                <w:szCs w:val="28"/>
              </w:rPr>
              <w:t xml:space="preserve"> Lai sekmētu svētku repertuāra apguvi un atbalstītu sabiedrības </w:t>
            </w:r>
            <w:r w:rsidRPr="00B56495">
              <w:rPr>
                <w:sz w:val="28"/>
                <w:szCs w:val="28"/>
              </w:rPr>
              <w:t>līdzdalību Vispārējo latviešu Dziesmu</w:t>
            </w:r>
            <w:r w:rsidRPr="009205DB">
              <w:rPr>
                <w:sz w:val="28"/>
                <w:szCs w:val="28"/>
              </w:rPr>
              <w:t xml:space="preserve"> un deju svētku procesā, laikā līdz 2009.gada 1.septembrim</w:t>
            </w:r>
            <w:r>
              <w:rPr>
                <w:sz w:val="28"/>
                <w:szCs w:val="28"/>
              </w:rPr>
              <w:t xml:space="preserve">, atbilstoši Dziesmu un deju svētku </w:t>
            </w:r>
            <w:r w:rsidRPr="00B56495">
              <w:rPr>
                <w:sz w:val="28"/>
                <w:szCs w:val="28"/>
              </w:rPr>
              <w:t>likumam, valsts nodrošināja</w:t>
            </w:r>
            <w:r w:rsidRPr="009205DB">
              <w:rPr>
                <w:sz w:val="28"/>
                <w:szCs w:val="28"/>
              </w:rPr>
              <w:t xml:space="preserve"> daļēju atalgojumu Dziesmu un deju svētku procesā iesaistītajiem kolektīvu vadītājiem. Kopīgais valsts mērķdotācijas apjoms līdz valsts ekonomiskajai krīzei bija Ls </w:t>
            </w:r>
            <w:r w:rsidRPr="009205DB">
              <w:rPr>
                <w:bCs/>
                <w:color w:val="000000"/>
                <w:sz w:val="28"/>
                <w:szCs w:val="28"/>
              </w:rPr>
              <w:t>982 792, kas pēc noteiktiem kritērijiem tika sadalīts administratīvajām teritorijām.</w:t>
            </w:r>
          </w:p>
          <w:p w:rsidR="00634120" w:rsidRPr="009205DB" w:rsidRDefault="00634120" w:rsidP="00DF1CDD">
            <w:pPr>
              <w:pStyle w:val="Pamatteksts"/>
              <w:spacing w:before="0" w:beforeAutospacing="0" w:after="0" w:afterAutospacing="0"/>
              <w:ind w:firstLine="360"/>
              <w:jc w:val="both"/>
              <w:rPr>
                <w:bCs/>
                <w:color w:val="000000"/>
                <w:sz w:val="28"/>
                <w:szCs w:val="28"/>
              </w:rPr>
            </w:pPr>
            <w:r w:rsidRPr="009205DB">
              <w:rPr>
                <w:rFonts w:eastAsia="Calibri"/>
                <w:sz w:val="28"/>
                <w:szCs w:val="28"/>
              </w:rPr>
              <w:t xml:space="preserve">Ministru kabineta </w:t>
            </w:r>
            <w:r w:rsidR="00A96107" w:rsidRPr="009205DB">
              <w:rPr>
                <w:rFonts w:eastAsia="Calibri"/>
                <w:sz w:val="28"/>
                <w:szCs w:val="28"/>
              </w:rPr>
              <w:t xml:space="preserve">2009.gada 9.jūnija </w:t>
            </w:r>
            <w:r w:rsidRPr="009205DB">
              <w:rPr>
                <w:rFonts w:eastAsia="Calibri"/>
                <w:sz w:val="28"/>
                <w:szCs w:val="28"/>
              </w:rPr>
              <w:t>sēdē (protokols Nr.39, 122.§), balstoties uz Finanšu ministrijas priekšlikumiem par valsts budžeta izdevumu samazinājumu, tika pieņemts lēmums par mērķdotācijas – darba samaksas un sociālā nodokļa samaksas kolektīvu vadītājiem</w:t>
            </w:r>
            <w:r w:rsidR="00BF090B">
              <w:rPr>
                <w:rFonts w:eastAsia="Calibri"/>
                <w:sz w:val="28"/>
                <w:szCs w:val="28"/>
              </w:rPr>
              <w:t>,</w:t>
            </w:r>
            <w:r w:rsidRPr="009205DB">
              <w:rPr>
                <w:rFonts w:eastAsia="Calibri"/>
                <w:sz w:val="28"/>
                <w:szCs w:val="28"/>
              </w:rPr>
              <w:t xml:space="preserve"> nepiemērošanu līdz 2012.gada 31.decembrim.</w:t>
            </w:r>
          </w:p>
          <w:p w:rsidR="00634120" w:rsidRPr="009205DB" w:rsidRDefault="00634120" w:rsidP="00DF1CDD">
            <w:pPr>
              <w:pStyle w:val="Pamatteksts"/>
              <w:spacing w:before="0" w:beforeAutospacing="0" w:after="0" w:afterAutospacing="0"/>
              <w:ind w:firstLine="360"/>
              <w:jc w:val="both"/>
              <w:rPr>
                <w:sz w:val="28"/>
                <w:szCs w:val="28"/>
              </w:rPr>
            </w:pPr>
            <w:r w:rsidRPr="009205DB">
              <w:rPr>
                <w:sz w:val="28"/>
                <w:szCs w:val="28"/>
              </w:rPr>
              <w:t xml:space="preserve"> </w:t>
            </w:r>
            <w:r>
              <w:rPr>
                <w:sz w:val="28"/>
                <w:szCs w:val="28"/>
              </w:rPr>
              <w:t>Ņ</w:t>
            </w:r>
            <w:r w:rsidRPr="009205DB">
              <w:rPr>
                <w:sz w:val="28"/>
                <w:szCs w:val="28"/>
              </w:rPr>
              <w:t xml:space="preserve">emot vērā, ka 2013.gada vasarā notiek kārtējie Vispārējie latviešu dziesmu un deju svētki, ir nepieciešams atjaunot </w:t>
            </w:r>
            <w:r w:rsidR="00F95433">
              <w:rPr>
                <w:sz w:val="28"/>
                <w:szCs w:val="28"/>
              </w:rPr>
              <w:t xml:space="preserve">valsts budžeta </w:t>
            </w:r>
            <w:r w:rsidRPr="009205DB">
              <w:rPr>
                <w:sz w:val="28"/>
                <w:szCs w:val="28"/>
              </w:rPr>
              <w:lastRenderedPageBreak/>
              <w:t>mērķdotāciju</w:t>
            </w:r>
            <w:r w:rsidR="0051054E">
              <w:rPr>
                <w:sz w:val="28"/>
                <w:szCs w:val="28"/>
              </w:rPr>
              <w:t>, t.i</w:t>
            </w:r>
            <w:r w:rsidR="00562EE3">
              <w:rPr>
                <w:sz w:val="28"/>
                <w:szCs w:val="28"/>
              </w:rPr>
              <w:t xml:space="preserve">. </w:t>
            </w:r>
            <w:r w:rsidRPr="009205DB">
              <w:rPr>
                <w:sz w:val="28"/>
                <w:szCs w:val="28"/>
              </w:rPr>
              <w:t xml:space="preserve">vismaz ar 2012.gada </w:t>
            </w:r>
            <w:r w:rsidRPr="00B56495">
              <w:rPr>
                <w:sz w:val="28"/>
                <w:szCs w:val="28"/>
              </w:rPr>
              <w:t>1.oktobri</w:t>
            </w:r>
            <w:r w:rsidR="0051054E">
              <w:rPr>
                <w:sz w:val="28"/>
                <w:szCs w:val="28"/>
              </w:rPr>
              <w:t>, jo visā Latvijā potenciālie svētku dalībnieki –</w:t>
            </w:r>
            <w:r w:rsidR="00562EE3">
              <w:rPr>
                <w:sz w:val="28"/>
                <w:szCs w:val="28"/>
              </w:rPr>
              <w:t xml:space="preserve">mākslinieciskie </w:t>
            </w:r>
            <w:r w:rsidR="0051054E">
              <w:rPr>
                <w:sz w:val="28"/>
                <w:szCs w:val="28"/>
              </w:rPr>
              <w:t>kolektīvi intensīvi gatavojas svētkiem</w:t>
            </w:r>
            <w:r w:rsidR="00562EE3">
              <w:rPr>
                <w:sz w:val="28"/>
                <w:szCs w:val="28"/>
              </w:rPr>
              <w:t>.</w:t>
            </w:r>
            <w:r w:rsidRPr="009205DB">
              <w:rPr>
                <w:sz w:val="28"/>
                <w:szCs w:val="28"/>
              </w:rPr>
              <w:t xml:space="preserve"> Par šīs nepieciešamības aktualitāti vienoti izteikušās svētku organizēšanā iesaistītās institūcijas gan valsts, gan pašvaldību, gan sabiedriskajā sektorā</w:t>
            </w:r>
            <w:r w:rsidR="003832DE">
              <w:rPr>
                <w:sz w:val="28"/>
                <w:szCs w:val="28"/>
              </w:rPr>
              <w:t xml:space="preserve">, lai </w:t>
            </w:r>
            <w:r w:rsidR="0051054E">
              <w:rPr>
                <w:sz w:val="28"/>
                <w:szCs w:val="28"/>
              </w:rPr>
              <w:t xml:space="preserve">sekmētu </w:t>
            </w:r>
            <w:r w:rsidR="003832DE">
              <w:rPr>
                <w:sz w:val="28"/>
                <w:szCs w:val="28"/>
              </w:rPr>
              <w:t xml:space="preserve">Dziesmu un deju svētku tradīcijas </w:t>
            </w:r>
            <w:r w:rsidR="0051054E">
              <w:rPr>
                <w:sz w:val="28"/>
                <w:szCs w:val="28"/>
              </w:rPr>
              <w:t xml:space="preserve">vienlīdzīgas </w:t>
            </w:r>
            <w:r w:rsidR="003832DE">
              <w:rPr>
                <w:sz w:val="28"/>
                <w:szCs w:val="28"/>
              </w:rPr>
              <w:t>uzturēšanas iespējas visā Latvijā</w:t>
            </w:r>
            <w:r w:rsidRPr="009205DB">
              <w:rPr>
                <w:sz w:val="28"/>
                <w:szCs w:val="28"/>
              </w:rPr>
              <w:t xml:space="preserve"> </w:t>
            </w:r>
          </w:p>
          <w:p w:rsidR="00634120" w:rsidRPr="001E1D38" w:rsidRDefault="00634120" w:rsidP="00DF1CDD">
            <w:pPr>
              <w:ind w:firstLine="360"/>
              <w:jc w:val="both"/>
              <w:rPr>
                <w:iCs/>
                <w:color w:val="FF0000"/>
                <w:sz w:val="28"/>
                <w:szCs w:val="28"/>
                <w:lang w:eastAsia="lv-LV"/>
              </w:rPr>
            </w:pPr>
            <w:r>
              <w:rPr>
                <w:sz w:val="28"/>
                <w:szCs w:val="28"/>
              </w:rPr>
              <w:t>Dziesmu un deju svētku likuma 9.panta otrās daļas 9.punktā noteikts, ka valsts budžeta līdzekļi kārtējo Dziesmu un deju svētku starplaikā tiek izmantoti valsts mērķdotācijai kolektīvu vadītāju darba samaksai un sociālā nodokļa samaksai.</w:t>
            </w:r>
            <w:r>
              <w:rPr>
                <w:iCs/>
                <w:color w:val="000000"/>
                <w:sz w:val="28"/>
                <w:szCs w:val="28"/>
                <w:lang w:eastAsia="lv-LV"/>
              </w:rPr>
              <w:t xml:space="preserve"> </w:t>
            </w:r>
          </w:p>
          <w:p w:rsidR="00634120" w:rsidRPr="00F91D33" w:rsidRDefault="00A96107" w:rsidP="00F95433">
            <w:pPr>
              <w:ind w:firstLine="360"/>
              <w:jc w:val="both"/>
              <w:rPr>
                <w:sz w:val="28"/>
                <w:szCs w:val="28"/>
                <w:lang w:eastAsia="lv-LV"/>
              </w:rPr>
            </w:pPr>
            <w:r>
              <w:rPr>
                <w:iCs/>
                <w:color w:val="000000"/>
                <w:sz w:val="28"/>
                <w:szCs w:val="28"/>
                <w:lang w:eastAsia="lv-LV"/>
              </w:rPr>
              <w:t>Projektā</w:t>
            </w:r>
            <w:r w:rsidR="00634120">
              <w:rPr>
                <w:iCs/>
                <w:color w:val="000000"/>
                <w:sz w:val="28"/>
                <w:szCs w:val="28"/>
                <w:lang w:eastAsia="lv-LV"/>
              </w:rPr>
              <w:t xml:space="preserve"> tiks noteikts, ka </w:t>
            </w:r>
            <w:r w:rsidR="00483F0F">
              <w:rPr>
                <w:sz w:val="28"/>
                <w:szCs w:val="28"/>
                <w:lang w:eastAsia="lv-LV"/>
              </w:rPr>
              <w:t>mērķdotāciju</w:t>
            </w:r>
            <w:r w:rsidR="00634120" w:rsidRPr="00B86C5E">
              <w:rPr>
                <w:sz w:val="28"/>
                <w:szCs w:val="28"/>
                <w:lang w:eastAsia="lv-LV"/>
              </w:rPr>
              <w:t xml:space="preserve"> piešķir pašvaldībai</w:t>
            </w:r>
            <w:r w:rsidR="00B96B33">
              <w:rPr>
                <w:sz w:val="28"/>
                <w:szCs w:val="28"/>
                <w:lang w:eastAsia="lv-LV"/>
              </w:rPr>
              <w:t xml:space="preserve"> </w:t>
            </w:r>
            <w:r w:rsidR="00F95433">
              <w:rPr>
                <w:sz w:val="28"/>
                <w:szCs w:val="28"/>
                <w:lang w:eastAsia="lv-LV"/>
              </w:rPr>
              <w:t xml:space="preserve">māksliniecisko </w:t>
            </w:r>
            <w:r w:rsidR="00483F0F">
              <w:rPr>
                <w:sz w:val="28"/>
                <w:szCs w:val="28"/>
                <w:lang w:eastAsia="lv-LV"/>
              </w:rPr>
              <w:t>kolektīvu vadītāju</w:t>
            </w:r>
            <w:r w:rsidR="00F95433">
              <w:rPr>
                <w:sz w:val="28"/>
                <w:szCs w:val="28"/>
                <w:lang w:eastAsia="lv-LV"/>
              </w:rPr>
              <w:t xml:space="preserve"> daļējai</w:t>
            </w:r>
            <w:r w:rsidR="00483F0F">
              <w:rPr>
                <w:sz w:val="28"/>
                <w:szCs w:val="28"/>
                <w:lang w:eastAsia="lv-LV"/>
              </w:rPr>
              <w:t xml:space="preserve"> darba </w:t>
            </w:r>
            <w:r w:rsidR="00F95433">
              <w:rPr>
                <w:sz w:val="28"/>
                <w:szCs w:val="28"/>
                <w:lang w:eastAsia="lv-LV"/>
              </w:rPr>
              <w:t xml:space="preserve">samaksai </w:t>
            </w:r>
            <w:r w:rsidR="00483F0F">
              <w:rPr>
                <w:sz w:val="28"/>
                <w:szCs w:val="28"/>
                <w:lang w:eastAsia="lv-LV"/>
              </w:rPr>
              <w:t xml:space="preserve">un </w:t>
            </w:r>
            <w:r w:rsidR="00F95433">
              <w:rPr>
                <w:sz w:val="28"/>
                <w:szCs w:val="28"/>
                <w:lang w:eastAsia="lv-LV"/>
              </w:rPr>
              <w:t>valsts sociālās apdrošināšanas obligātajām iemaksām</w:t>
            </w:r>
            <w:r w:rsidR="00B96B33">
              <w:rPr>
                <w:sz w:val="28"/>
                <w:szCs w:val="28"/>
                <w:lang w:eastAsia="lv-LV"/>
              </w:rPr>
              <w:t xml:space="preserve">, ja to vadītie kolektīvi </w:t>
            </w:r>
            <w:r w:rsidR="00634120">
              <w:rPr>
                <w:sz w:val="28"/>
                <w:szCs w:val="28"/>
                <w:lang w:eastAsia="lv-LV"/>
              </w:rPr>
              <w:t xml:space="preserve"> </w:t>
            </w:r>
            <w:r w:rsidR="00634120" w:rsidRPr="0088028D">
              <w:rPr>
                <w:sz w:val="28"/>
                <w:szCs w:val="28"/>
                <w:lang w:eastAsia="lv-LV"/>
              </w:rPr>
              <w:t>gatavo kārtējiem Vispārējiem latviešu dziesmu un deju svētkiem noteikto repertuāru (koprepertuāru) vai</w:t>
            </w:r>
            <w:r w:rsidR="00634120">
              <w:rPr>
                <w:sz w:val="28"/>
                <w:szCs w:val="28"/>
                <w:lang w:eastAsia="lv-LV"/>
              </w:rPr>
              <w:t xml:space="preserve"> </w:t>
            </w:r>
            <w:r w:rsidR="00634120" w:rsidRPr="0088028D">
              <w:rPr>
                <w:sz w:val="28"/>
                <w:szCs w:val="28"/>
                <w:lang w:eastAsia="lv-LV"/>
              </w:rPr>
              <w:t xml:space="preserve">ir noteikti Dziesmu un deju svētku likumā un vismaz reizi </w:t>
            </w:r>
            <w:r w:rsidR="00F95433">
              <w:rPr>
                <w:sz w:val="28"/>
                <w:szCs w:val="28"/>
                <w:lang w:eastAsia="lv-LV"/>
              </w:rPr>
              <w:t>2011.gadā</w:t>
            </w:r>
            <w:r w:rsidR="00F95433" w:rsidRPr="0088028D">
              <w:rPr>
                <w:sz w:val="28"/>
                <w:szCs w:val="28"/>
                <w:lang w:eastAsia="lv-LV"/>
              </w:rPr>
              <w:t xml:space="preserve"> </w:t>
            </w:r>
            <w:r w:rsidR="00634120" w:rsidRPr="0088028D">
              <w:rPr>
                <w:sz w:val="28"/>
                <w:szCs w:val="28"/>
                <w:lang w:eastAsia="lv-LV"/>
              </w:rPr>
              <w:t>piedalījušies Dziesmu un deju svētku starplaikā notiekošajos pasākumos.</w:t>
            </w:r>
            <w:r w:rsidR="00634120">
              <w:rPr>
                <w:sz w:val="28"/>
                <w:szCs w:val="28"/>
                <w:lang w:eastAsia="lv-LV"/>
              </w:rPr>
              <w:t xml:space="preserve"> </w:t>
            </w:r>
          </w:p>
        </w:tc>
      </w:tr>
      <w:tr w:rsidR="00634120" w:rsidRPr="001D0A49" w:rsidTr="00DF1CDD">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lastRenderedPageBreak/>
              <w:t> 3.</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ind w:right="57"/>
              <w:rPr>
                <w:sz w:val="28"/>
                <w:szCs w:val="28"/>
              </w:rPr>
            </w:pPr>
            <w:r>
              <w:rPr>
                <w:sz w:val="28"/>
                <w:szCs w:val="28"/>
              </w:rPr>
              <w:t xml:space="preserve"> Projekts šo jomu neskar.</w:t>
            </w:r>
          </w:p>
        </w:tc>
      </w:tr>
      <w:tr w:rsidR="00634120" w:rsidRPr="001D0A49" w:rsidTr="00DF1CDD">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4.</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B273E3" w:rsidRDefault="00634120" w:rsidP="00562EE3">
            <w:pPr>
              <w:ind w:right="34" w:firstLine="357"/>
              <w:jc w:val="both"/>
              <w:rPr>
                <w:sz w:val="28"/>
                <w:szCs w:val="28"/>
              </w:rPr>
            </w:pPr>
            <w:r w:rsidRPr="00155882">
              <w:rPr>
                <w:sz w:val="28"/>
                <w:szCs w:val="28"/>
              </w:rPr>
              <w:t>Projekts sagatavots, lai</w:t>
            </w:r>
            <w:r>
              <w:rPr>
                <w:sz w:val="28"/>
                <w:szCs w:val="28"/>
              </w:rPr>
              <w:t xml:space="preserve"> </w:t>
            </w:r>
            <w:r w:rsidR="00B96B33">
              <w:rPr>
                <w:sz w:val="28"/>
                <w:szCs w:val="28"/>
              </w:rPr>
              <w:t xml:space="preserve">noteiktu, ka no valsts budžeta 2012.gadā tiek piešķirta valsts mērķdotācija māksliniecisko kolektīvu vadītāju daļējai darba </w:t>
            </w:r>
            <w:r w:rsidR="00802BE3">
              <w:rPr>
                <w:sz w:val="28"/>
                <w:szCs w:val="28"/>
              </w:rPr>
              <w:t xml:space="preserve">samaksai </w:t>
            </w:r>
            <w:r w:rsidR="00B96B33">
              <w:rPr>
                <w:sz w:val="28"/>
                <w:szCs w:val="28"/>
              </w:rPr>
              <w:t xml:space="preserve">un </w:t>
            </w:r>
            <w:r w:rsidR="00802BE3">
              <w:rPr>
                <w:sz w:val="28"/>
                <w:szCs w:val="28"/>
              </w:rPr>
              <w:t xml:space="preserve">valsts sociālās </w:t>
            </w:r>
            <w:r w:rsidR="00802BE3" w:rsidRPr="00B273E3">
              <w:rPr>
                <w:sz w:val="28"/>
                <w:szCs w:val="28"/>
              </w:rPr>
              <w:t>apdrošināšanas obligātajām iemaksām.</w:t>
            </w:r>
            <w:r w:rsidR="00281EA3">
              <w:rPr>
                <w:sz w:val="28"/>
                <w:szCs w:val="28"/>
              </w:rPr>
              <w:t xml:space="preserve"> </w:t>
            </w:r>
            <w:r w:rsidR="00B273E3" w:rsidRPr="00B273E3">
              <w:rPr>
                <w:sz w:val="28"/>
                <w:szCs w:val="28"/>
              </w:rPr>
              <w:t>Projektā noteikta formula mērķdotācijas apmēra katrai pašvaldībai noteikšanai, kur</w:t>
            </w:r>
            <w:r w:rsidR="00B273E3">
              <w:rPr>
                <w:sz w:val="28"/>
                <w:szCs w:val="28"/>
              </w:rPr>
              <w:t>ā izšķir divus kolektīvu veidus: kolektīvi, kuri</w:t>
            </w:r>
            <w:r w:rsidR="00B273E3" w:rsidRPr="00B273E3">
              <w:rPr>
                <w:sz w:val="28"/>
                <w:szCs w:val="28"/>
              </w:rPr>
              <w:t xml:space="preserve"> </w:t>
            </w:r>
            <w:r w:rsidR="00B273E3" w:rsidRPr="00B273E3">
              <w:rPr>
                <w:sz w:val="28"/>
                <w:szCs w:val="28"/>
                <w:lang w:eastAsia="lv-LV"/>
              </w:rPr>
              <w:t xml:space="preserve">gatavo kārtējiem Vispārējiem latviešu dziesmu un deju svētkiem noteikto repertuāru (koprepertuāru) </w:t>
            </w:r>
            <w:r w:rsidR="00861736" w:rsidRPr="00562EE3">
              <w:rPr>
                <w:sz w:val="28"/>
                <w:szCs w:val="28"/>
                <w:lang w:eastAsia="lv-LV"/>
              </w:rPr>
              <w:t>un</w:t>
            </w:r>
            <w:r w:rsidR="00B273E3">
              <w:rPr>
                <w:sz w:val="28"/>
                <w:szCs w:val="28"/>
                <w:lang w:eastAsia="lv-LV"/>
              </w:rPr>
              <w:t xml:space="preserve"> kolektīvi, kuri </w:t>
            </w:r>
            <w:r w:rsidR="00B273E3" w:rsidRPr="00B273E3">
              <w:rPr>
                <w:sz w:val="28"/>
                <w:szCs w:val="28"/>
                <w:lang w:eastAsia="lv-LV"/>
              </w:rPr>
              <w:t>ir noteikti Dziesmu un deju svētku likumā un vismaz reizi 2011.gadā piedalījušies Dziesmu un deju svētku starplaikā notiekošajos pasākumos.</w:t>
            </w:r>
            <w:r w:rsidR="00B273E3">
              <w:rPr>
                <w:sz w:val="28"/>
                <w:szCs w:val="28"/>
                <w:lang w:eastAsia="lv-LV"/>
              </w:rPr>
              <w:t xml:space="preserve"> </w:t>
            </w:r>
            <w:r w:rsidR="00B273E3">
              <w:rPr>
                <w:sz w:val="28"/>
                <w:szCs w:val="28"/>
                <w:lang w:eastAsia="lv-LV"/>
              </w:rPr>
              <w:lastRenderedPageBreak/>
              <w:t xml:space="preserve">Koprepertuāra kolektīviem ir noteikts līdzdalības intenstitātes koeficients divi, ņemot vērā to, </w:t>
            </w:r>
            <w:r w:rsidR="00E26FC3">
              <w:rPr>
                <w:sz w:val="28"/>
                <w:szCs w:val="28"/>
              </w:rPr>
              <w:t xml:space="preserve">ka </w:t>
            </w:r>
            <w:r w:rsidR="00B42721">
              <w:rPr>
                <w:sz w:val="28"/>
                <w:szCs w:val="28"/>
              </w:rPr>
              <w:t xml:space="preserve">2011.gadā </w:t>
            </w:r>
            <w:r w:rsidR="00E26FC3">
              <w:rPr>
                <w:sz w:val="28"/>
                <w:szCs w:val="28"/>
              </w:rPr>
              <w:t>koprepertuāra kolektīvu</w:t>
            </w:r>
            <w:r w:rsidR="00861736">
              <w:rPr>
                <w:sz w:val="28"/>
                <w:szCs w:val="28"/>
              </w:rPr>
              <w:t xml:space="preserve"> darbības intensitāte</w:t>
            </w:r>
            <w:r w:rsidR="00B42721">
              <w:rPr>
                <w:sz w:val="28"/>
                <w:szCs w:val="28"/>
              </w:rPr>
              <w:t xml:space="preserve"> jeb dalība svētku starplaika pasākumos, gatavojoties 2013.gada XXV Vispārējiem latviešu Dziesmu un XV Deju svētkiem, </w:t>
            </w:r>
            <w:r w:rsidR="00861736">
              <w:rPr>
                <w:sz w:val="28"/>
                <w:szCs w:val="28"/>
              </w:rPr>
              <w:t xml:space="preserve">saskaņā ar </w:t>
            </w:r>
            <w:r w:rsidR="00B42721">
              <w:rPr>
                <w:sz w:val="28"/>
                <w:szCs w:val="28"/>
              </w:rPr>
              <w:t xml:space="preserve">Vispārējo latviešu Dziesmu un deju svētku rīkotājinstitūcijas - </w:t>
            </w:r>
            <w:r w:rsidR="00861736">
              <w:rPr>
                <w:sz w:val="28"/>
                <w:szCs w:val="28"/>
              </w:rPr>
              <w:t>Kultūrizglītības un nemateriālā mantojuma centra un pašvaldību</w:t>
            </w:r>
            <w:r w:rsidR="00B42721">
              <w:rPr>
                <w:sz w:val="28"/>
                <w:szCs w:val="28"/>
              </w:rPr>
              <w:t xml:space="preserve"> kopīgi īstenotajos svētku starplaika pasākumos</w:t>
            </w:r>
            <w:r w:rsidR="00861736">
              <w:rPr>
                <w:sz w:val="28"/>
                <w:szCs w:val="28"/>
              </w:rPr>
              <w:t>,</w:t>
            </w:r>
            <w:r w:rsidR="00B42721">
              <w:rPr>
                <w:sz w:val="28"/>
                <w:szCs w:val="28"/>
              </w:rPr>
              <w:t xml:space="preserve"> t.sk. skatēs, reģionālajos kopmēģinājumos</w:t>
            </w:r>
            <w:r w:rsidR="00861736">
              <w:rPr>
                <w:sz w:val="28"/>
                <w:szCs w:val="28"/>
              </w:rPr>
              <w:t xml:space="preserve"> ir divas reizes lielāka </w:t>
            </w:r>
            <w:r w:rsidR="00B42721">
              <w:rPr>
                <w:sz w:val="28"/>
                <w:szCs w:val="28"/>
              </w:rPr>
              <w:t xml:space="preserve">(24 pasākumi), </w:t>
            </w:r>
            <w:r w:rsidR="00861736">
              <w:rPr>
                <w:sz w:val="28"/>
                <w:szCs w:val="28"/>
              </w:rPr>
              <w:t xml:space="preserve">nekā pārējiem Dziesmu un deju svētku likumā noteiktajiem kolektīviem </w:t>
            </w:r>
            <w:r w:rsidR="00B42721">
              <w:rPr>
                <w:sz w:val="28"/>
                <w:szCs w:val="28"/>
              </w:rPr>
              <w:t>(12 pasākumi)</w:t>
            </w:r>
            <w:r w:rsidR="00861736">
              <w:rPr>
                <w:sz w:val="28"/>
                <w:szCs w:val="28"/>
              </w:rPr>
              <w:t>.</w:t>
            </w:r>
          </w:p>
          <w:p w:rsidR="002917F9" w:rsidRDefault="002917F9" w:rsidP="00BD247A">
            <w:pPr>
              <w:ind w:firstLine="357"/>
              <w:jc w:val="both"/>
              <w:rPr>
                <w:sz w:val="28"/>
                <w:szCs w:val="28"/>
                <w:lang w:eastAsia="lv-LV"/>
              </w:rPr>
            </w:pPr>
            <w:r>
              <w:rPr>
                <w:sz w:val="28"/>
                <w:szCs w:val="28"/>
              </w:rPr>
              <w:t>Ņemot vērā, ka mērķdotācijas apmēra aprēķināšanai konkrētai pašvaldībai 2012.</w:t>
            </w:r>
            <w:r w:rsidR="00232F5E">
              <w:rPr>
                <w:sz w:val="28"/>
                <w:szCs w:val="28"/>
              </w:rPr>
              <w:t xml:space="preserve">gadā izmanto </w:t>
            </w:r>
            <w:r>
              <w:rPr>
                <w:sz w:val="28"/>
                <w:szCs w:val="28"/>
                <w:lang w:eastAsia="lv-LV"/>
              </w:rPr>
              <w:t>Kultūrizglītības un nemateriālā mantojuma centra datus par</w:t>
            </w:r>
            <w:r w:rsidRPr="00C018C5">
              <w:rPr>
                <w:sz w:val="28"/>
                <w:szCs w:val="28"/>
                <w:lang w:eastAsia="lv-LV"/>
              </w:rPr>
              <w:t xml:space="preserve"> kolektīvu dalību Dziesmu un deju svētku likumā noteiktajos pasākumos</w:t>
            </w:r>
            <w:r>
              <w:rPr>
                <w:sz w:val="28"/>
                <w:szCs w:val="28"/>
                <w:lang w:eastAsia="lv-LV"/>
              </w:rPr>
              <w:t xml:space="preserve"> par 2011.gadu, kā arī to, ka Kultūrizglītības un nemateriālā mantojuma centrs koordinē vispārējo Dziesmu un deju svētku sagatavošanas procesus, lietderības apsvērumu dēļ, Kultūras ministrija nodos mērķdotācijas pārskaitīšanas, uzraudzības un </w:t>
            </w:r>
            <w:r w:rsidR="00232F5E">
              <w:rPr>
                <w:sz w:val="28"/>
                <w:szCs w:val="28"/>
                <w:lang w:eastAsia="lv-LV"/>
              </w:rPr>
              <w:t xml:space="preserve">pārskatu </w:t>
            </w:r>
            <w:r>
              <w:rPr>
                <w:sz w:val="28"/>
                <w:szCs w:val="28"/>
                <w:lang w:eastAsia="lv-LV"/>
              </w:rPr>
              <w:t>apstiprināšanas</w:t>
            </w:r>
            <w:r w:rsidR="00232F5E">
              <w:rPr>
                <w:sz w:val="28"/>
                <w:szCs w:val="28"/>
                <w:lang w:eastAsia="lv-LV"/>
              </w:rPr>
              <w:t xml:space="preserve"> </w:t>
            </w:r>
            <w:r>
              <w:rPr>
                <w:sz w:val="28"/>
                <w:szCs w:val="28"/>
                <w:lang w:eastAsia="lv-LV"/>
              </w:rPr>
              <w:t>uzdevumus Kultūrizglītības un nemateriālā mantojuma centr</w:t>
            </w:r>
            <w:r w:rsidR="00232F5E">
              <w:rPr>
                <w:sz w:val="28"/>
                <w:szCs w:val="28"/>
                <w:lang w:eastAsia="lv-LV"/>
              </w:rPr>
              <w:t>am</w:t>
            </w:r>
            <w:r>
              <w:rPr>
                <w:sz w:val="28"/>
                <w:szCs w:val="28"/>
                <w:lang w:eastAsia="lv-LV"/>
              </w:rPr>
              <w:t>.</w:t>
            </w:r>
          </w:p>
          <w:p w:rsidR="008426F4" w:rsidRPr="00861736" w:rsidRDefault="008426F4" w:rsidP="00F43A77">
            <w:pPr>
              <w:ind w:firstLine="357"/>
              <w:jc w:val="both"/>
              <w:rPr>
                <w:sz w:val="28"/>
                <w:szCs w:val="28"/>
              </w:rPr>
            </w:pPr>
            <w:r w:rsidRPr="004A53A7">
              <w:rPr>
                <w:sz w:val="28"/>
                <w:szCs w:val="28"/>
              </w:rPr>
              <w:t xml:space="preserve">Saskaņā ar Dziesmu un deju svētku likuma pārejas noteikumiem </w:t>
            </w:r>
            <w:r w:rsidRPr="004A53A7">
              <w:rPr>
                <w:color w:val="000000"/>
                <w:sz w:val="28"/>
                <w:szCs w:val="28"/>
                <w:shd w:val="clear" w:color="auto" w:fill="FFFFFF"/>
              </w:rPr>
              <w:t xml:space="preserve">valsts mērķdotācija kolektīvu vadītāju darba samaksai un valsts sociālās apdrošināšanas obligātajām iemaksām līdz 2012.gada 31.decembrim netiek piemērota. </w:t>
            </w:r>
            <w:r w:rsidR="00B26797">
              <w:rPr>
                <w:color w:val="000000"/>
                <w:sz w:val="28"/>
                <w:szCs w:val="28"/>
                <w:shd w:val="clear" w:color="auto" w:fill="FFFFFF"/>
              </w:rPr>
              <w:t>Atsaucoties uz Ministru kabineta 2012.gada 10.jū</w:t>
            </w:r>
            <w:r w:rsidR="000207F8">
              <w:rPr>
                <w:color w:val="000000"/>
                <w:sz w:val="28"/>
                <w:szCs w:val="28"/>
                <w:shd w:val="clear" w:color="auto" w:fill="FFFFFF"/>
              </w:rPr>
              <w:t>l</w:t>
            </w:r>
            <w:r w:rsidR="00B26797">
              <w:rPr>
                <w:color w:val="000000"/>
                <w:sz w:val="28"/>
                <w:szCs w:val="28"/>
                <w:shd w:val="clear" w:color="auto" w:fill="FFFFFF"/>
              </w:rPr>
              <w:t>ija protokola Nr.39 51§ 29.2. punktu un</w:t>
            </w:r>
            <w:proofErr w:type="gramStart"/>
            <w:r w:rsidR="00B26797">
              <w:rPr>
                <w:color w:val="000000"/>
                <w:sz w:val="28"/>
                <w:szCs w:val="28"/>
                <w:shd w:val="clear" w:color="auto" w:fill="FFFFFF"/>
              </w:rPr>
              <w:t xml:space="preserve">  </w:t>
            </w:r>
            <w:proofErr w:type="gramEnd"/>
            <w:r w:rsidR="00B26797">
              <w:rPr>
                <w:sz w:val="28"/>
                <w:szCs w:val="28"/>
              </w:rPr>
              <w:t>ņ</w:t>
            </w:r>
            <w:r w:rsidRPr="004A53A7">
              <w:rPr>
                <w:sz w:val="28"/>
                <w:szCs w:val="28"/>
              </w:rPr>
              <w:t>emot vērā, ka 2013.gada vasarā notiek kārtējie Vispārējie latviešu dziesmu un deju svētki, ir nepieciešams atjaunot valsts budžeta mērķdotāciju ar 2012.gada 1.oktobri</w:t>
            </w:r>
            <w:r>
              <w:rPr>
                <w:sz w:val="28"/>
                <w:szCs w:val="28"/>
              </w:rPr>
              <w:t xml:space="preserve">. Lai atjaunotu valsts budžeta mērķdotāciju no 2012.gada 1.oktobra līdz 2012.gada </w:t>
            </w:r>
            <w:r>
              <w:rPr>
                <w:sz w:val="28"/>
                <w:szCs w:val="28"/>
              </w:rPr>
              <w:lastRenderedPageBreak/>
              <w:t>31.decembrim, nepieciešams veikt grozījumus, izstrādājot</w:t>
            </w:r>
            <w:r w:rsidRPr="004A53A7">
              <w:rPr>
                <w:sz w:val="28"/>
                <w:szCs w:val="28"/>
              </w:rPr>
              <w:t xml:space="preserve"> </w:t>
            </w:r>
            <w:r w:rsidR="003B71B7">
              <w:rPr>
                <w:sz w:val="28"/>
                <w:szCs w:val="28"/>
              </w:rPr>
              <w:t xml:space="preserve">attiecīgu </w:t>
            </w:r>
            <w:r w:rsidRPr="004A53A7">
              <w:rPr>
                <w:sz w:val="28"/>
                <w:szCs w:val="28"/>
              </w:rPr>
              <w:t>deleģējuma normu likumā „Grozījumi likumā „Par valsts budžetu 2012.gadam””</w:t>
            </w:r>
            <w:r>
              <w:rPr>
                <w:sz w:val="28"/>
                <w:szCs w:val="28"/>
              </w:rPr>
              <w:t>.</w:t>
            </w:r>
          </w:p>
        </w:tc>
      </w:tr>
      <w:tr w:rsidR="00634120" w:rsidRPr="001D0A49" w:rsidTr="00DF1CD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lastRenderedPageBreak/>
              <w:t> 5.</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ind w:left="57" w:right="57"/>
              <w:jc w:val="both"/>
              <w:rPr>
                <w:sz w:val="28"/>
                <w:szCs w:val="28"/>
              </w:rPr>
            </w:pPr>
            <w:r w:rsidRPr="001D0A49">
              <w:rPr>
                <w:sz w:val="28"/>
                <w:szCs w:val="28"/>
              </w:rPr>
              <w:t>Kultūras ministrija, Kultūrizg</w:t>
            </w:r>
            <w:r>
              <w:rPr>
                <w:sz w:val="28"/>
                <w:szCs w:val="28"/>
              </w:rPr>
              <w:t xml:space="preserve">lītības un nemateriālā </w:t>
            </w:r>
            <w:r w:rsidRPr="001D0A49">
              <w:rPr>
                <w:sz w:val="28"/>
                <w:szCs w:val="28"/>
              </w:rPr>
              <w:t xml:space="preserve">mantojuma centrs. </w:t>
            </w:r>
          </w:p>
        </w:tc>
      </w:tr>
      <w:tr w:rsidR="00634120" w:rsidRPr="001D0A49" w:rsidTr="00DF1CDD">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6.</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ind w:right="57"/>
              <w:rPr>
                <w:sz w:val="28"/>
                <w:szCs w:val="28"/>
              </w:rPr>
            </w:pPr>
            <w:r>
              <w:rPr>
                <w:sz w:val="28"/>
                <w:szCs w:val="28"/>
              </w:rPr>
              <w:t xml:space="preserve"> Projekts šo jomu neskar.</w:t>
            </w:r>
          </w:p>
        </w:tc>
      </w:tr>
      <w:tr w:rsidR="00634120" w:rsidRPr="001D0A49" w:rsidTr="00DF1CDD">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7.</w:t>
            </w:r>
          </w:p>
        </w:tc>
        <w:tc>
          <w:tcPr>
            <w:tcW w:w="2976"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spacing w:before="100" w:beforeAutospacing="1" w:after="100" w:afterAutospacing="1"/>
              <w:rPr>
                <w:sz w:val="28"/>
                <w:szCs w:val="28"/>
              </w:rPr>
            </w:pPr>
            <w:r w:rsidRPr="001D0A49">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634120" w:rsidRPr="001D0A49" w:rsidRDefault="00634120" w:rsidP="00DF1CDD">
            <w:pPr>
              <w:jc w:val="both"/>
              <w:rPr>
                <w:sz w:val="28"/>
                <w:szCs w:val="28"/>
              </w:rPr>
            </w:pPr>
            <w:r w:rsidRPr="001D0A49">
              <w:rPr>
                <w:sz w:val="28"/>
                <w:szCs w:val="28"/>
              </w:rPr>
              <w:t xml:space="preserve"> </w:t>
            </w:r>
            <w:r>
              <w:rPr>
                <w:sz w:val="28"/>
                <w:szCs w:val="28"/>
              </w:rPr>
              <w:t>Nav</w:t>
            </w:r>
          </w:p>
        </w:tc>
      </w:tr>
    </w:tbl>
    <w:p w:rsidR="00634120" w:rsidRDefault="00634120" w:rsidP="00634120">
      <w:pPr>
        <w:jc w:val="both"/>
        <w:rPr>
          <w:sz w:val="28"/>
          <w:szCs w:val="28"/>
        </w:rPr>
      </w:pPr>
    </w:p>
    <w:tbl>
      <w:tblPr>
        <w:tblpPr w:leftFromText="180" w:rightFromText="180" w:vertAnchor="text" w:horzAnchor="margin" w:tblpXSpec="center" w:tblpY="149"/>
        <w:tblW w:w="92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572"/>
        <w:gridCol w:w="4253"/>
        <w:gridCol w:w="4394"/>
      </w:tblGrid>
      <w:tr w:rsidR="00634120" w:rsidRPr="00CB010A" w:rsidTr="00DF1CDD">
        <w:tc>
          <w:tcPr>
            <w:tcW w:w="9219" w:type="dxa"/>
            <w:gridSpan w:val="3"/>
            <w:vAlign w:val="center"/>
          </w:tcPr>
          <w:p w:rsidR="00634120" w:rsidRPr="00CB010A" w:rsidRDefault="00634120" w:rsidP="00DF1CDD">
            <w:pPr>
              <w:pStyle w:val="naisnod"/>
              <w:spacing w:before="0" w:after="0"/>
              <w:jc w:val="center"/>
              <w:rPr>
                <w:b/>
                <w:sz w:val="28"/>
                <w:szCs w:val="28"/>
              </w:rPr>
            </w:pPr>
            <w:r w:rsidRPr="00CB010A">
              <w:rPr>
                <w:b/>
                <w:sz w:val="28"/>
                <w:szCs w:val="28"/>
              </w:rPr>
              <w:t>II. Tiesību akta projekta ietekme uz sabiedrību</w:t>
            </w:r>
          </w:p>
        </w:tc>
      </w:tr>
      <w:tr w:rsidR="00634120" w:rsidRPr="00CB010A" w:rsidTr="00DF1CDD">
        <w:trPr>
          <w:trHeight w:val="467"/>
        </w:trPr>
        <w:tc>
          <w:tcPr>
            <w:tcW w:w="572" w:type="dxa"/>
          </w:tcPr>
          <w:p w:rsidR="00634120" w:rsidRPr="00CB010A" w:rsidRDefault="00634120" w:rsidP="00DF1CDD">
            <w:pPr>
              <w:pStyle w:val="naiskr"/>
              <w:spacing w:before="0" w:after="0"/>
              <w:rPr>
                <w:sz w:val="28"/>
                <w:szCs w:val="28"/>
              </w:rPr>
            </w:pPr>
            <w:r w:rsidRPr="00CB010A">
              <w:rPr>
                <w:sz w:val="28"/>
                <w:szCs w:val="28"/>
              </w:rPr>
              <w:t>1.</w:t>
            </w:r>
          </w:p>
        </w:tc>
        <w:tc>
          <w:tcPr>
            <w:tcW w:w="4253" w:type="dxa"/>
          </w:tcPr>
          <w:p w:rsidR="00634120" w:rsidRPr="00CB010A" w:rsidRDefault="00634120" w:rsidP="00DF1CDD">
            <w:pPr>
              <w:pStyle w:val="naiskr"/>
              <w:spacing w:before="0" w:after="0"/>
              <w:rPr>
                <w:sz w:val="28"/>
                <w:szCs w:val="28"/>
              </w:rPr>
            </w:pPr>
            <w:r w:rsidRPr="00CB010A">
              <w:rPr>
                <w:sz w:val="28"/>
                <w:szCs w:val="28"/>
              </w:rPr>
              <w:t>Sabiedrības mērķgrupa</w:t>
            </w:r>
          </w:p>
        </w:tc>
        <w:tc>
          <w:tcPr>
            <w:tcW w:w="4394" w:type="dxa"/>
          </w:tcPr>
          <w:p w:rsidR="00634120" w:rsidRPr="003B187C" w:rsidRDefault="00634120" w:rsidP="00A96107">
            <w:pPr>
              <w:pStyle w:val="naiskr"/>
              <w:spacing w:before="0" w:after="0"/>
              <w:ind w:hanging="57"/>
              <w:jc w:val="both"/>
              <w:rPr>
                <w:iCs/>
                <w:sz w:val="28"/>
                <w:szCs w:val="28"/>
              </w:rPr>
            </w:pPr>
            <w:r w:rsidRPr="003B187C">
              <w:rPr>
                <w:iCs/>
                <w:sz w:val="28"/>
                <w:szCs w:val="28"/>
              </w:rPr>
              <w:t xml:space="preserve"> Dziesmu un deju svētku procesā iesaistītās pašvaldības</w:t>
            </w:r>
            <w:r w:rsidR="00A96107">
              <w:rPr>
                <w:iCs/>
                <w:sz w:val="28"/>
                <w:szCs w:val="28"/>
              </w:rPr>
              <w:t>.</w:t>
            </w:r>
          </w:p>
        </w:tc>
      </w:tr>
      <w:tr w:rsidR="00634120" w:rsidRPr="00CB010A" w:rsidTr="00DF1CDD">
        <w:trPr>
          <w:trHeight w:val="523"/>
        </w:trPr>
        <w:tc>
          <w:tcPr>
            <w:tcW w:w="572" w:type="dxa"/>
          </w:tcPr>
          <w:p w:rsidR="00634120" w:rsidRPr="00CB010A" w:rsidRDefault="00634120" w:rsidP="00DF1CDD">
            <w:pPr>
              <w:pStyle w:val="naiskr"/>
              <w:spacing w:before="0" w:after="0"/>
              <w:rPr>
                <w:sz w:val="28"/>
                <w:szCs w:val="28"/>
              </w:rPr>
            </w:pPr>
            <w:r w:rsidRPr="00CB010A">
              <w:rPr>
                <w:sz w:val="28"/>
                <w:szCs w:val="28"/>
              </w:rPr>
              <w:t>2.</w:t>
            </w:r>
          </w:p>
        </w:tc>
        <w:tc>
          <w:tcPr>
            <w:tcW w:w="4253" w:type="dxa"/>
          </w:tcPr>
          <w:p w:rsidR="00634120" w:rsidRPr="00CB010A" w:rsidRDefault="00634120" w:rsidP="00DF1CDD">
            <w:pPr>
              <w:pStyle w:val="naiskr"/>
              <w:spacing w:before="0" w:after="0"/>
              <w:rPr>
                <w:sz w:val="28"/>
                <w:szCs w:val="28"/>
              </w:rPr>
            </w:pPr>
            <w:r w:rsidRPr="00CB010A">
              <w:rPr>
                <w:sz w:val="28"/>
                <w:szCs w:val="28"/>
              </w:rPr>
              <w:t>Citas sabiedrības grupas (bez mērķgrupas), kuras tiesiskais regulējums arī ietekmē vai varētu ietekmēt</w:t>
            </w:r>
          </w:p>
        </w:tc>
        <w:tc>
          <w:tcPr>
            <w:tcW w:w="4394" w:type="dxa"/>
          </w:tcPr>
          <w:p w:rsidR="00634120" w:rsidRPr="003B187C" w:rsidRDefault="00634120" w:rsidP="00A96107">
            <w:pPr>
              <w:pStyle w:val="naiskr"/>
              <w:jc w:val="both"/>
              <w:rPr>
                <w:sz w:val="28"/>
                <w:szCs w:val="28"/>
              </w:rPr>
            </w:pPr>
            <w:r w:rsidRPr="003B187C">
              <w:rPr>
                <w:iCs/>
                <w:sz w:val="28"/>
                <w:szCs w:val="28"/>
              </w:rPr>
              <w:t xml:space="preserve">Mākslinieciskie kolektīvi un to vadītāji, kuri gatavojas Vispārējiem latviešu </w:t>
            </w:r>
            <w:r w:rsidR="00BF090B">
              <w:rPr>
                <w:iCs/>
                <w:sz w:val="28"/>
                <w:szCs w:val="28"/>
              </w:rPr>
              <w:t>d</w:t>
            </w:r>
            <w:r w:rsidRPr="003B187C">
              <w:rPr>
                <w:iCs/>
                <w:sz w:val="28"/>
                <w:szCs w:val="28"/>
              </w:rPr>
              <w:t>ziesmu un deju svētkiem</w:t>
            </w:r>
            <w:r w:rsidR="00802BE3">
              <w:rPr>
                <w:iCs/>
                <w:sz w:val="28"/>
                <w:szCs w:val="28"/>
              </w:rPr>
              <w:t>.</w:t>
            </w:r>
          </w:p>
        </w:tc>
      </w:tr>
      <w:tr w:rsidR="00634120" w:rsidRPr="00CB010A" w:rsidTr="00DF1CDD">
        <w:trPr>
          <w:trHeight w:val="517"/>
        </w:trPr>
        <w:tc>
          <w:tcPr>
            <w:tcW w:w="572" w:type="dxa"/>
          </w:tcPr>
          <w:p w:rsidR="00634120" w:rsidRPr="00CB010A" w:rsidRDefault="00634120" w:rsidP="00DF1CDD">
            <w:pPr>
              <w:pStyle w:val="naiskr"/>
              <w:spacing w:before="0" w:after="0"/>
              <w:rPr>
                <w:sz w:val="28"/>
                <w:szCs w:val="28"/>
              </w:rPr>
            </w:pPr>
            <w:r w:rsidRPr="00CB010A">
              <w:rPr>
                <w:sz w:val="28"/>
                <w:szCs w:val="28"/>
              </w:rPr>
              <w:t>3.</w:t>
            </w:r>
          </w:p>
        </w:tc>
        <w:tc>
          <w:tcPr>
            <w:tcW w:w="4253" w:type="dxa"/>
          </w:tcPr>
          <w:p w:rsidR="00634120" w:rsidRPr="00CB010A" w:rsidRDefault="00634120" w:rsidP="00DF1CDD">
            <w:pPr>
              <w:pStyle w:val="naiskr"/>
              <w:spacing w:before="0" w:after="0"/>
              <w:rPr>
                <w:sz w:val="28"/>
                <w:szCs w:val="28"/>
              </w:rPr>
            </w:pPr>
            <w:r w:rsidRPr="00CB010A">
              <w:rPr>
                <w:sz w:val="28"/>
                <w:szCs w:val="28"/>
              </w:rPr>
              <w:t>Tiesiskā regulējuma finansiālā ietekme</w:t>
            </w:r>
          </w:p>
        </w:tc>
        <w:tc>
          <w:tcPr>
            <w:tcW w:w="4394" w:type="dxa"/>
          </w:tcPr>
          <w:p w:rsidR="00634120" w:rsidRPr="00FC4EC0" w:rsidRDefault="00552141" w:rsidP="00A96107">
            <w:pPr>
              <w:jc w:val="both"/>
              <w:rPr>
                <w:bCs/>
                <w:color w:val="000000"/>
                <w:sz w:val="28"/>
                <w:szCs w:val="28"/>
              </w:rPr>
            </w:pPr>
            <w:r>
              <w:rPr>
                <w:color w:val="000000"/>
                <w:sz w:val="28"/>
                <w:szCs w:val="28"/>
                <w:shd w:val="clear" w:color="auto" w:fill="FFFFFF"/>
              </w:rPr>
              <w:t>Atsaucoties uz Ministru kabineta 2012.gada 10.jū</w:t>
            </w:r>
            <w:r w:rsidR="000207F8">
              <w:rPr>
                <w:color w:val="000000"/>
                <w:sz w:val="28"/>
                <w:szCs w:val="28"/>
                <w:shd w:val="clear" w:color="auto" w:fill="FFFFFF"/>
              </w:rPr>
              <w:t>l</w:t>
            </w:r>
            <w:r>
              <w:rPr>
                <w:color w:val="000000"/>
                <w:sz w:val="28"/>
                <w:szCs w:val="28"/>
                <w:shd w:val="clear" w:color="auto" w:fill="FFFFFF"/>
              </w:rPr>
              <w:t xml:space="preserve">ija protokola Nr.39 51§ 29.2. punktu un </w:t>
            </w:r>
            <w:r>
              <w:rPr>
                <w:sz w:val="28"/>
                <w:szCs w:val="28"/>
                <w:lang w:eastAsia="lv-LV"/>
              </w:rPr>
              <w:t>ņ</w:t>
            </w:r>
            <w:r w:rsidR="00634120" w:rsidRPr="00B86C5E">
              <w:rPr>
                <w:sz w:val="28"/>
                <w:szCs w:val="28"/>
                <w:lang w:eastAsia="lv-LV"/>
              </w:rPr>
              <w:t xml:space="preserve">emot vērā to, ka 2012.gadā valsts </w:t>
            </w:r>
            <w:r w:rsidR="00802BE3">
              <w:rPr>
                <w:sz w:val="28"/>
                <w:szCs w:val="28"/>
                <w:lang w:eastAsia="lv-LV"/>
              </w:rPr>
              <w:t xml:space="preserve">budžeta </w:t>
            </w:r>
            <w:r w:rsidR="00B928BD">
              <w:rPr>
                <w:sz w:val="28"/>
                <w:szCs w:val="28"/>
                <w:lang w:eastAsia="lv-LV"/>
              </w:rPr>
              <w:t>mērķdotāciju</w:t>
            </w:r>
            <w:r w:rsidR="00634120" w:rsidRPr="00B86C5E">
              <w:rPr>
                <w:sz w:val="28"/>
                <w:szCs w:val="28"/>
                <w:lang w:eastAsia="lv-LV"/>
              </w:rPr>
              <w:t xml:space="preserve"> </w:t>
            </w:r>
            <w:r w:rsidR="00B928BD">
              <w:rPr>
                <w:sz w:val="28"/>
                <w:szCs w:val="28"/>
                <w:lang w:eastAsia="lv-LV"/>
              </w:rPr>
              <w:t xml:space="preserve">pašvaldībām </w:t>
            </w:r>
            <w:r w:rsidR="00634120" w:rsidRPr="00B86C5E">
              <w:rPr>
                <w:bCs/>
                <w:sz w:val="28"/>
                <w:szCs w:val="28"/>
              </w:rPr>
              <w:t xml:space="preserve">māksliniecisko kolektīvu </w:t>
            </w:r>
            <w:r w:rsidR="00B928BD">
              <w:rPr>
                <w:bCs/>
                <w:sz w:val="28"/>
                <w:szCs w:val="28"/>
              </w:rPr>
              <w:t xml:space="preserve">vadītāju </w:t>
            </w:r>
            <w:r w:rsidR="00B928BD">
              <w:rPr>
                <w:bCs/>
                <w:color w:val="000000"/>
                <w:sz w:val="28"/>
                <w:szCs w:val="28"/>
              </w:rPr>
              <w:t>daļējai darba</w:t>
            </w:r>
            <w:r w:rsidR="00802BE3">
              <w:rPr>
                <w:bCs/>
                <w:color w:val="000000"/>
                <w:sz w:val="28"/>
                <w:szCs w:val="28"/>
              </w:rPr>
              <w:t xml:space="preserve"> samaksai</w:t>
            </w:r>
            <w:r w:rsidR="00B928BD">
              <w:rPr>
                <w:bCs/>
                <w:color w:val="000000"/>
                <w:sz w:val="28"/>
                <w:szCs w:val="28"/>
              </w:rPr>
              <w:t xml:space="preserve"> un </w:t>
            </w:r>
            <w:r w:rsidR="00802BE3">
              <w:rPr>
                <w:bCs/>
                <w:color w:val="000000"/>
                <w:sz w:val="28"/>
                <w:szCs w:val="28"/>
              </w:rPr>
              <w:t xml:space="preserve">valsts sociālās apdrošināšanas obligātajām iemaksām </w:t>
            </w:r>
            <w:r w:rsidR="00B96B33">
              <w:rPr>
                <w:bCs/>
                <w:color w:val="000000"/>
                <w:sz w:val="28"/>
                <w:szCs w:val="28"/>
              </w:rPr>
              <w:t>plānots piešķirt</w:t>
            </w:r>
            <w:r w:rsidR="00634120">
              <w:rPr>
                <w:bCs/>
                <w:color w:val="000000"/>
                <w:sz w:val="28"/>
                <w:szCs w:val="28"/>
              </w:rPr>
              <w:t xml:space="preserve"> ar 2012.gada 1.oktobri</w:t>
            </w:r>
            <w:r w:rsidR="00BF090B">
              <w:rPr>
                <w:bCs/>
                <w:color w:val="000000"/>
                <w:sz w:val="28"/>
                <w:szCs w:val="28"/>
              </w:rPr>
              <w:t>,</w:t>
            </w:r>
            <w:r w:rsidR="00634120" w:rsidRPr="00FC4EC0">
              <w:rPr>
                <w:bCs/>
                <w:color w:val="000000"/>
                <w:sz w:val="28"/>
                <w:szCs w:val="28"/>
              </w:rPr>
              <w:t xml:space="preserve"> </w:t>
            </w:r>
            <w:r w:rsidR="00634120" w:rsidRPr="00FC4EC0">
              <w:rPr>
                <w:sz w:val="28"/>
                <w:szCs w:val="28"/>
                <w:lang w:eastAsia="lv-LV"/>
              </w:rPr>
              <w:t xml:space="preserve">no valsts budžeta nepieciešami finanšu līdzekļi </w:t>
            </w:r>
            <w:r w:rsidR="00634120" w:rsidRPr="00FC4EC0">
              <w:rPr>
                <w:sz w:val="28"/>
                <w:szCs w:val="28"/>
              </w:rPr>
              <w:t xml:space="preserve">Ls </w:t>
            </w:r>
            <w:r w:rsidR="00634120">
              <w:rPr>
                <w:bCs/>
                <w:color w:val="000000"/>
                <w:sz w:val="28"/>
                <w:szCs w:val="28"/>
              </w:rPr>
              <w:t>491 396 apmērā</w:t>
            </w:r>
            <w:r w:rsidR="00634120" w:rsidRPr="00B86C5E">
              <w:rPr>
                <w:bCs/>
                <w:sz w:val="28"/>
                <w:szCs w:val="28"/>
              </w:rPr>
              <w:t xml:space="preserve">. </w:t>
            </w:r>
          </w:p>
        </w:tc>
      </w:tr>
      <w:tr w:rsidR="00634120" w:rsidRPr="00CB010A" w:rsidTr="00DF1CDD">
        <w:trPr>
          <w:trHeight w:val="517"/>
        </w:trPr>
        <w:tc>
          <w:tcPr>
            <w:tcW w:w="572" w:type="dxa"/>
          </w:tcPr>
          <w:p w:rsidR="00634120" w:rsidRPr="00CB010A" w:rsidRDefault="00634120" w:rsidP="00DF1CDD">
            <w:pPr>
              <w:pStyle w:val="naiskr"/>
              <w:spacing w:before="0" w:after="0"/>
              <w:rPr>
                <w:sz w:val="28"/>
                <w:szCs w:val="28"/>
              </w:rPr>
            </w:pPr>
            <w:r w:rsidRPr="00CB010A">
              <w:rPr>
                <w:sz w:val="28"/>
                <w:szCs w:val="28"/>
              </w:rPr>
              <w:t>4.</w:t>
            </w:r>
          </w:p>
        </w:tc>
        <w:tc>
          <w:tcPr>
            <w:tcW w:w="4253" w:type="dxa"/>
          </w:tcPr>
          <w:p w:rsidR="00634120" w:rsidRPr="00CB010A" w:rsidRDefault="00634120" w:rsidP="00DF1CDD">
            <w:pPr>
              <w:pStyle w:val="naiskr"/>
              <w:spacing w:before="0" w:after="0"/>
              <w:rPr>
                <w:sz w:val="28"/>
                <w:szCs w:val="28"/>
              </w:rPr>
            </w:pPr>
            <w:r w:rsidRPr="00CB010A">
              <w:rPr>
                <w:sz w:val="28"/>
                <w:szCs w:val="28"/>
              </w:rPr>
              <w:t>Tiesiskā regulējuma nefinansiālā ietekme</w:t>
            </w:r>
          </w:p>
        </w:tc>
        <w:tc>
          <w:tcPr>
            <w:tcW w:w="4394" w:type="dxa"/>
          </w:tcPr>
          <w:p w:rsidR="00634120" w:rsidRPr="00CB010A" w:rsidRDefault="00634120" w:rsidP="00DF1CDD">
            <w:pPr>
              <w:pStyle w:val="naiskr"/>
              <w:spacing w:before="0" w:after="0"/>
              <w:rPr>
                <w:sz w:val="28"/>
                <w:szCs w:val="28"/>
              </w:rPr>
            </w:pPr>
          </w:p>
        </w:tc>
      </w:tr>
      <w:tr w:rsidR="00634120" w:rsidRPr="00CB010A" w:rsidTr="00DF1CDD">
        <w:trPr>
          <w:trHeight w:val="531"/>
        </w:trPr>
        <w:tc>
          <w:tcPr>
            <w:tcW w:w="572" w:type="dxa"/>
          </w:tcPr>
          <w:p w:rsidR="00634120" w:rsidRPr="00CB010A" w:rsidRDefault="00634120" w:rsidP="00DF1CDD">
            <w:pPr>
              <w:pStyle w:val="naiskr"/>
              <w:spacing w:before="0" w:after="0"/>
              <w:rPr>
                <w:sz w:val="28"/>
                <w:szCs w:val="28"/>
              </w:rPr>
            </w:pPr>
            <w:r w:rsidRPr="00CB010A">
              <w:rPr>
                <w:sz w:val="28"/>
                <w:szCs w:val="28"/>
              </w:rPr>
              <w:t>5.</w:t>
            </w:r>
          </w:p>
        </w:tc>
        <w:tc>
          <w:tcPr>
            <w:tcW w:w="4253" w:type="dxa"/>
          </w:tcPr>
          <w:p w:rsidR="00634120" w:rsidRPr="00CB010A" w:rsidRDefault="00634120" w:rsidP="00DF1CDD">
            <w:pPr>
              <w:pStyle w:val="naiskr"/>
              <w:spacing w:before="0" w:after="0"/>
              <w:rPr>
                <w:sz w:val="28"/>
                <w:szCs w:val="28"/>
              </w:rPr>
            </w:pPr>
            <w:r w:rsidRPr="00CB010A">
              <w:rPr>
                <w:sz w:val="28"/>
                <w:szCs w:val="28"/>
              </w:rPr>
              <w:t>Administratīvās procedūras raksturojums</w:t>
            </w:r>
          </w:p>
        </w:tc>
        <w:tc>
          <w:tcPr>
            <w:tcW w:w="4394" w:type="dxa"/>
          </w:tcPr>
          <w:p w:rsidR="00634120" w:rsidRPr="00CB010A" w:rsidRDefault="00634120" w:rsidP="00DF1CDD">
            <w:pPr>
              <w:pStyle w:val="naiskr"/>
              <w:spacing w:before="0" w:after="0"/>
              <w:rPr>
                <w:sz w:val="28"/>
                <w:szCs w:val="28"/>
              </w:rPr>
            </w:pPr>
          </w:p>
        </w:tc>
      </w:tr>
      <w:tr w:rsidR="00634120" w:rsidRPr="00CB010A" w:rsidTr="00DF1CDD">
        <w:trPr>
          <w:trHeight w:val="357"/>
        </w:trPr>
        <w:tc>
          <w:tcPr>
            <w:tcW w:w="572" w:type="dxa"/>
          </w:tcPr>
          <w:p w:rsidR="00634120" w:rsidRPr="00CB010A" w:rsidRDefault="00634120" w:rsidP="00DF1CDD">
            <w:pPr>
              <w:pStyle w:val="naiskr"/>
              <w:spacing w:before="0" w:after="0"/>
              <w:rPr>
                <w:sz w:val="28"/>
                <w:szCs w:val="28"/>
              </w:rPr>
            </w:pPr>
            <w:r w:rsidRPr="00CB010A">
              <w:rPr>
                <w:sz w:val="28"/>
                <w:szCs w:val="28"/>
              </w:rPr>
              <w:t>6.</w:t>
            </w:r>
          </w:p>
        </w:tc>
        <w:tc>
          <w:tcPr>
            <w:tcW w:w="4253" w:type="dxa"/>
          </w:tcPr>
          <w:p w:rsidR="00634120" w:rsidRPr="00CB010A" w:rsidRDefault="00634120" w:rsidP="00DF1CDD">
            <w:pPr>
              <w:pStyle w:val="naiskr"/>
              <w:spacing w:before="0" w:after="0"/>
              <w:rPr>
                <w:sz w:val="28"/>
                <w:szCs w:val="28"/>
              </w:rPr>
            </w:pPr>
            <w:r w:rsidRPr="00CB010A">
              <w:rPr>
                <w:sz w:val="28"/>
                <w:szCs w:val="28"/>
              </w:rPr>
              <w:t>Administratīvo izmaksu monetārs novērtējums</w:t>
            </w:r>
          </w:p>
        </w:tc>
        <w:tc>
          <w:tcPr>
            <w:tcW w:w="4394" w:type="dxa"/>
          </w:tcPr>
          <w:p w:rsidR="00634120" w:rsidRPr="00CB010A" w:rsidRDefault="00634120" w:rsidP="00DF1CDD">
            <w:pPr>
              <w:pStyle w:val="naiskr"/>
              <w:spacing w:before="0" w:after="0"/>
              <w:rPr>
                <w:sz w:val="28"/>
                <w:szCs w:val="28"/>
              </w:rPr>
            </w:pPr>
          </w:p>
        </w:tc>
      </w:tr>
      <w:tr w:rsidR="00634120" w:rsidRPr="00CB010A" w:rsidTr="00DF1CDD">
        <w:tc>
          <w:tcPr>
            <w:tcW w:w="572" w:type="dxa"/>
          </w:tcPr>
          <w:p w:rsidR="00634120" w:rsidRPr="00CB010A" w:rsidRDefault="00634120" w:rsidP="00DF1CDD">
            <w:pPr>
              <w:pStyle w:val="naiskr"/>
              <w:spacing w:before="0" w:after="0"/>
              <w:rPr>
                <w:sz w:val="28"/>
                <w:szCs w:val="28"/>
              </w:rPr>
            </w:pPr>
            <w:r w:rsidRPr="00CB010A">
              <w:rPr>
                <w:sz w:val="28"/>
                <w:szCs w:val="28"/>
              </w:rPr>
              <w:t>7.</w:t>
            </w:r>
          </w:p>
        </w:tc>
        <w:tc>
          <w:tcPr>
            <w:tcW w:w="4253" w:type="dxa"/>
          </w:tcPr>
          <w:p w:rsidR="00634120" w:rsidRPr="00CB010A" w:rsidRDefault="00634120" w:rsidP="00DF1CDD">
            <w:pPr>
              <w:pStyle w:val="naiskr"/>
              <w:spacing w:before="0" w:after="0"/>
              <w:rPr>
                <w:sz w:val="28"/>
                <w:szCs w:val="28"/>
              </w:rPr>
            </w:pPr>
            <w:r w:rsidRPr="00CB010A">
              <w:rPr>
                <w:sz w:val="28"/>
                <w:szCs w:val="28"/>
              </w:rPr>
              <w:t>Cita informācija</w:t>
            </w:r>
          </w:p>
        </w:tc>
        <w:tc>
          <w:tcPr>
            <w:tcW w:w="4394" w:type="dxa"/>
          </w:tcPr>
          <w:p w:rsidR="00634120" w:rsidRPr="00CB010A" w:rsidRDefault="00634120" w:rsidP="00DF1CDD">
            <w:pPr>
              <w:pStyle w:val="naiskr"/>
              <w:spacing w:before="0" w:after="0"/>
              <w:rPr>
                <w:sz w:val="28"/>
                <w:szCs w:val="28"/>
              </w:rPr>
            </w:pPr>
            <w:r>
              <w:rPr>
                <w:sz w:val="28"/>
                <w:szCs w:val="28"/>
              </w:rPr>
              <w:t>Nav</w:t>
            </w:r>
          </w:p>
        </w:tc>
      </w:tr>
    </w:tbl>
    <w:p w:rsidR="00634120" w:rsidRPr="001D0A49" w:rsidRDefault="00634120" w:rsidP="00634120">
      <w:pPr>
        <w:jc w:val="both"/>
        <w:rPr>
          <w:sz w:val="28"/>
          <w:szCs w:val="28"/>
        </w:rPr>
      </w:pPr>
    </w:p>
    <w:tbl>
      <w:tblPr>
        <w:tblW w:w="9336" w:type="dxa"/>
        <w:jc w:val="center"/>
        <w:tblInd w:w="-34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2753"/>
        <w:gridCol w:w="1276"/>
        <w:gridCol w:w="1334"/>
        <w:gridCol w:w="1334"/>
        <w:gridCol w:w="1334"/>
        <w:gridCol w:w="1305"/>
      </w:tblGrid>
      <w:tr w:rsidR="00634120" w:rsidRPr="00CB010A" w:rsidTr="00DF1CDD">
        <w:trPr>
          <w:trHeight w:val="652"/>
          <w:jc w:val="center"/>
        </w:trPr>
        <w:tc>
          <w:tcPr>
            <w:tcW w:w="9336" w:type="dxa"/>
            <w:gridSpan w:val="6"/>
          </w:tcPr>
          <w:p w:rsidR="00634120" w:rsidRPr="00CB010A" w:rsidRDefault="00634120" w:rsidP="00DF1CDD">
            <w:pPr>
              <w:pStyle w:val="naisnod"/>
              <w:spacing w:before="0" w:after="0"/>
              <w:jc w:val="center"/>
              <w:rPr>
                <w:b/>
                <w:i/>
                <w:sz w:val="28"/>
                <w:szCs w:val="28"/>
              </w:rPr>
            </w:pPr>
            <w:r w:rsidRPr="00CB010A">
              <w:rPr>
                <w:b/>
                <w:sz w:val="28"/>
                <w:szCs w:val="28"/>
              </w:rPr>
              <w:br w:type="page"/>
              <w:t>III. Tiesību akta projekta ietekme uz valsts budžetu un pašvaldību budžetiem</w:t>
            </w:r>
          </w:p>
        </w:tc>
      </w:tr>
      <w:tr w:rsidR="00634120" w:rsidRPr="00CB010A" w:rsidTr="00DF1CDD">
        <w:trPr>
          <w:jc w:val="center"/>
        </w:trPr>
        <w:tc>
          <w:tcPr>
            <w:tcW w:w="2753" w:type="dxa"/>
            <w:vMerge w:val="restart"/>
            <w:vAlign w:val="center"/>
          </w:tcPr>
          <w:p w:rsidR="00634120" w:rsidRPr="00CB010A" w:rsidRDefault="00634120" w:rsidP="00DF1CDD">
            <w:pPr>
              <w:pStyle w:val="naisf"/>
              <w:spacing w:before="0" w:after="0"/>
              <w:ind w:firstLine="0"/>
              <w:jc w:val="center"/>
              <w:rPr>
                <w:b/>
                <w:sz w:val="28"/>
                <w:szCs w:val="28"/>
              </w:rPr>
            </w:pPr>
            <w:r w:rsidRPr="00CB010A">
              <w:rPr>
                <w:b/>
                <w:sz w:val="28"/>
                <w:szCs w:val="28"/>
              </w:rPr>
              <w:lastRenderedPageBreak/>
              <w:t>Rādītāji</w:t>
            </w:r>
          </w:p>
        </w:tc>
        <w:tc>
          <w:tcPr>
            <w:tcW w:w="2610" w:type="dxa"/>
            <w:gridSpan w:val="2"/>
            <w:vMerge w:val="restart"/>
            <w:vAlign w:val="center"/>
          </w:tcPr>
          <w:p w:rsidR="00634120" w:rsidRPr="00CB010A" w:rsidRDefault="00634120" w:rsidP="00DF1CDD">
            <w:pPr>
              <w:pStyle w:val="naisf"/>
              <w:spacing w:before="0" w:after="0"/>
              <w:ind w:firstLine="0"/>
              <w:jc w:val="center"/>
              <w:rPr>
                <w:b/>
                <w:sz w:val="28"/>
                <w:szCs w:val="28"/>
              </w:rPr>
            </w:pPr>
            <w:r>
              <w:rPr>
                <w:b/>
                <w:sz w:val="28"/>
                <w:szCs w:val="28"/>
              </w:rPr>
              <w:t>2012</w:t>
            </w:r>
            <w:r w:rsidRPr="00CB010A">
              <w:rPr>
                <w:b/>
                <w:sz w:val="28"/>
                <w:szCs w:val="28"/>
              </w:rPr>
              <w:t xml:space="preserve"> gads</w:t>
            </w:r>
          </w:p>
        </w:tc>
        <w:tc>
          <w:tcPr>
            <w:tcW w:w="3973" w:type="dxa"/>
            <w:gridSpan w:val="3"/>
            <w:vAlign w:val="center"/>
          </w:tcPr>
          <w:p w:rsidR="00634120" w:rsidRPr="00CB010A" w:rsidRDefault="00634120" w:rsidP="00DF1CDD">
            <w:pPr>
              <w:pStyle w:val="naisf"/>
              <w:spacing w:before="0" w:after="0"/>
              <w:ind w:firstLine="0"/>
              <w:jc w:val="center"/>
              <w:rPr>
                <w:b/>
                <w:i/>
                <w:sz w:val="28"/>
                <w:szCs w:val="28"/>
              </w:rPr>
            </w:pPr>
            <w:r w:rsidRPr="00CB010A">
              <w:rPr>
                <w:sz w:val="28"/>
                <w:szCs w:val="28"/>
              </w:rPr>
              <w:t>Turpmākie trīs gadi (tūkst</w:t>
            </w:r>
            <w:smartTag w:uri="schemas-tilde-lv/tildestengine" w:element="currency2">
              <w:smartTagPr>
                <w:attr w:name="currency_id" w:val="48"/>
                <w:attr w:name="currency_key" w:val="LVL"/>
                <w:attr w:name="currency_value" w:val="."/>
                <w:attr w:name="currency_text" w:val="latu"/>
              </w:smartTagPr>
              <w:r w:rsidRPr="00CB010A">
                <w:rPr>
                  <w:sz w:val="28"/>
                  <w:szCs w:val="28"/>
                </w:rPr>
                <w:t>. latu</w:t>
              </w:r>
            </w:smartTag>
            <w:r w:rsidRPr="00CB010A">
              <w:rPr>
                <w:sz w:val="28"/>
                <w:szCs w:val="28"/>
              </w:rPr>
              <w:t>)</w:t>
            </w:r>
          </w:p>
        </w:tc>
      </w:tr>
      <w:tr w:rsidR="00634120" w:rsidRPr="00CB010A" w:rsidTr="00DF1CDD">
        <w:trPr>
          <w:jc w:val="center"/>
        </w:trPr>
        <w:tc>
          <w:tcPr>
            <w:tcW w:w="2753" w:type="dxa"/>
            <w:vMerge/>
            <w:vAlign w:val="center"/>
          </w:tcPr>
          <w:p w:rsidR="00634120" w:rsidRPr="00CB010A" w:rsidRDefault="00634120" w:rsidP="00DF1CDD">
            <w:pPr>
              <w:pStyle w:val="naisf"/>
              <w:spacing w:before="0" w:after="0"/>
              <w:ind w:firstLine="0"/>
              <w:jc w:val="center"/>
              <w:rPr>
                <w:b/>
                <w:i/>
                <w:sz w:val="28"/>
                <w:szCs w:val="28"/>
              </w:rPr>
            </w:pPr>
          </w:p>
        </w:tc>
        <w:tc>
          <w:tcPr>
            <w:tcW w:w="2610" w:type="dxa"/>
            <w:gridSpan w:val="2"/>
            <w:vMerge/>
            <w:vAlign w:val="center"/>
          </w:tcPr>
          <w:p w:rsidR="00634120" w:rsidRPr="00CB010A" w:rsidRDefault="00634120" w:rsidP="00DF1CDD">
            <w:pPr>
              <w:pStyle w:val="naisf"/>
              <w:spacing w:before="0" w:after="0"/>
              <w:ind w:firstLine="0"/>
              <w:jc w:val="center"/>
              <w:rPr>
                <w:b/>
                <w:i/>
                <w:sz w:val="28"/>
                <w:szCs w:val="28"/>
              </w:rPr>
            </w:pPr>
          </w:p>
        </w:tc>
        <w:tc>
          <w:tcPr>
            <w:tcW w:w="1334" w:type="dxa"/>
            <w:vAlign w:val="center"/>
          </w:tcPr>
          <w:p w:rsidR="00634120" w:rsidRPr="00CB010A" w:rsidRDefault="00634120" w:rsidP="00DF1CDD">
            <w:pPr>
              <w:pStyle w:val="naisf"/>
              <w:spacing w:before="0" w:after="0"/>
              <w:ind w:firstLine="0"/>
              <w:jc w:val="center"/>
              <w:rPr>
                <w:b/>
                <w:i/>
                <w:sz w:val="28"/>
                <w:szCs w:val="28"/>
              </w:rPr>
            </w:pPr>
            <w:r>
              <w:rPr>
                <w:b/>
                <w:bCs/>
                <w:sz w:val="28"/>
                <w:szCs w:val="28"/>
              </w:rPr>
              <w:t>2013</w:t>
            </w:r>
          </w:p>
        </w:tc>
        <w:tc>
          <w:tcPr>
            <w:tcW w:w="1334" w:type="dxa"/>
            <w:vAlign w:val="center"/>
          </w:tcPr>
          <w:p w:rsidR="00634120" w:rsidRPr="00CB010A" w:rsidRDefault="00634120" w:rsidP="00DF1CDD">
            <w:pPr>
              <w:pStyle w:val="naisf"/>
              <w:spacing w:before="0" w:after="0"/>
              <w:ind w:firstLine="0"/>
              <w:jc w:val="center"/>
              <w:rPr>
                <w:b/>
                <w:i/>
                <w:sz w:val="28"/>
                <w:szCs w:val="28"/>
              </w:rPr>
            </w:pPr>
            <w:r>
              <w:rPr>
                <w:b/>
                <w:bCs/>
                <w:sz w:val="28"/>
                <w:szCs w:val="28"/>
              </w:rPr>
              <w:t>2014</w:t>
            </w:r>
          </w:p>
        </w:tc>
        <w:tc>
          <w:tcPr>
            <w:tcW w:w="1305" w:type="dxa"/>
            <w:vAlign w:val="center"/>
          </w:tcPr>
          <w:p w:rsidR="00634120" w:rsidRPr="00CB010A" w:rsidRDefault="00634120" w:rsidP="00DF1CDD">
            <w:pPr>
              <w:pStyle w:val="naisf"/>
              <w:spacing w:before="0" w:after="0"/>
              <w:ind w:firstLine="0"/>
              <w:jc w:val="center"/>
              <w:rPr>
                <w:b/>
                <w:i/>
                <w:sz w:val="28"/>
                <w:szCs w:val="28"/>
              </w:rPr>
            </w:pPr>
            <w:r>
              <w:rPr>
                <w:b/>
                <w:bCs/>
                <w:sz w:val="28"/>
                <w:szCs w:val="28"/>
              </w:rPr>
              <w:t>2015</w:t>
            </w:r>
          </w:p>
        </w:tc>
      </w:tr>
      <w:tr w:rsidR="00634120" w:rsidRPr="00CB010A" w:rsidTr="00DF1CDD">
        <w:trPr>
          <w:jc w:val="center"/>
        </w:trPr>
        <w:tc>
          <w:tcPr>
            <w:tcW w:w="2753" w:type="dxa"/>
            <w:vMerge/>
            <w:vAlign w:val="center"/>
          </w:tcPr>
          <w:p w:rsidR="00634120" w:rsidRPr="00CB010A" w:rsidRDefault="00634120" w:rsidP="00DF1CDD">
            <w:pPr>
              <w:pStyle w:val="naisf"/>
              <w:spacing w:before="0" w:after="0"/>
              <w:ind w:firstLine="0"/>
              <w:jc w:val="center"/>
              <w:rPr>
                <w:b/>
                <w:i/>
                <w:sz w:val="28"/>
                <w:szCs w:val="28"/>
              </w:rPr>
            </w:pPr>
          </w:p>
        </w:tc>
        <w:tc>
          <w:tcPr>
            <w:tcW w:w="1276" w:type="dxa"/>
            <w:vAlign w:val="center"/>
          </w:tcPr>
          <w:p w:rsidR="00634120" w:rsidRPr="00CB010A" w:rsidRDefault="00634120" w:rsidP="00DF1CDD">
            <w:pPr>
              <w:pStyle w:val="naisf"/>
              <w:spacing w:before="0" w:after="0"/>
              <w:ind w:firstLine="0"/>
              <w:jc w:val="center"/>
              <w:rPr>
                <w:b/>
                <w:i/>
                <w:sz w:val="28"/>
                <w:szCs w:val="28"/>
              </w:rPr>
            </w:pPr>
            <w:r w:rsidRPr="00CB010A">
              <w:rPr>
                <w:sz w:val="28"/>
                <w:szCs w:val="28"/>
              </w:rPr>
              <w:t>Saskaņā ar valsts budžetu kārtējam gadam</w:t>
            </w:r>
          </w:p>
        </w:tc>
        <w:tc>
          <w:tcPr>
            <w:tcW w:w="1334" w:type="dxa"/>
            <w:vAlign w:val="center"/>
          </w:tcPr>
          <w:p w:rsidR="00634120" w:rsidRPr="00CB010A" w:rsidRDefault="00634120" w:rsidP="00DF1CDD">
            <w:pPr>
              <w:pStyle w:val="naisf"/>
              <w:spacing w:before="0" w:after="0"/>
              <w:ind w:firstLine="0"/>
              <w:jc w:val="center"/>
              <w:rPr>
                <w:b/>
                <w:i/>
                <w:sz w:val="28"/>
                <w:szCs w:val="28"/>
              </w:rPr>
            </w:pPr>
            <w:r w:rsidRPr="00CB010A">
              <w:rPr>
                <w:sz w:val="28"/>
                <w:szCs w:val="28"/>
              </w:rPr>
              <w:t>Izmaiņas kārtējā gadā, salīdzinot ar budžetu kārtējam gadam</w:t>
            </w:r>
          </w:p>
        </w:tc>
        <w:tc>
          <w:tcPr>
            <w:tcW w:w="1334" w:type="dxa"/>
            <w:vAlign w:val="center"/>
          </w:tcPr>
          <w:p w:rsidR="00634120" w:rsidRPr="00CB010A" w:rsidRDefault="00634120" w:rsidP="00DF1CDD">
            <w:pPr>
              <w:pStyle w:val="naisf"/>
              <w:spacing w:before="0" w:after="0"/>
              <w:ind w:firstLine="0"/>
              <w:jc w:val="center"/>
              <w:rPr>
                <w:b/>
                <w:i/>
                <w:sz w:val="28"/>
                <w:szCs w:val="28"/>
              </w:rPr>
            </w:pPr>
            <w:r w:rsidRPr="00CB010A">
              <w:rPr>
                <w:sz w:val="28"/>
                <w:szCs w:val="28"/>
              </w:rPr>
              <w:t>Izmaiņas, salīdzinot ar kārtējo (n) gadu</w:t>
            </w:r>
          </w:p>
        </w:tc>
        <w:tc>
          <w:tcPr>
            <w:tcW w:w="1334" w:type="dxa"/>
            <w:vAlign w:val="center"/>
          </w:tcPr>
          <w:p w:rsidR="00634120" w:rsidRPr="00CB010A" w:rsidRDefault="00634120" w:rsidP="00DF1CDD">
            <w:pPr>
              <w:pStyle w:val="naisf"/>
              <w:spacing w:before="0" w:after="0"/>
              <w:ind w:firstLine="0"/>
              <w:jc w:val="center"/>
              <w:rPr>
                <w:b/>
                <w:i/>
                <w:sz w:val="28"/>
                <w:szCs w:val="28"/>
              </w:rPr>
            </w:pPr>
            <w:r w:rsidRPr="00CB010A">
              <w:rPr>
                <w:sz w:val="28"/>
                <w:szCs w:val="28"/>
              </w:rPr>
              <w:t>Izmaiņas, salīdzinot ar kārtējo (n) gadu</w:t>
            </w:r>
          </w:p>
        </w:tc>
        <w:tc>
          <w:tcPr>
            <w:tcW w:w="1305" w:type="dxa"/>
            <w:vAlign w:val="center"/>
          </w:tcPr>
          <w:p w:rsidR="00634120" w:rsidRPr="00CB010A" w:rsidRDefault="00634120" w:rsidP="00DF1CDD">
            <w:pPr>
              <w:pStyle w:val="naisf"/>
              <w:spacing w:before="0" w:after="0"/>
              <w:ind w:firstLine="0"/>
              <w:jc w:val="center"/>
              <w:rPr>
                <w:b/>
                <w:i/>
                <w:sz w:val="28"/>
                <w:szCs w:val="28"/>
              </w:rPr>
            </w:pPr>
            <w:r w:rsidRPr="00CB010A">
              <w:rPr>
                <w:sz w:val="28"/>
                <w:szCs w:val="28"/>
              </w:rPr>
              <w:t>Izmaiņas, salīdzinot ar kārtējo (n) gadu</w:t>
            </w:r>
          </w:p>
        </w:tc>
      </w:tr>
      <w:tr w:rsidR="00634120" w:rsidRPr="00CB010A" w:rsidTr="00DF1CDD">
        <w:trPr>
          <w:jc w:val="center"/>
        </w:trPr>
        <w:tc>
          <w:tcPr>
            <w:tcW w:w="2753" w:type="dxa"/>
            <w:vAlign w:val="center"/>
          </w:tcPr>
          <w:p w:rsidR="00634120" w:rsidRPr="00CB010A" w:rsidRDefault="00634120" w:rsidP="00DF1CDD">
            <w:pPr>
              <w:pStyle w:val="naisf"/>
              <w:spacing w:before="0" w:after="0"/>
              <w:ind w:firstLine="0"/>
              <w:jc w:val="center"/>
              <w:rPr>
                <w:bCs/>
                <w:sz w:val="28"/>
                <w:szCs w:val="28"/>
              </w:rPr>
            </w:pPr>
            <w:r w:rsidRPr="00CB010A">
              <w:rPr>
                <w:bCs/>
                <w:sz w:val="28"/>
                <w:szCs w:val="28"/>
              </w:rPr>
              <w:t>1</w:t>
            </w:r>
          </w:p>
        </w:tc>
        <w:tc>
          <w:tcPr>
            <w:tcW w:w="1276" w:type="dxa"/>
            <w:vAlign w:val="center"/>
          </w:tcPr>
          <w:p w:rsidR="00634120" w:rsidRPr="00CB010A" w:rsidRDefault="00634120" w:rsidP="00DF1CDD">
            <w:pPr>
              <w:pStyle w:val="naisf"/>
              <w:spacing w:before="0" w:after="0"/>
              <w:ind w:firstLine="0"/>
              <w:jc w:val="center"/>
              <w:rPr>
                <w:bCs/>
                <w:sz w:val="28"/>
                <w:szCs w:val="28"/>
              </w:rPr>
            </w:pPr>
            <w:r w:rsidRPr="00CB010A">
              <w:rPr>
                <w:bCs/>
                <w:sz w:val="28"/>
                <w:szCs w:val="28"/>
              </w:rPr>
              <w:t>2</w:t>
            </w:r>
          </w:p>
        </w:tc>
        <w:tc>
          <w:tcPr>
            <w:tcW w:w="1334" w:type="dxa"/>
            <w:vAlign w:val="center"/>
          </w:tcPr>
          <w:p w:rsidR="00634120" w:rsidRPr="00CB010A" w:rsidRDefault="00634120" w:rsidP="00DF1CDD">
            <w:pPr>
              <w:pStyle w:val="naisf"/>
              <w:spacing w:before="0" w:after="0"/>
              <w:ind w:firstLine="0"/>
              <w:jc w:val="center"/>
              <w:rPr>
                <w:bCs/>
                <w:sz w:val="28"/>
                <w:szCs w:val="28"/>
              </w:rPr>
            </w:pPr>
            <w:r w:rsidRPr="00CB010A">
              <w:rPr>
                <w:bCs/>
                <w:sz w:val="28"/>
                <w:szCs w:val="28"/>
              </w:rPr>
              <w:t>3</w:t>
            </w:r>
          </w:p>
        </w:tc>
        <w:tc>
          <w:tcPr>
            <w:tcW w:w="1334" w:type="dxa"/>
            <w:vAlign w:val="center"/>
          </w:tcPr>
          <w:p w:rsidR="00634120" w:rsidRPr="00CB010A" w:rsidRDefault="00634120" w:rsidP="00DF1CDD">
            <w:pPr>
              <w:pStyle w:val="naisf"/>
              <w:spacing w:before="0" w:after="0"/>
              <w:ind w:firstLine="0"/>
              <w:jc w:val="center"/>
              <w:rPr>
                <w:bCs/>
                <w:sz w:val="28"/>
                <w:szCs w:val="28"/>
              </w:rPr>
            </w:pPr>
            <w:r w:rsidRPr="00CB010A">
              <w:rPr>
                <w:bCs/>
                <w:sz w:val="28"/>
                <w:szCs w:val="28"/>
              </w:rPr>
              <w:t>4</w:t>
            </w:r>
          </w:p>
        </w:tc>
        <w:tc>
          <w:tcPr>
            <w:tcW w:w="1334" w:type="dxa"/>
            <w:vAlign w:val="center"/>
          </w:tcPr>
          <w:p w:rsidR="00634120" w:rsidRPr="00CB010A" w:rsidRDefault="00634120" w:rsidP="00DF1CDD">
            <w:pPr>
              <w:pStyle w:val="naisf"/>
              <w:spacing w:before="0" w:after="0"/>
              <w:ind w:firstLine="0"/>
              <w:jc w:val="center"/>
              <w:rPr>
                <w:bCs/>
                <w:sz w:val="28"/>
                <w:szCs w:val="28"/>
              </w:rPr>
            </w:pPr>
            <w:r w:rsidRPr="00CB010A">
              <w:rPr>
                <w:bCs/>
                <w:sz w:val="28"/>
                <w:szCs w:val="28"/>
              </w:rPr>
              <w:t>5</w:t>
            </w:r>
          </w:p>
        </w:tc>
        <w:tc>
          <w:tcPr>
            <w:tcW w:w="1305" w:type="dxa"/>
            <w:vAlign w:val="center"/>
          </w:tcPr>
          <w:p w:rsidR="00634120" w:rsidRPr="00CB010A" w:rsidRDefault="00634120" w:rsidP="00DF1CDD">
            <w:pPr>
              <w:pStyle w:val="naisf"/>
              <w:spacing w:before="0" w:after="0"/>
              <w:ind w:firstLine="0"/>
              <w:jc w:val="center"/>
              <w:rPr>
                <w:bCs/>
                <w:sz w:val="28"/>
                <w:szCs w:val="28"/>
              </w:rPr>
            </w:pPr>
            <w:r w:rsidRPr="00CB010A">
              <w:rPr>
                <w:bCs/>
                <w:sz w:val="28"/>
                <w:szCs w:val="28"/>
              </w:rPr>
              <w:t>6</w:t>
            </w:r>
          </w:p>
        </w:tc>
      </w:tr>
      <w:tr w:rsidR="00634120" w:rsidRPr="00CB010A" w:rsidTr="00DF1CDD">
        <w:trPr>
          <w:jc w:val="center"/>
        </w:trPr>
        <w:tc>
          <w:tcPr>
            <w:tcW w:w="2753" w:type="dxa"/>
          </w:tcPr>
          <w:p w:rsidR="00634120" w:rsidRPr="00CB010A" w:rsidRDefault="00634120" w:rsidP="00DF1CDD">
            <w:pPr>
              <w:pStyle w:val="naisf"/>
              <w:spacing w:before="0" w:after="0"/>
              <w:ind w:firstLine="0"/>
              <w:rPr>
                <w:i/>
                <w:sz w:val="28"/>
                <w:szCs w:val="28"/>
              </w:rPr>
            </w:pPr>
            <w:r w:rsidRPr="00CB010A">
              <w:rPr>
                <w:sz w:val="28"/>
                <w:szCs w:val="28"/>
              </w:rPr>
              <w:t>1. Budžeta ieņēmumi:</w:t>
            </w:r>
          </w:p>
        </w:tc>
        <w:tc>
          <w:tcPr>
            <w:tcW w:w="1276" w:type="dxa"/>
          </w:tcPr>
          <w:p w:rsidR="00634120" w:rsidRPr="00CB010A" w:rsidRDefault="00634120" w:rsidP="00DF1CDD">
            <w:pPr>
              <w:pStyle w:val="naisf"/>
              <w:spacing w:before="0" w:after="0"/>
              <w:ind w:firstLine="0"/>
              <w:rPr>
                <w:b/>
                <w:i/>
                <w:sz w:val="28"/>
                <w:szCs w:val="28"/>
              </w:rPr>
            </w:pPr>
          </w:p>
        </w:tc>
        <w:tc>
          <w:tcPr>
            <w:tcW w:w="1334" w:type="dxa"/>
          </w:tcPr>
          <w:p w:rsidR="00634120" w:rsidRPr="00941136" w:rsidRDefault="00A67A4E" w:rsidP="00A67A4E">
            <w:pPr>
              <w:pStyle w:val="naisf"/>
              <w:spacing w:before="0" w:after="0"/>
              <w:ind w:firstLine="0"/>
              <w:rPr>
                <w:b/>
                <w:sz w:val="28"/>
                <w:szCs w:val="28"/>
              </w:rPr>
            </w:pPr>
            <w:r>
              <w:rPr>
                <w:b/>
                <w:sz w:val="28"/>
                <w:szCs w:val="28"/>
              </w:rPr>
              <w:t>491,4</w:t>
            </w:r>
          </w:p>
        </w:tc>
        <w:tc>
          <w:tcPr>
            <w:tcW w:w="1334" w:type="dxa"/>
          </w:tcPr>
          <w:p w:rsidR="00634120" w:rsidRPr="00941136" w:rsidRDefault="00634120" w:rsidP="00DF1CDD">
            <w:pPr>
              <w:pStyle w:val="naisf"/>
              <w:spacing w:before="0" w:after="0"/>
              <w:ind w:firstLine="0"/>
              <w:rPr>
                <w:b/>
                <w:sz w:val="28"/>
                <w:szCs w:val="28"/>
              </w:rPr>
            </w:pPr>
          </w:p>
        </w:tc>
        <w:tc>
          <w:tcPr>
            <w:tcW w:w="1334" w:type="dxa"/>
          </w:tcPr>
          <w:p w:rsidR="00634120" w:rsidRPr="00941136" w:rsidRDefault="00634120" w:rsidP="00DF1CDD">
            <w:pPr>
              <w:pStyle w:val="naisf"/>
              <w:spacing w:before="0" w:after="0"/>
              <w:ind w:firstLine="0"/>
              <w:rPr>
                <w:b/>
                <w:sz w:val="28"/>
                <w:szCs w:val="28"/>
              </w:rPr>
            </w:pPr>
          </w:p>
        </w:tc>
        <w:tc>
          <w:tcPr>
            <w:tcW w:w="1305" w:type="dxa"/>
          </w:tcPr>
          <w:p w:rsidR="00634120" w:rsidRPr="00941136" w:rsidRDefault="00634120" w:rsidP="00DF1CDD">
            <w:pPr>
              <w:pStyle w:val="naisf"/>
              <w:spacing w:before="0" w:after="0"/>
              <w:ind w:firstLine="0"/>
              <w:rPr>
                <w:b/>
                <w:sz w:val="28"/>
                <w:szCs w:val="28"/>
              </w:rPr>
            </w:pPr>
          </w:p>
        </w:tc>
      </w:tr>
      <w:tr w:rsidR="00634120" w:rsidRPr="00CB010A" w:rsidTr="00DF1CDD">
        <w:trPr>
          <w:jc w:val="center"/>
        </w:trPr>
        <w:tc>
          <w:tcPr>
            <w:tcW w:w="2753" w:type="dxa"/>
          </w:tcPr>
          <w:p w:rsidR="00634120" w:rsidRPr="00CB010A" w:rsidRDefault="00634120" w:rsidP="00DF1CDD">
            <w:pPr>
              <w:pStyle w:val="naisf"/>
              <w:spacing w:before="0" w:after="0"/>
              <w:ind w:firstLine="0"/>
              <w:rPr>
                <w:i/>
                <w:sz w:val="28"/>
                <w:szCs w:val="28"/>
              </w:rPr>
            </w:pPr>
            <w:r w:rsidRPr="00CB010A">
              <w:rPr>
                <w:sz w:val="28"/>
                <w:szCs w:val="28"/>
              </w:rPr>
              <w:t>1.1. valsts pamatbudžets, tai skaitā ieņēmumi no maksas pakalpo-jumiem un citi pašu ieņēmumi</w:t>
            </w:r>
          </w:p>
        </w:tc>
        <w:tc>
          <w:tcPr>
            <w:tcW w:w="1276" w:type="dxa"/>
          </w:tcPr>
          <w:p w:rsidR="00634120" w:rsidRPr="00CB010A" w:rsidRDefault="00634120" w:rsidP="00DF1CDD">
            <w:pPr>
              <w:pStyle w:val="naisf"/>
              <w:spacing w:before="0" w:after="0"/>
              <w:ind w:firstLine="0"/>
              <w:rPr>
                <w:b/>
                <w:i/>
                <w:sz w:val="28"/>
                <w:szCs w:val="28"/>
              </w:rPr>
            </w:pPr>
          </w:p>
        </w:tc>
        <w:tc>
          <w:tcPr>
            <w:tcW w:w="1334" w:type="dxa"/>
          </w:tcPr>
          <w:p w:rsidR="00634120" w:rsidRPr="00941136" w:rsidRDefault="00634120" w:rsidP="00A67A4E">
            <w:pPr>
              <w:pStyle w:val="naisf"/>
              <w:spacing w:before="0" w:after="0"/>
              <w:ind w:firstLine="0"/>
              <w:rPr>
                <w:sz w:val="28"/>
                <w:szCs w:val="28"/>
              </w:rPr>
            </w:pPr>
            <w:r w:rsidRPr="00941136">
              <w:rPr>
                <w:sz w:val="28"/>
                <w:szCs w:val="28"/>
              </w:rPr>
              <w:t>491</w:t>
            </w:r>
            <w:r w:rsidR="00A67A4E">
              <w:rPr>
                <w:sz w:val="28"/>
                <w:szCs w:val="28"/>
              </w:rPr>
              <w:t>,4</w:t>
            </w:r>
          </w:p>
        </w:tc>
        <w:tc>
          <w:tcPr>
            <w:tcW w:w="1334" w:type="dxa"/>
          </w:tcPr>
          <w:p w:rsidR="00634120" w:rsidRPr="00941136" w:rsidRDefault="00634120" w:rsidP="00DF1CDD">
            <w:pPr>
              <w:pStyle w:val="naisf"/>
              <w:spacing w:before="0" w:after="0"/>
              <w:ind w:firstLine="0"/>
              <w:rPr>
                <w:sz w:val="28"/>
                <w:szCs w:val="28"/>
              </w:rPr>
            </w:pPr>
          </w:p>
        </w:tc>
        <w:tc>
          <w:tcPr>
            <w:tcW w:w="1334" w:type="dxa"/>
          </w:tcPr>
          <w:p w:rsidR="00634120" w:rsidRPr="00941136" w:rsidRDefault="00634120" w:rsidP="00DF1CDD">
            <w:pPr>
              <w:pStyle w:val="naisf"/>
              <w:spacing w:before="0" w:after="0"/>
              <w:ind w:firstLine="0"/>
              <w:rPr>
                <w:sz w:val="28"/>
                <w:szCs w:val="28"/>
              </w:rPr>
            </w:pPr>
          </w:p>
        </w:tc>
        <w:tc>
          <w:tcPr>
            <w:tcW w:w="1305" w:type="dxa"/>
          </w:tcPr>
          <w:p w:rsidR="00634120" w:rsidRPr="00941136" w:rsidRDefault="00634120" w:rsidP="00DF1CDD">
            <w:pPr>
              <w:pStyle w:val="naisf"/>
              <w:spacing w:before="0" w:after="0"/>
              <w:ind w:firstLine="0"/>
              <w:rPr>
                <w:sz w:val="28"/>
                <w:szCs w:val="28"/>
              </w:rPr>
            </w:pPr>
          </w:p>
        </w:tc>
      </w:tr>
      <w:tr w:rsidR="00634120" w:rsidRPr="00CB010A" w:rsidTr="00DF1CDD">
        <w:trPr>
          <w:jc w:val="center"/>
        </w:trPr>
        <w:tc>
          <w:tcPr>
            <w:tcW w:w="2753" w:type="dxa"/>
          </w:tcPr>
          <w:p w:rsidR="00634120" w:rsidRPr="00CB010A" w:rsidRDefault="00634120" w:rsidP="00DF1CDD">
            <w:pPr>
              <w:pStyle w:val="naisf"/>
              <w:spacing w:before="0" w:after="0"/>
              <w:ind w:firstLine="0"/>
              <w:rPr>
                <w:i/>
                <w:sz w:val="28"/>
                <w:szCs w:val="28"/>
              </w:rPr>
            </w:pPr>
            <w:r w:rsidRPr="00CB010A">
              <w:rPr>
                <w:sz w:val="28"/>
                <w:szCs w:val="28"/>
              </w:rPr>
              <w:t>1.2. valsts speciālais budžets</w:t>
            </w:r>
          </w:p>
        </w:tc>
        <w:tc>
          <w:tcPr>
            <w:tcW w:w="1276"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pStyle w:val="naisf"/>
              <w:spacing w:before="0" w:after="0"/>
              <w:ind w:firstLine="0"/>
              <w:rPr>
                <w:i/>
                <w:sz w:val="28"/>
                <w:szCs w:val="28"/>
              </w:rPr>
            </w:pPr>
            <w:r w:rsidRPr="00CB010A">
              <w:rPr>
                <w:sz w:val="28"/>
                <w:szCs w:val="28"/>
              </w:rPr>
              <w:t>1.3. pašvaldību budžets</w:t>
            </w:r>
          </w:p>
        </w:tc>
        <w:tc>
          <w:tcPr>
            <w:tcW w:w="1276"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2. Budžeta izdevumi:</w:t>
            </w:r>
          </w:p>
        </w:tc>
        <w:tc>
          <w:tcPr>
            <w:tcW w:w="1276" w:type="dxa"/>
          </w:tcPr>
          <w:p w:rsidR="00634120" w:rsidRPr="00CB010A" w:rsidRDefault="00634120" w:rsidP="00DF1CDD">
            <w:pPr>
              <w:pStyle w:val="naisf"/>
              <w:spacing w:before="0" w:after="0"/>
              <w:ind w:firstLine="0"/>
              <w:rPr>
                <w:b/>
                <w:i/>
                <w:sz w:val="28"/>
                <w:szCs w:val="28"/>
              </w:rPr>
            </w:pPr>
          </w:p>
        </w:tc>
        <w:tc>
          <w:tcPr>
            <w:tcW w:w="1334" w:type="dxa"/>
          </w:tcPr>
          <w:p w:rsidR="00634120" w:rsidRPr="00941136" w:rsidRDefault="00634120" w:rsidP="00A67A4E">
            <w:pPr>
              <w:pStyle w:val="naisf"/>
              <w:spacing w:before="0" w:after="0"/>
              <w:ind w:firstLine="0"/>
              <w:rPr>
                <w:b/>
                <w:sz w:val="28"/>
                <w:szCs w:val="28"/>
              </w:rPr>
            </w:pPr>
            <w:r w:rsidRPr="00941136">
              <w:rPr>
                <w:b/>
                <w:sz w:val="28"/>
                <w:szCs w:val="28"/>
              </w:rPr>
              <w:t>491</w:t>
            </w:r>
            <w:r w:rsidR="00A67A4E">
              <w:rPr>
                <w:b/>
                <w:sz w:val="28"/>
                <w:szCs w:val="28"/>
              </w:rPr>
              <w:t>,4</w:t>
            </w:r>
          </w:p>
        </w:tc>
        <w:tc>
          <w:tcPr>
            <w:tcW w:w="1334" w:type="dxa"/>
          </w:tcPr>
          <w:p w:rsidR="00634120" w:rsidRPr="00941136" w:rsidRDefault="00634120" w:rsidP="00DF1CDD">
            <w:pPr>
              <w:pStyle w:val="naisf"/>
              <w:spacing w:before="0" w:after="0"/>
              <w:ind w:firstLine="0"/>
              <w:rPr>
                <w:b/>
                <w:sz w:val="28"/>
                <w:szCs w:val="28"/>
              </w:rPr>
            </w:pPr>
          </w:p>
        </w:tc>
        <w:tc>
          <w:tcPr>
            <w:tcW w:w="1334" w:type="dxa"/>
          </w:tcPr>
          <w:p w:rsidR="00634120" w:rsidRPr="00941136" w:rsidRDefault="00634120" w:rsidP="00DF1CDD">
            <w:pPr>
              <w:pStyle w:val="naisf"/>
              <w:spacing w:before="0" w:after="0"/>
              <w:ind w:firstLine="0"/>
              <w:rPr>
                <w:b/>
                <w:sz w:val="28"/>
                <w:szCs w:val="28"/>
              </w:rPr>
            </w:pPr>
          </w:p>
        </w:tc>
        <w:tc>
          <w:tcPr>
            <w:tcW w:w="1305" w:type="dxa"/>
          </w:tcPr>
          <w:p w:rsidR="00634120" w:rsidRPr="00941136" w:rsidRDefault="00634120" w:rsidP="00DF1CDD">
            <w:pPr>
              <w:pStyle w:val="naisf"/>
              <w:spacing w:before="0" w:after="0"/>
              <w:ind w:firstLine="0"/>
              <w:rPr>
                <w:b/>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2.1. valsts pamatbudžets</w:t>
            </w:r>
          </w:p>
        </w:tc>
        <w:tc>
          <w:tcPr>
            <w:tcW w:w="1276" w:type="dxa"/>
          </w:tcPr>
          <w:p w:rsidR="00634120" w:rsidRPr="00CB010A" w:rsidRDefault="00634120" w:rsidP="00DF1CDD">
            <w:pPr>
              <w:pStyle w:val="naisf"/>
              <w:spacing w:before="0" w:after="0"/>
              <w:ind w:firstLine="0"/>
              <w:rPr>
                <w:b/>
                <w:i/>
                <w:sz w:val="28"/>
                <w:szCs w:val="28"/>
              </w:rPr>
            </w:pPr>
          </w:p>
        </w:tc>
        <w:tc>
          <w:tcPr>
            <w:tcW w:w="1334" w:type="dxa"/>
          </w:tcPr>
          <w:p w:rsidR="00634120" w:rsidRPr="00941136" w:rsidRDefault="00634120" w:rsidP="00A67A4E">
            <w:pPr>
              <w:pStyle w:val="naisf"/>
              <w:spacing w:before="0" w:after="0"/>
              <w:ind w:firstLine="0"/>
              <w:rPr>
                <w:sz w:val="28"/>
                <w:szCs w:val="28"/>
              </w:rPr>
            </w:pPr>
            <w:r w:rsidRPr="00941136">
              <w:rPr>
                <w:sz w:val="28"/>
                <w:szCs w:val="28"/>
              </w:rPr>
              <w:t>491</w:t>
            </w:r>
            <w:r w:rsidR="00A67A4E">
              <w:rPr>
                <w:sz w:val="28"/>
                <w:szCs w:val="28"/>
              </w:rPr>
              <w:t>,4</w:t>
            </w:r>
          </w:p>
        </w:tc>
        <w:tc>
          <w:tcPr>
            <w:tcW w:w="1334" w:type="dxa"/>
          </w:tcPr>
          <w:p w:rsidR="00634120" w:rsidRPr="00941136" w:rsidRDefault="00634120" w:rsidP="00DF1CDD">
            <w:pPr>
              <w:pStyle w:val="naisf"/>
              <w:spacing w:before="0" w:after="0"/>
              <w:ind w:firstLine="0"/>
              <w:rPr>
                <w:sz w:val="28"/>
                <w:szCs w:val="28"/>
              </w:rPr>
            </w:pPr>
          </w:p>
        </w:tc>
        <w:tc>
          <w:tcPr>
            <w:tcW w:w="1334" w:type="dxa"/>
          </w:tcPr>
          <w:p w:rsidR="00634120" w:rsidRPr="00941136" w:rsidRDefault="00634120" w:rsidP="00DF1CDD">
            <w:pPr>
              <w:pStyle w:val="naisf"/>
              <w:spacing w:before="0" w:after="0"/>
              <w:ind w:firstLine="0"/>
              <w:rPr>
                <w:sz w:val="28"/>
                <w:szCs w:val="28"/>
              </w:rPr>
            </w:pPr>
          </w:p>
        </w:tc>
        <w:tc>
          <w:tcPr>
            <w:tcW w:w="1305" w:type="dxa"/>
          </w:tcPr>
          <w:p w:rsidR="00634120" w:rsidRPr="00941136" w:rsidRDefault="00634120" w:rsidP="00DF1CDD">
            <w:pPr>
              <w:pStyle w:val="naisf"/>
              <w:spacing w:before="0" w:after="0"/>
              <w:ind w:firstLine="0"/>
              <w:rPr>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2.2. valsts speciālais budžets</w:t>
            </w:r>
          </w:p>
        </w:tc>
        <w:tc>
          <w:tcPr>
            <w:tcW w:w="1276" w:type="dxa"/>
          </w:tcPr>
          <w:p w:rsidR="00634120" w:rsidRPr="000C3C96" w:rsidRDefault="00634120" w:rsidP="00DF1CDD">
            <w:pPr>
              <w:pStyle w:val="naisf"/>
              <w:spacing w:before="0" w:after="0"/>
              <w:ind w:firstLine="0"/>
              <w:rPr>
                <w:b/>
                <w:i/>
                <w:sz w:val="28"/>
                <w:szCs w:val="28"/>
                <w:highlight w:val="yellow"/>
              </w:rPr>
            </w:pPr>
          </w:p>
        </w:tc>
        <w:tc>
          <w:tcPr>
            <w:tcW w:w="1334" w:type="dxa"/>
          </w:tcPr>
          <w:p w:rsidR="00634120" w:rsidRPr="00941136" w:rsidRDefault="00634120" w:rsidP="00DF1CDD">
            <w:pPr>
              <w:pStyle w:val="naisf"/>
              <w:spacing w:before="0" w:after="0"/>
              <w:ind w:firstLine="0"/>
              <w:rPr>
                <w:sz w:val="28"/>
                <w:szCs w:val="28"/>
              </w:rPr>
            </w:pPr>
          </w:p>
        </w:tc>
        <w:tc>
          <w:tcPr>
            <w:tcW w:w="1334" w:type="dxa"/>
          </w:tcPr>
          <w:p w:rsidR="00634120" w:rsidRPr="00941136" w:rsidRDefault="00634120" w:rsidP="00DF1CDD">
            <w:pPr>
              <w:pStyle w:val="naisf"/>
              <w:spacing w:before="0" w:after="0"/>
              <w:ind w:firstLine="0"/>
              <w:rPr>
                <w:sz w:val="28"/>
                <w:szCs w:val="28"/>
              </w:rPr>
            </w:pPr>
          </w:p>
        </w:tc>
        <w:tc>
          <w:tcPr>
            <w:tcW w:w="1334" w:type="dxa"/>
          </w:tcPr>
          <w:p w:rsidR="00634120" w:rsidRPr="00941136" w:rsidRDefault="00634120" w:rsidP="00DF1CDD">
            <w:pPr>
              <w:pStyle w:val="naisf"/>
              <w:spacing w:before="0" w:after="0"/>
              <w:ind w:firstLine="0"/>
              <w:rPr>
                <w:sz w:val="28"/>
                <w:szCs w:val="28"/>
              </w:rPr>
            </w:pPr>
          </w:p>
        </w:tc>
        <w:tc>
          <w:tcPr>
            <w:tcW w:w="1305" w:type="dxa"/>
          </w:tcPr>
          <w:p w:rsidR="00634120" w:rsidRPr="00941136" w:rsidRDefault="00634120" w:rsidP="00DF1CDD">
            <w:pPr>
              <w:pStyle w:val="naisf"/>
              <w:spacing w:before="0" w:after="0"/>
              <w:ind w:firstLine="0"/>
              <w:rPr>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 xml:space="preserve">2.3. pašvaldību budžets </w:t>
            </w:r>
          </w:p>
        </w:tc>
        <w:tc>
          <w:tcPr>
            <w:tcW w:w="1276" w:type="dxa"/>
          </w:tcPr>
          <w:p w:rsidR="00634120" w:rsidRPr="000C3C96" w:rsidRDefault="00634120" w:rsidP="00DF1CDD">
            <w:pPr>
              <w:pStyle w:val="naisf"/>
              <w:spacing w:before="0" w:after="0"/>
              <w:ind w:firstLine="0"/>
              <w:rPr>
                <w:b/>
                <w:i/>
                <w:sz w:val="28"/>
                <w:szCs w:val="28"/>
                <w:highlight w:val="yellow"/>
              </w:rPr>
            </w:pPr>
          </w:p>
        </w:tc>
        <w:tc>
          <w:tcPr>
            <w:tcW w:w="1334" w:type="dxa"/>
          </w:tcPr>
          <w:p w:rsidR="00634120" w:rsidRPr="00941136" w:rsidRDefault="00634120" w:rsidP="00DF1CDD">
            <w:pPr>
              <w:pStyle w:val="naisf"/>
              <w:spacing w:before="0" w:after="0"/>
              <w:ind w:firstLine="0"/>
              <w:rPr>
                <w:b/>
                <w:i/>
                <w:sz w:val="28"/>
                <w:szCs w:val="28"/>
              </w:rPr>
            </w:pPr>
          </w:p>
        </w:tc>
        <w:tc>
          <w:tcPr>
            <w:tcW w:w="1334" w:type="dxa"/>
          </w:tcPr>
          <w:p w:rsidR="00634120" w:rsidRPr="00941136" w:rsidRDefault="00634120" w:rsidP="00DF1CDD">
            <w:pPr>
              <w:pStyle w:val="naisf"/>
              <w:spacing w:before="0" w:after="0"/>
              <w:ind w:firstLine="0"/>
              <w:rPr>
                <w:b/>
                <w:i/>
                <w:sz w:val="28"/>
                <w:szCs w:val="28"/>
              </w:rPr>
            </w:pPr>
          </w:p>
        </w:tc>
        <w:tc>
          <w:tcPr>
            <w:tcW w:w="1334" w:type="dxa"/>
          </w:tcPr>
          <w:p w:rsidR="00634120" w:rsidRPr="00941136" w:rsidRDefault="00634120" w:rsidP="00DF1CDD">
            <w:pPr>
              <w:pStyle w:val="naisf"/>
              <w:spacing w:before="0" w:after="0"/>
              <w:ind w:firstLine="0"/>
              <w:rPr>
                <w:b/>
                <w:i/>
                <w:sz w:val="28"/>
                <w:szCs w:val="28"/>
              </w:rPr>
            </w:pPr>
          </w:p>
        </w:tc>
        <w:tc>
          <w:tcPr>
            <w:tcW w:w="1305" w:type="dxa"/>
          </w:tcPr>
          <w:p w:rsidR="00634120" w:rsidRPr="00941136"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3. Finansiālā ietekme:</w:t>
            </w:r>
          </w:p>
        </w:tc>
        <w:tc>
          <w:tcPr>
            <w:tcW w:w="1276" w:type="dxa"/>
            <w:shd w:val="clear" w:color="auto" w:fill="auto"/>
            <w:vAlign w:val="center"/>
          </w:tcPr>
          <w:p w:rsidR="00634120" w:rsidRPr="000C3C96" w:rsidRDefault="00634120" w:rsidP="00DF1CDD">
            <w:pPr>
              <w:pStyle w:val="naisf"/>
              <w:spacing w:before="0" w:after="0"/>
              <w:ind w:firstLine="0"/>
              <w:jc w:val="center"/>
              <w:rPr>
                <w:sz w:val="28"/>
                <w:szCs w:val="28"/>
                <w:highlight w:val="yellow"/>
              </w:rPr>
            </w:pPr>
          </w:p>
        </w:tc>
        <w:tc>
          <w:tcPr>
            <w:tcW w:w="1334" w:type="dxa"/>
          </w:tcPr>
          <w:p w:rsidR="00634120" w:rsidRPr="00941136" w:rsidRDefault="00634120" w:rsidP="00A67A4E">
            <w:pPr>
              <w:pStyle w:val="naisf"/>
              <w:spacing w:before="0" w:after="0"/>
              <w:ind w:firstLine="0"/>
              <w:rPr>
                <w:b/>
                <w:sz w:val="28"/>
                <w:szCs w:val="28"/>
              </w:rPr>
            </w:pPr>
            <w:r w:rsidRPr="00941136">
              <w:rPr>
                <w:b/>
                <w:sz w:val="28"/>
                <w:szCs w:val="28"/>
              </w:rPr>
              <w:t>-491</w:t>
            </w:r>
            <w:r w:rsidR="00A67A4E">
              <w:rPr>
                <w:b/>
                <w:sz w:val="28"/>
                <w:szCs w:val="28"/>
              </w:rPr>
              <w:t>,4</w:t>
            </w:r>
          </w:p>
        </w:tc>
        <w:tc>
          <w:tcPr>
            <w:tcW w:w="1334" w:type="dxa"/>
          </w:tcPr>
          <w:p w:rsidR="00634120" w:rsidRPr="00941136" w:rsidRDefault="00634120" w:rsidP="00DF1CDD">
            <w:pPr>
              <w:pStyle w:val="naisf"/>
              <w:spacing w:before="0" w:after="0"/>
              <w:ind w:firstLine="0"/>
              <w:rPr>
                <w:b/>
                <w:sz w:val="28"/>
                <w:szCs w:val="28"/>
              </w:rPr>
            </w:pPr>
          </w:p>
        </w:tc>
        <w:tc>
          <w:tcPr>
            <w:tcW w:w="1334" w:type="dxa"/>
          </w:tcPr>
          <w:p w:rsidR="00634120" w:rsidRPr="00941136" w:rsidRDefault="00634120" w:rsidP="00DF1CDD">
            <w:pPr>
              <w:pStyle w:val="naisf"/>
              <w:spacing w:before="0" w:after="0"/>
              <w:ind w:firstLine="0"/>
              <w:rPr>
                <w:b/>
                <w:sz w:val="28"/>
                <w:szCs w:val="28"/>
              </w:rPr>
            </w:pPr>
          </w:p>
        </w:tc>
        <w:tc>
          <w:tcPr>
            <w:tcW w:w="1305" w:type="dxa"/>
          </w:tcPr>
          <w:p w:rsidR="00634120" w:rsidRPr="00941136" w:rsidRDefault="00634120" w:rsidP="00DF1CDD">
            <w:pPr>
              <w:pStyle w:val="naisf"/>
              <w:spacing w:before="0" w:after="0"/>
              <w:ind w:firstLine="0"/>
              <w:rPr>
                <w:b/>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3.1. valsts pamatbudžets</w:t>
            </w:r>
          </w:p>
        </w:tc>
        <w:tc>
          <w:tcPr>
            <w:tcW w:w="1276" w:type="dxa"/>
            <w:shd w:val="clear" w:color="auto" w:fill="auto"/>
          </w:tcPr>
          <w:p w:rsidR="00634120" w:rsidRPr="000C3C96" w:rsidRDefault="00634120" w:rsidP="00DF1CDD">
            <w:pPr>
              <w:pStyle w:val="naisf"/>
              <w:spacing w:before="0" w:after="0"/>
              <w:ind w:firstLine="0"/>
              <w:rPr>
                <w:i/>
                <w:sz w:val="28"/>
                <w:szCs w:val="28"/>
                <w:highlight w:val="yellow"/>
              </w:rPr>
            </w:pPr>
          </w:p>
        </w:tc>
        <w:tc>
          <w:tcPr>
            <w:tcW w:w="1334" w:type="dxa"/>
          </w:tcPr>
          <w:p w:rsidR="00634120" w:rsidRPr="00941136" w:rsidRDefault="00634120" w:rsidP="00A67A4E">
            <w:pPr>
              <w:pStyle w:val="naisf"/>
              <w:spacing w:before="0" w:after="0"/>
              <w:ind w:firstLine="0"/>
              <w:rPr>
                <w:sz w:val="28"/>
                <w:szCs w:val="28"/>
              </w:rPr>
            </w:pPr>
            <w:r w:rsidRPr="00941136">
              <w:rPr>
                <w:sz w:val="28"/>
                <w:szCs w:val="28"/>
              </w:rPr>
              <w:t>-491</w:t>
            </w:r>
            <w:r w:rsidR="00A67A4E">
              <w:rPr>
                <w:sz w:val="28"/>
                <w:szCs w:val="28"/>
              </w:rPr>
              <w:t>,4</w:t>
            </w:r>
          </w:p>
        </w:tc>
        <w:tc>
          <w:tcPr>
            <w:tcW w:w="1334" w:type="dxa"/>
          </w:tcPr>
          <w:p w:rsidR="00634120" w:rsidRPr="00941136" w:rsidRDefault="00634120" w:rsidP="00DF1CDD">
            <w:pPr>
              <w:pStyle w:val="naisf"/>
              <w:spacing w:before="0" w:after="0"/>
              <w:ind w:firstLine="0"/>
              <w:rPr>
                <w:sz w:val="28"/>
                <w:szCs w:val="28"/>
              </w:rPr>
            </w:pPr>
          </w:p>
        </w:tc>
        <w:tc>
          <w:tcPr>
            <w:tcW w:w="1334" w:type="dxa"/>
          </w:tcPr>
          <w:p w:rsidR="00634120" w:rsidRPr="00941136" w:rsidRDefault="00634120" w:rsidP="00DF1CDD">
            <w:pPr>
              <w:pStyle w:val="naisf"/>
              <w:spacing w:before="0" w:after="0"/>
              <w:ind w:firstLine="0"/>
              <w:rPr>
                <w:sz w:val="28"/>
                <w:szCs w:val="28"/>
              </w:rPr>
            </w:pPr>
          </w:p>
        </w:tc>
        <w:tc>
          <w:tcPr>
            <w:tcW w:w="1305" w:type="dxa"/>
          </w:tcPr>
          <w:p w:rsidR="00634120" w:rsidRPr="00941136" w:rsidRDefault="00634120" w:rsidP="00DF1CDD">
            <w:pPr>
              <w:pStyle w:val="naisf"/>
              <w:spacing w:before="0" w:after="0"/>
              <w:ind w:firstLine="0"/>
              <w:rPr>
                <w:sz w:val="28"/>
                <w:szCs w:val="28"/>
              </w:rPr>
            </w:pPr>
          </w:p>
        </w:tc>
      </w:tr>
      <w:tr w:rsidR="00634120" w:rsidRPr="00941136" w:rsidTr="00DF1CDD">
        <w:trPr>
          <w:gridAfter w:val="4"/>
          <w:wAfter w:w="5307" w:type="dxa"/>
          <w:jc w:val="center"/>
        </w:trPr>
        <w:tc>
          <w:tcPr>
            <w:tcW w:w="2753" w:type="dxa"/>
          </w:tcPr>
          <w:p w:rsidR="00634120" w:rsidRPr="00CB010A" w:rsidRDefault="00634120" w:rsidP="00DF1CDD">
            <w:pPr>
              <w:jc w:val="both"/>
              <w:rPr>
                <w:sz w:val="28"/>
                <w:szCs w:val="28"/>
              </w:rPr>
            </w:pPr>
            <w:r w:rsidRPr="00CB010A">
              <w:rPr>
                <w:sz w:val="28"/>
                <w:szCs w:val="28"/>
              </w:rPr>
              <w:t>3.2. speciālais budžets</w:t>
            </w:r>
          </w:p>
        </w:tc>
        <w:tc>
          <w:tcPr>
            <w:tcW w:w="1276" w:type="dxa"/>
            <w:shd w:val="clear" w:color="auto" w:fill="auto"/>
          </w:tcPr>
          <w:p w:rsidR="00634120" w:rsidRPr="000C3C96" w:rsidRDefault="00634120" w:rsidP="00DF1CDD">
            <w:pPr>
              <w:pStyle w:val="naisf"/>
              <w:spacing w:before="0" w:after="0"/>
              <w:ind w:firstLine="0"/>
              <w:rPr>
                <w:i/>
                <w:sz w:val="28"/>
                <w:szCs w:val="28"/>
                <w:highlight w:val="yellow"/>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 xml:space="preserve">3.3. pašvaldību budžets </w:t>
            </w:r>
          </w:p>
        </w:tc>
        <w:tc>
          <w:tcPr>
            <w:tcW w:w="1276" w:type="dxa"/>
            <w:shd w:val="clear" w:color="auto" w:fill="auto"/>
          </w:tcPr>
          <w:p w:rsidR="00634120" w:rsidRPr="00CB010A" w:rsidRDefault="00634120" w:rsidP="00DF1CDD">
            <w:pPr>
              <w:pStyle w:val="naisf"/>
              <w:spacing w:before="0" w:after="0"/>
              <w:ind w:firstLine="0"/>
              <w:rPr>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trHeight w:val="2254"/>
          <w:jc w:val="center"/>
        </w:trPr>
        <w:tc>
          <w:tcPr>
            <w:tcW w:w="2753" w:type="dxa"/>
          </w:tcPr>
          <w:p w:rsidR="00634120" w:rsidRPr="00CB010A" w:rsidRDefault="00634120" w:rsidP="00DF1CDD">
            <w:pPr>
              <w:jc w:val="both"/>
              <w:rPr>
                <w:sz w:val="28"/>
                <w:szCs w:val="28"/>
              </w:rPr>
            </w:pPr>
            <w:r w:rsidRPr="00CB010A">
              <w:rPr>
                <w:sz w:val="28"/>
                <w:szCs w:val="28"/>
              </w:rPr>
              <w:lastRenderedPageBreak/>
              <w:t>4. Finanšu līdzekļi papildu izde</w:t>
            </w:r>
            <w:r w:rsidRPr="00CB010A">
              <w:rPr>
                <w:sz w:val="28"/>
                <w:szCs w:val="28"/>
              </w:rPr>
              <w:softHyphen/>
              <w:t>vumu finansēšanai (kompensējošu izdevumu samazinājumu norāda ar "+" zīmi)</w:t>
            </w:r>
          </w:p>
        </w:tc>
        <w:tc>
          <w:tcPr>
            <w:tcW w:w="1276" w:type="dxa"/>
          </w:tcPr>
          <w:p w:rsidR="00634120" w:rsidRPr="00CB010A" w:rsidRDefault="00634120" w:rsidP="00DF1CDD">
            <w:pPr>
              <w:pStyle w:val="naisf"/>
              <w:spacing w:before="0" w:after="0"/>
              <w:ind w:firstLine="0"/>
              <w:jc w:val="center"/>
              <w:rPr>
                <w:i/>
                <w:sz w:val="28"/>
                <w:szCs w:val="28"/>
              </w:rPr>
            </w:pPr>
            <w:r w:rsidRPr="00CB010A">
              <w:rPr>
                <w:sz w:val="28"/>
                <w:szCs w:val="28"/>
              </w:rPr>
              <w:t>X</w:t>
            </w:r>
          </w:p>
        </w:tc>
        <w:tc>
          <w:tcPr>
            <w:tcW w:w="1334" w:type="dxa"/>
          </w:tcPr>
          <w:p w:rsidR="00634120" w:rsidRPr="00941136" w:rsidRDefault="00634120" w:rsidP="00A67A4E">
            <w:pPr>
              <w:pStyle w:val="naisf"/>
              <w:spacing w:before="0" w:after="0"/>
              <w:ind w:firstLine="0"/>
              <w:rPr>
                <w:sz w:val="28"/>
                <w:szCs w:val="28"/>
              </w:rPr>
            </w:pPr>
            <w:r w:rsidRPr="00941136">
              <w:rPr>
                <w:sz w:val="28"/>
                <w:szCs w:val="28"/>
              </w:rPr>
              <w:t>491</w:t>
            </w:r>
            <w:r w:rsidR="00A67A4E">
              <w:rPr>
                <w:sz w:val="28"/>
                <w:szCs w:val="28"/>
              </w:rPr>
              <w:t>,4</w:t>
            </w:r>
          </w:p>
        </w:tc>
        <w:tc>
          <w:tcPr>
            <w:tcW w:w="1334" w:type="dxa"/>
          </w:tcPr>
          <w:p w:rsidR="00634120" w:rsidRPr="00941136" w:rsidRDefault="00634120" w:rsidP="00DF1CDD">
            <w:pPr>
              <w:pStyle w:val="naisf"/>
              <w:spacing w:before="0" w:after="0"/>
              <w:ind w:firstLine="0"/>
              <w:rPr>
                <w:sz w:val="28"/>
                <w:szCs w:val="28"/>
              </w:rPr>
            </w:pPr>
          </w:p>
        </w:tc>
        <w:tc>
          <w:tcPr>
            <w:tcW w:w="1334" w:type="dxa"/>
          </w:tcPr>
          <w:p w:rsidR="00634120" w:rsidRPr="00941136" w:rsidRDefault="00634120" w:rsidP="00DF1CDD">
            <w:pPr>
              <w:pStyle w:val="naisf"/>
              <w:spacing w:before="0" w:after="0"/>
              <w:ind w:firstLine="0"/>
              <w:rPr>
                <w:sz w:val="28"/>
                <w:szCs w:val="28"/>
              </w:rPr>
            </w:pPr>
          </w:p>
        </w:tc>
        <w:tc>
          <w:tcPr>
            <w:tcW w:w="1305" w:type="dxa"/>
          </w:tcPr>
          <w:p w:rsidR="00634120" w:rsidRPr="00941136" w:rsidRDefault="00634120" w:rsidP="00DF1CDD">
            <w:pPr>
              <w:pStyle w:val="naisf"/>
              <w:spacing w:before="0" w:after="0"/>
              <w:ind w:firstLine="0"/>
              <w:rPr>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5. Precizēta finansiālā ietekme:</w:t>
            </w:r>
          </w:p>
        </w:tc>
        <w:tc>
          <w:tcPr>
            <w:tcW w:w="1276" w:type="dxa"/>
            <w:vMerge w:val="restart"/>
          </w:tcPr>
          <w:p w:rsidR="00634120" w:rsidRPr="00CB010A" w:rsidRDefault="00634120" w:rsidP="00DF1CDD">
            <w:pPr>
              <w:pStyle w:val="naisf"/>
              <w:spacing w:before="0" w:after="0"/>
              <w:ind w:firstLine="0"/>
              <w:jc w:val="center"/>
              <w:rPr>
                <w:i/>
                <w:sz w:val="28"/>
                <w:szCs w:val="28"/>
              </w:rPr>
            </w:pPr>
            <w:r w:rsidRPr="00CB010A">
              <w:rPr>
                <w:sz w:val="28"/>
                <w:szCs w:val="28"/>
              </w:rPr>
              <w:t>X</w:t>
            </w: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5.1. valsts pamatbudžets</w:t>
            </w:r>
          </w:p>
        </w:tc>
        <w:tc>
          <w:tcPr>
            <w:tcW w:w="1276" w:type="dxa"/>
            <w:vMerge/>
            <w:vAlign w:val="center"/>
          </w:tcPr>
          <w:p w:rsidR="00634120" w:rsidRPr="00CB010A" w:rsidRDefault="00634120" w:rsidP="00DF1CDD">
            <w:pPr>
              <w:pStyle w:val="naisf"/>
              <w:spacing w:before="0" w:after="0"/>
              <w:ind w:firstLine="0"/>
              <w:jc w:val="center"/>
              <w:rPr>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5.2. speciālais budžets</w:t>
            </w:r>
          </w:p>
        </w:tc>
        <w:tc>
          <w:tcPr>
            <w:tcW w:w="1276" w:type="dxa"/>
            <w:vMerge/>
            <w:vAlign w:val="center"/>
          </w:tcPr>
          <w:p w:rsidR="00634120" w:rsidRPr="00CB010A" w:rsidRDefault="00634120" w:rsidP="00DF1CDD">
            <w:pPr>
              <w:pStyle w:val="naisf"/>
              <w:spacing w:before="0" w:after="0"/>
              <w:ind w:firstLine="0"/>
              <w:jc w:val="center"/>
              <w:rPr>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 xml:space="preserve">5.3. pašvaldību budžets </w:t>
            </w:r>
          </w:p>
        </w:tc>
        <w:tc>
          <w:tcPr>
            <w:tcW w:w="1276" w:type="dxa"/>
            <w:vMerge/>
            <w:vAlign w:val="center"/>
          </w:tcPr>
          <w:p w:rsidR="00634120" w:rsidRPr="00CB010A" w:rsidRDefault="00634120" w:rsidP="00DF1CDD">
            <w:pPr>
              <w:pStyle w:val="naisf"/>
              <w:spacing w:before="0" w:after="0"/>
              <w:ind w:firstLine="0"/>
              <w:jc w:val="center"/>
              <w:rPr>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34" w:type="dxa"/>
          </w:tcPr>
          <w:p w:rsidR="00634120" w:rsidRPr="00CB010A" w:rsidRDefault="00634120" w:rsidP="00DF1CDD">
            <w:pPr>
              <w:pStyle w:val="naisf"/>
              <w:spacing w:before="0" w:after="0"/>
              <w:ind w:firstLine="0"/>
              <w:rPr>
                <w:b/>
                <w:i/>
                <w:sz w:val="28"/>
                <w:szCs w:val="28"/>
              </w:rPr>
            </w:pPr>
          </w:p>
        </w:tc>
        <w:tc>
          <w:tcPr>
            <w:tcW w:w="1305" w:type="dxa"/>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6. Detalizēts ieņēmumu un izdevu</w:t>
            </w:r>
            <w:r w:rsidRPr="00CB010A">
              <w:rPr>
                <w:sz w:val="28"/>
                <w:szCs w:val="28"/>
              </w:rPr>
              <w:softHyphen/>
              <w:t>mu aprēķins (ja nepieciešams, detalizētu ieņēmumu un izdevumu aprēķinu var pievienot anotācijas pielikumā):</w:t>
            </w:r>
          </w:p>
        </w:tc>
        <w:tc>
          <w:tcPr>
            <w:tcW w:w="6583" w:type="dxa"/>
            <w:gridSpan w:val="5"/>
            <w:vMerge w:val="restart"/>
            <w:vAlign w:val="center"/>
          </w:tcPr>
          <w:p w:rsidR="00634120" w:rsidRPr="00EC13F5" w:rsidRDefault="00634120" w:rsidP="00DF1CDD">
            <w:pPr>
              <w:pStyle w:val="naisf"/>
              <w:spacing w:before="0" w:after="0"/>
              <w:ind w:firstLine="0"/>
              <w:rPr>
                <w:b/>
                <w:i/>
                <w:color w:val="FF0000"/>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6.1. detalizēts ieņēmumu aprēķins</w:t>
            </w:r>
          </w:p>
        </w:tc>
        <w:tc>
          <w:tcPr>
            <w:tcW w:w="6583" w:type="dxa"/>
            <w:gridSpan w:val="5"/>
            <w:vMerge/>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6.2. detalizēts izdevumu aprēķins</w:t>
            </w:r>
          </w:p>
        </w:tc>
        <w:tc>
          <w:tcPr>
            <w:tcW w:w="6583" w:type="dxa"/>
            <w:gridSpan w:val="5"/>
            <w:vMerge/>
          </w:tcPr>
          <w:p w:rsidR="00634120" w:rsidRPr="00CB010A" w:rsidRDefault="00634120" w:rsidP="00DF1CDD">
            <w:pPr>
              <w:pStyle w:val="naisf"/>
              <w:spacing w:before="0" w:after="0"/>
              <w:ind w:firstLine="0"/>
              <w:rPr>
                <w:b/>
                <w:i/>
                <w:sz w:val="28"/>
                <w:szCs w:val="28"/>
              </w:rPr>
            </w:pPr>
          </w:p>
        </w:tc>
      </w:tr>
      <w:tr w:rsidR="00634120" w:rsidRPr="00CB010A" w:rsidTr="00DF1CDD">
        <w:trPr>
          <w:jc w:val="center"/>
        </w:trPr>
        <w:tc>
          <w:tcPr>
            <w:tcW w:w="2753" w:type="dxa"/>
          </w:tcPr>
          <w:p w:rsidR="00634120" w:rsidRPr="00CB010A" w:rsidRDefault="00634120" w:rsidP="00DF1CDD">
            <w:pPr>
              <w:jc w:val="both"/>
              <w:rPr>
                <w:sz w:val="28"/>
                <w:szCs w:val="28"/>
              </w:rPr>
            </w:pPr>
            <w:r w:rsidRPr="00CB010A">
              <w:rPr>
                <w:sz w:val="28"/>
                <w:szCs w:val="28"/>
              </w:rPr>
              <w:t>7. Cita informācija</w:t>
            </w:r>
          </w:p>
        </w:tc>
        <w:tc>
          <w:tcPr>
            <w:tcW w:w="6583" w:type="dxa"/>
            <w:gridSpan w:val="5"/>
          </w:tcPr>
          <w:p w:rsidR="00634120" w:rsidRPr="002F17E8" w:rsidRDefault="00634120" w:rsidP="00A96107">
            <w:pPr>
              <w:pStyle w:val="naisf"/>
              <w:tabs>
                <w:tab w:val="left" w:pos="4644"/>
              </w:tabs>
              <w:spacing w:before="0" w:after="0"/>
              <w:ind w:firstLine="0"/>
              <w:rPr>
                <w:sz w:val="28"/>
                <w:szCs w:val="28"/>
              </w:rPr>
            </w:pPr>
            <w:r>
              <w:rPr>
                <w:sz w:val="28"/>
                <w:szCs w:val="28"/>
              </w:rPr>
              <w:t>Līdz 2009.gada 1.septembrim mērķdotācija kolektīvu vadītāju darba algu un sociālā nodokļa samaksai bija noteikta LVL 982 792 apmērā budžeta gadā. Ņemot vērā to, ka Dziesmu un deju svētku likumā ir noteikts, ka kārtējo Dziesmu un deju svētku starplaikā ikgadējais valsts budžeta līdzekļu apjoms nedrīkst būt mazāks par iepriekšējā gadā piešķirto līdzekļu apjomu, Kultūras ministrija</w:t>
            </w:r>
            <w:r w:rsidR="003F0807">
              <w:rPr>
                <w:sz w:val="28"/>
                <w:szCs w:val="28"/>
              </w:rPr>
              <w:t>,</w:t>
            </w:r>
            <w:r>
              <w:rPr>
                <w:sz w:val="28"/>
                <w:szCs w:val="28"/>
              </w:rPr>
              <w:t xml:space="preserve"> aprēķinot </w:t>
            </w:r>
            <w:r w:rsidR="00B928BD">
              <w:rPr>
                <w:sz w:val="28"/>
                <w:szCs w:val="28"/>
              </w:rPr>
              <w:t xml:space="preserve">valsts </w:t>
            </w:r>
            <w:r w:rsidR="00802BE3">
              <w:rPr>
                <w:sz w:val="28"/>
                <w:szCs w:val="28"/>
              </w:rPr>
              <w:t xml:space="preserve">budžeta </w:t>
            </w:r>
            <w:r w:rsidR="00B928BD">
              <w:rPr>
                <w:sz w:val="28"/>
                <w:szCs w:val="28"/>
              </w:rPr>
              <w:t xml:space="preserve">mērķdotāciju māksliniecisko kolektīvu vadītāju </w:t>
            </w:r>
            <w:r w:rsidR="00802BE3">
              <w:rPr>
                <w:sz w:val="28"/>
                <w:szCs w:val="28"/>
              </w:rPr>
              <w:t xml:space="preserve">daļējai </w:t>
            </w:r>
            <w:r w:rsidR="00B928BD">
              <w:rPr>
                <w:sz w:val="28"/>
                <w:szCs w:val="28"/>
              </w:rPr>
              <w:t xml:space="preserve">darba </w:t>
            </w:r>
            <w:r w:rsidR="00802BE3">
              <w:rPr>
                <w:sz w:val="28"/>
                <w:szCs w:val="28"/>
              </w:rPr>
              <w:t xml:space="preserve">samaksai </w:t>
            </w:r>
            <w:r w:rsidR="00B928BD">
              <w:rPr>
                <w:sz w:val="28"/>
                <w:szCs w:val="28"/>
              </w:rPr>
              <w:t xml:space="preserve">un </w:t>
            </w:r>
            <w:r w:rsidR="00802BE3">
              <w:rPr>
                <w:sz w:val="28"/>
                <w:szCs w:val="28"/>
              </w:rPr>
              <w:t>valsts sociālās apdrošināšanas obligātajām iemaksām</w:t>
            </w:r>
            <w:r w:rsidR="003F0807">
              <w:rPr>
                <w:sz w:val="28"/>
                <w:szCs w:val="28"/>
              </w:rPr>
              <w:t>,</w:t>
            </w:r>
            <w:r w:rsidRPr="00B86C5E">
              <w:rPr>
                <w:sz w:val="28"/>
                <w:szCs w:val="28"/>
              </w:rPr>
              <w:t xml:space="preserve">  izmantoja 2009.gad</w:t>
            </w:r>
            <w:r w:rsidR="00802BE3">
              <w:rPr>
                <w:sz w:val="28"/>
                <w:szCs w:val="28"/>
              </w:rPr>
              <w:t>ā</w:t>
            </w:r>
            <w:r w:rsidRPr="00B86C5E">
              <w:rPr>
                <w:sz w:val="28"/>
                <w:szCs w:val="28"/>
              </w:rPr>
              <w:t xml:space="preserve"> noteikto valsts finansējumu.</w:t>
            </w:r>
          </w:p>
        </w:tc>
      </w:tr>
    </w:tbl>
    <w:p w:rsidR="00634120" w:rsidRDefault="00634120" w:rsidP="00634120">
      <w:pPr>
        <w:jc w:val="both"/>
        <w:rPr>
          <w:i/>
          <w:color w:val="000000"/>
          <w:sz w:val="28"/>
          <w:szCs w:val="28"/>
        </w:rPr>
      </w:pPr>
    </w:p>
    <w:p w:rsidR="00634120" w:rsidRDefault="00634120" w:rsidP="00634120">
      <w:pPr>
        <w:jc w:val="both"/>
        <w:rPr>
          <w:i/>
          <w:sz w:val="28"/>
          <w:szCs w:val="28"/>
        </w:rPr>
      </w:pPr>
      <w:r w:rsidRPr="001876FD">
        <w:rPr>
          <w:i/>
          <w:color w:val="000000"/>
          <w:sz w:val="28"/>
          <w:szCs w:val="28"/>
        </w:rPr>
        <w:t>Anotācijas</w:t>
      </w:r>
      <w:r>
        <w:rPr>
          <w:i/>
          <w:color w:val="000000"/>
          <w:sz w:val="28"/>
          <w:szCs w:val="28"/>
        </w:rPr>
        <w:t xml:space="preserve"> </w:t>
      </w:r>
      <w:r w:rsidR="00680FD0">
        <w:rPr>
          <w:i/>
          <w:color w:val="000000"/>
          <w:sz w:val="28"/>
          <w:szCs w:val="28"/>
        </w:rPr>
        <w:t xml:space="preserve">IV, </w:t>
      </w:r>
      <w:r>
        <w:rPr>
          <w:i/>
          <w:color w:val="000000"/>
          <w:sz w:val="28"/>
          <w:szCs w:val="28"/>
        </w:rPr>
        <w:t xml:space="preserve">V </w:t>
      </w:r>
      <w:r w:rsidRPr="001876FD">
        <w:rPr>
          <w:i/>
          <w:color w:val="000000"/>
          <w:sz w:val="28"/>
          <w:szCs w:val="28"/>
        </w:rPr>
        <w:t xml:space="preserve">sadaļa – </w:t>
      </w:r>
      <w:r w:rsidRPr="001876FD">
        <w:rPr>
          <w:i/>
          <w:sz w:val="28"/>
          <w:szCs w:val="28"/>
        </w:rPr>
        <w:t>projekts šīs jomas neskar.</w:t>
      </w:r>
    </w:p>
    <w:p w:rsidR="00634120" w:rsidRDefault="00634120" w:rsidP="00634120">
      <w:pPr>
        <w:jc w:val="both"/>
        <w:rPr>
          <w:i/>
          <w:sz w:val="28"/>
          <w:szCs w:val="28"/>
        </w:rPr>
      </w:pPr>
    </w:p>
    <w:tbl>
      <w:tblPr>
        <w:tblW w:w="9414" w:type="dxa"/>
        <w:jc w:val="center"/>
        <w:tblInd w:w="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tblPr>
      <w:tblGrid>
        <w:gridCol w:w="451"/>
        <w:gridCol w:w="4116"/>
        <w:gridCol w:w="4847"/>
      </w:tblGrid>
      <w:tr w:rsidR="00634120" w:rsidRPr="00CB010A" w:rsidTr="00DF1CDD">
        <w:trPr>
          <w:jc w:val="center"/>
        </w:trPr>
        <w:tc>
          <w:tcPr>
            <w:tcW w:w="9414" w:type="dxa"/>
            <w:gridSpan w:val="3"/>
          </w:tcPr>
          <w:p w:rsidR="00634120" w:rsidRPr="00CB010A" w:rsidRDefault="00634120" w:rsidP="00DF1CDD">
            <w:pPr>
              <w:pStyle w:val="naisnod"/>
              <w:spacing w:before="0" w:after="0"/>
              <w:ind w:left="57" w:right="57"/>
              <w:jc w:val="center"/>
              <w:rPr>
                <w:b/>
                <w:sz w:val="28"/>
                <w:szCs w:val="28"/>
              </w:rPr>
            </w:pPr>
            <w:r w:rsidRPr="00CB010A">
              <w:rPr>
                <w:b/>
                <w:sz w:val="28"/>
                <w:szCs w:val="28"/>
              </w:rPr>
              <w:lastRenderedPageBreak/>
              <w:t>VI. Sabiedrības līdzdalība un šīs līdzdalības rezultāti</w:t>
            </w:r>
          </w:p>
        </w:tc>
      </w:tr>
      <w:tr w:rsidR="00634120" w:rsidRPr="00CB010A" w:rsidTr="00562EE3">
        <w:trPr>
          <w:trHeight w:val="553"/>
          <w:jc w:val="center"/>
        </w:trPr>
        <w:tc>
          <w:tcPr>
            <w:tcW w:w="451" w:type="dxa"/>
          </w:tcPr>
          <w:p w:rsidR="00634120" w:rsidRPr="00CB010A" w:rsidRDefault="00634120" w:rsidP="00DF1CDD">
            <w:pPr>
              <w:pStyle w:val="naiskr"/>
              <w:spacing w:before="0" w:after="0"/>
              <w:ind w:left="57" w:right="57"/>
              <w:rPr>
                <w:bCs/>
                <w:sz w:val="28"/>
                <w:szCs w:val="28"/>
              </w:rPr>
            </w:pPr>
            <w:r w:rsidRPr="00CB010A">
              <w:rPr>
                <w:bCs/>
                <w:sz w:val="28"/>
                <w:szCs w:val="28"/>
              </w:rPr>
              <w:t>1.</w:t>
            </w:r>
          </w:p>
        </w:tc>
        <w:tc>
          <w:tcPr>
            <w:tcW w:w="4116" w:type="dxa"/>
          </w:tcPr>
          <w:p w:rsidR="00634120" w:rsidRPr="00CB010A" w:rsidRDefault="00634120" w:rsidP="00DF1CDD">
            <w:pPr>
              <w:pStyle w:val="naiskr"/>
              <w:tabs>
                <w:tab w:val="left" w:pos="170"/>
              </w:tabs>
              <w:spacing w:before="0" w:after="0"/>
              <w:ind w:left="57" w:right="57"/>
              <w:rPr>
                <w:sz w:val="28"/>
                <w:szCs w:val="28"/>
              </w:rPr>
            </w:pPr>
            <w:r w:rsidRPr="00CB010A">
              <w:rPr>
                <w:sz w:val="28"/>
                <w:szCs w:val="28"/>
              </w:rPr>
              <w:t>Sabiedrības informēšana par projekta izstrādes uzsākšanu</w:t>
            </w:r>
          </w:p>
        </w:tc>
        <w:tc>
          <w:tcPr>
            <w:tcW w:w="4847" w:type="dxa"/>
          </w:tcPr>
          <w:p w:rsidR="00634120" w:rsidRPr="00CB010A" w:rsidRDefault="00634120" w:rsidP="00A96107">
            <w:pPr>
              <w:jc w:val="both"/>
              <w:rPr>
                <w:sz w:val="28"/>
                <w:szCs w:val="28"/>
              </w:rPr>
            </w:pPr>
            <w:r>
              <w:rPr>
                <w:sz w:val="28"/>
                <w:szCs w:val="28"/>
              </w:rPr>
              <w:t>Kultūras ministrijas izveidotā darba grupa Dziesmu un deju svētku likuma 9.panta otrās daļas 9.punkta</w:t>
            </w:r>
            <w:r>
              <w:rPr>
                <w:color w:val="FF0000"/>
                <w:sz w:val="28"/>
                <w:szCs w:val="28"/>
              </w:rPr>
              <w:t xml:space="preserve"> </w:t>
            </w:r>
            <w:r>
              <w:rPr>
                <w:sz w:val="28"/>
                <w:szCs w:val="28"/>
              </w:rPr>
              <w:t xml:space="preserve"> pārskatīšanai nosūtīja uzaicinājumus piedalīties darba grupas darbā un izteikt viedokli plašam Dziesmu un deju svētku tradīcijas saglabāšanā iesaistītajam institūciju un sabiedrības grupu lokam.</w:t>
            </w:r>
          </w:p>
        </w:tc>
      </w:tr>
      <w:tr w:rsidR="00634120" w:rsidRPr="00CB010A" w:rsidTr="00562EE3">
        <w:trPr>
          <w:trHeight w:val="339"/>
          <w:jc w:val="center"/>
        </w:trPr>
        <w:tc>
          <w:tcPr>
            <w:tcW w:w="451" w:type="dxa"/>
          </w:tcPr>
          <w:p w:rsidR="00634120" w:rsidRPr="00CB010A" w:rsidRDefault="00634120" w:rsidP="00DF1CDD">
            <w:pPr>
              <w:pStyle w:val="naiskr"/>
              <w:spacing w:before="0" w:after="0"/>
              <w:ind w:left="57" w:right="57"/>
              <w:rPr>
                <w:bCs/>
                <w:sz w:val="28"/>
                <w:szCs w:val="28"/>
              </w:rPr>
            </w:pPr>
            <w:r w:rsidRPr="00CB010A">
              <w:rPr>
                <w:bCs/>
                <w:sz w:val="28"/>
                <w:szCs w:val="28"/>
              </w:rPr>
              <w:t>2.</w:t>
            </w:r>
          </w:p>
        </w:tc>
        <w:tc>
          <w:tcPr>
            <w:tcW w:w="4116" w:type="dxa"/>
          </w:tcPr>
          <w:p w:rsidR="00634120" w:rsidRPr="00CB010A" w:rsidRDefault="00634120" w:rsidP="00DF1CDD">
            <w:pPr>
              <w:pStyle w:val="naiskr"/>
              <w:spacing w:before="0" w:after="0"/>
              <w:ind w:left="57" w:right="57"/>
              <w:rPr>
                <w:sz w:val="28"/>
                <w:szCs w:val="28"/>
              </w:rPr>
            </w:pPr>
            <w:r w:rsidRPr="00CB010A">
              <w:rPr>
                <w:sz w:val="28"/>
                <w:szCs w:val="28"/>
              </w:rPr>
              <w:t xml:space="preserve">Sabiedrības līdzdalība projekta izstrādē </w:t>
            </w:r>
          </w:p>
        </w:tc>
        <w:tc>
          <w:tcPr>
            <w:tcW w:w="4847" w:type="dxa"/>
          </w:tcPr>
          <w:p w:rsidR="00634120" w:rsidRPr="00280C2D" w:rsidRDefault="00634120" w:rsidP="00A96107">
            <w:pPr>
              <w:jc w:val="both"/>
              <w:rPr>
                <w:sz w:val="28"/>
                <w:szCs w:val="28"/>
              </w:rPr>
            </w:pPr>
            <w:r w:rsidRPr="00280C2D">
              <w:rPr>
                <w:sz w:val="28"/>
                <w:szCs w:val="28"/>
              </w:rPr>
              <w:t xml:space="preserve">Konsultācijas </w:t>
            </w:r>
            <w:r w:rsidR="005345BD">
              <w:rPr>
                <w:sz w:val="28"/>
                <w:szCs w:val="28"/>
              </w:rPr>
              <w:t xml:space="preserve">par nepieciešamību atjaunot valsts </w:t>
            </w:r>
            <w:r w:rsidR="00802BE3">
              <w:rPr>
                <w:sz w:val="28"/>
                <w:szCs w:val="28"/>
              </w:rPr>
              <w:t xml:space="preserve">budžeta </w:t>
            </w:r>
            <w:r w:rsidR="005345BD">
              <w:rPr>
                <w:sz w:val="28"/>
                <w:szCs w:val="28"/>
              </w:rPr>
              <w:t>mēŗkdotāciju jau 2012.gadā notikušas ar</w:t>
            </w:r>
            <w:r w:rsidRPr="00280C2D">
              <w:rPr>
                <w:sz w:val="28"/>
                <w:szCs w:val="28"/>
              </w:rPr>
              <w:t xml:space="preserve">: </w:t>
            </w:r>
          </w:p>
          <w:p w:rsidR="00634120" w:rsidRPr="00280C2D" w:rsidRDefault="00634120" w:rsidP="00DF1CDD">
            <w:pPr>
              <w:jc w:val="both"/>
              <w:rPr>
                <w:sz w:val="28"/>
                <w:szCs w:val="28"/>
              </w:rPr>
            </w:pPr>
            <w:r w:rsidRPr="00280C2D">
              <w:rPr>
                <w:sz w:val="28"/>
                <w:szCs w:val="28"/>
              </w:rPr>
              <w:t>1. pieaicinātajiem ekspertiem;</w:t>
            </w:r>
          </w:p>
          <w:p w:rsidR="00634120" w:rsidRPr="00280C2D" w:rsidRDefault="00634120" w:rsidP="00DF1CDD">
            <w:pPr>
              <w:jc w:val="both"/>
              <w:rPr>
                <w:sz w:val="28"/>
                <w:szCs w:val="28"/>
              </w:rPr>
            </w:pPr>
            <w:r w:rsidRPr="00280C2D">
              <w:rPr>
                <w:sz w:val="28"/>
                <w:szCs w:val="28"/>
              </w:rPr>
              <w:t>2. Dziesmu un deju svētku biedrību;</w:t>
            </w:r>
          </w:p>
          <w:p w:rsidR="00634120" w:rsidRPr="00280C2D" w:rsidRDefault="00634120" w:rsidP="00DF1CDD">
            <w:pPr>
              <w:jc w:val="both"/>
              <w:rPr>
                <w:sz w:val="28"/>
                <w:szCs w:val="28"/>
              </w:rPr>
            </w:pPr>
            <w:r w:rsidRPr="00280C2D">
              <w:rPr>
                <w:sz w:val="28"/>
                <w:szCs w:val="28"/>
              </w:rPr>
              <w:t>3. Latvijas Kultūras centru asociāciju;</w:t>
            </w:r>
          </w:p>
          <w:p w:rsidR="00634120" w:rsidRPr="00280C2D" w:rsidRDefault="00634120" w:rsidP="00DF1CDD">
            <w:pPr>
              <w:jc w:val="both"/>
              <w:rPr>
                <w:sz w:val="28"/>
                <w:szCs w:val="28"/>
              </w:rPr>
            </w:pPr>
            <w:r w:rsidRPr="00280C2D">
              <w:rPr>
                <w:sz w:val="28"/>
                <w:szCs w:val="28"/>
              </w:rPr>
              <w:t>4. Latviešu tautas mākslas savienību;</w:t>
            </w:r>
          </w:p>
          <w:p w:rsidR="00634120" w:rsidRPr="00280C2D" w:rsidRDefault="00634120" w:rsidP="00DF1CDD">
            <w:pPr>
              <w:jc w:val="both"/>
              <w:rPr>
                <w:sz w:val="28"/>
                <w:szCs w:val="28"/>
              </w:rPr>
            </w:pPr>
            <w:r w:rsidRPr="00280C2D">
              <w:rPr>
                <w:sz w:val="28"/>
                <w:szCs w:val="28"/>
              </w:rPr>
              <w:t>5. </w:t>
            </w:r>
            <w:r>
              <w:rPr>
                <w:sz w:val="28"/>
                <w:szCs w:val="28"/>
              </w:rPr>
              <w:t>Apvienoto Nāciju izglītības, zinātnes un kultūras organizācijas</w:t>
            </w:r>
            <w:r w:rsidRPr="00280C2D">
              <w:rPr>
                <w:sz w:val="28"/>
                <w:szCs w:val="28"/>
              </w:rPr>
              <w:t xml:space="preserve"> Latvijas Nacionālo komisiju;</w:t>
            </w:r>
          </w:p>
          <w:p w:rsidR="00634120" w:rsidRPr="00280C2D" w:rsidRDefault="00634120" w:rsidP="00DF1CDD">
            <w:pPr>
              <w:jc w:val="both"/>
              <w:rPr>
                <w:sz w:val="28"/>
                <w:szCs w:val="28"/>
              </w:rPr>
            </w:pPr>
            <w:r w:rsidRPr="00280C2D">
              <w:rPr>
                <w:sz w:val="28"/>
                <w:szCs w:val="28"/>
              </w:rPr>
              <w:t>6. Latvijas Pašvaldību savienību;</w:t>
            </w:r>
          </w:p>
          <w:p w:rsidR="00634120" w:rsidRPr="00280C2D" w:rsidRDefault="00634120" w:rsidP="00DF1CDD">
            <w:pPr>
              <w:jc w:val="both"/>
              <w:rPr>
                <w:sz w:val="28"/>
                <w:szCs w:val="28"/>
              </w:rPr>
            </w:pPr>
            <w:r w:rsidRPr="00280C2D">
              <w:rPr>
                <w:sz w:val="28"/>
                <w:szCs w:val="28"/>
              </w:rPr>
              <w:t xml:space="preserve">7. Kultūrizglītības un nemateriālā mantojuma centra nozaru ekspertu padomēm; </w:t>
            </w:r>
          </w:p>
          <w:p w:rsidR="00634120" w:rsidRPr="00280C2D" w:rsidRDefault="00634120" w:rsidP="00DF1CDD">
            <w:pPr>
              <w:jc w:val="both"/>
              <w:rPr>
                <w:sz w:val="28"/>
                <w:szCs w:val="28"/>
              </w:rPr>
            </w:pPr>
            <w:r w:rsidRPr="00280C2D">
              <w:rPr>
                <w:sz w:val="28"/>
                <w:szCs w:val="28"/>
              </w:rPr>
              <w:t>8. Dziesmu un deju svētku procesa virsdiriģentiem un virsvadītājiem;</w:t>
            </w:r>
          </w:p>
          <w:p w:rsidR="00634120" w:rsidRPr="00280C2D" w:rsidRDefault="00634120" w:rsidP="00DF1CDD">
            <w:pPr>
              <w:jc w:val="both"/>
              <w:rPr>
                <w:sz w:val="28"/>
                <w:szCs w:val="28"/>
              </w:rPr>
            </w:pPr>
            <w:r w:rsidRPr="00280C2D">
              <w:rPr>
                <w:sz w:val="28"/>
                <w:szCs w:val="28"/>
              </w:rPr>
              <w:t xml:space="preserve">9. Rīgas domes Izglītības, kultūras un sporta departamenta pārstāvjiem; </w:t>
            </w:r>
          </w:p>
          <w:p w:rsidR="00634120" w:rsidRPr="00280C2D" w:rsidRDefault="00634120" w:rsidP="00DF1CDD">
            <w:pPr>
              <w:jc w:val="both"/>
              <w:rPr>
                <w:sz w:val="28"/>
                <w:szCs w:val="28"/>
              </w:rPr>
            </w:pPr>
            <w:r w:rsidRPr="00280C2D">
              <w:rPr>
                <w:sz w:val="28"/>
                <w:szCs w:val="28"/>
              </w:rPr>
              <w:t xml:space="preserve">10. Plānošanas reģionu pārstāvjiem; </w:t>
            </w:r>
          </w:p>
          <w:p w:rsidR="00634120" w:rsidRPr="00280C2D" w:rsidRDefault="00634120" w:rsidP="00DF1CDD">
            <w:pPr>
              <w:jc w:val="both"/>
              <w:rPr>
                <w:sz w:val="28"/>
                <w:szCs w:val="28"/>
              </w:rPr>
            </w:pPr>
            <w:r>
              <w:rPr>
                <w:sz w:val="28"/>
                <w:szCs w:val="28"/>
              </w:rPr>
              <w:t>11.</w:t>
            </w:r>
            <w:r w:rsidRPr="00280C2D">
              <w:rPr>
                <w:sz w:val="28"/>
                <w:szCs w:val="28"/>
              </w:rPr>
              <w:t>Valsts izglītības satura centru;</w:t>
            </w:r>
          </w:p>
          <w:p w:rsidR="00634120" w:rsidRPr="00CB010A" w:rsidRDefault="00634120" w:rsidP="00DF1CDD">
            <w:pPr>
              <w:jc w:val="both"/>
              <w:rPr>
                <w:sz w:val="28"/>
                <w:szCs w:val="28"/>
              </w:rPr>
            </w:pPr>
            <w:r>
              <w:rPr>
                <w:sz w:val="28"/>
                <w:szCs w:val="28"/>
              </w:rPr>
              <w:t>12.</w:t>
            </w:r>
            <w:r w:rsidRPr="00280C2D">
              <w:rPr>
                <w:sz w:val="28"/>
                <w:szCs w:val="28"/>
              </w:rPr>
              <w:t>Izglītības un zinātnes ministriju.</w:t>
            </w:r>
          </w:p>
        </w:tc>
      </w:tr>
      <w:tr w:rsidR="00634120" w:rsidRPr="00CB010A" w:rsidTr="00562EE3">
        <w:trPr>
          <w:trHeight w:val="375"/>
          <w:jc w:val="center"/>
        </w:trPr>
        <w:tc>
          <w:tcPr>
            <w:tcW w:w="451" w:type="dxa"/>
          </w:tcPr>
          <w:p w:rsidR="00634120" w:rsidRPr="00CB010A" w:rsidRDefault="00634120" w:rsidP="00DF1CDD">
            <w:pPr>
              <w:pStyle w:val="naiskr"/>
              <w:spacing w:before="0" w:after="0"/>
              <w:ind w:left="57" w:right="57"/>
              <w:rPr>
                <w:bCs/>
                <w:sz w:val="28"/>
                <w:szCs w:val="28"/>
              </w:rPr>
            </w:pPr>
            <w:r w:rsidRPr="00CB010A">
              <w:rPr>
                <w:bCs/>
                <w:sz w:val="28"/>
                <w:szCs w:val="28"/>
              </w:rPr>
              <w:t>3.</w:t>
            </w:r>
          </w:p>
        </w:tc>
        <w:tc>
          <w:tcPr>
            <w:tcW w:w="4116" w:type="dxa"/>
          </w:tcPr>
          <w:p w:rsidR="00634120" w:rsidRPr="00CB010A" w:rsidRDefault="00634120" w:rsidP="00DF1CDD">
            <w:pPr>
              <w:pStyle w:val="naiskr"/>
              <w:spacing w:before="0" w:after="0"/>
              <w:ind w:left="57" w:right="57"/>
              <w:rPr>
                <w:sz w:val="28"/>
                <w:szCs w:val="28"/>
              </w:rPr>
            </w:pPr>
            <w:r w:rsidRPr="00CB010A">
              <w:rPr>
                <w:sz w:val="28"/>
                <w:szCs w:val="28"/>
              </w:rPr>
              <w:t xml:space="preserve">Sabiedrības līdzdalības rezultāti </w:t>
            </w:r>
          </w:p>
        </w:tc>
        <w:tc>
          <w:tcPr>
            <w:tcW w:w="4847" w:type="dxa"/>
          </w:tcPr>
          <w:p w:rsidR="00634120" w:rsidRPr="00CB010A" w:rsidRDefault="005345BD" w:rsidP="00A96107">
            <w:pPr>
              <w:pStyle w:val="naiskr"/>
              <w:ind w:left="57" w:right="57"/>
              <w:jc w:val="both"/>
              <w:rPr>
                <w:sz w:val="28"/>
                <w:szCs w:val="28"/>
              </w:rPr>
            </w:pPr>
            <w:r>
              <w:rPr>
                <w:sz w:val="28"/>
                <w:szCs w:val="28"/>
              </w:rPr>
              <w:t xml:space="preserve">Priekšlikumi par nepieciešamību atjaunot valsts </w:t>
            </w:r>
            <w:r w:rsidR="00802BE3">
              <w:rPr>
                <w:sz w:val="28"/>
                <w:szCs w:val="28"/>
              </w:rPr>
              <w:t xml:space="preserve">budžeta </w:t>
            </w:r>
            <w:r>
              <w:rPr>
                <w:sz w:val="28"/>
                <w:szCs w:val="28"/>
              </w:rPr>
              <w:t xml:space="preserve">mērķdotāciju māksliniecisko kolektīvu vadītāju daļējai darba </w:t>
            </w:r>
            <w:r w:rsidR="00802BE3">
              <w:rPr>
                <w:sz w:val="28"/>
                <w:szCs w:val="28"/>
              </w:rPr>
              <w:t xml:space="preserve">samaksai </w:t>
            </w:r>
            <w:r>
              <w:rPr>
                <w:sz w:val="28"/>
                <w:szCs w:val="28"/>
              </w:rPr>
              <w:t xml:space="preserve">un </w:t>
            </w:r>
            <w:r w:rsidR="00802BE3">
              <w:rPr>
                <w:sz w:val="28"/>
                <w:szCs w:val="28"/>
              </w:rPr>
              <w:t xml:space="preserve">valsts sociālās apdrošināšanas obligātajām iemaksām </w:t>
            </w:r>
            <w:r w:rsidR="003D3F4B">
              <w:rPr>
                <w:sz w:val="28"/>
                <w:szCs w:val="28"/>
              </w:rPr>
              <w:t>jau 2012.gadā ir ņemti vērā, izstrādāj</w:t>
            </w:r>
            <w:r w:rsidR="003F0807">
              <w:rPr>
                <w:sz w:val="28"/>
                <w:szCs w:val="28"/>
              </w:rPr>
              <w:t>o</w:t>
            </w:r>
            <w:r w:rsidR="003D3F4B">
              <w:rPr>
                <w:sz w:val="28"/>
                <w:szCs w:val="28"/>
              </w:rPr>
              <w:t>t Projektu.</w:t>
            </w:r>
          </w:p>
        </w:tc>
      </w:tr>
      <w:tr w:rsidR="00634120" w:rsidRPr="00CB010A" w:rsidTr="00562EE3">
        <w:trPr>
          <w:trHeight w:val="397"/>
          <w:jc w:val="center"/>
        </w:trPr>
        <w:tc>
          <w:tcPr>
            <w:tcW w:w="451" w:type="dxa"/>
          </w:tcPr>
          <w:p w:rsidR="00634120" w:rsidRPr="00CB010A" w:rsidRDefault="00634120" w:rsidP="00DF1CDD">
            <w:pPr>
              <w:pStyle w:val="naiskr"/>
              <w:spacing w:before="0" w:after="0"/>
              <w:ind w:left="57" w:right="57"/>
              <w:rPr>
                <w:bCs/>
                <w:sz w:val="28"/>
                <w:szCs w:val="28"/>
              </w:rPr>
            </w:pPr>
            <w:r w:rsidRPr="00CB010A">
              <w:rPr>
                <w:bCs/>
                <w:sz w:val="28"/>
                <w:szCs w:val="28"/>
              </w:rPr>
              <w:t>4.</w:t>
            </w:r>
          </w:p>
        </w:tc>
        <w:tc>
          <w:tcPr>
            <w:tcW w:w="4116" w:type="dxa"/>
          </w:tcPr>
          <w:p w:rsidR="00634120" w:rsidRPr="00CB010A" w:rsidRDefault="00634120" w:rsidP="00DF1CDD">
            <w:pPr>
              <w:pStyle w:val="naiskr"/>
              <w:spacing w:before="0" w:after="0"/>
              <w:ind w:left="57" w:right="57"/>
              <w:rPr>
                <w:sz w:val="28"/>
                <w:szCs w:val="28"/>
              </w:rPr>
            </w:pPr>
            <w:r w:rsidRPr="00CB010A">
              <w:rPr>
                <w:sz w:val="28"/>
                <w:szCs w:val="28"/>
              </w:rPr>
              <w:t>Saeimas un ekspertu līdzdalība</w:t>
            </w:r>
          </w:p>
        </w:tc>
        <w:tc>
          <w:tcPr>
            <w:tcW w:w="4847" w:type="dxa"/>
          </w:tcPr>
          <w:p w:rsidR="00634120" w:rsidRPr="00CB010A" w:rsidRDefault="00634120" w:rsidP="00A96107">
            <w:pPr>
              <w:pStyle w:val="naiskr"/>
              <w:ind w:left="57" w:right="57"/>
              <w:jc w:val="both"/>
              <w:rPr>
                <w:sz w:val="28"/>
                <w:szCs w:val="28"/>
              </w:rPr>
            </w:pPr>
            <w:r>
              <w:rPr>
                <w:sz w:val="28"/>
                <w:szCs w:val="28"/>
              </w:rPr>
              <w:t>Kultūras ministrijas darba grupa pieaicināja nozares ekspertus izteikt viedokli.</w:t>
            </w:r>
          </w:p>
        </w:tc>
      </w:tr>
      <w:tr w:rsidR="00634120" w:rsidRPr="00CB010A" w:rsidTr="00562EE3">
        <w:trPr>
          <w:trHeight w:val="476"/>
          <w:jc w:val="center"/>
        </w:trPr>
        <w:tc>
          <w:tcPr>
            <w:tcW w:w="451" w:type="dxa"/>
          </w:tcPr>
          <w:p w:rsidR="00634120" w:rsidRPr="00CB010A" w:rsidRDefault="00634120" w:rsidP="00DF1CDD">
            <w:pPr>
              <w:pStyle w:val="naiskr"/>
              <w:spacing w:before="0" w:after="0"/>
              <w:ind w:left="57" w:right="57"/>
              <w:rPr>
                <w:bCs/>
                <w:sz w:val="28"/>
                <w:szCs w:val="28"/>
              </w:rPr>
            </w:pPr>
            <w:r w:rsidRPr="00CB010A">
              <w:rPr>
                <w:bCs/>
                <w:sz w:val="28"/>
                <w:szCs w:val="28"/>
              </w:rPr>
              <w:lastRenderedPageBreak/>
              <w:t>5.</w:t>
            </w:r>
          </w:p>
        </w:tc>
        <w:tc>
          <w:tcPr>
            <w:tcW w:w="4116" w:type="dxa"/>
          </w:tcPr>
          <w:p w:rsidR="00634120" w:rsidRPr="00CB010A" w:rsidRDefault="00634120" w:rsidP="00DF1CDD">
            <w:pPr>
              <w:pStyle w:val="naiskr"/>
              <w:spacing w:before="0" w:after="0"/>
              <w:ind w:left="57" w:right="57"/>
              <w:rPr>
                <w:sz w:val="28"/>
                <w:szCs w:val="28"/>
              </w:rPr>
            </w:pPr>
            <w:r w:rsidRPr="00CB010A">
              <w:rPr>
                <w:sz w:val="28"/>
                <w:szCs w:val="28"/>
              </w:rPr>
              <w:t>Cita informācija</w:t>
            </w:r>
          </w:p>
          <w:p w:rsidR="00634120" w:rsidRPr="00CB010A" w:rsidRDefault="00634120" w:rsidP="00DF1CDD">
            <w:pPr>
              <w:pStyle w:val="naiskr"/>
              <w:spacing w:before="0" w:after="0"/>
              <w:ind w:left="57" w:right="57"/>
              <w:rPr>
                <w:sz w:val="28"/>
                <w:szCs w:val="28"/>
              </w:rPr>
            </w:pPr>
          </w:p>
        </w:tc>
        <w:tc>
          <w:tcPr>
            <w:tcW w:w="4847" w:type="dxa"/>
          </w:tcPr>
          <w:p w:rsidR="00634120" w:rsidRPr="00CB010A" w:rsidRDefault="00634120" w:rsidP="00DF1CDD">
            <w:pPr>
              <w:pStyle w:val="naiskr"/>
              <w:spacing w:before="0" w:after="0"/>
              <w:ind w:left="57" w:right="57"/>
              <w:jc w:val="both"/>
              <w:rPr>
                <w:sz w:val="28"/>
                <w:szCs w:val="28"/>
              </w:rPr>
            </w:pPr>
            <w:r>
              <w:rPr>
                <w:iCs/>
                <w:sz w:val="28"/>
                <w:szCs w:val="28"/>
              </w:rPr>
              <w:t>Nav</w:t>
            </w:r>
          </w:p>
        </w:tc>
      </w:tr>
    </w:tbl>
    <w:p w:rsidR="00634120" w:rsidRDefault="00634120" w:rsidP="00634120">
      <w:pPr>
        <w:jc w:val="both"/>
        <w:rPr>
          <w:sz w:val="28"/>
          <w:szCs w:val="28"/>
        </w:rPr>
      </w:pPr>
    </w:p>
    <w:p w:rsidR="00634120" w:rsidRDefault="00634120" w:rsidP="00634120">
      <w:pPr>
        <w:rPr>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3003"/>
        <w:gridCol w:w="5797"/>
      </w:tblGrid>
      <w:tr w:rsidR="00634120" w:rsidRPr="001D0A49" w:rsidTr="00DF1CDD">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634120" w:rsidRPr="001D0A49" w:rsidRDefault="00634120" w:rsidP="00DF1CDD">
            <w:pPr>
              <w:jc w:val="center"/>
              <w:rPr>
                <w:sz w:val="28"/>
                <w:szCs w:val="28"/>
              </w:rPr>
            </w:pPr>
            <w:r w:rsidRPr="001D0A49">
              <w:rPr>
                <w:b/>
                <w:bCs/>
                <w:sz w:val="28"/>
                <w:szCs w:val="28"/>
              </w:rPr>
              <w:t>VII. Tiesību akta projekta izpildes nodrošināšana un tās ietekme uz institūcijām</w:t>
            </w:r>
          </w:p>
        </w:tc>
      </w:tr>
      <w:tr w:rsidR="00634120" w:rsidRPr="001D0A49" w:rsidTr="00802BE3">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1.</w:t>
            </w:r>
          </w:p>
        </w:tc>
        <w:tc>
          <w:tcPr>
            <w:tcW w:w="1605"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Projekta izpildē iesaistītās institūcijas</w:t>
            </w:r>
          </w:p>
        </w:tc>
        <w:tc>
          <w:tcPr>
            <w:tcW w:w="3098" w:type="pct"/>
            <w:tcBorders>
              <w:top w:val="outset" w:sz="6" w:space="0" w:color="auto"/>
              <w:left w:val="outset" w:sz="6" w:space="0" w:color="auto"/>
              <w:bottom w:val="outset" w:sz="6" w:space="0" w:color="auto"/>
              <w:right w:val="outset" w:sz="6" w:space="0" w:color="auto"/>
            </w:tcBorders>
            <w:vAlign w:val="center"/>
          </w:tcPr>
          <w:p w:rsidR="00634120" w:rsidRPr="001D0A49" w:rsidRDefault="00634120" w:rsidP="00A96107">
            <w:pPr>
              <w:ind w:left="125" w:right="57"/>
              <w:jc w:val="both"/>
              <w:rPr>
                <w:sz w:val="28"/>
                <w:szCs w:val="28"/>
              </w:rPr>
            </w:pPr>
            <w:r w:rsidRPr="001D0A49">
              <w:rPr>
                <w:sz w:val="28"/>
                <w:szCs w:val="28"/>
              </w:rPr>
              <w:t>Kultūras ministrija, Kultūrizglītības un nemateriālā mantojuma centrs</w:t>
            </w:r>
            <w:r>
              <w:rPr>
                <w:sz w:val="28"/>
                <w:szCs w:val="28"/>
              </w:rPr>
              <w:t>.</w:t>
            </w:r>
          </w:p>
        </w:tc>
      </w:tr>
      <w:tr w:rsidR="00634120" w:rsidRPr="001D0A49" w:rsidTr="00802BE3">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2.</w:t>
            </w:r>
          </w:p>
        </w:tc>
        <w:tc>
          <w:tcPr>
            <w:tcW w:w="1605"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Projekta izpildes ietekme uz pārvaldes funkcijām</w:t>
            </w:r>
          </w:p>
        </w:tc>
        <w:tc>
          <w:tcPr>
            <w:tcW w:w="3098"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ind w:left="126" w:right="33"/>
              <w:jc w:val="both"/>
              <w:rPr>
                <w:sz w:val="28"/>
                <w:szCs w:val="28"/>
              </w:rPr>
            </w:pPr>
            <w:r>
              <w:rPr>
                <w:sz w:val="28"/>
                <w:szCs w:val="28"/>
              </w:rPr>
              <w:t>Projekts šo jomu neskar.</w:t>
            </w:r>
          </w:p>
        </w:tc>
      </w:tr>
      <w:tr w:rsidR="00634120" w:rsidRPr="001D0A49" w:rsidTr="00802BE3">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3.</w:t>
            </w:r>
          </w:p>
        </w:tc>
        <w:tc>
          <w:tcPr>
            <w:tcW w:w="1605"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Projekta izpildes ietekme uz pārvaldes institucionālo struktūru.</w:t>
            </w:r>
          </w:p>
          <w:p w:rsidR="00634120" w:rsidRPr="001D0A49" w:rsidRDefault="00634120" w:rsidP="00DF1CDD">
            <w:pPr>
              <w:rPr>
                <w:sz w:val="28"/>
                <w:szCs w:val="28"/>
              </w:rPr>
            </w:pPr>
            <w:r w:rsidRPr="001D0A49">
              <w:rPr>
                <w:sz w:val="28"/>
                <w:szCs w:val="28"/>
              </w:rPr>
              <w:t>Jaunu institūciju izveide</w:t>
            </w:r>
          </w:p>
        </w:tc>
        <w:tc>
          <w:tcPr>
            <w:tcW w:w="3098"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ind w:right="57"/>
              <w:rPr>
                <w:sz w:val="28"/>
                <w:szCs w:val="28"/>
              </w:rPr>
            </w:pPr>
            <w:r>
              <w:rPr>
                <w:sz w:val="28"/>
                <w:szCs w:val="28"/>
              </w:rPr>
              <w:t xml:space="preserve"> Projekts šo jomu neskar.</w:t>
            </w:r>
          </w:p>
        </w:tc>
      </w:tr>
      <w:tr w:rsidR="00634120" w:rsidRPr="001D0A49" w:rsidTr="00802BE3">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4.</w:t>
            </w:r>
          </w:p>
        </w:tc>
        <w:tc>
          <w:tcPr>
            <w:tcW w:w="1605"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Projekta izpildes ietekme uz pārvaldes institucionālo struktūru.</w:t>
            </w:r>
          </w:p>
          <w:p w:rsidR="00634120" w:rsidRPr="001D0A49" w:rsidRDefault="00634120" w:rsidP="00DF1CDD">
            <w:pPr>
              <w:rPr>
                <w:sz w:val="28"/>
                <w:szCs w:val="28"/>
              </w:rPr>
            </w:pPr>
            <w:r w:rsidRPr="001D0A49">
              <w:rPr>
                <w:sz w:val="28"/>
                <w:szCs w:val="28"/>
              </w:rPr>
              <w:t>Esošu institūciju likvidācija</w:t>
            </w:r>
          </w:p>
        </w:tc>
        <w:tc>
          <w:tcPr>
            <w:tcW w:w="3098"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ind w:right="57"/>
              <w:rPr>
                <w:sz w:val="28"/>
                <w:szCs w:val="28"/>
              </w:rPr>
            </w:pPr>
            <w:r>
              <w:rPr>
                <w:sz w:val="28"/>
                <w:szCs w:val="28"/>
              </w:rPr>
              <w:t xml:space="preserve"> Projekts šo jomu neskar.</w:t>
            </w:r>
          </w:p>
        </w:tc>
      </w:tr>
      <w:tr w:rsidR="00634120" w:rsidRPr="001D0A49" w:rsidTr="00802BE3">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5.</w:t>
            </w:r>
          </w:p>
        </w:tc>
        <w:tc>
          <w:tcPr>
            <w:tcW w:w="1605"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Projekta izpildes ietekme uz pārvaldes institucionālo struktūru.</w:t>
            </w:r>
          </w:p>
          <w:p w:rsidR="00634120" w:rsidRPr="001D0A49" w:rsidRDefault="00634120" w:rsidP="00DF1CDD">
            <w:pPr>
              <w:rPr>
                <w:sz w:val="28"/>
                <w:szCs w:val="28"/>
              </w:rPr>
            </w:pPr>
            <w:r w:rsidRPr="001D0A49">
              <w:rPr>
                <w:sz w:val="28"/>
                <w:szCs w:val="28"/>
              </w:rPr>
              <w:t>Esošu institūciju reorganizācija</w:t>
            </w:r>
          </w:p>
        </w:tc>
        <w:tc>
          <w:tcPr>
            <w:tcW w:w="3098"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ind w:right="57"/>
              <w:rPr>
                <w:sz w:val="28"/>
                <w:szCs w:val="28"/>
              </w:rPr>
            </w:pPr>
            <w:r>
              <w:rPr>
                <w:sz w:val="28"/>
                <w:szCs w:val="28"/>
              </w:rPr>
              <w:t xml:space="preserve"> Projekts šo jomu neskar.</w:t>
            </w:r>
          </w:p>
        </w:tc>
      </w:tr>
      <w:tr w:rsidR="00634120" w:rsidRPr="001D0A49" w:rsidTr="00802BE3">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6.</w:t>
            </w:r>
          </w:p>
        </w:tc>
        <w:tc>
          <w:tcPr>
            <w:tcW w:w="1605"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rPr>
                <w:sz w:val="28"/>
                <w:szCs w:val="28"/>
              </w:rPr>
            </w:pPr>
            <w:r w:rsidRPr="001D0A49">
              <w:rPr>
                <w:sz w:val="28"/>
                <w:szCs w:val="28"/>
              </w:rPr>
              <w:t> Cita informācija</w:t>
            </w:r>
          </w:p>
        </w:tc>
        <w:tc>
          <w:tcPr>
            <w:tcW w:w="3098" w:type="pct"/>
            <w:tcBorders>
              <w:top w:val="outset" w:sz="6" w:space="0" w:color="auto"/>
              <w:left w:val="outset" w:sz="6" w:space="0" w:color="auto"/>
              <w:bottom w:val="outset" w:sz="6" w:space="0" w:color="auto"/>
              <w:right w:val="outset" w:sz="6" w:space="0" w:color="auto"/>
            </w:tcBorders>
          </w:tcPr>
          <w:p w:rsidR="00634120" w:rsidRPr="001D0A49" w:rsidRDefault="00634120" w:rsidP="00DF1CDD">
            <w:pPr>
              <w:ind w:right="57"/>
              <w:rPr>
                <w:sz w:val="28"/>
                <w:szCs w:val="28"/>
              </w:rPr>
            </w:pPr>
            <w:r w:rsidRPr="001D0A49">
              <w:rPr>
                <w:sz w:val="28"/>
                <w:szCs w:val="28"/>
              </w:rPr>
              <w:t>Nav</w:t>
            </w:r>
          </w:p>
        </w:tc>
      </w:tr>
      <w:bookmarkEnd w:id="0"/>
      <w:bookmarkEnd w:id="1"/>
      <w:bookmarkEnd w:id="2"/>
      <w:bookmarkEnd w:id="3"/>
    </w:tbl>
    <w:p w:rsidR="00634120" w:rsidRDefault="00634120" w:rsidP="00634120">
      <w:pPr>
        <w:jc w:val="both"/>
        <w:rPr>
          <w:color w:val="000000"/>
          <w:sz w:val="28"/>
          <w:szCs w:val="28"/>
        </w:rPr>
      </w:pPr>
    </w:p>
    <w:p w:rsidR="00634120" w:rsidRPr="001D0A49" w:rsidRDefault="00634120" w:rsidP="00634120">
      <w:pPr>
        <w:jc w:val="both"/>
        <w:rPr>
          <w:color w:val="000000"/>
          <w:sz w:val="28"/>
          <w:szCs w:val="28"/>
        </w:rPr>
      </w:pPr>
    </w:p>
    <w:p w:rsidR="00634120" w:rsidRPr="00E52880" w:rsidRDefault="00634120" w:rsidP="00634120">
      <w:pPr>
        <w:rPr>
          <w:sz w:val="28"/>
          <w:szCs w:val="28"/>
        </w:rPr>
      </w:pPr>
      <w:r w:rsidRPr="00E52880">
        <w:rPr>
          <w:sz w:val="28"/>
          <w:szCs w:val="28"/>
        </w:rPr>
        <w:t>Kultūras ministre</w:t>
      </w:r>
      <w:r w:rsidRPr="00E52880">
        <w:rPr>
          <w:sz w:val="28"/>
          <w:szCs w:val="28"/>
        </w:rPr>
        <w:tab/>
      </w:r>
      <w:r w:rsidRPr="00E52880">
        <w:rPr>
          <w:sz w:val="28"/>
          <w:szCs w:val="28"/>
        </w:rPr>
        <w:tab/>
      </w:r>
      <w:r w:rsidRPr="00E52880">
        <w:rPr>
          <w:sz w:val="28"/>
          <w:szCs w:val="28"/>
        </w:rPr>
        <w:tab/>
      </w:r>
      <w:r w:rsidRPr="00E52880">
        <w:rPr>
          <w:sz w:val="28"/>
          <w:szCs w:val="28"/>
        </w:rPr>
        <w:tab/>
      </w:r>
      <w:r w:rsidRPr="00E52880">
        <w:rPr>
          <w:sz w:val="28"/>
          <w:szCs w:val="28"/>
        </w:rPr>
        <w:tab/>
      </w:r>
      <w:r>
        <w:rPr>
          <w:sz w:val="28"/>
          <w:szCs w:val="28"/>
        </w:rPr>
        <w:tab/>
      </w:r>
      <w:r w:rsidRPr="00E52880">
        <w:rPr>
          <w:sz w:val="28"/>
          <w:szCs w:val="28"/>
        </w:rPr>
        <w:t>Ž.Jaunzeme- Grende</w:t>
      </w:r>
    </w:p>
    <w:p w:rsidR="00634120" w:rsidRDefault="00634120" w:rsidP="00634120">
      <w:pPr>
        <w:rPr>
          <w:sz w:val="28"/>
          <w:szCs w:val="28"/>
        </w:rPr>
      </w:pPr>
    </w:p>
    <w:p w:rsidR="00634120" w:rsidRDefault="00634120" w:rsidP="00634120">
      <w:pPr>
        <w:rPr>
          <w:sz w:val="28"/>
          <w:szCs w:val="28"/>
        </w:rPr>
      </w:pPr>
    </w:p>
    <w:p w:rsidR="00634120" w:rsidRDefault="00634120" w:rsidP="00634120">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sidRPr="00E52880">
        <w:rPr>
          <w:sz w:val="28"/>
          <w:szCs w:val="28"/>
        </w:rPr>
        <w:t>G.Puķītis</w:t>
      </w:r>
    </w:p>
    <w:p w:rsidR="00032D22" w:rsidRDefault="00032D22" w:rsidP="00634120"/>
    <w:p w:rsidR="003D3F4B" w:rsidRDefault="003D3F4B" w:rsidP="00634120"/>
    <w:sdt>
      <w:sdtPr>
        <w:alias w:val="Publicēšanas datums"/>
        <w:id w:val="9061646"/>
        <w:placeholder>
          <w:docPart w:val="21484A9AD91543D392465E61C0879E34"/>
        </w:placeholder>
        <w:dataBinding w:prefixMappings="xmlns:ns0='http://schemas.microsoft.com/office/2006/coverPageProps' " w:xpath="/ns0:CoverPageProperties[1]/ns0:PublishDate[1]" w:storeItemID="{55AF091B-3C7A-41E3-B477-F2FDAA23CFDA}"/>
        <w:date w:fullDate="2012-08-17T00:00:00Z">
          <w:dateFormat w:val="yyyy.MM.dd."/>
          <w:lid w:val="lv-LV"/>
          <w:storeMappedDataAs w:val="dateTime"/>
          <w:calendar w:val="gregorian"/>
        </w:date>
      </w:sdtPr>
      <w:sdtContent>
        <w:p w:rsidR="00634120" w:rsidRPr="000E2146" w:rsidRDefault="006A06FC" w:rsidP="00634120">
          <w:r>
            <w:t>2012.08.17.</w:t>
          </w:r>
        </w:p>
      </w:sdtContent>
    </w:sdt>
    <w:p w:rsidR="00634120" w:rsidRPr="00E72526" w:rsidRDefault="00900392" w:rsidP="00634120">
      <w:pPr>
        <w:jc w:val="both"/>
      </w:pPr>
      <w:r w:rsidRPr="00562EE3">
        <w:t>1</w:t>
      </w:r>
      <w:r>
        <w:t>3</w:t>
      </w:r>
      <w:r w:rsidR="0029435C">
        <w:t>43</w:t>
      </w:r>
    </w:p>
    <w:p w:rsidR="00634120" w:rsidRPr="00661A81" w:rsidRDefault="001F138C" w:rsidP="00634120">
      <w:r>
        <w:t>I.Bula</w:t>
      </w:r>
    </w:p>
    <w:p w:rsidR="00634120" w:rsidRPr="00661A81" w:rsidRDefault="00634120" w:rsidP="00634120">
      <w:pPr>
        <w:pStyle w:val="Galvene"/>
      </w:pPr>
      <w:r w:rsidRPr="00661A81">
        <w:t>Tālr.</w:t>
      </w:r>
      <w:r w:rsidR="009A1F3E">
        <w:fldChar w:fldCharType="begin"/>
      </w:r>
      <w:r w:rsidR="001F138C">
        <w:instrText xml:space="preserve"> COMMENTS   \* MERGEFORMAT </w:instrText>
      </w:r>
      <w:r w:rsidR="009A1F3E">
        <w:fldChar w:fldCharType="end"/>
      </w:r>
      <w:r w:rsidR="001F138C" w:rsidRPr="00661A81">
        <w:t>67</w:t>
      </w:r>
      <w:r w:rsidR="001F138C">
        <w:t>330257</w:t>
      </w:r>
    </w:p>
    <w:p w:rsidR="00634120" w:rsidRPr="00B86C5E" w:rsidRDefault="009A1F3E" w:rsidP="00634120">
      <w:hyperlink r:id="rId9" w:history="1">
        <w:r w:rsidR="001F138C">
          <w:rPr>
            <w:rStyle w:val="Hipersaite"/>
          </w:rPr>
          <w:t>Inara.Bula@km.gov.lv</w:t>
        </w:r>
      </w:hyperlink>
    </w:p>
    <w:p w:rsidR="00634120" w:rsidRDefault="00634120" w:rsidP="00634120">
      <w:pPr>
        <w:rPr>
          <w:sz w:val="28"/>
          <w:szCs w:val="28"/>
        </w:rPr>
      </w:pPr>
    </w:p>
    <w:p w:rsidR="00274834" w:rsidRDefault="00274834"/>
    <w:sectPr w:rsidR="00274834" w:rsidSect="00A96107">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F4" w:rsidRDefault="008426F4" w:rsidP="00B96B33">
      <w:r>
        <w:separator/>
      </w:r>
    </w:p>
  </w:endnote>
  <w:endnote w:type="continuationSeparator" w:id="0">
    <w:p w:rsidR="008426F4" w:rsidRDefault="008426F4" w:rsidP="00B9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7C" w:rsidRDefault="005A397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F4" w:rsidRDefault="008426F4" w:rsidP="00B96B33">
    <w:pPr>
      <w:jc w:val="both"/>
      <w:rPr>
        <w:sz w:val="22"/>
        <w:szCs w:val="22"/>
      </w:rPr>
    </w:pPr>
  </w:p>
  <w:p w:rsidR="008426F4" w:rsidRPr="00802BE3" w:rsidRDefault="008426F4" w:rsidP="00B96B33">
    <w:pPr>
      <w:jc w:val="both"/>
      <w:rPr>
        <w:color w:val="0D0D0D"/>
        <w:sz w:val="22"/>
        <w:szCs w:val="22"/>
      </w:rPr>
    </w:pPr>
    <w:r w:rsidRPr="00802BE3">
      <w:rPr>
        <w:sz w:val="22"/>
        <w:szCs w:val="22"/>
      </w:rPr>
      <w:t>KMAnot_</w:t>
    </w:r>
    <w:r w:rsidR="009B2F73">
      <w:rPr>
        <w:sz w:val="22"/>
        <w:szCs w:val="22"/>
      </w:rPr>
      <w:t>17</w:t>
    </w:r>
    <w:r w:rsidR="00AE27E7">
      <w:rPr>
        <w:sz w:val="22"/>
        <w:szCs w:val="22"/>
      </w:rPr>
      <w:t>08</w:t>
    </w:r>
    <w:r w:rsidR="00AE27E7" w:rsidRPr="00802BE3">
      <w:rPr>
        <w:sz w:val="22"/>
        <w:szCs w:val="22"/>
      </w:rPr>
      <w:t>12</w:t>
    </w:r>
    <w:r w:rsidRPr="00802BE3">
      <w:rPr>
        <w:sz w:val="22"/>
        <w:szCs w:val="22"/>
      </w:rPr>
      <w:t>_dz_sv_</w:t>
    </w:r>
    <w:r>
      <w:rPr>
        <w:sz w:val="22"/>
        <w:szCs w:val="22"/>
      </w:rPr>
      <w:t>merkdot</w:t>
    </w:r>
    <w:r w:rsidRPr="00802BE3">
      <w:rPr>
        <w:sz w:val="22"/>
        <w:szCs w:val="22"/>
      </w:rPr>
      <w:t xml:space="preserve">; Ministru kabineta noteikumu </w:t>
    </w:r>
    <w:r>
      <w:rPr>
        <w:sz w:val="22"/>
        <w:szCs w:val="22"/>
      </w:rPr>
      <w:t xml:space="preserve">projekta </w:t>
    </w:r>
    <w:r w:rsidRPr="00802BE3">
      <w:rPr>
        <w:sz w:val="22"/>
        <w:szCs w:val="22"/>
      </w:rPr>
      <w:t xml:space="preserve">„Kārtība, kādā tiek aprēķināta un sadalīta pašvaldībām valsts budžeta mērķdotācija māksliniecisko kolektīvu vadītāju </w:t>
    </w:r>
    <w:r w:rsidRPr="00802BE3">
      <w:rPr>
        <w:sz w:val="22"/>
        <w:szCs w:val="22"/>
      </w:rPr>
      <w:t>darba samaksai un valsts sociālās apdrošināšanas obligātajām iemaksām 2012.gadā</w:t>
    </w:r>
    <w:r>
      <w:rPr>
        <w:sz w:val="22"/>
        <w:szCs w:val="22"/>
      </w:rPr>
      <w:t>”</w:t>
    </w:r>
    <w:r w:rsidRPr="00802BE3">
      <w:rPr>
        <w:sz w:val="22"/>
        <w:szCs w:val="22"/>
      </w:rPr>
      <w:t xml:space="preserve"> </w:t>
    </w:r>
    <w:r w:rsidRPr="00802BE3">
      <w:rPr>
        <w:bCs/>
        <w:sz w:val="22"/>
        <w:szCs w:val="22"/>
      </w:rPr>
      <w:t>sākotnējās ietekmes novērtējuma ziņojums (anotācija)</w:t>
    </w:r>
  </w:p>
  <w:p w:rsidR="008426F4" w:rsidRDefault="008426F4" w:rsidP="00DF1CDD">
    <w:pPr>
      <w:pStyle w:val="Kjen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F4" w:rsidRPr="00802BE3" w:rsidRDefault="008426F4" w:rsidP="00A96107">
    <w:pPr>
      <w:jc w:val="both"/>
      <w:rPr>
        <w:color w:val="0D0D0D"/>
        <w:sz w:val="22"/>
        <w:szCs w:val="22"/>
      </w:rPr>
    </w:pPr>
    <w:r w:rsidRPr="00802BE3">
      <w:rPr>
        <w:sz w:val="22"/>
        <w:szCs w:val="22"/>
      </w:rPr>
      <w:t>KMAnot_</w:t>
    </w:r>
    <w:r w:rsidR="009B2F73">
      <w:rPr>
        <w:sz w:val="22"/>
        <w:szCs w:val="22"/>
      </w:rPr>
      <w:t>1708</w:t>
    </w:r>
    <w:r w:rsidRPr="00802BE3">
      <w:rPr>
        <w:sz w:val="22"/>
        <w:szCs w:val="22"/>
      </w:rPr>
      <w:t>12_dz_sv_</w:t>
    </w:r>
    <w:r>
      <w:rPr>
        <w:sz w:val="22"/>
        <w:szCs w:val="22"/>
      </w:rPr>
      <w:t>merkdot</w:t>
    </w:r>
    <w:r w:rsidRPr="00802BE3">
      <w:rPr>
        <w:sz w:val="22"/>
        <w:szCs w:val="22"/>
      </w:rPr>
      <w:t xml:space="preserve">; Ministru kabineta noteikumu </w:t>
    </w:r>
    <w:r>
      <w:rPr>
        <w:sz w:val="22"/>
        <w:szCs w:val="22"/>
      </w:rPr>
      <w:t xml:space="preserve">projekta </w:t>
    </w:r>
    <w:r w:rsidRPr="00802BE3">
      <w:rPr>
        <w:sz w:val="22"/>
        <w:szCs w:val="22"/>
      </w:rPr>
      <w:t>„Kārtība, kādā tiek aprēķināta un sadalīta pašvaldībām valsts budžeta mērķdotācija māksliniecisko kolektīvu vadītāju darba samaksai un valsts sociālās apdrošināšanas obligātajām iemaksām 2012.gadā</w:t>
    </w:r>
    <w:r>
      <w:rPr>
        <w:sz w:val="22"/>
        <w:szCs w:val="22"/>
      </w:rPr>
      <w:t>”</w:t>
    </w:r>
    <w:r w:rsidRPr="00802BE3">
      <w:rPr>
        <w:sz w:val="22"/>
        <w:szCs w:val="22"/>
      </w:rPr>
      <w:t xml:space="preserve"> </w:t>
    </w:r>
    <w:r w:rsidRPr="00802BE3">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F4" w:rsidRDefault="008426F4" w:rsidP="00B96B33">
      <w:r>
        <w:separator/>
      </w:r>
    </w:p>
  </w:footnote>
  <w:footnote w:type="continuationSeparator" w:id="0">
    <w:p w:rsidR="008426F4" w:rsidRDefault="008426F4" w:rsidP="00B9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7C" w:rsidRDefault="005A397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8426F4" w:rsidRDefault="009A1F3E">
        <w:pPr>
          <w:pStyle w:val="Galvene"/>
          <w:jc w:val="center"/>
        </w:pPr>
        <w:fldSimple w:instr=" PAGE   \* MERGEFORMAT ">
          <w:r w:rsidR="005A397C">
            <w:rPr>
              <w:noProof/>
            </w:rPr>
            <w:t>2</w:t>
          </w:r>
        </w:fldSimple>
      </w:p>
    </w:sdtContent>
  </w:sdt>
  <w:p w:rsidR="008426F4" w:rsidRDefault="008426F4">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7C" w:rsidRDefault="005A397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4C"/>
    <w:multiLevelType w:val="multilevel"/>
    <w:tmpl w:val="82BCD314"/>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34120"/>
    <w:rsid w:val="00001BA4"/>
    <w:rsid w:val="00017926"/>
    <w:rsid w:val="000207F8"/>
    <w:rsid w:val="00032D22"/>
    <w:rsid w:val="0006452F"/>
    <w:rsid w:val="000D130A"/>
    <w:rsid w:val="00130E80"/>
    <w:rsid w:val="00196C47"/>
    <w:rsid w:val="001F138C"/>
    <w:rsid w:val="001F3EC1"/>
    <w:rsid w:val="00226097"/>
    <w:rsid w:val="00230247"/>
    <w:rsid w:val="00232F5E"/>
    <w:rsid w:val="0025707A"/>
    <w:rsid w:val="00274834"/>
    <w:rsid w:val="00281EA3"/>
    <w:rsid w:val="002917F9"/>
    <w:rsid w:val="0029435C"/>
    <w:rsid w:val="003453C9"/>
    <w:rsid w:val="003817C7"/>
    <w:rsid w:val="003832DE"/>
    <w:rsid w:val="0038797F"/>
    <w:rsid w:val="003B3FBA"/>
    <w:rsid w:val="003B71B7"/>
    <w:rsid w:val="003C0CB8"/>
    <w:rsid w:val="003D3F4B"/>
    <w:rsid w:val="003F0807"/>
    <w:rsid w:val="004270F4"/>
    <w:rsid w:val="00451242"/>
    <w:rsid w:val="00452118"/>
    <w:rsid w:val="00483F0F"/>
    <w:rsid w:val="004B0B53"/>
    <w:rsid w:val="004B5C38"/>
    <w:rsid w:val="0051054E"/>
    <w:rsid w:val="005345BD"/>
    <w:rsid w:val="00552141"/>
    <w:rsid w:val="00562EE3"/>
    <w:rsid w:val="005A397C"/>
    <w:rsid w:val="005D1ADF"/>
    <w:rsid w:val="006011C2"/>
    <w:rsid w:val="00617A75"/>
    <w:rsid w:val="00634120"/>
    <w:rsid w:val="00680FD0"/>
    <w:rsid w:val="006814D4"/>
    <w:rsid w:val="006A06FC"/>
    <w:rsid w:val="006E11E9"/>
    <w:rsid w:val="00800C83"/>
    <w:rsid w:val="00802BE3"/>
    <w:rsid w:val="00806024"/>
    <w:rsid w:val="00814B30"/>
    <w:rsid w:val="008426F4"/>
    <w:rsid w:val="00861736"/>
    <w:rsid w:val="00900392"/>
    <w:rsid w:val="00903895"/>
    <w:rsid w:val="00933164"/>
    <w:rsid w:val="00976E04"/>
    <w:rsid w:val="009A1F3E"/>
    <w:rsid w:val="009B2F73"/>
    <w:rsid w:val="009B4ED4"/>
    <w:rsid w:val="00A2660C"/>
    <w:rsid w:val="00A668DB"/>
    <w:rsid w:val="00A67A4E"/>
    <w:rsid w:val="00A96107"/>
    <w:rsid w:val="00AB137B"/>
    <w:rsid w:val="00AE27E7"/>
    <w:rsid w:val="00B26797"/>
    <w:rsid w:val="00B273E3"/>
    <w:rsid w:val="00B42721"/>
    <w:rsid w:val="00B928BD"/>
    <w:rsid w:val="00B96B33"/>
    <w:rsid w:val="00BD247A"/>
    <w:rsid w:val="00BF090B"/>
    <w:rsid w:val="00C21B32"/>
    <w:rsid w:val="00C601A8"/>
    <w:rsid w:val="00CB005E"/>
    <w:rsid w:val="00CC1399"/>
    <w:rsid w:val="00D17067"/>
    <w:rsid w:val="00D93076"/>
    <w:rsid w:val="00DC2FDE"/>
    <w:rsid w:val="00DD266D"/>
    <w:rsid w:val="00DF1CDD"/>
    <w:rsid w:val="00E26FC3"/>
    <w:rsid w:val="00E8746E"/>
    <w:rsid w:val="00EC69D3"/>
    <w:rsid w:val="00F01AE8"/>
    <w:rsid w:val="00F1531A"/>
    <w:rsid w:val="00F43A77"/>
    <w:rsid w:val="00F46724"/>
    <w:rsid w:val="00F95433"/>
    <w:rsid w:val="00FE0B47"/>
    <w:rsid w:val="00FE15CE"/>
    <w:rsid w:val="00FE1B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34120"/>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634120"/>
    <w:pPr>
      <w:tabs>
        <w:tab w:val="center" w:pos="4153"/>
        <w:tab w:val="right" w:pos="8306"/>
      </w:tabs>
    </w:pPr>
  </w:style>
  <w:style w:type="character" w:customStyle="1" w:styleId="KjeneRakstz">
    <w:name w:val="Kājene Rakstz."/>
    <w:basedOn w:val="Noklusjumarindkopasfonts"/>
    <w:link w:val="Kjene"/>
    <w:rsid w:val="00634120"/>
    <w:rPr>
      <w:rFonts w:ascii="Times New Roman" w:eastAsia="Times New Roman" w:hAnsi="Times New Roman" w:cs="Times New Roman"/>
      <w:sz w:val="24"/>
      <w:szCs w:val="24"/>
      <w:lang w:eastAsia="ar-SA"/>
    </w:rPr>
  </w:style>
  <w:style w:type="paragraph" w:customStyle="1" w:styleId="naisc">
    <w:name w:val="naisc"/>
    <w:basedOn w:val="Parastais"/>
    <w:rsid w:val="00634120"/>
    <w:pPr>
      <w:suppressAutoHyphens w:val="0"/>
      <w:spacing w:before="450" w:after="300"/>
      <w:jc w:val="center"/>
    </w:pPr>
    <w:rPr>
      <w:sz w:val="26"/>
      <w:szCs w:val="26"/>
      <w:lang w:eastAsia="lv-LV"/>
    </w:rPr>
  </w:style>
  <w:style w:type="paragraph" w:styleId="Galvene">
    <w:name w:val="header"/>
    <w:basedOn w:val="Parastais"/>
    <w:link w:val="GalveneRakstz"/>
    <w:uiPriority w:val="99"/>
    <w:rsid w:val="00634120"/>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634120"/>
    <w:rPr>
      <w:rFonts w:ascii="Times New Roman" w:eastAsia="Times New Roman" w:hAnsi="Times New Roman" w:cs="Times New Roman"/>
      <w:sz w:val="24"/>
      <w:szCs w:val="24"/>
      <w:lang w:eastAsia="lv-LV"/>
    </w:rPr>
  </w:style>
  <w:style w:type="character" w:styleId="Hipersaite">
    <w:name w:val="Hyperlink"/>
    <w:basedOn w:val="Noklusjumarindkopasfonts"/>
    <w:rsid w:val="00634120"/>
    <w:rPr>
      <w:color w:val="0000FF"/>
      <w:u w:val="single"/>
    </w:rPr>
  </w:style>
  <w:style w:type="paragraph" w:customStyle="1" w:styleId="naisnod">
    <w:name w:val="naisnod"/>
    <w:basedOn w:val="Parastais"/>
    <w:rsid w:val="00634120"/>
    <w:pPr>
      <w:suppressAutoHyphens w:val="0"/>
      <w:spacing w:before="100" w:beforeAutospacing="1" w:after="100" w:afterAutospacing="1"/>
    </w:pPr>
    <w:rPr>
      <w:lang w:eastAsia="lv-LV"/>
    </w:rPr>
  </w:style>
  <w:style w:type="paragraph" w:customStyle="1" w:styleId="naiskr">
    <w:name w:val="naiskr"/>
    <w:basedOn w:val="Parastais"/>
    <w:rsid w:val="00634120"/>
    <w:pPr>
      <w:suppressAutoHyphens w:val="0"/>
      <w:spacing w:before="100" w:beforeAutospacing="1" w:after="100" w:afterAutospacing="1"/>
    </w:pPr>
    <w:rPr>
      <w:lang w:eastAsia="lv-LV"/>
    </w:rPr>
  </w:style>
  <w:style w:type="paragraph" w:customStyle="1" w:styleId="naisf">
    <w:name w:val="naisf"/>
    <w:basedOn w:val="Parastais"/>
    <w:rsid w:val="00634120"/>
    <w:pPr>
      <w:suppressAutoHyphens w:val="0"/>
      <w:spacing w:before="75" w:after="75"/>
      <w:ind w:firstLine="375"/>
      <w:jc w:val="both"/>
    </w:pPr>
    <w:rPr>
      <w:lang w:eastAsia="lv-LV"/>
    </w:rPr>
  </w:style>
  <w:style w:type="paragraph" w:styleId="Pamatteksts">
    <w:name w:val="Body Text"/>
    <w:basedOn w:val="Parastais"/>
    <w:link w:val="PamattekstsRakstz"/>
    <w:rsid w:val="00634120"/>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634120"/>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B96B33"/>
  </w:style>
  <w:style w:type="character" w:styleId="Komentraatsauce">
    <w:name w:val="annotation reference"/>
    <w:basedOn w:val="Noklusjumarindkopasfonts"/>
    <w:uiPriority w:val="99"/>
    <w:semiHidden/>
    <w:unhideWhenUsed/>
    <w:rsid w:val="00BF090B"/>
    <w:rPr>
      <w:sz w:val="16"/>
      <w:szCs w:val="16"/>
    </w:rPr>
  </w:style>
  <w:style w:type="paragraph" w:styleId="Komentrateksts">
    <w:name w:val="annotation text"/>
    <w:basedOn w:val="Parastais"/>
    <w:link w:val="KomentratekstsRakstz"/>
    <w:uiPriority w:val="99"/>
    <w:semiHidden/>
    <w:unhideWhenUsed/>
    <w:rsid w:val="00BF090B"/>
    <w:rPr>
      <w:sz w:val="20"/>
      <w:szCs w:val="20"/>
    </w:rPr>
  </w:style>
  <w:style w:type="character" w:customStyle="1" w:styleId="KomentratekstsRakstz">
    <w:name w:val="Komentāra teksts Rakstz."/>
    <w:basedOn w:val="Noklusjumarindkopasfonts"/>
    <w:link w:val="Komentrateksts"/>
    <w:uiPriority w:val="99"/>
    <w:semiHidden/>
    <w:rsid w:val="00BF090B"/>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BF090B"/>
    <w:rPr>
      <w:b/>
      <w:bCs/>
    </w:rPr>
  </w:style>
  <w:style w:type="character" w:customStyle="1" w:styleId="KomentratmaRakstz">
    <w:name w:val="Komentāra tēma Rakstz."/>
    <w:basedOn w:val="KomentratekstsRakstz"/>
    <w:link w:val="Komentratma"/>
    <w:uiPriority w:val="99"/>
    <w:semiHidden/>
    <w:rsid w:val="00BF090B"/>
    <w:rPr>
      <w:b/>
      <w:bCs/>
    </w:rPr>
  </w:style>
  <w:style w:type="paragraph" w:styleId="Balonteksts">
    <w:name w:val="Balloon Text"/>
    <w:basedOn w:val="Parastais"/>
    <w:link w:val="BalontekstsRakstz"/>
    <w:uiPriority w:val="99"/>
    <w:semiHidden/>
    <w:unhideWhenUsed/>
    <w:rsid w:val="00BF09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090B"/>
    <w:rPr>
      <w:rFonts w:ascii="Tahoma" w:eastAsia="Times New Roman" w:hAnsi="Tahoma" w:cs="Tahoma"/>
      <w:sz w:val="16"/>
      <w:szCs w:val="16"/>
      <w:lang w:eastAsia="ar-SA"/>
    </w:rPr>
  </w:style>
  <w:style w:type="paragraph" w:styleId="Sarakstarindkopa">
    <w:name w:val="List Paragraph"/>
    <w:basedOn w:val="Parastais"/>
    <w:uiPriority w:val="34"/>
    <w:qFormat/>
    <w:rsid w:val="00B273E3"/>
    <w:pPr>
      <w:suppressAutoHyphens w:val="0"/>
      <w:ind w:left="720"/>
      <w:contextualSpacing/>
    </w:pPr>
    <w:rPr>
      <w:rFonts w:ascii="Calibri" w:eastAsia="Calibri" w:hAnsi="Calibri"/>
      <w:sz w:val="22"/>
      <w:szCs w:val="22"/>
      <w:lang w:eastAsia="en-US"/>
    </w:rPr>
  </w:style>
  <w:style w:type="character" w:styleId="Vietturateksts">
    <w:name w:val="Placeholder Text"/>
    <w:basedOn w:val="Noklusjumarindkopasfonts"/>
    <w:uiPriority w:val="99"/>
    <w:semiHidden/>
    <w:rsid w:val="00196C47"/>
    <w:rPr>
      <w:color w:val="808080"/>
    </w:rPr>
  </w:style>
</w:styles>
</file>

<file path=word/webSettings.xml><?xml version="1.0" encoding="utf-8"?>
<w:webSettings xmlns:r="http://schemas.openxmlformats.org/officeDocument/2006/relationships" xmlns:w="http://schemas.openxmlformats.org/wordprocessingml/2006/main">
  <w:divs>
    <w:div w:id="14069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iba.Erdmane@knmc.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484A9AD91543D392465E61C0879E34"/>
        <w:category>
          <w:name w:val="Vispārīgi"/>
          <w:gallery w:val="placeholder"/>
        </w:category>
        <w:types>
          <w:type w:val="bbPlcHdr"/>
        </w:types>
        <w:behaviors>
          <w:behavior w:val="content"/>
        </w:behaviors>
        <w:guid w:val="{1F2F70F7-6B32-47EB-A88C-D166F4C2CC76}"/>
      </w:docPartPr>
      <w:docPartBody>
        <w:p w:rsidR="003F379F" w:rsidRDefault="00243864">
          <w:r w:rsidRPr="005F55A5">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3864"/>
    <w:rsid w:val="00243864"/>
    <w:rsid w:val="003F379F"/>
    <w:rsid w:val="004E5846"/>
    <w:rsid w:val="0054103F"/>
    <w:rsid w:val="00853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F37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4386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3274C-98A9-417B-A7E7-779D474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7110</Words>
  <Characters>4053</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darbs</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InaraB</cp:lastModifiedBy>
  <cp:revision>29</cp:revision>
  <dcterms:created xsi:type="dcterms:W3CDTF">2012-08-06T10:24:00Z</dcterms:created>
  <dcterms:modified xsi:type="dcterms:W3CDTF">2012-08-17T06:29:00Z</dcterms:modified>
</cp:coreProperties>
</file>