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6" w:rsidRDefault="006747F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b/>
          <w:sz w:val="28"/>
          <w:szCs w:val="28"/>
        </w:rPr>
        <w:t>Likumprojekta „Grozījums Autortiesību likumā”</w:t>
      </w:r>
    </w:p>
    <w:p w:rsidR="00E37606" w:rsidRPr="00AB2A5C" w:rsidRDefault="00E37606" w:rsidP="004B7922">
      <w:pPr>
        <w:jc w:val="center"/>
        <w:rPr>
          <w:b/>
          <w:sz w:val="28"/>
          <w:szCs w:val="28"/>
        </w:rPr>
      </w:pPr>
      <w:r w:rsidRPr="00AB2A5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B2A5C">
          <w:rPr>
            <w:b/>
            <w:sz w:val="28"/>
            <w:szCs w:val="28"/>
          </w:rPr>
          <w:t>ziņojums</w:t>
        </w:r>
        <w:r>
          <w:rPr>
            <w:b/>
            <w:sz w:val="28"/>
            <w:szCs w:val="28"/>
          </w:rPr>
          <w:t xml:space="preserve"> </w:t>
        </w:r>
      </w:smartTag>
      <w:r w:rsidRPr="00AB2A5C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BA5E65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BA5E65" w:rsidTr="0034303D">
        <w:trPr>
          <w:trHeight w:val="361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C345F2" w:rsidRDefault="00C345F2" w:rsidP="004B7922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7.1.apakšpunkts</w:t>
            </w:r>
            <w:r w:rsidRPr="00C345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E37606" w:rsidRPr="00C345F2" w:rsidRDefault="00C345F2" w:rsidP="008C4447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C345F2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C345F2">
              <w:rPr>
                <w:i/>
                <w:sz w:val="28"/>
                <w:szCs w:val="28"/>
              </w:rPr>
              <w:t>euro</w:t>
            </w:r>
            <w:proofErr w:type="spellEnd"/>
            <w:r w:rsidRPr="00C345F2">
              <w:rPr>
                <w:sz w:val="28"/>
                <w:szCs w:val="28"/>
              </w:rPr>
              <w:t xml:space="preserve">, ir </w:t>
            </w:r>
            <w:r w:rsidR="008C4447">
              <w:rPr>
                <w:sz w:val="28"/>
                <w:szCs w:val="28"/>
              </w:rPr>
              <w:t>jāveic</w:t>
            </w:r>
            <w:r w:rsidRPr="00C345F2">
              <w:rPr>
                <w:sz w:val="28"/>
                <w:szCs w:val="28"/>
              </w:rPr>
              <w:t xml:space="preserve"> </w:t>
            </w:r>
            <w:r w:rsidR="008C4447">
              <w:rPr>
                <w:sz w:val="28"/>
                <w:szCs w:val="28"/>
              </w:rPr>
              <w:t>grozījumi</w:t>
            </w:r>
            <w:r w:rsidRPr="00C345F2">
              <w:rPr>
                <w:bCs/>
                <w:sz w:val="28"/>
                <w:szCs w:val="28"/>
              </w:rPr>
              <w:t xml:space="preserve"> </w:t>
            </w:r>
            <w:r w:rsidR="00974909">
              <w:rPr>
                <w:bCs/>
                <w:sz w:val="28"/>
                <w:szCs w:val="28"/>
              </w:rPr>
              <w:t>Autortiesību likumā</w:t>
            </w:r>
            <w:r w:rsidRPr="00C345F2">
              <w:rPr>
                <w:sz w:val="28"/>
                <w:szCs w:val="28"/>
              </w:rPr>
              <w:t xml:space="preserve">, </w:t>
            </w:r>
            <w:r w:rsidR="00D357C2">
              <w:rPr>
                <w:sz w:val="28"/>
                <w:szCs w:val="28"/>
              </w:rPr>
              <w:t xml:space="preserve">izslēdzot no tā norādes uz </w:t>
            </w:r>
            <w:proofErr w:type="spellStart"/>
            <w:r w:rsidR="00D357C2" w:rsidRPr="00D357C2">
              <w:rPr>
                <w:i/>
                <w:sz w:val="28"/>
                <w:szCs w:val="28"/>
              </w:rPr>
              <w:t>euro</w:t>
            </w:r>
            <w:proofErr w:type="spellEnd"/>
            <w:r w:rsidR="00D357C2">
              <w:rPr>
                <w:sz w:val="28"/>
                <w:szCs w:val="28"/>
              </w:rPr>
              <w:t xml:space="preserve"> izteiksmē norādīto summu ekvivalentu latos</w:t>
            </w:r>
            <w:r w:rsidRPr="00C345F2">
              <w:rPr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C345F2" w:rsidRPr="00C345F2" w:rsidRDefault="000A2E70" w:rsidP="004B792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rojekta mērķis ir pielāgot </w:t>
            </w:r>
            <w:r w:rsidR="00974909">
              <w:rPr>
                <w:sz w:val="28"/>
                <w:szCs w:val="28"/>
              </w:rPr>
              <w:t>Autortiesību likumu</w:t>
            </w:r>
            <w:r w:rsidR="00C345F2" w:rsidRPr="00C345F2">
              <w:rPr>
                <w:sz w:val="28"/>
                <w:szCs w:val="28"/>
              </w:rPr>
              <w:t xml:space="preserve"> </w:t>
            </w:r>
            <w:proofErr w:type="spellStart"/>
            <w:r w:rsidR="00C345F2" w:rsidRPr="00C345F2">
              <w:rPr>
                <w:i/>
                <w:sz w:val="28"/>
                <w:szCs w:val="28"/>
              </w:rPr>
              <w:t>euro</w:t>
            </w:r>
            <w:proofErr w:type="spellEnd"/>
            <w:r w:rsidR="00C345F2" w:rsidRPr="00C345F2">
              <w:rPr>
                <w:sz w:val="28"/>
                <w:szCs w:val="28"/>
              </w:rPr>
              <w:t xml:space="preserve"> ieviešanai</w:t>
            </w:r>
            <w:r w:rsidR="00191923">
              <w:rPr>
                <w:sz w:val="28"/>
                <w:szCs w:val="28"/>
              </w:rPr>
              <w:t>.</w:t>
            </w:r>
          </w:p>
          <w:p w:rsidR="00E37606" w:rsidRPr="00191923" w:rsidRDefault="000A2E70" w:rsidP="00674DD9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>rojekts paredz</w:t>
            </w:r>
            <w:r w:rsidR="006E1200">
              <w:rPr>
                <w:sz w:val="28"/>
                <w:szCs w:val="28"/>
              </w:rPr>
              <w:t xml:space="preserve"> </w:t>
            </w:r>
            <w:r w:rsidR="00AA26C4">
              <w:rPr>
                <w:sz w:val="28"/>
                <w:szCs w:val="28"/>
              </w:rPr>
              <w:t xml:space="preserve">Autortiesību likuma 17.panta otrajā un trešajā daļā </w:t>
            </w:r>
            <w:r w:rsidR="00674DD9">
              <w:rPr>
                <w:sz w:val="28"/>
                <w:szCs w:val="28"/>
              </w:rPr>
              <w:t xml:space="preserve">izslēgt </w:t>
            </w:r>
            <w:r w:rsidR="006E1200">
              <w:rPr>
                <w:sz w:val="28"/>
                <w:szCs w:val="28"/>
              </w:rPr>
              <w:t xml:space="preserve">norādes uz nepieciešamību vizuālās mākslas oriģināldarba publiskas tālākpārdošanas gadījumā autoriem maksājamās </w:t>
            </w:r>
            <w:r w:rsidR="00AA26C4">
              <w:rPr>
                <w:sz w:val="28"/>
                <w:szCs w:val="28"/>
              </w:rPr>
              <w:t>atlīdzības aprēķināšanā</w:t>
            </w:r>
            <w:r w:rsidR="00191923">
              <w:rPr>
                <w:sz w:val="28"/>
                <w:szCs w:val="28"/>
              </w:rPr>
              <w:t xml:space="preserve"> izmantojamās</w:t>
            </w:r>
            <w:r w:rsidR="00AA26C4">
              <w:rPr>
                <w:sz w:val="28"/>
                <w:szCs w:val="28"/>
              </w:rPr>
              <w:t xml:space="preserve"> tālākpārdošanas</w:t>
            </w:r>
            <w:r w:rsidR="00191923">
              <w:rPr>
                <w:sz w:val="28"/>
                <w:szCs w:val="28"/>
              </w:rPr>
              <w:t xml:space="preserve"> cenas</w:t>
            </w:r>
            <w:r w:rsidR="00AA26C4">
              <w:rPr>
                <w:sz w:val="28"/>
                <w:szCs w:val="28"/>
              </w:rPr>
              <w:t xml:space="preserve"> robežvērtības</w:t>
            </w:r>
            <w:r w:rsidR="00191923">
              <w:rPr>
                <w:sz w:val="28"/>
                <w:szCs w:val="28"/>
              </w:rPr>
              <w:t xml:space="preserve">, kas noteiktas </w:t>
            </w:r>
            <w:proofErr w:type="spellStart"/>
            <w:r w:rsidR="00191923" w:rsidRPr="00AA26C4">
              <w:rPr>
                <w:i/>
                <w:sz w:val="28"/>
                <w:szCs w:val="28"/>
              </w:rPr>
              <w:t>euro</w:t>
            </w:r>
            <w:proofErr w:type="spellEnd"/>
            <w:r w:rsidR="00191923">
              <w:rPr>
                <w:sz w:val="28"/>
                <w:szCs w:val="28"/>
              </w:rPr>
              <w:t xml:space="preserve"> izteiksmē, </w:t>
            </w:r>
            <w:r w:rsidR="00AA26C4">
              <w:rPr>
                <w:sz w:val="28"/>
                <w:szCs w:val="28"/>
              </w:rPr>
              <w:t xml:space="preserve">un </w:t>
            </w:r>
            <w:proofErr w:type="spellStart"/>
            <w:r w:rsidR="00AA26C4" w:rsidRPr="00AA26C4">
              <w:rPr>
                <w:i/>
                <w:sz w:val="28"/>
                <w:szCs w:val="28"/>
              </w:rPr>
              <w:t>euro</w:t>
            </w:r>
            <w:proofErr w:type="spellEnd"/>
            <w:r w:rsidR="00AA26C4">
              <w:rPr>
                <w:sz w:val="28"/>
                <w:szCs w:val="28"/>
              </w:rPr>
              <w:t xml:space="preserve"> izteiksmē noteikto maksimālo autoram izmaksājamo atlīdzības summu izteikt latu ekvivalentā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5.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E37606" w:rsidRPr="00BA5E65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0A2E70">
        <w:trPr>
          <w:cantSplit/>
          <w:trHeight w:val="989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AB3C41" w:rsidRDefault="00892410" w:rsidP="00625F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</w:t>
            </w:r>
            <w:r w:rsidR="00625FEA">
              <w:rPr>
                <w:sz w:val="28"/>
                <w:szCs w:val="28"/>
              </w:rPr>
              <w:t xml:space="preserve">izslēdz nepieciešamību </w:t>
            </w:r>
            <w:proofErr w:type="spellStart"/>
            <w:r w:rsidR="00625FEA" w:rsidRPr="00D357C2">
              <w:rPr>
                <w:i/>
                <w:sz w:val="28"/>
                <w:szCs w:val="28"/>
              </w:rPr>
              <w:t>euro</w:t>
            </w:r>
            <w:proofErr w:type="spellEnd"/>
            <w:r w:rsidR="00625FEA">
              <w:rPr>
                <w:sz w:val="28"/>
                <w:szCs w:val="28"/>
              </w:rPr>
              <w:t xml:space="preserve"> izteiksmē norādītās summas konvertēt latos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E37606" w:rsidRPr="00D35683" w:rsidRDefault="00892410" w:rsidP="000A2E70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P</w:t>
            </w:r>
            <w:r w:rsidR="00E37606" w:rsidRPr="00410DE6">
              <w:rPr>
                <w:sz w:val="28"/>
                <w:szCs w:val="28"/>
              </w:rPr>
              <w:t>rojekts tiks virzīts izskatīšanai Ministru kabinetā pēc tam, kad Eiropas Savienības Padomē saskaņā ar Līguma par Eiropas Sa</w:t>
            </w:r>
            <w:r w:rsidR="00E37606" w:rsidRPr="00D35683">
              <w:rPr>
                <w:sz w:val="28"/>
                <w:szCs w:val="28"/>
              </w:rPr>
              <w:t xml:space="preserve">vienības darbību 140.panta 2.punktu tiks pieņemts lēmums par izņēmuma statusa atcelšanu Latvijas Republikai un Eiropas Savienības Padome būs noteikusi lata maiņas kursu. </w:t>
            </w:r>
          </w:p>
          <w:p w:rsidR="007D3829" w:rsidRPr="00D35683" w:rsidRDefault="007D3829" w:rsidP="007D3829">
            <w:pPr>
              <w:pStyle w:val="naiskr"/>
              <w:spacing w:before="0" w:after="0"/>
              <w:ind w:firstLine="283"/>
              <w:jc w:val="both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lastRenderedPageBreak/>
              <w:t xml:space="preserve">Projekts virzāms izskatīšanai Saeimā vienotā ar </w:t>
            </w:r>
            <w:proofErr w:type="spellStart"/>
            <w:r w:rsidRPr="00D35683">
              <w:rPr>
                <w:i/>
                <w:sz w:val="28"/>
                <w:szCs w:val="28"/>
              </w:rPr>
              <w:t>euro</w:t>
            </w:r>
            <w:proofErr w:type="spellEnd"/>
            <w:r w:rsidRPr="00D35683">
              <w:rPr>
                <w:sz w:val="28"/>
                <w:szCs w:val="28"/>
              </w:rPr>
              <w:t xml:space="preserve"> ieviešanu saistīto likumprojektu paketē.</w:t>
            </w:r>
          </w:p>
          <w:p w:rsidR="007D3829" w:rsidRPr="007D3829" w:rsidRDefault="007D3829" w:rsidP="007D3829">
            <w:pPr>
              <w:pStyle w:val="naiskr"/>
              <w:spacing w:before="0" w:after="0"/>
              <w:ind w:firstLine="283"/>
              <w:jc w:val="both"/>
              <w:rPr>
                <w:sz w:val="26"/>
                <w:szCs w:val="26"/>
              </w:rPr>
            </w:pPr>
            <w:r w:rsidRPr="00D35683">
              <w:rPr>
                <w:sz w:val="28"/>
                <w:szCs w:val="28"/>
              </w:rPr>
              <w:t xml:space="preserve">Projektam ir jābūt apstiprinātam un publicētam oficiālajā izdevumā „Latvijas Vēstnesis” līdz </w:t>
            </w:r>
            <w:proofErr w:type="spellStart"/>
            <w:r w:rsidRPr="00D35683">
              <w:rPr>
                <w:i/>
                <w:sz w:val="28"/>
                <w:szCs w:val="28"/>
              </w:rPr>
              <w:t>euro</w:t>
            </w:r>
            <w:proofErr w:type="spellEnd"/>
            <w:r w:rsidRPr="00D35683">
              <w:rPr>
                <w:sz w:val="28"/>
                <w:szCs w:val="28"/>
              </w:rPr>
              <w:t xml:space="preserve"> ieviešanas dienai.</w:t>
            </w:r>
          </w:p>
        </w:tc>
      </w:tr>
    </w:tbl>
    <w:p w:rsidR="00E37606" w:rsidRDefault="00E37606" w:rsidP="004B7922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9"/>
        <w:gridCol w:w="3537"/>
        <w:gridCol w:w="5254"/>
      </w:tblGrid>
      <w:tr w:rsidR="00F27ECC" w:rsidRPr="00CF1DE2" w:rsidTr="00F27ECC">
        <w:tc>
          <w:tcPr>
            <w:tcW w:w="9370" w:type="dxa"/>
            <w:gridSpan w:val="3"/>
            <w:vAlign w:val="center"/>
          </w:tcPr>
          <w:p w:rsidR="00F27ECC" w:rsidRPr="00D35683" w:rsidRDefault="00F27ECC" w:rsidP="00F27ECC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II. Tiesību akta projekta ietekme uz sabiedrību</w:t>
            </w:r>
          </w:p>
        </w:tc>
      </w:tr>
      <w:tr w:rsidR="00F27ECC" w:rsidRPr="00CF1DE2" w:rsidTr="00F27ECC">
        <w:trPr>
          <w:trHeight w:val="467"/>
        </w:trPr>
        <w:tc>
          <w:tcPr>
            <w:tcW w:w="579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5254" w:type="dxa"/>
          </w:tcPr>
          <w:p w:rsidR="00F27ECC" w:rsidRPr="00D35683" w:rsidRDefault="00F27ECC" w:rsidP="00F27ECC">
            <w:pPr>
              <w:ind w:right="151" w:firstLine="284"/>
              <w:jc w:val="both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Sabiedrības mērķgrupas, kuru intereses ietekmē šis projekts, ir:</w:t>
            </w:r>
          </w:p>
          <w:p w:rsidR="00F27ECC" w:rsidRPr="00D35683" w:rsidRDefault="00F27ECC" w:rsidP="00F27ECC">
            <w:pPr>
              <w:ind w:right="151" w:firstLine="284"/>
              <w:jc w:val="both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1)</w:t>
            </w:r>
            <w:r w:rsidR="00B47B74">
              <w:rPr>
                <w:sz w:val="28"/>
                <w:szCs w:val="28"/>
              </w:rPr>
              <w:t> </w:t>
            </w:r>
            <w:r w:rsidRPr="00D35683">
              <w:rPr>
                <w:sz w:val="28"/>
                <w:szCs w:val="28"/>
              </w:rPr>
              <w:t>vizuālās mākslas oriģināldarbu autori un viņu tiesību pārņēmēji</w:t>
            </w:r>
            <w:r w:rsidR="00B47B74">
              <w:rPr>
                <w:sz w:val="28"/>
                <w:szCs w:val="28"/>
              </w:rPr>
              <w:t xml:space="preserve"> (nav zināms precīzs skaits</w:t>
            </w:r>
            <w:r w:rsidR="00BB7146">
              <w:rPr>
                <w:sz w:val="28"/>
                <w:szCs w:val="28"/>
              </w:rPr>
              <w:t>, jo netiek veikta attiecīga statistiskā uzskaite</w:t>
            </w:r>
            <w:r w:rsidR="00B47B74">
              <w:rPr>
                <w:sz w:val="28"/>
                <w:szCs w:val="28"/>
              </w:rPr>
              <w:t>)</w:t>
            </w:r>
            <w:r w:rsidRPr="00D35683">
              <w:rPr>
                <w:sz w:val="28"/>
                <w:szCs w:val="28"/>
              </w:rPr>
              <w:t>;</w:t>
            </w:r>
          </w:p>
          <w:p w:rsidR="00F27ECC" w:rsidRPr="00D35683" w:rsidRDefault="00F27ECC" w:rsidP="00F27ECC">
            <w:pPr>
              <w:ind w:right="151" w:firstLine="284"/>
              <w:jc w:val="both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2)</w:t>
            </w:r>
            <w:r w:rsidR="00B47B74">
              <w:rPr>
                <w:sz w:val="28"/>
                <w:szCs w:val="28"/>
              </w:rPr>
              <w:t> </w:t>
            </w:r>
            <w:r w:rsidRPr="00D35683">
              <w:rPr>
                <w:sz w:val="28"/>
                <w:szCs w:val="28"/>
              </w:rPr>
              <w:t>vizuālās mākslas oriģināldarbu pārdevēji (veikali, galerijas, saloni u.tml.</w:t>
            </w:r>
            <w:r w:rsidR="00B47B74">
              <w:rPr>
                <w:sz w:val="28"/>
                <w:szCs w:val="28"/>
              </w:rPr>
              <w:t>; precīzs skaits nav zināms</w:t>
            </w:r>
            <w:r w:rsidR="00BB7146">
              <w:rPr>
                <w:sz w:val="28"/>
                <w:szCs w:val="28"/>
              </w:rPr>
              <w:t>, jo netiek veikta attiecīga statistiskā uzskaite</w:t>
            </w:r>
            <w:r w:rsidRPr="00D35683">
              <w:rPr>
                <w:sz w:val="28"/>
                <w:szCs w:val="28"/>
              </w:rPr>
              <w:t>);</w:t>
            </w:r>
          </w:p>
          <w:p w:rsidR="00F27ECC" w:rsidRPr="00D35683" w:rsidRDefault="00F27ECC" w:rsidP="00000423">
            <w:pPr>
              <w:ind w:right="151" w:firstLine="284"/>
              <w:jc w:val="both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3)</w:t>
            </w:r>
            <w:r w:rsidR="00D35683" w:rsidRPr="00D35683">
              <w:rPr>
                <w:sz w:val="28"/>
                <w:szCs w:val="28"/>
              </w:rPr>
              <w:t> </w:t>
            </w:r>
            <w:r w:rsidRPr="00D35683">
              <w:rPr>
                <w:sz w:val="28"/>
                <w:szCs w:val="28"/>
              </w:rPr>
              <w:t xml:space="preserve">mantisko tiesību </w:t>
            </w:r>
            <w:r w:rsidR="00D35683" w:rsidRPr="00D35683">
              <w:rPr>
                <w:sz w:val="28"/>
                <w:szCs w:val="28"/>
              </w:rPr>
              <w:t>kolektīvā pārvaldījuma organizācija</w:t>
            </w:r>
            <w:r w:rsidR="00B47B74">
              <w:rPr>
                <w:sz w:val="28"/>
                <w:szCs w:val="28"/>
              </w:rPr>
              <w:t xml:space="preserve">, kas administrē </w:t>
            </w:r>
            <w:r w:rsidR="00B47B74" w:rsidRPr="00B47B74">
              <w:rPr>
                <w:sz w:val="28"/>
                <w:szCs w:val="28"/>
              </w:rPr>
              <w:t>vizuālās mākslas oriģināldarbu tālākpārdošanu</w:t>
            </w:r>
            <w:r w:rsidR="00B47B74">
              <w:rPr>
                <w:sz w:val="28"/>
                <w:szCs w:val="28"/>
              </w:rPr>
              <w:t xml:space="preserve"> (Kultūras ministrijas atļauja šāda darbības veikšanai ir izsniegta vienai organizācijai – biedrībai „</w:t>
            </w:r>
            <w:r w:rsidR="00B47B74" w:rsidRPr="00B47B74">
              <w:rPr>
                <w:sz w:val="28"/>
                <w:szCs w:val="28"/>
              </w:rPr>
              <w:t>Autortiesību un komunicēšanās konsultāciju aģentūra / Latvijas Autoru apvienība</w:t>
            </w:r>
            <w:r w:rsidR="00B47B74">
              <w:rPr>
                <w:sz w:val="28"/>
                <w:szCs w:val="28"/>
              </w:rPr>
              <w:t>”).</w:t>
            </w:r>
          </w:p>
        </w:tc>
      </w:tr>
      <w:tr w:rsidR="00F27ECC" w:rsidRPr="00CF1DE2" w:rsidTr="00F27ECC">
        <w:trPr>
          <w:trHeight w:val="523"/>
        </w:trPr>
        <w:tc>
          <w:tcPr>
            <w:tcW w:w="579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2.</w:t>
            </w:r>
          </w:p>
        </w:tc>
        <w:tc>
          <w:tcPr>
            <w:tcW w:w="3537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5254" w:type="dxa"/>
          </w:tcPr>
          <w:p w:rsidR="00F27ECC" w:rsidRPr="00D35683" w:rsidRDefault="00D35683" w:rsidP="00D3568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F27ECC" w:rsidRPr="00CF1DE2" w:rsidTr="00F27ECC">
        <w:trPr>
          <w:trHeight w:val="517"/>
        </w:trPr>
        <w:tc>
          <w:tcPr>
            <w:tcW w:w="579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3.</w:t>
            </w:r>
          </w:p>
        </w:tc>
        <w:tc>
          <w:tcPr>
            <w:tcW w:w="3537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5254" w:type="dxa"/>
          </w:tcPr>
          <w:p w:rsidR="00F27ECC" w:rsidRPr="00D35683" w:rsidRDefault="00AD0AC2" w:rsidP="00AD0AC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D35683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F27ECC" w:rsidRPr="00CF1DE2" w:rsidTr="00F27ECC">
        <w:trPr>
          <w:trHeight w:val="517"/>
        </w:trPr>
        <w:tc>
          <w:tcPr>
            <w:tcW w:w="579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4.</w:t>
            </w:r>
          </w:p>
        </w:tc>
        <w:tc>
          <w:tcPr>
            <w:tcW w:w="3537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5254" w:type="dxa"/>
          </w:tcPr>
          <w:p w:rsidR="00F27ECC" w:rsidRPr="00D35683" w:rsidRDefault="00AD0AC2" w:rsidP="008C4447">
            <w:pPr>
              <w:pStyle w:val="naiskr"/>
              <w:spacing w:before="0" w:after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Sabiedrības mērķgrupām turpmāk nebūs </w:t>
            </w:r>
            <w:r w:rsidR="008C4447">
              <w:rPr>
                <w:iCs/>
                <w:sz w:val="28"/>
                <w:szCs w:val="28"/>
              </w:rPr>
              <w:t>jāveic pārrēķini</w:t>
            </w:r>
            <w:r>
              <w:rPr>
                <w:iCs/>
                <w:sz w:val="28"/>
                <w:szCs w:val="28"/>
              </w:rPr>
              <w:t xml:space="preserve"> no </w:t>
            </w:r>
            <w:proofErr w:type="spellStart"/>
            <w:r w:rsidRPr="00AD0AC2">
              <w:rPr>
                <w:i/>
                <w:iCs/>
                <w:sz w:val="28"/>
                <w:szCs w:val="28"/>
              </w:rPr>
              <w:t>euro</w:t>
            </w:r>
            <w:proofErr w:type="spellEnd"/>
            <w:r>
              <w:rPr>
                <w:iCs/>
                <w:sz w:val="28"/>
                <w:szCs w:val="28"/>
              </w:rPr>
              <w:t xml:space="preserve"> summām uz latiem, lai noteiktu autoram maksājamo atlīdzību </w:t>
            </w:r>
            <w:r>
              <w:rPr>
                <w:sz w:val="28"/>
                <w:szCs w:val="28"/>
              </w:rPr>
              <w:t>vizuālās mākslas oriģināldarba publiskas tālākpārdošanas gadījumā.</w:t>
            </w:r>
          </w:p>
        </w:tc>
      </w:tr>
      <w:tr w:rsidR="00F27ECC" w:rsidRPr="00CF1DE2" w:rsidTr="00F27ECC">
        <w:trPr>
          <w:trHeight w:val="531"/>
        </w:trPr>
        <w:tc>
          <w:tcPr>
            <w:tcW w:w="579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5.</w:t>
            </w:r>
          </w:p>
        </w:tc>
        <w:tc>
          <w:tcPr>
            <w:tcW w:w="3537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5254" w:type="dxa"/>
          </w:tcPr>
          <w:p w:rsidR="00F27ECC" w:rsidRPr="00D35683" w:rsidRDefault="00AD0AC2" w:rsidP="00AD0AC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F27ECC" w:rsidRPr="00CF1DE2" w:rsidTr="00F27ECC">
        <w:trPr>
          <w:trHeight w:val="357"/>
        </w:trPr>
        <w:tc>
          <w:tcPr>
            <w:tcW w:w="579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6.</w:t>
            </w:r>
          </w:p>
        </w:tc>
        <w:tc>
          <w:tcPr>
            <w:tcW w:w="3537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254" w:type="dxa"/>
          </w:tcPr>
          <w:p w:rsidR="00F27ECC" w:rsidRPr="00D35683" w:rsidRDefault="00AD0AC2" w:rsidP="00AD0AC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F27ECC" w:rsidRPr="00CF1DE2" w:rsidTr="00000423">
        <w:trPr>
          <w:trHeight w:val="448"/>
        </w:trPr>
        <w:tc>
          <w:tcPr>
            <w:tcW w:w="579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7.</w:t>
            </w:r>
          </w:p>
        </w:tc>
        <w:tc>
          <w:tcPr>
            <w:tcW w:w="3537" w:type="dxa"/>
          </w:tcPr>
          <w:p w:rsidR="00F27ECC" w:rsidRPr="00D35683" w:rsidRDefault="00F27ECC" w:rsidP="00F27EC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5683">
              <w:rPr>
                <w:sz w:val="28"/>
                <w:szCs w:val="28"/>
              </w:rPr>
              <w:t>Cita informācija</w:t>
            </w:r>
          </w:p>
        </w:tc>
        <w:tc>
          <w:tcPr>
            <w:tcW w:w="5254" w:type="dxa"/>
          </w:tcPr>
          <w:p w:rsidR="00F27ECC" w:rsidRPr="00D35683" w:rsidRDefault="00AD0AC2" w:rsidP="00AD0AC2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F27ECC" w:rsidRDefault="00F27ECC" w:rsidP="004B7922">
      <w:pPr>
        <w:rPr>
          <w:sz w:val="28"/>
          <w:szCs w:val="28"/>
          <w:lang w:eastAsia="lv-LV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007"/>
        <w:gridCol w:w="1307"/>
        <w:gridCol w:w="1391"/>
        <w:gridCol w:w="1391"/>
        <w:gridCol w:w="1424"/>
      </w:tblGrid>
      <w:tr w:rsidR="00E37606" w:rsidRPr="003609AB" w:rsidTr="00D550B3">
        <w:trPr>
          <w:trHeight w:val="652"/>
          <w:jc w:val="center"/>
        </w:trPr>
        <w:tc>
          <w:tcPr>
            <w:tcW w:w="5000" w:type="pct"/>
            <w:gridSpan w:val="6"/>
          </w:tcPr>
          <w:p w:rsidR="00E37606" w:rsidRPr="003609AB" w:rsidRDefault="00E37606" w:rsidP="004B7922">
            <w:pPr>
              <w:pStyle w:val="naisnod"/>
              <w:spacing w:before="0" w:after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Rādītāji</w:t>
            </w:r>
          </w:p>
        </w:tc>
        <w:tc>
          <w:tcPr>
            <w:tcW w:w="1241" w:type="pct"/>
            <w:gridSpan w:val="2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2013.gads</w:t>
            </w:r>
          </w:p>
        </w:tc>
        <w:tc>
          <w:tcPr>
            <w:tcW w:w="2256" w:type="pct"/>
            <w:gridSpan w:val="3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Turpmākie trīs gadi (tūkst. </w:t>
            </w:r>
            <w:r w:rsidRPr="003609AB">
              <w:rPr>
                <w:i/>
                <w:color w:val="000000" w:themeColor="text1"/>
                <w:sz w:val="28"/>
                <w:szCs w:val="28"/>
              </w:rPr>
              <w:t>euro</w:t>
            </w:r>
            <w:r w:rsidRPr="003609A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7606" w:rsidRPr="003609AB" w:rsidTr="00D550B3">
        <w:trPr>
          <w:trHeight w:val="360"/>
          <w:jc w:val="center"/>
        </w:trPr>
        <w:tc>
          <w:tcPr>
            <w:tcW w:w="1503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pct"/>
            <w:gridSpan w:val="2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2014.gads</w:t>
            </w:r>
          </w:p>
        </w:tc>
        <w:tc>
          <w:tcPr>
            <w:tcW w:w="746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2015.gads</w:t>
            </w:r>
          </w:p>
        </w:tc>
        <w:tc>
          <w:tcPr>
            <w:tcW w:w="764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2016.gads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0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46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6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64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0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6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6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4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 Budžeta ieņēmumi:</w:t>
            </w:r>
          </w:p>
        </w:tc>
        <w:tc>
          <w:tcPr>
            <w:tcW w:w="54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540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1.2. valsts speciālais budžets</w:t>
            </w:r>
          </w:p>
        </w:tc>
        <w:tc>
          <w:tcPr>
            <w:tcW w:w="54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1.3. pašvaldību budžets</w:t>
            </w:r>
          </w:p>
        </w:tc>
        <w:tc>
          <w:tcPr>
            <w:tcW w:w="54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 Budžeta izdevumi:</w:t>
            </w:r>
          </w:p>
        </w:tc>
        <w:tc>
          <w:tcPr>
            <w:tcW w:w="54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2.1. valsts pamatbudžets</w:t>
            </w:r>
          </w:p>
        </w:tc>
        <w:tc>
          <w:tcPr>
            <w:tcW w:w="540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2.2. valsts speciālais budžets</w:t>
            </w:r>
          </w:p>
        </w:tc>
        <w:tc>
          <w:tcPr>
            <w:tcW w:w="54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54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 Finansiālā ietekme:</w:t>
            </w:r>
          </w:p>
        </w:tc>
        <w:tc>
          <w:tcPr>
            <w:tcW w:w="540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3.1. valsts pamatbudžets</w:t>
            </w:r>
          </w:p>
        </w:tc>
        <w:tc>
          <w:tcPr>
            <w:tcW w:w="540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0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3.2. speciālais budžets</w:t>
            </w:r>
          </w:p>
        </w:tc>
        <w:tc>
          <w:tcPr>
            <w:tcW w:w="540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540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  <w:vMerge w:val="restar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4. Finanšu līdzekļi papildu izde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 xml:space="preserve">vumu finansēšanai (kompensējošu izdevumu </w:t>
            </w: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samazinājumu norāda ar "+" zīmi)</w:t>
            </w:r>
          </w:p>
        </w:tc>
        <w:tc>
          <w:tcPr>
            <w:tcW w:w="540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5. Precizēta finansiālā ietekme:</w:t>
            </w:r>
          </w:p>
        </w:tc>
        <w:tc>
          <w:tcPr>
            <w:tcW w:w="540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5.1. valsts pamatbudžets</w:t>
            </w:r>
          </w:p>
        </w:tc>
        <w:tc>
          <w:tcPr>
            <w:tcW w:w="540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5.2. speciālais budžets</w:t>
            </w:r>
          </w:p>
        </w:tc>
        <w:tc>
          <w:tcPr>
            <w:tcW w:w="540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540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4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D550B3">
        <w:trPr>
          <w:trHeight w:val="2661"/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6. Detalizēts ieņēmumu un izdevu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7" w:type="pct"/>
            <w:gridSpan w:val="5"/>
          </w:tcPr>
          <w:p w:rsidR="00E37606" w:rsidRPr="0073400C" w:rsidRDefault="00C824A9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D35683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3609AB" w:rsidTr="00D550B3">
        <w:trPr>
          <w:jc w:val="center"/>
        </w:trPr>
        <w:tc>
          <w:tcPr>
            <w:tcW w:w="1503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7. Cita informācija</w:t>
            </w:r>
          </w:p>
        </w:tc>
        <w:tc>
          <w:tcPr>
            <w:tcW w:w="3497" w:type="pct"/>
            <w:gridSpan w:val="5"/>
          </w:tcPr>
          <w:p w:rsidR="00E37606" w:rsidRPr="003609AB" w:rsidRDefault="00BF2D88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F2D88">
              <w:rPr>
                <w:color w:val="000000" w:themeColor="text1"/>
                <w:sz w:val="28"/>
                <w:szCs w:val="28"/>
              </w:rPr>
              <w:t>Grozījumu projektam nav ietekmes uz valsts budžetu, jo likumprojekts n</w:t>
            </w:r>
            <w:r>
              <w:rPr>
                <w:color w:val="000000" w:themeColor="text1"/>
                <w:sz w:val="28"/>
                <w:szCs w:val="28"/>
              </w:rPr>
              <w:t>eparedz veikt pārskaitījumus uz</w:t>
            </w:r>
            <w:r w:rsidRPr="00BF2D88">
              <w:rPr>
                <w:color w:val="000000" w:themeColor="text1"/>
                <w:sz w:val="28"/>
                <w:szCs w:val="28"/>
              </w:rPr>
              <w:t xml:space="preserve"> vai no valsts budžeta.</w:t>
            </w:r>
          </w:p>
        </w:tc>
      </w:tr>
    </w:tbl>
    <w:p w:rsidR="00000423" w:rsidRDefault="00000423" w:rsidP="00AD0AC2">
      <w:pPr>
        <w:rPr>
          <w:i/>
          <w:iCs/>
          <w:sz w:val="28"/>
          <w:szCs w:val="28"/>
          <w:lang w:eastAsia="lv-LV"/>
        </w:rPr>
      </w:pPr>
    </w:p>
    <w:p w:rsidR="00AD0AC2" w:rsidRPr="003609AB" w:rsidRDefault="00AD0AC2" w:rsidP="00AD0AC2">
      <w:pPr>
        <w:rPr>
          <w:i/>
          <w:iCs/>
          <w:sz w:val="28"/>
          <w:szCs w:val="28"/>
          <w:lang w:eastAsia="lv-LV"/>
        </w:rPr>
      </w:pPr>
      <w:r w:rsidRPr="003609AB">
        <w:rPr>
          <w:i/>
          <w:iCs/>
          <w:sz w:val="28"/>
          <w:szCs w:val="28"/>
          <w:lang w:eastAsia="lv-LV"/>
        </w:rPr>
        <w:t>Anotācijas IV, V, VI un</w:t>
      </w:r>
      <w:r>
        <w:rPr>
          <w:i/>
          <w:iCs/>
          <w:sz w:val="28"/>
          <w:szCs w:val="28"/>
          <w:lang w:eastAsia="lv-LV"/>
        </w:rPr>
        <w:t xml:space="preserve"> VII sadaļa – </w:t>
      </w:r>
      <w:r>
        <w:rPr>
          <w:i/>
          <w:sz w:val="28"/>
          <w:szCs w:val="28"/>
          <w:lang w:eastAsia="lv-LV"/>
        </w:rPr>
        <w:t>projekts šīs jomas</w:t>
      </w:r>
      <w:r w:rsidRPr="003609AB">
        <w:rPr>
          <w:i/>
          <w:sz w:val="28"/>
          <w:szCs w:val="28"/>
          <w:lang w:eastAsia="lv-LV"/>
        </w:rPr>
        <w:t xml:space="preserve"> neskar.</w:t>
      </w:r>
    </w:p>
    <w:p w:rsidR="00AD0AC2" w:rsidRDefault="00AD0AC2" w:rsidP="004B7922">
      <w:pPr>
        <w:jc w:val="both"/>
        <w:rPr>
          <w:sz w:val="28"/>
          <w:szCs w:val="28"/>
        </w:rPr>
      </w:pPr>
    </w:p>
    <w:p w:rsidR="00AD0AC2" w:rsidRDefault="00AD0AC2" w:rsidP="004B7922">
      <w:pPr>
        <w:jc w:val="both"/>
        <w:rPr>
          <w:sz w:val="28"/>
          <w:szCs w:val="28"/>
        </w:rPr>
      </w:pPr>
    </w:p>
    <w:p w:rsidR="00000423" w:rsidRDefault="00E37606" w:rsidP="00BF2D88">
      <w:pPr>
        <w:jc w:val="both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000423">
        <w:rPr>
          <w:sz w:val="28"/>
          <w:szCs w:val="28"/>
        </w:rPr>
        <w:t>s vietā –</w:t>
      </w:r>
    </w:p>
    <w:p w:rsidR="00E37606" w:rsidRPr="00D2248A" w:rsidRDefault="00000423" w:rsidP="00BF2D88">
      <w:pPr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E37606" w:rsidRPr="00D2248A">
        <w:rPr>
          <w:sz w:val="28"/>
          <w:szCs w:val="28"/>
        </w:rPr>
        <w:tab/>
      </w:r>
      <w:r w:rsidR="00E37606" w:rsidRPr="00D2248A">
        <w:rPr>
          <w:sz w:val="28"/>
          <w:szCs w:val="28"/>
        </w:rPr>
        <w:tab/>
      </w:r>
      <w:r w:rsidR="00E37606" w:rsidRPr="00D2248A">
        <w:rPr>
          <w:sz w:val="28"/>
          <w:szCs w:val="28"/>
        </w:rPr>
        <w:tab/>
      </w:r>
      <w:r w:rsidR="00E37606" w:rsidRPr="00D2248A">
        <w:rPr>
          <w:sz w:val="28"/>
          <w:szCs w:val="28"/>
        </w:rPr>
        <w:tab/>
      </w:r>
      <w:r w:rsidR="00FD13DB" w:rsidRPr="00D2248A">
        <w:rPr>
          <w:sz w:val="28"/>
          <w:szCs w:val="28"/>
        </w:rPr>
        <w:t xml:space="preserve"> </w:t>
      </w:r>
      <w:r w:rsidR="00FD13DB">
        <w:rPr>
          <w:sz w:val="28"/>
          <w:szCs w:val="28"/>
        </w:rPr>
        <w:tab/>
      </w:r>
      <w:r w:rsidR="00FD13DB">
        <w:rPr>
          <w:sz w:val="28"/>
          <w:szCs w:val="28"/>
        </w:rPr>
        <w:tab/>
      </w:r>
      <w:r w:rsidR="00FD13DB">
        <w:rPr>
          <w:sz w:val="28"/>
          <w:szCs w:val="28"/>
        </w:rPr>
        <w:tab/>
      </w:r>
      <w:r>
        <w:rPr>
          <w:sz w:val="28"/>
          <w:szCs w:val="28"/>
        </w:rPr>
        <w:tab/>
        <w:t>J.Bordāns</w:t>
      </w:r>
    </w:p>
    <w:p w:rsidR="00E37606" w:rsidRDefault="00E37606" w:rsidP="00FD13DB">
      <w:pPr>
        <w:pStyle w:val="naisf"/>
        <w:spacing w:before="0" w:after="0"/>
        <w:ind w:left="142"/>
        <w:rPr>
          <w:sz w:val="28"/>
          <w:szCs w:val="28"/>
        </w:rPr>
      </w:pPr>
      <w:r w:rsidRPr="00BA5E65">
        <w:rPr>
          <w:sz w:val="28"/>
          <w:szCs w:val="28"/>
        </w:rPr>
        <w:tab/>
      </w:r>
    </w:p>
    <w:p w:rsidR="00BF2D88" w:rsidRPr="00E71BA3" w:rsidRDefault="00A35219" w:rsidP="00BF2D88">
      <w:pPr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="00BF2D88" w:rsidRPr="00E217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00423">
        <w:rPr>
          <w:sz w:val="28"/>
          <w:szCs w:val="28"/>
        </w:rPr>
        <w:t xml:space="preserve">Valsts sekretāra </w:t>
      </w:r>
      <w:proofErr w:type="spellStart"/>
      <w:r w:rsidR="00000423">
        <w:rPr>
          <w:sz w:val="28"/>
          <w:szCs w:val="28"/>
        </w:rPr>
        <w:t>p.i</w:t>
      </w:r>
      <w:proofErr w:type="spellEnd"/>
      <w:r w:rsidR="00000423">
        <w:rPr>
          <w:sz w:val="28"/>
          <w:szCs w:val="28"/>
        </w:rPr>
        <w:t>.</w:t>
      </w:r>
      <w:r w:rsidR="00000423">
        <w:rPr>
          <w:sz w:val="28"/>
          <w:szCs w:val="28"/>
        </w:rPr>
        <w:tab/>
      </w:r>
      <w:r w:rsidR="00000423">
        <w:rPr>
          <w:sz w:val="28"/>
          <w:szCs w:val="28"/>
        </w:rPr>
        <w:tab/>
      </w:r>
      <w:r w:rsidR="00000423">
        <w:rPr>
          <w:sz w:val="28"/>
          <w:szCs w:val="28"/>
        </w:rPr>
        <w:tab/>
      </w:r>
      <w:r w:rsidR="00000423">
        <w:rPr>
          <w:sz w:val="28"/>
          <w:szCs w:val="28"/>
        </w:rPr>
        <w:tab/>
      </w:r>
      <w:r w:rsidR="00000423">
        <w:rPr>
          <w:sz w:val="28"/>
          <w:szCs w:val="28"/>
        </w:rPr>
        <w:tab/>
      </w:r>
      <w:r w:rsidR="00000423">
        <w:rPr>
          <w:sz w:val="28"/>
          <w:szCs w:val="28"/>
        </w:rPr>
        <w:tab/>
        <w:t>U.Lielpēters</w:t>
      </w:r>
    </w:p>
    <w:p w:rsidR="008D6794" w:rsidRDefault="008D6794">
      <w:pPr>
        <w:pStyle w:val="naisf"/>
        <w:spacing w:before="0" w:after="0"/>
        <w:rPr>
          <w:color w:val="000000"/>
          <w:sz w:val="20"/>
          <w:szCs w:val="20"/>
        </w:rPr>
      </w:pPr>
    </w:p>
    <w:p w:rsidR="00000423" w:rsidRDefault="00000423">
      <w:pPr>
        <w:pStyle w:val="naisf"/>
        <w:spacing w:before="0" w:after="0"/>
        <w:rPr>
          <w:color w:val="000000"/>
          <w:sz w:val="20"/>
          <w:szCs w:val="20"/>
        </w:rPr>
      </w:pPr>
    </w:p>
    <w:p w:rsidR="00000423" w:rsidRDefault="00000423">
      <w:pPr>
        <w:pStyle w:val="naisf"/>
        <w:spacing w:before="0" w:after="0"/>
        <w:rPr>
          <w:color w:val="000000"/>
          <w:sz w:val="20"/>
          <w:szCs w:val="20"/>
        </w:rPr>
      </w:pPr>
    </w:p>
    <w:p w:rsidR="00000423" w:rsidRDefault="00000423">
      <w:pPr>
        <w:pStyle w:val="naisf"/>
        <w:spacing w:before="0" w:after="0"/>
        <w:rPr>
          <w:color w:val="000000"/>
          <w:sz w:val="20"/>
          <w:szCs w:val="20"/>
        </w:rPr>
      </w:pPr>
    </w:p>
    <w:p w:rsidR="00000423" w:rsidRDefault="00000423">
      <w:pPr>
        <w:pStyle w:val="naisf"/>
        <w:spacing w:before="0" w:after="0"/>
        <w:rPr>
          <w:color w:val="000000"/>
          <w:sz w:val="20"/>
          <w:szCs w:val="20"/>
        </w:rPr>
      </w:pPr>
    </w:p>
    <w:p w:rsidR="00034E00" w:rsidRPr="00FD13DB" w:rsidRDefault="00034E00" w:rsidP="004B7922">
      <w:pPr>
        <w:rPr>
          <w:sz w:val="22"/>
          <w:szCs w:val="22"/>
        </w:rPr>
      </w:pPr>
      <w:bookmarkStart w:id="3" w:name="_GoBack"/>
      <w:bookmarkEnd w:id="3"/>
    </w:p>
    <w:p w:rsidR="00E37606" w:rsidRPr="00000423" w:rsidRDefault="00722512" w:rsidP="004B7922">
      <w:pPr>
        <w:rPr>
          <w:sz w:val="20"/>
          <w:szCs w:val="20"/>
        </w:rPr>
      </w:pPr>
      <w:r w:rsidRPr="00000423">
        <w:rPr>
          <w:sz w:val="20"/>
          <w:szCs w:val="20"/>
        </w:rPr>
        <w:fldChar w:fldCharType="begin"/>
      </w:r>
      <w:r w:rsidR="00E37606" w:rsidRPr="00000423">
        <w:rPr>
          <w:sz w:val="20"/>
          <w:szCs w:val="20"/>
        </w:rPr>
        <w:instrText xml:space="preserve"> DATE  \@ "yyyy.MM.dd. H:mm"  \* MERGEFORMAT </w:instrText>
      </w:r>
      <w:r w:rsidRPr="00000423">
        <w:rPr>
          <w:sz w:val="20"/>
          <w:szCs w:val="20"/>
        </w:rPr>
        <w:fldChar w:fldCharType="separate"/>
      </w:r>
      <w:r w:rsidR="00000423" w:rsidRPr="00000423">
        <w:rPr>
          <w:noProof/>
          <w:sz w:val="20"/>
          <w:szCs w:val="20"/>
        </w:rPr>
        <w:t>2013.07.19. 15:27</w:t>
      </w:r>
      <w:r w:rsidRPr="00000423">
        <w:rPr>
          <w:sz w:val="20"/>
          <w:szCs w:val="20"/>
        </w:rPr>
        <w:fldChar w:fldCharType="end"/>
      </w:r>
    </w:p>
    <w:p w:rsidR="00E37606" w:rsidRPr="00000423" w:rsidRDefault="00BF2D88" w:rsidP="004B7922">
      <w:pPr>
        <w:pStyle w:val="Galvene"/>
        <w:rPr>
          <w:sz w:val="20"/>
          <w:szCs w:val="20"/>
        </w:rPr>
      </w:pPr>
      <w:r w:rsidRPr="00000423">
        <w:rPr>
          <w:sz w:val="20"/>
          <w:szCs w:val="20"/>
        </w:rPr>
        <w:t>6</w:t>
      </w:r>
      <w:r w:rsidR="00000423">
        <w:rPr>
          <w:sz w:val="20"/>
          <w:szCs w:val="20"/>
        </w:rPr>
        <w:t>52</w:t>
      </w:r>
    </w:p>
    <w:p w:rsidR="00FD13DB" w:rsidRPr="00000423" w:rsidRDefault="00451AD1" w:rsidP="00FD13DB">
      <w:pPr>
        <w:pStyle w:val="Galvene"/>
        <w:rPr>
          <w:sz w:val="20"/>
          <w:szCs w:val="20"/>
        </w:rPr>
      </w:pPr>
      <w:r w:rsidRPr="00000423">
        <w:rPr>
          <w:sz w:val="20"/>
          <w:szCs w:val="20"/>
        </w:rPr>
        <w:t>R.Gulbis</w:t>
      </w:r>
    </w:p>
    <w:p w:rsidR="00FD13DB" w:rsidRPr="00000423" w:rsidRDefault="00451AD1" w:rsidP="00FD13DB">
      <w:pPr>
        <w:pStyle w:val="Galvene"/>
        <w:rPr>
          <w:sz w:val="20"/>
          <w:szCs w:val="20"/>
        </w:rPr>
      </w:pPr>
      <w:r w:rsidRPr="00000423">
        <w:rPr>
          <w:sz w:val="20"/>
          <w:szCs w:val="20"/>
        </w:rPr>
        <w:t>67330211</w:t>
      </w:r>
      <w:r w:rsidR="00B55179" w:rsidRPr="00000423">
        <w:rPr>
          <w:sz w:val="20"/>
          <w:szCs w:val="20"/>
        </w:rPr>
        <w:t xml:space="preserve">, </w:t>
      </w:r>
      <w:hyperlink r:id="rId6" w:history="1">
        <w:r w:rsidR="00000423" w:rsidRPr="003E453D">
          <w:rPr>
            <w:rStyle w:val="Hipersaite"/>
            <w:sz w:val="20"/>
            <w:szCs w:val="20"/>
          </w:rPr>
          <w:t>Rihards.Gulbis@km.gov.lv</w:t>
        </w:r>
      </w:hyperlink>
      <w:r w:rsidR="00000423">
        <w:rPr>
          <w:sz w:val="20"/>
          <w:szCs w:val="20"/>
        </w:rPr>
        <w:t xml:space="preserve"> </w:t>
      </w:r>
      <w:r w:rsidR="00FD13DB" w:rsidRPr="00000423">
        <w:rPr>
          <w:sz w:val="20"/>
          <w:szCs w:val="20"/>
        </w:rPr>
        <w:t xml:space="preserve"> </w:t>
      </w:r>
    </w:p>
    <w:p w:rsidR="00E37606" w:rsidRPr="00FD13DB" w:rsidRDefault="00E37606" w:rsidP="00FD13DB">
      <w:pPr>
        <w:pStyle w:val="Galvene"/>
        <w:rPr>
          <w:sz w:val="22"/>
          <w:szCs w:val="22"/>
        </w:rPr>
      </w:pPr>
    </w:p>
    <w:sectPr w:rsidR="00E37606" w:rsidRPr="00FD13DB" w:rsidSect="004B792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74" w:rsidRDefault="00B47B74" w:rsidP="00FC6606">
      <w:r>
        <w:separator/>
      </w:r>
    </w:p>
  </w:endnote>
  <w:endnote w:type="continuationSeparator" w:id="0">
    <w:p w:rsidR="00B47B74" w:rsidRDefault="00B47B74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4" w:rsidRPr="00974909" w:rsidRDefault="006654F5" w:rsidP="00974909">
    <w:pPr>
      <w:jc w:val="both"/>
      <w:rPr>
        <w:szCs w:val="22"/>
      </w:rPr>
    </w:pPr>
    <w:r w:rsidRPr="006654F5">
      <w:rPr>
        <w:sz w:val="22"/>
        <w:szCs w:val="22"/>
      </w:rPr>
      <w:t>KMAnot_190713_ALgroz_VSS-999</w:t>
    </w:r>
    <w:r w:rsidR="00B47B74" w:rsidRPr="000A2E70">
      <w:rPr>
        <w:sz w:val="22"/>
        <w:szCs w:val="22"/>
      </w:rPr>
      <w:t xml:space="preserve">; </w:t>
    </w:r>
    <w:r w:rsidR="00B47B74">
      <w:rPr>
        <w:sz w:val="22"/>
        <w:szCs w:val="22"/>
      </w:rPr>
      <w:t>Likumprojekta „Grozījums</w:t>
    </w:r>
    <w:r w:rsidR="00B47B74" w:rsidRPr="000A2E70">
      <w:rPr>
        <w:sz w:val="22"/>
        <w:szCs w:val="22"/>
      </w:rPr>
      <w:t xml:space="preserve"> </w:t>
    </w:r>
    <w:r w:rsidR="00B47B74">
      <w:rPr>
        <w:sz w:val="22"/>
        <w:szCs w:val="22"/>
      </w:rPr>
      <w:t>Autortiesību likumā</w:t>
    </w:r>
    <w:r w:rsidR="00B47B74" w:rsidRPr="000A2E70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4" w:rsidRPr="000A2E70" w:rsidRDefault="006654F5" w:rsidP="004B7922">
    <w:pPr>
      <w:jc w:val="both"/>
      <w:rPr>
        <w:sz w:val="22"/>
        <w:szCs w:val="22"/>
      </w:rPr>
    </w:pPr>
    <w:r w:rsidRPr="006654F5">
      <w:rPr>
        <w:sz w:val="22"/>
        <w:szCs w:val="22"/>
      </w:rPr>
      <w:t>KMAnot_190713_ALgroz_VSS-999</w:t>
    </w:r>
    <w:r w:rsidR="00B47B74" w:rsidRPr="000A2E70">
      <w:rPr>
        <w:sz w:val="22"/>
        <w:szCs w:val="22"/>
      </w:rPr>
      <w:t xml:space="preserve">; </w:t>
    </w:r>
    <w:r w:rsidR="00B47B74">
      <w:rPr>
        <w:sz w:val="22"/>
        <w:szCs w:val="22"/>
      </w:rPr>
      <w:t>Likum</w:t>
    </w:r>
    <w:r w:rsidR="00B47B74" w:rsidRPr="000A2E70">
      <w:rPr>
        <w:sz w:val="22"/>
        <w:szCs w:val="22"/>
      </w:rPr>
      <w:t>projekta „Grozījum</w:t>
    </w:r>
    <w:r w:rsidR="00B47B74">
      <w:rPr>
        <w:sz w:val="22"/>
        <w:szCs w:val="22"/>
      </w:rPr>
      <w:t>s</w:t>
    </w:r>
    <w:r w:rsidR="00B47B74" w:rsidRPr="000A2E70">
      <w:rPr>
        <w:sz w:val="22"/>
        <w:szCs w:val="22"/>
      </w:rPr>
      <w:t xml:space="preserve"> </w:t>
    </w:r>
    <w:r w:rsidR="00B47B74">
      <w:rPr>
        <w:sz w:val="22"/>
        <w:szCs w:val="22"/>
      </w:rPr>
      <w:t>Autortiesību likumā</w:t>
    </w:r>
    <w:r w:rsidR="00B47B74" w:rsidRPr="000A2E70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74" w:rsidRDefault="00B47B74" w:rsidP="00FC6606">
      <w:r>
        <w:separator/>
      </w:r>
    </w:p>
  </w:footnote>
  <w:footnote w:type="continuationSeparator" w:id="0">
    <w:p w:rsidR="00B47B74" w:rsidRDefault="00B47B74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4" w:rsidRDefault="00722512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47B7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47B74" w:rsidRDefault="00B47B74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4" w:rsidRPr="000A2E70" w:rsidRDefault="00722512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B47B74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000423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B47B74" w:rsidRDefault="00B47B7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00423"/>
    <w:rsid w:val="00010A32"/>
    <w:rsid w:val="00034E00"/>
    <w:rsid w:val="000849DE"/>
    <w:rsid w:val="000A2E70"/>
    <w:rsid w:val="000B1C58"/>
    <w:rsid w:val="000D4DB6"/>
    <w:rsid w:val="00126040"/>
    <w:rsid w:val="001570EE"/>
    <w:rsid w:val="0016537D"/>
    <w:rsid w:val="00166830"/>
    <w:rsid w:val="00184436"/>
    <w:rsid w:val="00191923"/>
    <w:rsid w:val="00273D0E"/>
    <w:rsid w:val="00291EA9"/>
    <w:rsid w:val="002D41BC"/>
    <w:rsid w:val="0034303D"/>
    <w:rsid w:val="003609AB"/>
    <w:rsid w:val="00365590"/>
    <w:rsid w:val="00387944"/>
    <w:rsid w:val="003A38AD"/>
    <w:rsid w:val="003A5496"/>
    <w:rsid w:val="003F3AAF"/>
    <w:rsid w:val="004456D6"/>
    <w:rsid w:val="00451AD1"/>
    <w:rsid w:val="00461784"/>
    <w:rsid w:val="0049339F"/>
    <w:rsid w:val="004B5EC7"/>
    <w:rsid w:val="004B7922"/>
    <w:rsid w:val="0056155C"/>
    <w:rsid w:val="00597D6F"/>
    <w:rsid w:val="005A725B"/>
    <w:rsid w:val="00625FEA"/>
    <w:rsid w:val="006654F5"/>
    <w:rsid w:val="006747F6"/>
    <w:rsid w:val="00674DD9"/>
    <w:rsid w:val="00680315"/>
    <w:rsid w:val="00683F09"/>
    <w:rsid w:val="00693EAD"/>
    <w:rsid w:val="006B32F7"/>
    <w:rsid w:val="006E1200"/>
    <w:rsid w:val="00722512"/>
    <w:rsid w:val="0073400C"/>
    <w:rsid w:val="0073549F"/>
    <w:rsid w:val="007450C2"/>
    <w:rsid w:val="00745639"/>
    <w:rsid w:val="007A4208"/>
    <w:rsid w:val="007D3829"/>
    <w:rsid w:val="007F3A1D"/>
    <w:rsid w:val="00822078"/>
    <w:rsid w:val="00876047"/>
    <w:rsid w:val="00884BCE"/>
    <w:rsid w:val="00892410"/>
    <w:rsid w:val="008B45D5"/>
    <w:rsid w:val="008C2B8D"/>
    <w:rsid w:val="008C4447"/>
    <w:rsid w:val="008D6794"/>
    <w:rsid w:val="008D73EE"/>
    <w:rsid w:val="009348C0"/>
    <w:rsid w:val="009534CE"/>
    <w:rsid w:val="00974909"/>
    <w:rsid w:val="00994670"/>
    <w:rsid w:val="009A0504"/>
    <w:rsid w:val="009C7013"/>
    <w:rsid w:val="009F5464"/>
    <w:rsid w:val="00A35219"/>
    <w:rsid w:val="00AA26C4"/>
    <w:rsid w:val="00AC5178"/>
    <w:rsid w:val="00AD0AC2"/>
    <w:rsid w:val="00B31A59"/>
    <w:rsid w:val="00B462D1"/>
    <w:rsid w:val="00B47B74"/>
    <w:rsid w:val="00B5274B"/>
    <w:rsid w:val="00B55179"/>
    <w:rsid w:val="00B732FF"/>
    <w:rsid w:val="00B7461E"/>
    <w:rsid w:val="00B813CF"/>
    <w:rsid w:val="00BA67E7"/>
    <w:rsid w:val="00BB7146"/>
    <w:rsid w:val="00BC1841"/>
    <w:rsid w:val="00BD7F31"/>
    <w:rsid w:val="00BF2D88"/>
    <w:rsid w:val="00C345F2"/>
    <w:rsid w:val="00C3648D"/>
    <w:rsid w:val="00C824A9"/>
    <w:rsid w:val="00C84009"/>
    <w:rsid w:val="00D3227C"/>
    <w:rsid w:val="00D35683"/>
    <w:rsid w:val="00D357C2"/>
    <w:rsid w:val="00D550B3"/>
    <w:rsid w:val="00DD2B94"/>
    <w:rsid w:val="00E37606"/>
    <w:rsid w:val="00E47E71"/>
    <w:rsid w:val="00E53CCB"/>
    <w:rsid w:val="00ED3BDE"/>
    <w:rsid w:val="00F23F5D"/>
    <w:rsid w:val="00F27ECC"/>
    <w:rsid w:val="00F50EC0"/>
    <w:rsid w:val="00FC6606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ards.Gulbis@k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Likumprojekta „Grozījums Autortiesību likumā” sākotnējās ietekmes novērtējuma ziņojums (anotācija)</vt:lpstr>
    </vt:vector>
  </TitlesOfParts>
  <Manager>G.Puķītis</Manager>
  <Company>LR Kultūras Ministrija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„Grozījums Autortiesību likumā” sākotnējās ietekmes novērtējuma ziņojums (anotācija)</dc:title>
  <dc:subject>KMAnot_190713_ALgroz_VSS-999</dc:subject>
  <dc:creator>Rihards Gulbis</dc:creator>
  <dc:description>Rihards.Gulbis@km.gov.lv
67330211</dc:description>
  <cp:lastModifiedBy>inesed</cp:lastModifiedBy>
  <cp:revision>6</cp:revision>
  <dcterms:created xsi:type="dcterms:W3CDTF">2013-07-19T07:09:00Z</dcterms:created>
  <dcterms:modified xsi:type="dcterms:W3CDTF">2013-07-19T12:29:00Z</dcterms:modified>
</cp:coreProperties>
</file>