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50" w:rsidRDefault="00554850" w:rsidP="00554850">
      <w:pPr>
        <w:jc w:val="center"/>
        <w:rPr>
          <w:b/>
          <w:sz w:val="28"/>
          <w:szCs w:val="28"/>
        </w:rPr>
      </w:pPr>
      <w:bookmarkStart w:id="0" w:name="OLE_LINK9"/>
      <w:bookmarkStart w:id="1" w:name="OLE_LINK10"/>
      <w:r w:rsidRPr="00F95433">
        <w:rPr>
          <w:b/>
          <w:sz w:val="28"/>
          <w:szCs w:val="28"/>
        </w:rPr>
        <w:t xml:space="preserve">Ministru kabineta noteikumu </w:t>
      </w:r>
      <w:r>
        <w:rPr>
          <w:b/>
          <w:sz w:val="28"/>
          <w:szCs w:val="28"/>
        </w:rPr>
        <w:t xml:space="preserve">projekta </w:t>
      </w:r>
    </w:p>
    <w:p w:rsidR="00554850" w:rsidRDefault="00554850" w:rsidP="00554850">
      <w:pPr>
        <w:jc w:val="center"/>
        <w:rPr>
          <w:b/>
          <w:bCs/>
          <w:sz w:val="28"/>
          <w:szCs w:val="28"/>
        </w:rPr>
      </w:pPr>
      <w:r w:rsidRPr="00F95433">
        <w:rPr>
          <w:b/>
          <w:sz w:val="28"/>
          <w:szCs w:val="28"/>
        </w:rPr>
        <w:t>„</w:t>
      </w:r>
      <w:r w:rsidRPr="00F95433">
        <w:rPr>
          <w:b/>
          <w:bCs/>
          <w:sz w:val="28"/>
          <w:szCs w:val="28"/>
          <w:lang w:eastAsia="lv-LV"/>
        </w:rPr>
        <w:t xml:space="preserve">Kārtība, kādā pašvaldībām tiek aprēķināta un sadalīta </w:t>
      </w:r>
      <w:r w:rsidRPr="00F95433">
        <w:rPr>
          <w:b/>
          <w:color w:val="000000"/>
          <w:sz w:val="28"/>
          <w:szCs w:val="28"/>
          <w:shd w:val="clear" w:color="auto" w:fill="FFFFFF"/>
        </w:rPr>
        <w:t>valsts budžeta mērķdotācija māksliniecisko kolektīvu vadītāju darba samaksai un valsts sociālās apdrošināšanas obligātajām iemaksām</w:t>
      </w:r>
      <w:r>
        <w:rPr>
          <w:b/>
          <w:sz w:val="28"/>
          <w:szCs w:val="28"/>
        </w:rPr>
        <w:t>”</w:t>
      </w:r>
      <w:r w:rsidRPr="00F95433">
        <w:rPr>
          <w:b/>
          <w:sz w:val="28"/>
          <w:szCs w:val="28"/>
        </w:rPr>
        <w:t xml:space="preserve"> </w:t>
      </w:r>
      <w:r w:rsidRPr="00F95433">
        <w:rPr>
          <w:b/>
          <w:bCs/>
          <w:sz w:val="28"/>
          <w:szCs w:val="28"/>
        </w:rPr>
        <w:t>sākotnējās ietekmes novērtējuma ziņojums (anotācija)</w:t>
      </w:r>
    </w:p>
    <w:bookmarkEnd w:id="0"/>
    <w:bookmarkEnd w:id="1"/>
    <w:p w:rsidR="00427449" w:rsidRPr="00F95433" w:rsidRDefault="00427449" w:rsidP="00554850">
      <w:pPr>
        <w:jc w:val="center"/>
        <w:rPr>
          <w:b/>
          <w:color w:val="0D0D0D"/>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554850" w:rsidRPr="001D0A49" w:rsidTr="00427449">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54850" w:rsidRPr="001D0A49" w:rsidRDefault="00554850" w:rsidP="00427449">
            <w:pPr>
              <w:spacing w:before="100" w:beforeAutospacing="1" w:after="100" w:afterAutospacing="1"/>
              <w:jc w:val="center"/>
              <w:rPr>
                <w:sz w:val="28"/>
                <w:szCs w:val="28"/>
              </w:rPr>
            </w:pPr>
            <w:bookmarkStart w:id="2" w:name="OLE_LINK3"/>
            <w:bookmarkStart w:id="3" w:name="OLE_LINK1"/>
            <w:bookmarkStart w:id="4" w:name="OLE_LINK2"/>
            <w:bookmarkStart w:id="5" w:name="OLE_LINK4"/>
            <w:r w:rsidRPr="001D0A49">
              <w:rPr>
                <w:b/>
                <w:bCs/>
                <w:sz w:val="28"/>
                <w:szCs w:val="28"/>
              </w:rPr>
              <w:t>I. Tiesību akta projekta izstrādes nepieciešamība</w:t>
            </w:r>
          </w:p>
        </w:tc>
      </w:tr>
      <w:tr w:rsidR="00554850" w:rsidRPr="001D0A49" w:rsidTr="00427449">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1.</w:t>
            </w:r>
          </w:p>
        </w:tc>
        <w:tc>
          <w:tcPr>
            <w:tcW w:w="2976"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tcPr>
          <w:p w:rsidR="00554850" w:rsidRPr="00680FD0" w:rsidRDefault="00554850" w:rsidP="00427449">
            <w:pPr>
              <w:ind w:firstLine="357"/>
              <w:jc w:val="both"/>
              <w:rPr>
                <w:iCs/>
                <w:sz w:val="28"/>
                <w:szCs w:val="28"/>
                <w:shd w:val="clear" w:color="auto" w:fill="FFFFFF"/>
              </w:rPr>
            </w:pPr>
            <w:r>
              <w:rPr>
                <w:sz w:val="28"/>
                <w:szCs w:val="28"/>
              </w:rPr>
              <w:t>Ministru kabineta noteikumu projekts „Kārtība, kādā pašvaldībām tiek aprēķināta un sadalīta valsts budžeta mērķdotācija māksliniecisko kolektīvu vadītāju darba samaksai un valsts sociālās apdrošināšanas obligātajām iemaksām</w:t>
            </w:r>
            <w:r w:rsidRPr="00A61262">
              <w:rPr>
                <w:sz w:val="28"/>
                <w:szCs w:val="28"/>
              </w:rPr>
              <w:t xml:space="preserve">” (turpmāk – Projekts) izstrādāts, pamatojoties uz Dziesmu un deju svētku likuma </w:t>
            </w:r>
            <w:r>
              <w:rPr>
                <w:sz w:val="28"/>
                <w:szCs w:val="28"/>
              </w:rPr>
              <w:t>7.panta pirmās daļas 7.punktu.</w:t>
            </w:r>
          </w:p>
        </w:tc>
      </w:tr>
      <w:tr w:rsidR="00554850" w:rsidRPr="001D0A49" w:rsidTr="00427449">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2.</w:t>
            </w:r>
          </w:p>
        </w:tc>
        <w:tc>
          <w:tcPr>
            <w:tcW w:w="2976"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554850" w:rsidRDefault="00554850" w:rsidP="00427449">
            <w:pPr>
              <w:pStyle w:val="Pamatteksts"/>
              <w:spacing w:before="0" w:beforeAutospacing="0" w:after="0" w:afterAutospacing="0"/>
              <w:ind w:firstLine="357"/>
              <w:jc w:val="both"/>
              <w:rPr>
                <w:sz w:val="28"/>
                <w:szCs w:val="28"/>
              </w:rPr>
            </w:pPr>
            <w:r w:rsidRPr="00D44FAB">
              <w:rPr>
                <w:sz w:val="28"/>
                <w:szCs w:val="28"/>
              </w:rPr>
              <w:t>Valsts uzdevums ir nodrošināt kvalitatīvu un laicīgu kārtējo Dzie</w:t>
            </w:r>
            <w:r>
              <w:rPr>
                <w:sz w:val="28"/>
                <w:szCs w:val="28"/>
              </w:rPr>
              <w:t xml:space="preserve">smu un deju svētku sagatavošanu, kā arī </w:t>
            </w:r>
            <w:r w:rsidRPr="00D44FAB">
              <w:rPr>
                <w:sz w:val="28"/>
                <w:szCs w:val="28"/>
              </w:rPr>
              <w:t>stiprināt Dziesmu un d</w:t>
            </w:r>
            <w:r>
              <w:rPr>
                <w:sz w:val="28"/>
                <w:szCs w:val="28"/>
              </w:rPr>
              <w:t>eju svētku tradīcijas ilgtspēju, kuras nozīmīgs faktors ir saturā daudzveidīga māksliniecisko kolektīvu regulāra un nepārtraukta darbība Latvijas pilsētās un novados, kas izpaužas līdzdalībā svētku starplaikā rīkotajos pasākumos, kā arī apgūstot noteikto svētku repertuāru, t.sk. koprepertuāru.</w:t>
            </w:r>
          </w:p>
          <w:p w:rsidR="00554850" w:rsidRDefault="00554850" w:rsidP="00427449">
            <w:pPr>
              <w:pStyle w:val="Pamatteksts"/>
              <w:spacing w:before="0" w:beforeAutospacing="0" w:after="0" w:afterAutospacing="0"/>
              <w:ind w:firstLine="357"/>
              <w:jc w:val="both"/>
              <w:rPr>
                <w:sz w:val="28"/>
                <w:szCs w:val="28"/>
              </w:rPr>
            </w:pPr>
            <w:r>
              <w:rPr>
                <w:sz w:val="28"/>
                <w:szCs w:val="28"/>
              </w:rPr>
              <w:t>Vispārējiem latviešu Dziesmu un Deju svētkiem, kas notiks 2013.gada vasarā, šobrīd gatavojas vairāk nekā 1600 mākslinieciskie kolektīvi. K</w:t>
            </w:r>
            <w:r w:rsidRPr="000D3BC9">
              <w:rPr>
                <w:sz w:val="28"/>
                <w:szCs w:val="28"/>
              </w:rPr>
              <w:t>ori, tautas deju kolektīvi un pūtēju orķestri gatavo noteikt</w:t>
            </w:r>
            <w:r>
              <w:rPr>
                <w:sz w:val="28"/>
                <w:szCs w:val="28"/>
              </w:rPr>
              <w:t>o</w:t>
            </w:r>
            <w:r w:rsidRPr="000D3BC9">
              <w:rPr>
                <w:sz w:val="28"/>
                <w:szCs w:val="28"/>
              </w:rPr>
              <w:t xml:space="preserve"> </w:t>
            </w:r>
            <w:r>
              <w:rPr>
                <w:sz w:val="28"/>
                <w:szCs w:val="28"/>
              </w:rPr>
              <w:t xml:space="preserve">svētku </w:t>
            </w:r>
            <w:r w:rsidRPr="000D3BC9">
              <w:rPr>
                <w:sz w:val="28"/>
                <w:szCs w:val="28"/>
              </w:rPr>
              <w:t xml:space="preserve">repertuāru </w:t>
            </w:r>
            <w:r>
              <w:rPr>
                <w:sz w:val="28"/>
                <w:szCs w:val="28"/>
              </w:rPr>
              <w:t>(koprepertuāru), kas tiek regulāri pārbaudīts kopmēģinājumos, modelēšanas koncertos un citos svētku starplaika pasākumos.</w:t>
            </w:r>
            <w:r w:rsidRPr="000D3BC9">
              <w:rPr>
                <w:sz w:val="28"/>
                <w:szCs w:val="28"/>
              </w:rPr>
              <w:t xml:space="preserve"> F</w:t>
            </w:r>
            <w:r>
              <w:rPr>
                <w:sz w:val="28"/>
                <w:szCs w:val="28"/>
              </w:rPr>
              <w:t xml:space="preserve">olkloras kopas, </w:t>
            </w:r>
            <w:r w:rsidRPr="000D3BC9">
              <w:rPr>
                <w:sz w:val="28"/>
                <w:szCs w:val="28"/>
              </w:rPr>
              <w:t>etnogrāfiskie ansamb</w:t>
            </w:r>
            <w:r>
              <w:rPr>
                <w:sz w:val="28"/>
                <w:szCs w:val="28"/>
              </w:rPr>
              <w:t xml:space="preserve">ļi, tautas mūzikas grupas, </w:t>
            </w:r>
            <w:r w:rsidRPr="000D3BC9">
              <w:rPr>
                <w:sz w:val="28"/>
                <w:szCs w:val="28"/>
              </w:rPr>
              <w:t>koklētāju ansambļi, amatierteātri un vokālie ansambļi gatavo</w:t>
            </w:r>
            <w:r>
              <w:rPr>
                <w:sz w:val="28"/>
                <w:szCs w:val="28"/>
              </w:rPr>
              <w:t xml:space="preserve"> noteikto</w:t>
            </w:r>
            <w:r w:rsidRPr="000D3BC9">
              <w:rPr>
                <w:sz w:val="28"/>
                <w:szCs w:val="28"/>
              </w:rPr>
              <w:t xml:space="preserve"> repertuāru mākslinieciskajām programmām, kas tiks izpi</w:t>
            </w:r>
            <w:r>
              <w:rPr>
                <w:sz w:val="28"/>
                <w:szCs w:val="28"/>
              </w:rPr>
              <w:t>ldītas dažādos pasākumos svētku laikā un piedalās svētku starplaika pasākumos.</w:t>
            </w:r>
            <w:r w:rsidRPr="000D3BC9">
              <w:rPr>
                <w:sz w:val="28"/>
                <w:szCs w:val="28"/>
              </w:rPr>
              <w:t xml:space="preserve"> Tautas lietišķās mākslas studijas gatavo tautas lietišķās mākslas priekšmet</w:t>
            </w:r>
            <w:r>
              <w:rPr>
                <w:sz w:val="28"/>
                <w:szCs w:val="28"/>
              </w:rPr>
              <w:t xml:space="preserve">us un piedalās svētku starplaikā </w:t>
            </w:r>
            <w:r w:rsidRPr="000D3BC9">
              <w:rPr>
                <w:sz w:val="28"/>
                <w:szCs w:val="28"/>
              </w:rPr>
              <w:t xml:space="preserve"> </w:t>
            </w:r>
            <w:r>
              <w:rPr>
                <w:sz w:val="28"/>
                <w:szCs w:val="28"/>
              </w:rPr>
              <w:t xml:space="preserve">rīkotajās izstādēs un </w:t>
            </w:r>
            <w:r w:rsidRPr="000D3BC9">
              <w:rPr>
                <w:sz w:val="28"/>
                <w:szCs w:val="28"/>
              </w:rPr>
              <w:t xml:space="preserve">svētku </w:t>
            </w:r>
            <w:r>
              <w:rPr>
                <w:sz w:val="28"/>
                <w:szCs w:val="28"/>
              </w:rPr>
              <w:t xml:space="preserve">tautas lietišķās </w:t>
            </w:r>
            <w:r>
              <w:rPr>
                <w:sz w:val="28"/>
                <w:szCs w:val="28"/>
              </w:rPr>
              <w:lastRenderedPageBreak/>
              <w:t xml:space="preserve">mākslas </w:t>
            </w:r>
            <w:r w:rsidRPr="000D3BC9">
              <w:rPr>
                <w:sz w:val="28"/>
                <w:szCs w:val="28"/>
              </w:rPr>
              <w:t>izstādes atlases skatēs.</w:t>
            </w:r>
          </w:p>
          <w:p w:rsidR="00554850" w:rsidRPr="001E1D38" w:rsidRDefault="00554850" w:rsidP="00427449">
            <w:pPr>
              <w:ind w:firstLine="360"/>
              <w:jc w:val="both"/>
              <w:rPr>
                <w:iCs/>
                <w:color w:val="FF0000"/>
                <w:sz w:val="28"/>
                <w:szCs w:val="28"/>
                <w:lang w:eastAsia="lv-LV"/>
              </w:rPr>
            </w:pPr>
            <w:r>
              <w:rPr>
                <w:sz w:val="28"/>
                <w:szCs w:val="28"/>
              </w:rPr>
              <w:t xml:space="preserve">Dziesmu un deju svētku likuma </w:t>
            </w:r>
            <w:r w:rsidRPr="008E3743">
              <w:rPr>
                <w:sz w:val="28"/>
                <w:szCs w:val="28"/>
              </w:rPr>
              <w:t>7.panta pirmās daļas 7.punktā noteikts, ka Ministru kabinets nosaka kārtību, kādā tiek sadalīta valsts mērķdotācija kolektīvu vadītāju darba samaksai un sociālā nodokļa samaksai, kā arī sadalīšanas kritērijus un 9.panta otrās daļas 9.punktā noteikts, ka valsts budžeta līdzekļi kārtējo Dziesmu un deju svētku starplaikā tiek izm</w:t>
            </w:r>
            <w:r>
              <w:rPr>
                <w:sz w:val="28"/>
                <w:szCs w:val="28"/>
              </w:rPr>
              <w:t>antoti valsts mērķdotācijai kolektīvu vadītāju darba samaksai un sociālā nodokļa samaksai.</w:t>
            </w:r>
            <w:r>
              <w:rPr>
                <w:iCs/>
                <w:color w:val="000000"/>
                <w:sz w:val="28"/>
                <w:szCs w:val="28"/>
                <w:lang w:eastAsia="lv-LV"/>
              </w:rPr>
              <w:t xml:space="preserve"> </w:t>
            </w:r>
          </w:p>
          <w:p w:rsidR="00554850" w:rsidRPr="00F91D33" w:rsidRDefault="00554850" w:rsidP="00427449">
            <w:pPr>
              <w:ind w:firstLine="360"/>
              <w:jc w:val="both"/>
              <w:rPr>
                <w:sz w:val="28"/>
                <w:szCs w:val="28"/>
                <w:lang w:eastAsia="lv-LV"/>
              </w:rPr>
            </w:pPr>
            <w:r>
              <w:rPr>
                <w:iCs/>
                <w:color w:val="000000"/>
                <w:sz w:val="28"/>
                <w:szCs w:val="28"/>
                <w:lang w:eastAsia="lv-LV"/>
              </w:rPr>
              <w:t xml:space="preserve">Projektā tiks noteikts, ka valsts budžeta </w:t>
            </w:r>
            <w:r>
              <w:rPr>
                <w:sz w:val="28"/>
                <w:szCs w:val="28"/>
                <w:lang w:eastAsia="lv-LV"/>
              </w:rPr>
              <w:t>mērķdotāciju</w:t>
            </w:r>
            <w:r w:rsidRPr="00B86C5E">
              <w:rPr>
                <w:sz w:val="28"/>
                <w:szCs w:val="28"/>
                <w:lang w:eastAsia="lv-LV"/>
              </w:rPr>
              <w:t xml:space="preserve"> piešķir pašvaldībai</w:t>
            </w:r>
            <w:r>
              <w:rPr>
                <w:sz w:val="28"/>
                <w:szCs w:val="28"/>
                <w:lang w:eastAsia="lv-LV"/>
              </w:rPr>
              <w:t xml:space="preserve"> māksliniecisko kolektīvu vadītāju darba samaksai un valsts sociālās apdrošināšanas obligātajām iemaksām,  ja to vadītie kolektīvi </w:t>
            </w:r>
            <w:r w:rsidRPr="00460008">
              <w:rPr>
                <w:sz w:val="28"/>
                <w:szCs w:val="28"/>
                <w:lang w:eastAsia="lv-LV"/>
              </w:rPr>
              <w:t>ir noteikti Dziesmu un deju svētku likumā un gatavo kārtējiem Vispārējiem latviešu dziesmu un deju svētkiem noteikto repertuāru (koprepertuāru) vai ja to vadītie kolektīvi ir noteikti Dziesmu un deju svētku likumā, gatavo kārtējiem</w:t>
            </w:r>
            <w:r w:rsidRPr="0088028D">
              <w:rPr>
                <w:sz w:val="28"/>
                <w:szCs w:val="28"/>
                <w:lang w:eastAsia="lv-LV"/>
              </w:rPr>
              <w:t xml:space="preserve"> Vispārējiem latviešu dziesmu un deju svētkiem </w:t>
            </w:r>
            <w:r>
              <w:rPr>
                <w:sz w:val="28"/>
                <w:szCs w:val="28"/>
              </w:rPr>
              <w:t>noteikto</w:t>
            </w:r>
            <w:r w:rsidRPr="000D3BC9">
              <w:rPr>
                <w:sz w:val="28"/>
                <w:szCs w:val="28"/>
              </w:rPr>
              <w:t xml:space="preserve"> repertuāru </w:t>
            </w:r>
            <w:r w:rsidRPr="0088028D">
              <w:rPr>
                <w:sz w:val="28"/>
                <w:szCs w:val="28"/>
                <w:lang w:eastAsia="lv-LV"/>
              </w:rPr>
              <w:t xml:space="preserve">un vismaz reizi </w:t>
            </w:r>
            <w:r w:rsidRPr="000D3BC9">
              <w:rPr>
                <w:sz w:val="28"/>
                <w:szCs w:val="28"/>
                <w:lang w:eastAsia="lv-LV"/>
              </w:rPr>
              <w:t>gadā</w:t>
            </w:r>
            <w:r w:rsidRPr="0088028D">
              <w:rPr>
                <w:sz w:val="28"/>
                <w:szCs w:val="28"/>
                <w:lang w:eastAsia="lv-LV"/>
              </w:rPr>
              <w:t xml:space="preserve"> </w:t>
            </w:r>
            <w:r>
              <w:rPr>
                <w:sz w:val="28"/>
                <w:szCs w:val="28"/>
                <w:lang w:eastAsia="lv-LV"/>
              </w:rPr>
              <w:t xml:space="preserve">ir </w:t>
            </w:r>
            <w:r w:rsidRPr="0088028D">
              <w:rPr>
                <w:sz w:val="28"/>
                <w:szCs w:val="28"/>
                <w:lang w:eastAsia="lv-LV"/>
              </w:rPr>
              <w:t>piedalījušies D</w:t>
            </w:r>
            <w:r>
              <w:rPr>
                <w:sz w:val="28"/>
                <w:szCs w:val="28"/>
                <w:lang w:eastAsia="lv-LV"/>
              </w:rPr>
              <w:t>ziesmu un deju svētku starplaika</w:t>
            </w:r>
            <w:r w:rsidRPr="0088028D">
              <w:rPr>
                <w:sz w:val="28"/>
                <w:szCs w:val="28"/>
                <w:lang w:eastAsia="lv-LV"/>
              </w:rPr>
              <w:t xml:space="preserve"> pasākumos.</w:t>
            </w:r>
            <w:r>
              <w:rPr>
                <w:sz w:val="28"/>
                <w:szCs w:val="28"/>
                <w:lang w:eastAsia="lv-LV"/>
              </w:rPr>
              <w:t xml:space="preserve"> </w:t>
            </w:r>
          </w:p>
        </w:tc>
      </w:tr>
      <w:tr w:rsidR="00554850" w:rsidRPr="001D0A49" w:rsidTr="00427449">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lastRenderedPageBreak/>
              <w:t> 3.</w:t>
            </w:r>
          </w:p>
        </w:tc>
        <w:tc>
          <w:tcPr>
            <w:tcW w:w="2976"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ind w:right="57"/>
              <w:rPr>
                <w:sz w:val="28"/>
                <w:szCs w:val="28"/>
              </w:rPr>
            </w:pPr>
            <w:r>
              <w:rPr>
                <w:sz w:val="28"/>
                <w:szCs w:val="28"/>
              </w:rPr>
              <w:t xml:space="preserve"> Projekts šo jomu neskar.</w:t>
            </w:r>
          </w:p>
        </w:tc>
      </w:tr>
      <w:tr w:rsidR="00554850" w:rsidRPr="001D0A49" w:rsidTr="00427449">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4.</w:t>
            </w:r>
          </w:p>
        </w:tc>
        <w:tc>
          <w:tcPr>
            <w:tcW w:w="2976"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554850" w:rsidRPr="008E3743" w:rsidRDefault="00554850" w:rsidP="00427449">
            <w:pPr>
              <w:ind w:right="34" w:firstLine="357"/>
              <w:jc w:val="both"/>
              <w:rPr>
                <w:sz w:val="28"/>
                <w:szCs w:val="28"/>
              </w:rPr>
            </w:pPr>
            <w:r w:rsidRPr="008E3743">
              <w:rPr>
                <w:sz w:val="28"/>
                <w:szCs w:val="28"/>
              </w:rPr>
              <w:t xml:space="preserve">Projekts sagatavots, lai noteiktu, ka no 2013.gada 1.janvāra no valsts budžeta tiek piešķirta valsts mērķdotācija māksliniecisko kolektīvu vadītāju darba samaksai un valsts sociālās apdrošināšanas obligātajām iemaksām. </w:t>
            </w:r>
          </w:p>
          <w:p w:rsidR="00554850" w:rsidRDefault="00554850" w:rsidP="00427449">
            <w:pPr>
              <w:ind w:right="34" w:firstLine="357"/>
              <w:jc w:val="both"/>
              <w:rPr>
                <w:sz w:val="28"/>
                <w:szCs w:val="28"/>
                <w:lang w:eastAsia="lv-LV"/>
              </w:rPr>
            </w:pPr>
            <w:r w:rsidRPr="008E3743">
              <w:rPr>
                <w:sz w:val="28"/>
                <w:szCs w:val="28"/>
              </w:rPr>
              <w:t xml:space="preserve">Projektā noteikta formula mērķdotācijas apmēra katrai pašvaldībai aprēķinam, kurā izšķir divus kolektīvu veidus: kolektīvi, kuri </w:t>
            </w:r>
            <w:r w:rsidRPr="008E3743">
              <w:rPr>
                <w:sz w:val="28"/>
                <w:szCs w:val="28"/>
                <w:lang w:eastAsia="lv-LV"/>
              </w:rPr>
              <w:t xml:space="preserve">ir noteikti Dziesmu un deju svētku likumā (kori, tautas deju kolektīvi un pūtēju orķestri) un gatavo kārtējiem Vispārējiem latviešu dziesmu un deju svētkiem noteikto repertuāru (koprepertuāru) un kolektīvi, kuri ir noteikti Dziesmu un deju svētku likumā </w:t>
            </w:r>
            <w:r w:rsidRPr="008E3743">
              <w:rPr>
                <w:sz w:val="28"/>
                <w:szCs w:val="28"/>
                <w:lang w:eastAsia="lv-LV"/>
              </w:rPr>
              <w:lastRenderedPageBreak/>
              <w:t>(</w:t>
            </w:r>
            <w:r w:rsidRPr="008E3743">
              <w:rPr>
                <w:sz w:val="28"/>
                <w:szCs w:val="28"/>
              </w:rPr>
              <w:t>folkloras kopas, etnogrāfiskie ansambļi, tautas</w:t>
            </w:r>
            <w:r w:rsidRPr="0055195F">
              <w:rPr>
                <w:color w:val="4F81BD" w:themeColor="accent1"/>
                <w:sz w:val="28"/>
                <w:szCs w:val="28"/>
              </w:rPr>
              <w:t xml:space="preserve"> </w:t>
            </w:r>
            <w:r w:rsidRPr="008E3743">
              <w:rPr>
                <w:sz w:val="28"/>
                <w:szCs w:val="28"/>
              </w:rPr>
              <w:t>mūzikas grupas, koklētāju ansambļi, amatierteātri un vokālie ansambļi</w:t>
            </w:r>
            <w:r w:rsidRPr="008E3743">
              <w:rPr>
                <w:sz w:val="28"/>
                <w:szCs w:val="28"/>
                <w:lang w:eastAsia="lv-LV"/>
              </w:rPr>
              <w:t>), gatavo</w:t>
            </w:r>
            <w:r w:rsidRPr="00460008">
              <w:rPr>
                <w:sz w:val="28"/>
                <w:szCs w:val="28"/>
                <w:lang w:eastAsia="lv-LV"/>
              </w:rPr>
              <w:t xml:space="preserve"> kārtējiem Vispārējiem</w:t>
            </w:r>
            <w:r w:rsidRPr="002B2695">
              <w:rPr>
                <w:sz w:val="28"/>
                <w:szCs w:val="28"/>
                <w:lang w:eastAsia="lv-LV"/>
              </w:rPr>
              <w:t xml:space="preserve"> latviešu dziesmu un deju svētkiem </w:t>
            </w:r>
            <w:r>
              <w:rPr>
                <w:sz w:val="28"/>
                <w:szCs w:val="28"/>
                <w:lang w:eastAsia="lv-LV"/>
              </w:rPr>
              <w:t xml:space="preserve">noteikto repertuāru </w:t>
            </w:r>
            <w:r w:rsidRPr="002B2695">
              <w:rPr>
                <w:sz w:val="28"/>
                <w:szCs w:val="28"/>
                <w:lang w:eastAsia="lv-LV"/>
              </w:rPr>
              <w:t xml:space="preserve">un vismaz reizi gadā </w:t>
            </w:r>
            <w:r>
              <w:rPr>
                <w:sz w:val="28"/>
                <w:szCs w:val="28"/>
                <w:lang w:eastAsia="lv-LV"/>
              </w:rPr>
              <w:t xml:space="preserve">ir </w:t>
            </w:r>
            <w:r w:rsidRPr="002B2695">
              <w:rPr>
                <w:sz w:val="28"/>
                <w:szCs w:val="28"/>
                <w:lang w:eastAsia="lv-LV"/>
              </w:rPr>
              <w:t>piedalījušies Dziesmu un deju svētku starplaika pasākumos</w:t>
            </w:r>
            <w:r>
              <w:rPr>
                <w:sz w:val="28"/>
                <w:szCs w:val="28"/>
                <w:lang w:eastAsia="lv-LV"/>
              </w:rPr>
              <w:t>.</w:t>
            </w:r>
          </w:p>
          <w:p w:rsidR="00F95C68" w:rsidRPr="00F95C68" w:rsidRDefault="00F95C68" w:rsidP="00427449">
            <w:pPr>
              <w:ind w:right="34" w:firstLine="357"/>
              <w:jc w:val="both"/>
              <w:rPr>
                <w:sz w:val="28"/>
                <w:szCs w:val="28"/>
                <w:lang w:eastAsia="lv-LV"/>
              </w:rPr>
            </w:pPr>
            <w:r w:rsidRPr="00F95C68">
              <w:rPr>
                <w:sz w:val="28"/>
                <w:szCs w:val="28"/>
              </w:rPr>
              <w:t xml:space="preserve">Dziesmu un deju svētku likuma 6.panta </w:t>
            </w:r>
            <w:r w:rsidRPr="00F95C68">
              <w:rPr>
                <w:color w:val="000000"/>
                <w:sz w:val="28"/>
                <w:szCs w:val="28"/>
                <w:shd w:val="clear" w:color="auto" w:fill="FFFFFF"/>
              </w:rPr>
              <w:t>pirmā daļa nosaka, ka Dziesmu un deju svētkiem gatavojas un tajos var piedalīties kori, tautas deju, folkloras un tautas mūzikas kopas (kolektīvi), pūtēju un simfoniskie orķestri, lietišķās mākslas studijas un amatierteātri u.c.</w:t>
            </w:r>
            <w:r w:rsidRPr="00F95C68">
              <w:rPr>
                <w:rStyle w:val="apple-converted-space"/>
                <w:color w:val="000000"/>
                <w:sz w:val="28"/>
                <w:szCs w:val="28"/>
                <w:shd w:val="clear" w:color="auto" w:fill="FFFFFF"/>
              </w:rPr>
              <w:t>, likuma uzskaitījums ir plašs un dod iespēju precizēt Dziesmu un deju svētku tradīcijā iesaistītos kolektīvus. Projektā ietvertie klasifikācijas kritēriji ir kritēriji, kuri izriet no Dziesmu un deju svētku likuma. Dziesmu un deju svētku likuma 9.panta otrās daļas 7.punkts nosaka, ka Dziesmu un deju svētku starplaikā notiek repertuāra apgūšanas kopmēģinājumi. Kopmēģinājumi ir paredzēti kolektīviem, kuri apgūst noteikto koprepertuāru, tādēļ šāds izdalījums Projektā ir korekts un atbilstošs Dziesmu un deju svētku likumam. Dziesmu un deju svētku likuma 5.pantā ir uzskaitīti pasākumi, kuri notiek svētku starplaikā, savukārt Dziesmu un deju svētku likuma 2.pants nosaka, ka likuma mērķis ir nodrošināt dziesmu un deju svētku ciklisku nepārtrauktu norisi,</w:t>
            </w:r>
            <w:r w:rsidR="00427449">
              <w:rPr>
                <w:rStyle w:val="apple-converted-space"/>
                <w:color w:val="000000"/>
                <w:sz w:val="28"/>
                <w:szCs w:val="28"/>
                <w:shd w:val="clear" w:color="auto" w:fill="FFFFFF"/>
              </w:rPr>
              <w:t xml:space="preserve"> </w:t>
            </w:r>
            <w:r w:rsidRPr="00F95C68">
              <w:rPr>
                <w:rStyle w:val="apple-converted-space"/>
                <w:color w:val="000000"/>
                <w:sz w:val="28"/>
                <w:szCs w:val="28"/>
                <w:shd w:val="clear" w:color="auto" w:fill="FFFFFF"/>
              </w:rPr>
              <w:t>no iepriekš minētā ir secināms, ka svarīgs tradīcijas uzturēšanas nosacījums ir nepārtraukta kolektīva dalība Dziesmu un deju svētku starplaika pasākumos, kas attiecīgi noteikta Projektā kā nosacījums vismaz reizi gadā piedalīties Dziesmu un deju svētku starplaika pasākumos.</w:t>
            </w:r>
          </w:p>
          <w:p w:rsidR="00F55379" w:rsidRDefault="00F55379" w:rsidP="00427449">
            <w:pPr>
              <w:ind w:firstLine="357"/>
              <w:jc w:val="both"/>
              <w:rPr>
                <w:sz w:val="28"/>
                <w:szCs w:val="28"/>
              </w:rPr>
            </w:pPr>
            <w:r>
              <w:rPr>
                <w:sz w:val="28"/>
                <w:szCs w:val="28"/>
              </w:rPr>
              <w:t xml:space="preserve">Kā atbildīgā institūcija Projektā noteikts </w:t>
            </w:r>
            <w:r w:rsidR="003B76BD">
              <w:rPr>
                <w:sz w:val="28"/>
                <w:szCs w:val="28"/>
              </w:rPr>
              <w:t>Kultūrizglītības un nemateriālā mantojuma</w:t>
            </w:r>
            <w:r>
              <w:rPr>
                <w:sz w:val="28"/>
                <w:szCs w:val="28"/>
              </w:rPr>
              <w:t xml:space="preserve"> centrs. 2012.gada 15.marta Valsts sekretāru sanāksmē tika izsludināts noteikumu projekts „Latvijas Nacionālā kultūras centra nolikums”, kas paredz precizēt Kultūras ministrijas padotības iestādes </w:t>
            </w:r>
            <w:r>
              <w:rPr>
                <w:sz w:val="28"/>
                <w:szCs w:val="28"/>
              </w:rPr>
              <w:lastRenderedPageBreak/>
              <w:t>Kultūrizglītības un nemateriālā mantojuma centra funkcijas uz uzdevumus, kā arī mainīt iestādes nosaukumu, noteikumu projekts atrodas saskaņošanas procesā. Ministru kabineta noteikumu projekts „Latvijas Nacionāla kultūras centra nolikums” stāsies spēkā 2013.gad</w:t>
            </w:r>
            <w:r w:rsidR="003B76BD">
              <w:rPr>
                <w:sz w:val="28"/>
                <w:szCs w:val="28"/>
              </w:rPr>
              <w:t>a 1.janvārī, tāpat kā Projekts.</w:t>
            </w:r>
          </w:p>
          <w:p w:rsidR="00554850" w:rsidRDefault="00554850" w:rsidP="00427449">
            <w:pPr>
              <w:ind w:firstLine="357"/>
              <w:jc w:val="both"/>
              <w:rPr>
                <w:sz w:val="28"/>
                <w:szCs w:val="28"/>
                <w:lang w:eastAsia="lv-LV"/>
              </w:rPr>
            </w:pPr>
            <w:r>
              <w:rPr>
                <w:sz w:val="28"/>
                <w:szCs w:val="28"/>
              </w:rPr>
              <w:t>Mērķdotācijas apmēra aprēķināšanai konkrētai pašvaldībai</w:t>
            </w:r>
            <w:r w:rsidR="00F95C68">
              <w:rPr>
                <w:sz w:val="28"/>
                <w:szCs w:val="28"/>
              </w:rPr>
              <w:t xml:space="preserve"> </w:t>
            </w:r>
            <w:r w:rsidR="003B76BD">
              <w:rPr>
                <w:sz w:val="28"/>
                <w:szCs w:val="28"/>
              </w:rPr>
              <w:t>Kultūrizglītības un nemateriālā mantojuma</w:t>
            </w:r>
            <w:r w:rsidR="00D55FC5">
              <w:rPr>
                <w:sz w:val="28"/>
                <w:szCs w:val="28"/>
              </w:rPr>
              <w:t xml:space="preserve"> centrs</w:t>
            </w:r>
            <w:r>
              <w:rPr>
                <w:sz w:val="28"/>
                <w:szCs w:val="28"/>
              </w:rPr>
              <w:t xml:space="preserve"> </w:t>
            </w:r>
            <w:r w:rsidRPr="00096087">
              <w:rPr>
                <w:sz w:val="28"/>
                <w:szCs w:val="28"/>
              </w:rPr>
              <w:t xml:space="preserve">izmanto </w:t>
            </w:r>
            <w:r w:rsidRPr="00096087">
              <w:rPr>
                <w:sz w:val="28"/>
                <w:szCs w:val="28"/>
                <w:lang w:eastAsia="lv-LV"/>
              </w:rPr>
              <w:t>pašvaldību sniegtos datus elektroniskajā datubāzē „Latvijas digitālā kultūras karte”</w:t>
            </w:r>
            <w:r>
              <w:rPr>
                <w:sz w:val="28"/>
                <w:szCs w:val="28"/>
                <w:lang w:eastAsia="lv-LV"/>
              </w:rPr>
              <w:t xml:space="preserve"> tīmekļa vietnē </w:t>
            </w:r>
            <w:r w:rsidRPr="004A1487">
              <w:rPr>
                <w:sz w:val="28"/>
                <w:szCs w:val="28"/>
                <w:lang w:eastAsia="lv-LV"/>
              </w:rPr>
              <w:t>www.kulturaskarte.lv</w:t>
            </w:r>
            <w:r w:rsidRPr="00314AE8">
              <w:rPr>
                <w:sz w:val="28"/>
                <w:szCs w:val="28"/>
                <w:lang w:eastAsia="lv-LV"/>
              </w:rPr>
              <w:t xml:space="preserve"> saskaņā ar </w:t>
            </w:r>
            <w:r w:rsidR="00427449" w:rsidRPr="00314AE8">
              <w:rPr>
                <w:sz w:val="28"/>
                <w:szCs w:val="28"/>
                <w:lang w:eastAsia="lv-LV"/>
              </w:rPr>
              <w:t xml:space="preserve">Ministru kabineta </w:t>
            </w:r>
            <w:r w:rsidRPr="00314AE8">
              <w:rPr>
                <w:sz w:val="28"/>
                <w:szCs w:val="28"/>
                <w:lang w:eastAsia="lv-LV"/>
              </w:rPr>
              <w:t>2009.gada 22.septembra noteikumiem Nr.1074 „Noteikumi par valsts statistikas apkopošanu kultūras jomā”</w:t>
            </w:r>
            <w:r>
              <w:rPr>
                <w:sz w:val="28"/>
                <w:szCs w:val="28"/>
                <w:lang w:eastAsia="lv-LV"/>
              </w:rPr>
              <w:t>.</w:t>
            </w:r>
          </w:p>
          <w:p w:rsidR="004A1487" w:rsidRDefault="00554850" w:rsidP="004A1487">
            <w:pPr>
              <w:ind w:firstLine="357"/>
              <w:jc w:val="both"/>
              <w:rPr>
                <w:sz w:val="28"/>
                <w:szCs w:val="28"/>
                <w:lang w:eastAsia="lv-LV"/>
              </w:rPr>
            </w:pPr>
            <w:r>
              <w:rPr>
                <w:sz w:val="28"/>
                <w:szCs w:val="28"/>
                <w:lang w:eastAsia="lv-LV"/>
              </w:rPr>
              <w:t>Koprepertuāra kolektīviem ir noteikts līdzdalības intensitātes koeficients</w:t>
            </w:r>
            <w:r w:rsidRPr="00D903F8">
              <w:rPr>
                <w:sz w:val="28"/>
                <w:szCs w:val="28"/>
                <w:lang w:eastAsia="lv-LV"/>
              </w:rPr>
              <w:t>, to iegūst dalot</w:t>
            </w:r>
            <w:r>
              <w:rPr>
                <w:sz w:val="28"/>
                <w:szCs w:val="28"/>
                <w:lang w:eastAsia="lv-LV"/>
              </w:rPr>
              <w:t xml:space="preserve"> </w:t>
            </w:r>
            <w:r>
              <w:rPr>
                <w:sz w:val="28"/>
                <w:szCs w:val="28"/>
              </w:rPr>
              <w:t>Vispārējo latviešu Dziesmu un deju svētku rīkotājinstitūcijas</w:t>
            </w:r>
            <w:r w:rsidRPr="00D903F8">
              <w:rPr>
                <w:b/>
                <w:sz w:val="28"/>
                <w:szCs w:val="28"/>
              </w:rPr>
              <w:t>-</w:t>
            </w:r>
            <w:r>
              <w:rPr>
                <w:sz w:val="28"/>
                <w:szCs w:val="28"/>
              </w:rPr>
              <w:t xml:space="preserve"> Kultūrizglītības un nemateriālā </w:t>
            </w:r>
            <w:r w:rsidRPr="00460008">
              <w:rPr>
                <w:sz w:val="28"/>
                <w:szCs w:val="28"/>
              </w:rPr>
              <w:t>mantojuma centra un pašvaldību kopīgi īstenoto Dziesmu un deju svētku starplaika pasākumu</w:t>
            </w:r>
            <w:r w:rsidRPr="00460008">
              <w:rPr>
                <w:sz w:val="28"/>
                <w:szCs w:val="28"/>
                <w:lang w:eastAsia="lv-LV"/>
              </w:rPr>
              <w:t xml:space="preserve"> </w:t>
            </w:r>
            <w:r w:rsidRPr="00460008">
              <w:rPr>
                <w:sz w:val="28"/>
                <w:szCs w:val="28"/>
              </w:rPr>
              <w:t xml:space="preserve">kopskaitu iepriekšējā gadā </w:t>
            </w:r>
            <w:r w:rsidRPr="00460008">
              <w:rPr>
                <w:sz w:val="28"/>
                <w:szCs w:val="28"/>
                <w:lang w:eastAsia="lv-LV"/>
              </w:rPr>
              <w:t xml:space="preserve">kolektīviem, kas noteikti Dziesmu un deju svētku likumā un </w:t>
            </w:r>
            <w:r w:rsidRPr="00460008">
              <w:rPr>
                <w:sz w:val="28"/>
                <w:szCs w:val="28"/>
              </w:rPr>
              <w:t xml:space="preserve">gatavo </w:t>
            </w:r>
            <w:r w:rsidRPr="00460008">
              <w:rPr>
                <w:sz w:val="28"/>
                <w:szCs w:val="28"/>
                <w:lang w:eastAsia="lv-LV"/>
              </w:rPr>
              <w:t xml:space="preserve">kārtējiem Vispārējiem latviešu dziesmu un deju svētkiem noteikto repertuāru (koprepertuāru), ar </w:t>
            </w:r>
            <w:r w:rsidRPr="00460008">
              <w:rPr>
                <w:sz w:val="28"/>
                <w:szCs w:val="28"/>
              </w:rPr>
              <w:t>Dziesmu un deju svētku starplaika pasākumu</w:t>
            </w:r>
            <w:r w:rsidRPr="00460008">
              <w:rPr>
                <w:sz w:val="28"/>
                <w:szCs w:val="28"/>
                <w:lang w:eastAsia="lv-LV"/>
              </w:rPr>
              <w:t xml:space="preserve"> </w:t>
            </w:r>
            <w:r w:rsidRPr="00460008">
              <w:rPr>
                <w:sz w:val="28"/>
                <w:szCs w:val="28"/>
              </w:rPr>
              <w:t>kopskaitu iepriekšējā gadā</w:t>
            </w:r>
            <w:r w:rsidRPr="00460008">
              <w:rPr>
                <w:sz w:val="28"/>
                <w:szCs w:val="28"/>
                <w:lang w:eastAsia="lv-LV"/>
              </w:rPr>
              <w:t xml:space="preserve"> kolektīviem, kas noteikti Dziesmu un deju svētku likumā</w:t>
            </w:r>
            <w:r w:rsidRPr="00D903F8">
              <w:rPr>
                <w:sz w:val="28"/>
                <w:szCs w:val="28"/>
                <w:lang w:eastAsia="lv-LV"/>
              </w:rPr>
              <w:t xml:space="preserve"> un </w:t>
            </w:r>
            <w:r w:rsidRPr="00D903F8">
              <w:rPr>
                <w:sz w:val="28"/>
                <w:szCs w:val="28"/>
              </w:rPr>
              <w:t xml:space="preserve">gatavo </w:t>
            </w:r>
            <w:r w:rsidRPr="00D903F8">
              <w:rPr>
                <w:sz w:val="28"/>
                <w:szCs w:val="28"/>
                <w:lang w:eastAsia="lv-LV"/>
              </w:rPr>
              <w:t>kārtējiem Vispārējiem latviešu dziesmu un deju svētkiem noteikto repertuāru un vismaz reizi gadā ir piedalījušies Dziesmu un deju svētku starplaika pasākumos.</w:t>
            </w:r>
          </w:p>
          <w:p w:rsidR="004A1487" w:rsidRPr="00861736" w:rsidRDefault="004A1487" w:rsidP="003B76BD">
            <w:pPr>
              <w:ind w:firstLine="357"/>
              <w:jc w:val="both"/>
              <w:rPr>
                <w:sz w:val="28"/>
                <w:szCs w:val="28"/>
                <w:lang w:eastAsia="lv-LV"/>
              </w:rPr>
            </w:pPr>
            <w:r>
              <w:rPr>
                <w:sz w:val="28"/>
                <w:szCs w:val="28"/>
                <w:lang w:eastAsia="lv-LV"/>
              </w:rPr>
              <w:t xml:space="preserve">Mērķdotācijas izmantošanu atbilstoši Projekta nosacījumiem atbildīgā institūcija </w:t>
            </w:r>
            <w:r w:rsidR="003B76BD">
              <w:rPr>
                <w:sz w:val="28"/>
                <w:szCs w:val="28"/>
                <w:lang w:eastAsia="lv-LV"/>
              </w:rPr>
              <w:t xml:space="preserve">Kultūrizglītības un nemateriālā mantojuma </w:t>
            </w:r>
            <w:r w:rsidR="00F55379">
              <w:rPr>
                <w:sz w:val="28"/>
                <w:szCs w:val="28"/>
                <w:lang w:eastAsia="lv-LV"/>
              </w:rPr>
              <w:t>centrs</w:t>
            </w:r>
            <w:r>
              <w:rPr>
                <w:sz w:val="28"/>
                <w:szCs w:val="28"/>
                <w:lang w:eastAsia="lv-LV"/>
              </w:rPr>
              <w:t xml:space="preserve"> kontrolēs izmantojot </w:t>
            </w:r>
            <w:r>
              <w:rPr>
                <w:color w:val="000000"/>
                <w:sz w:val="28"/>
                <w:szCs w:val="28"/>
                <w:lang w:eastAsia="lv-LV"/>
              </w:rPr>
              <w:t>ministriju, centrālo valsts iestāžu un pašvaldību pārskatu informācijas sistēmā pašvaldību iesniegto pārskatu par mērķdotācijas izlietojumu (Projekta</w:t>
            </w:r>
            <w:r w:rsidR="00427449">
              <w:rPr>
                <w:color w:val="000000"/>
                <w:sz w:val="28"/>
                <w:szCs w:val="28"/>
                <w:lang w:eastAsia="lv-LV"/>
              </w:rPr>
              <w:t xml:space="preserve"> pielikums</w:t>
            </w:r>
            <w:r>
              <w:rPr>
                <w:color w:val="000000"/>
                <w:sz w:val="28"/>
                <w:szCs w:val="28"/>
                <w:lang w:eastAsia="lv-LV"/>
              </w:rPr>
              <w:t xml:space="preserve">). Metodiskos norādījumus pašvaldībām par pārskata </w:t>
            </w:r>
            <w:r>
              <w:rPr>
                <w:color w:val="000000"/>
                <w:sz w:val="28"/>
                <w:szCs w:val="28"/>
                <w:lang w:eastAsia="lv-LV"/>
              </w:rPr>
              <w:lastRenderedPageBreak/>
              <w:t>aizpildīšanu izstrādās Valsts kase.</w:t>
            </w:r>
          </w:p>
        </w:tc>
      </w:tr>
      <w:tr w:rsidR="00554850" w:rsidRPr="001D0A49" w:rsidTr="00427449">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lastRenderedPageBreak/>
              <w:t> 5.</w:t>
            </w:r>
          </w:p>
        </w:tc>
        <w:tc>
          <w:tcPr>
            <w:tcW w:w="2976"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ind w:left="57" w:right="57" w:firstLine="357"/>
              <w:jc w:val="both"/>
              <w:rPr>
                <w:sz w:val="28"/>
                <w:szCs w:val="28"/>
              </w:rPr>
            </w:pPr>
            <w:r w:rsidRPr="001D0A49">
              <w:rPr>
                <w:sz w:val="28"/>
                <w:szCs w:val="28"/>
              </w:rPr>
              <w:t xml:space="preserve">Kultūras ministrija, </w:t>
            </w:r>
            <w:r>
              <w:rPr>
                <w:sz w:val="28"/>
                <w:szCs w:val="28"/>
              </w:rPr>
              <w:t xml:space="preserve">Finanšu ministrija, </w:t>
            </w:r>
            <w:r w:rsidRPr="001D0A49">
              <w:rPr>
                <w:sz w:val="28"/>
                <w:szCs w:val="28"/>
              </w:rPr>
              <w:t>Kultūrizg</w:t>
            </w:r>
            <w:r>
              <w:rPr>
                <w:sz w:val="28"/>
                <w:szCs w:val="28"/>
              </w:rPr>
              <w:t xml:space="preserve">lītības un nemateriālā </w:t>
            </w:r>
            <w:r w:rsidRPr="001D0A49">
              <w:rPr>
                <w:sz w:val="28"/>
                <w:szCs w:val="28"/>
              </w:rPr>
              <w:t>mantojuma centrs</w:t>
            </w:r>
            <w:r>
              <w:rPr>
                <w:sz w:val="28"/>
                <w:szCs w:val="28"/>
              </w:rPr>
              <w:t>, Latvijas Pašvaldību savienība.</w:t>
            </w:r>
          </w:p>
        </w:tc>
      </w:tr>
      <w:tr w:rsidR="00554850" w:rsidRPr="001D0A49" w:rsidTr="00427449">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6.</w:t>
            </w:r>
          </w:p>
        </w:tc>
        <w:tc>
          <w:tcPr>
            <w:tcW w:w="2976"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ind w:right="57"/>
              <w:rPr>
                <w:sz w:val="28"/>
                <w:szCs w:val="28"/>
              </w:rPr>
            </w:pPr>
            <w:r>
              <w:rPr>
                <w:sz w:val="28"/>
                <w:szCs w:val="28"/>
              </w:rPr>
              <w:t xml:space="preserve"> Projekts šo jomu neskar.</w:t>
            </w:r>
          </w:p>
        </w:tc>
      </w:tr>
      <w:tr w:rsidR="00554850" w:rsidRPr="001D0A49" w:rsidTr="00427449">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7.</w:t>
            </w:r>
          </w:p>
        </w:tc>
        <w:tc>
          <w:tcPr>
            <w:tcW w:w="2976"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spacing w:before="100" w:beforeAutospacing="1" w:after="100" w:afterAutospacing="1"/>
              <w:rPr>
                <w:sz w:val="28"/>
                <w:szCs w:val="28"/>
              </w:rPr>
            </w:pPr>
            <w:r w:rsidRPr="001D0A49">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554850" w:rsidRPr="001D0A49" w:rsidRDefault="00554850" w:rsidP="00427449">
            <w:pPr>
              <w:jc w:val="both"/>
              <w:rPr>
                <w:sz w:val="28"/>
                <w:szCs w:val="28"/>
              </w:rPr>
            </w:pPr>
            <w:r w:rsidRPr="001D0A49">
              <w:rPr>
                <w:sz w:val="28"/>
                <w:szCs w:val="28"/>
              </w:rPr>
              <w:t xml:space="preserve"> </w:t>
            </w:r>
            <w:r>
              <w:rPr>
                <w:sz w:val="28"/>
                <w:szCs w:val="28"/>
              </w:rPr>
              <w:t>Nav</w:t>
            </w:r>
          </w:p>
        </w:tc>
      </w:tr>
    </w:tbl>
    <w:p w:rsidR="00554850" w:rsidRDefault="00554850" w:rsidP="00554850">
      <w:pPr>
        <w:jc w:val="both"/>
        <w:rPr>
          <w:sz w:val="28"/>
          <w:szCs w:val="28"/>
        </w:rPr>
      </w:pPr>
    </w:p>
    <w:tbl>
      <w:tblPr>
        <w:tblpPr w:leftFromText="180" w:rightFromText="180" w:vertAnchor="text" w:horzAnchor="margin" w:tblpXSpec="center" w:tblpY="149"/>
        <w:tblW w:w="92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72"/>
        <w:gridCol w:w="4253"/>
        <w:gridCol w:w="4394"/>
      </w:tblGrid>
      <w:tr w:rsidR="00554850" w:rsidRPr="00CB010A" w:rsidTr="00427449">
        <w:tc>
          <w:tcPr>
            <w:tcW w:w="9219" w:type="dxa"/>
            <w:gridSpan w:val="3"/>
            <w:vAlign w:val="center"/>
          </w:tcPr>
          <w:p w:rsidR="00554850" w:rsidRPr="00CB010A" w:rsidRDefault="00554850" w:rsidP="00427449">
            <w:pPr>
              <w:pStyle w:val="naisnod"/>
              <w:spacing w:before="0" w:after="0"/>
              <w:jc w:val="center"/>
              <w:rPr>
                <w:b/>
                <w:sz w:val="28"/>
                <w:szCs w:val="28"/>
              </w:rPr>
            </w:pPr>
            <w:r w:rsidRPr="00CB010A">
              <w:rPr>
                <w:b/>
                <w:sz w:val="28"/>
                <w:szCs w:val="28"/>
              </w:rPr>
              <w:t>II. Tiesību akta projekta ietekme uz sabiedrību</w:t>
            </w:r>
          </w:p>
        </w:tc>
      </w:tr>
      <w:tr w:rsidR="00554850" w:rsidRPr="00CB010A" w:rsidTr="00427449">
        <w:trPr>
          <w:trHeight w:val="467"/>
        </w:trPr>
        <w:tc>
          <w:tcPr>
            <w:tcW w:w="572" w:type="dxa"/>
          </w:tcPr>
          <w:p w:rsidR="00554850" w:rsidRPr="00CB010A" w:rsidRDefault="00554850" w:rsidP="00427449">
            <w:pPr>
              <w:pStyle w:val="naiskr"/>
              <w:spacing w:before="0" w:after="0"/>
              <w:rPr>
                <w:sz w:val="28"/>
                <w:szCs w:val="28"/>
              </w:rPr>
            </w:pPr>
            <w:r w:rsidRPr="00CB010A">
              <w:rPr>
                <w:sz w:val="28"/>
                <w:szCs w:val="28"/>
              </w:rPr>
              <w:t>1.</w:t>
            </w:r>
          </w:p>
        </w:tc>
        <w:tc>
          <w:tcPr>
            <w:tcW w:w="4253" w:type="dxa"/>
          </w:tcPr>
          <w:p w:rsidR="00554850" w:rsidRPr="00CB010A" w:rsidRDefault="00554850" w:rsidP="00427449">
            <w:pPr>
              <w:pStyle w:val="naiskr"/>
              <w:spacing w:before="0" w:after="0"/>
              <w:rPr>
                <w:sz w:val="28"/>
                <w:szCs w:val="28"/>
              </w:rPr>
            </w:pPr>
            <w:r w:rsidRPr="00CB010A">
              <w:rPr>
                <w:sz w:val="28"/>
                <w:szCs w:val="28"/>
              </w:rPr>
              <w:t>Sabiedrības mērķgrupa</w:t>
            </w:r>
          </w:p>
        </w:tc>
        <w:tc>
          <w:tcPr>
            <w:tcW w:w="4394" w:type="dxa"/>
          </w:tcPr>
          <w:p w:rsidR="00554850" w:rsidRPr="003B187C" w:rsidRDefault="00554850" w:rsidP="00427449">
            <w:pPr>
              <w:pStyle w:val="naiskr"/>
              <w:ind w:firstLine="357"/>
              <w:jc w:val="both"/>
              <w:rPr>
                <w:iCs/>
                <w:sz w:val="28"/>
                <w:szCs w:val="28"/>
              </w:rPr>
            </w:pPr>
            <w:r w:rsidRPr="003B187C">
              <w:rPr>
                <w:iCs/>
                <w:sz w:val="28"/>
                <w:szCs w:val="28"/>
              </w:rPr>
              <w:t xml:space="preserve"> </w:t>
            </w:r>
            <w:r>
              <w:rPr>
                <w:iCs/>
                <w:sz w:val="28"/>
                <w:szCs w:val="28"/>
              </w:rPr>
              <w:t>Dziesmu un deju svētku</w:t>
            </w:r>
            <w:r w:rsidRPr="003B187C">
              <w:rPr>
                <w:iCs/>
                <w:sz w:val="28"/>
                <w:szCs w:val="28"/>
              </w:rPr>
              <w:t xml:space="preserve"> procesā iesaistītās pašvaldības</w:t>
            </w:r>
            <w:r>
              <w:rPr>
                <w:iCs/>
                <w:sz w:val="28"/>
                <w:szCs w:val="28"/>
              </w:rPr>
              <w:t>.</w:t>
            </w:r>
          </w:p>
        </w:tc>
      </w:tr>
      <w:tr w:rsidR="00554850" w:rsidRPr="00CB010A" w:rsidTr="00427449">
        <w:trPr>
          <w:trHeight w:val="523"/>
        </w:trPr>
        <w:tc>
          <w:tcPr>
            <w:tcW w:w="572" w:type="dxa"/>
          </w:tcPr>
          <w:p w:rsidR="00554850" w:rsidRPr="00CB010A" w:rsidRDefault="00554850" w:rsidP="00427449">
            <w:pPr>
              <w:pStyle w:val="naiskr"/>
              <w:spacing w:before="0" w:after="0"/>
              <w:rPr>
                <w:sz w:val="28"/>
                <w:szCs w:val="28"/>
              </w:rPr>
            </w:pPr>
            <w:r w:rsidRPr="00CB010A">
              <w:rPr>
                <w:sz w:val="28"/>
                <w:szCs w:val="28"/>
              </w:rPr>
              <w:t>2.</w:t>
            </w:r>
          </w:p>
        </w:tc>
        <w:tc>
          <w:tcPr>
            <w:tcW w:w="4253" w:type="dxa"/>
          </w:tcPr>
          <w:p w:rsidR="00554850" w:rsidRPr="00CB010A" w:rsidRDefault="00554850" w:rsidP="00427449">
            <w:pPr>
              <w:pStyle w:val="naiskr"/>
              <w:spacing w:before="0" w:after="0"/>
              <w:rPr>
                <w:sz w:val="28"/>
                <w:szCs w:val="28"/>
              </w:rPr>
            </w:pPr>
            <w:r w:rsidRPr="00CB010A">
              <w:rPr>
                <w:sz w:val="28"/>
                <w:szCs w:val="28"/>
              </w:rPr>
              <w:t>Citas sabiedrības grupas (bez mērķgrupas), kuras tiesiskais regulējums arī ietekmē vai varētu ietekmēt</w:t>
            </w:r>
          </w:p>
        </w:tc>
        <w:tc>
          <w:tcPr>
            <w:tcW w:w="4394" w:type="dxa"/>
          </w:tcPr>
          <w:p w:rsidR="00554850" w:rsidRPr="003B187C" w:rsidRDefault="00554850" w:rsidP="00427449">
            <w:pPr>
              <w:pStyle w:val="naiskr"/>
              <w:ind w:firstLine="357"/>
              <w:jc w:val="both"/>
              <w:rPr>
                <w:sz w:val="28"/>
                <w:szCs w:val="28"/>
              </w:rPr>
            </w:pPr>
            <w:r w:rsidRPr="003B187C">
              <w:rPr>
                <w:iCs/>
                <w:sz w:val="28"/>
                <w:szCs w:val="28"/>
              </w:rPr>
              <w:t xml:space="preserve">Mākslinieciskie kolektīvi un to vadītāji, kuri gatavojas Vispārējiem latviešu </w:t>
            </w:r>
            <w:r>
              <w:rPr>
                <w:iCs/>
                <w:sz w:val="28"/>
                <w:szCs w:val="28"/>
              </w:rPr>
              <w:t>d</w:t>
            </w:r>
            <w:r w:rsidRPr="003B187C">
              <w:rPr>
                <w:iCs/>
                <w:sz w:val="28"/>
                <w:szCs w:val="28"/>
              </w:rPr>
              <w:t>ziesmu un deju svētkiem</w:t>
            </w:r>
            <w:r>
              <w:rPr>
                <w:iCs/>
                <w:sz w:val="28"/>
                <w:szCs w:val="28"/>
              </w:rPr>
              <w:t>.</w:t>
            </w:r>
          </w:p>
        </w:tc>
      </w:tr>
      <w:tr w:rsidR="00554850" w:rsidRPr="00CB010A" w:rsidTr="00427449">
        <w:trPr>
          <w:trHeight w:val="517"/>
        </w:trPr>
        <w:tc>
          <w:tcPr>
            <w:tcW w:w="572" w:type="dxa"/>
          </w:tcPr>
          <w:p w:rsidR="00554850" w:rsidRPr="00CB010A" w:rsidRDefault="00554850" w:rsidP="00427449">
            <w:pPr>
              <w:pStyle w:val="naiskr"/>
              <w:spacing w:before="0" w:after="0"/>
              <w:rPr>
                <w:sz w:val="28"/>
                <w:szCs w:val="28"/>
              </w:rPr>
            </w:pPr>
            <w:r w:rsidRPr="00CB010A">
              <w:rPr>
                <w:sz w:val="28"/>
                <w:szCs w:val="28"/>
              </w:rPr>
              <w:t>3.</w:t>
            </w:r>
          </w:p>
        </w:tc>
        <w:tc>
          <w:tcPr>
            <w:tcW w:w="4253" w:type="dxa"/>
          </w:tcPr>
          <w:p w:rsidR="00554850" w:rsidRPr="00CB010A" w:rsidRDefault="00554850" w:rsidP="00427449">
            <w:pPr>
              <w:pStyle w:val="naiskr"/>
              <w:spacing w:before="0" w:after="0"/>
              <w:rPr>
                <w:sz w:val="28"/>
                <w:szCs w:val="28"/>
              </w:rPr>
            </w:pPr>
            <w:r w:rsidRPr="00CB010A">
              <w:rPr>
                <w:sz w:val="28"/>
                <w:szCs w:val="28"/>
              </w:rPr>
              <w:t>Tiesiskā regulējuma finansiālā ietekme</w:t>
            </w:r>
          </w:p>
        </w:tc>
        <w:tc>
          <w:tcPr>
            <w:tcW w:w="4394" w:type="dxa"/>
          </w:tcPr>
          <w:p w:rsidR="00554850" w:rsidRPr="005F59A6" w:rsidRDefault="00554850" w:rsidP="00427449">
            <w:pPr>
              <w:ind w:firstLine="357"/>
              <w:jc w:val="both"/>
              <w:rPr>
                <w:bCs/>
                <w:sz w:val="28"/>
                <w:szCs w:val="28"/>
              </w:rPr>
            </w:pPr>
            <w:r w:rsidRPr="005F59A6">
              <w:rPr>
                <w:sz w:val="28"/>
                <w:szCs w:val="28"/>
                <w:lang w:eastAsia="lv-LV"/>
              </w:rPr>
              <w:t xml:space="preserve">Valsts budžeta mērķdotāciju pašvaldībām </w:t>
            </w:r>
            <w:r w:rsidRPr="005F59A6">
              <w:rPr>
                <w:bCs/>
                <w:sz w:val="28"/>
                <w:szCs w:val="28"/>
              </w:rPr>
              <w:t>māksliniecisko kolektīvu vadītāju darba samaksai un valsts sociālās apdrošināšanas obligātajām iemaksām</w:t>
            </w:r>
            <w:r>
              <w:rPr>
                <w:bCs/>
                <w:sz w:val="28"/>
                <w:szCs w:val="28"/>
              </w:rPr>
              <w:t xml:space="preserve"> </w:t>
            </w:r>
            <w:r w:rsidRPr="00713243">
              <w:rPr>
                <w:sz w:val="28"/>
                <w:szCs w:val="28"/>
                <w:lang w:eastAsia="lv-LV"/>
              </w:rPr>
              <w:t xml:space="preserve">piešķir </w:t>
            </w:r>
            <w:r>
              <w:rPr>
                <w:sz w:val="28"/>
                <w:szCs w:val="28"/>
                <w:lang w:eastAsia="lv-LV"/>
              </w:rPr>
              <w:t xml:space="preserve">atbilstoši valsts budžetā </w:t>
            </w:r>
            <w:r w:rsidRPr="00713243">
              <w:rPr>
                <w:sz w:val="28"/>
                <w:szCs w:val="28"/>
                <w:lang w:eastAsia="lv-LV"/>
              </w:rPr>
              <w:t>attiecīgajam gadam apstiprinātajam finansējumam</w:t>
            </w:r>
            <w:r>
              <w:rPr>
                <w:sz w:val="28"/>
                <w:szCs w:val="28"/>
                <w:lang w:eastAsia="lv-LV"/>
              </w:rPr>
              <w:t>.</w:t>
            </w:r>
          </w:p>
        </w:tc>
      </w:tr>
      <w:tr w:rsidR="00554850" w:rsidRPr="00CB010A" w:rsidTr="00427449">
        <w:trPr>
          <w:trHeight w:val="517"/>
        </w:trPr>
        <w:tc>
          <w:tcPr>
            <w:tcW w:w="572" w:type="dxa"/>
          </w:tcPr>
          <w:p w:rsidR="00554850" w:rsidRPr="00CB010A" w:rsidRDefault="00554850" w:rsidP="00427449">
            <w:pPr>
              <w:pStyle w:val="naiskr"/>
              <w:spacing w:before="0" w:after="0"/>
              <w:rPr>
                <w:sz w:val="28"/>
                <w:szCs w:val="28"/>
              </w:rPr>
            </w:pPr>
            <w:r w:rsidRPr="00CB010A">
              <w:rPr>
                <w:sz w:val="28"/>
                <w:szCs w:val="28"/>
              </w:rPr>
              <w:t>4.</w:t>
            </w:r>
          </w:p>
        </w:tc>
        <w:tc>
          <w:tcPr>
            <w:tcW w:w="4253" w:type="dxa"/>
          </w:tcPr>
          <w:p w:rsidR="00554850" w:rsidRPr="00CB010A" w:rsidRDefault="00554850" w:rsidP="00427449">
            <w:pPr>
              <w:pStyle w:val="naiskr"/>
              <w:spacing w:before="0" w:after="0"/>
              <w:rPr>
                <w:sz w:val="28"/>
                <w:szCs w:val="28"/>
              </w:rPr>
            </w:pPr>
            <w:r w:rsidRPr="00CB010A">
              <w:rPr>
                <w:sz w:val="28"/>
                <w:szCs w:val="28"/>
              </w:rPr>
              <w:t>Tiesiskā regulējuma nefinansiālā ietekme</w:t>
            </w:r>
          </w:p>
        </w:tc>
        <w:tc>
          <w:tcPr>
            <w:tcW w:w="4394" w:type="dxa"/>
          </w:tcPr>
          <w:p w:rsidR="00554850" w:rsidRPr="00CB010A" w:rsidRDefault="00427449" w:rsidP="00427449">
            <w:pPr>
              <w:pStyle w:val="naiskr"/>
              <w:spacing w:before="0" w:after="0"/>
              <w:rPr>
                <w:sz w:val="28"/>
                <w:szCs w:val="28"/>
              </w:rPr>
            </w:pPr>
            <w:r>
              <w:rPr>
                <w:sz w:val="28"/>
                <w:szCs w:val="28"/>
              </w:rPr>
              <w:t>Projekts šo jomu neskar.</w:t>
            </w:r>
          </w:p>
        </w:tc>
      </w:tr>
      <w:tr w:rsidR="00554850" w:rsidRPr="00CB010A" w:rsidTr="00427449">
        <w:trPr>
          <w:trHeight w:val="531"/>
        </w:trPr>
        <w:tc>
          <w:tcPr>
            <w:tcW w:w="572" w:type="dxa"/>
          </w:tcPr>
          <w:p w:rsidR="00554850" w:rsidRPr="00CB010A" w:rsidRDefault="00554850" w:rsidP="00427449">
            <w:pPr>
              <w:pStyle w:val="naiskr"/>
              <w:spacing w:before="0" w:after="0"/>
              <w:rPr>
                <w:sz w:val="28"/>
                <w:szCs w:val="28"/>
              </w:rPr>
            </w:pPr>
            <w:r w:rsidRPr="00CB010A">
              <w:rPr>
                <w:sz w:val="28"/>
                <w:szCs w:val="28"/>
              </w:rPr>
              <w:t>5.</w:t>
            </w:r>
          </w:p>
        </w:tc>
        <w:tc>
          <w:tcPr>
            <w:tcW w:w="4253" w:type="dxa"/>
          </w:tcPr>
          <w:p w:rsidR="00554850" w:rsidRPr="00CB010A" w:rsidRDefault="00554850" w:rsidP="00427449">
            <w:pPr>
              <w:pStyle w:val="naiskr"/>
              <w:spacing w:before="0" w:after="0"/>
              <w:rPr>
                <w:sz w:val="28"/>
                <w:szCs w:val="28"/>
              </w:rPr>
            </w:pPr>
            <w:r w:rsidRPr="00CB010A">
              <w:rPr>
                <w:sz w:val="28"/>
                <w:szCs w:val="28"/>
              </w:rPr>
              <w:t>Administratīvās procedūras raksturojums</w:t>
            </w:r>
          </w:p>
        </w:tc>
        <w:tc>
          <w:tcPr>
            <w:tcW w:w="4394" w:type="dxa"/>
          </w:tcPr>
          <w:p w:rsidR="00554850" w:rsidRPr="00CB010A" w:rsidRDefault="00427449" w:rsidP="00427449">
            <w:pPr>
              <w:pStyle w:val="naiskr"/>
              <w:spacing w:before="0" w:after="0"/>
              <w:rPr>
                <w:sz w:val="28"/>
                <w:szCs w:val="28"/>
              </w:rPr>
            </w:pPr>
            <w:r>
              <w:rPr>
                <w:sz w:val="28"/>
                <w:szCs w:val="28"/>
              </w:rPr>
              <w:t>Projekts šo jomu neskar.</w:t>
            </w:r>
          </w:p>
        </w:tc>
      </w:tr>
      <w:tr w:rsidR="00554850" w:rsidRPr="00CB010A" w:rsidTr="00427449">
        <w:trPr>
          <w:trHeight w:val="357"/>
        </w:trPr>
        <w:tc>
          <w:tcPr>
            <w:tcW w:w="572" w:type="dxa"/>
          </w:tcPr>
          <w:p w:rsidR="00554850" w:rsidRPr="00CB010A" w:rsidRDefault="00554850" w:rsidP="00427449">
            <w:pPr>
              <w:pStyle w:val="naiskr"/>
              <w:spacing w:before="0" w:after="0"/>
              <w:rPr>
                <w:sz w:val="28"/>
                <w:szCs w:val="28"/>
              </w:rPr>
            </w:pPr>
            <w:r w:rsidRPr="00CB010A">
              <w:rPr>
                <w:sz w:val="28"/>
                <w:szCs w:val="28"/>
              </w:rPr>
              <w:t>6.</w:t>
            </w:r>
          </w:p>
        </w:tc>
        <w:tc>
          <w:tcPr>
            <w:tcW w:w="4253" w:type="dxa"/>
          </w:tcPr>
          <w:p w:rsidR="00554850" w:rsidRPr="00CB010A" w:rsidRDefault="00554850" w:rsidP="00427449">
            <w:pPr>
              <w:pStyle w:val="naiskr"/>
              <w:spacing w:before="0" w:after="0"/>
              <w:rPr>
                <w:sz w:val="28"/>
                <w:szCs w:val="28"/>
              </w:rPr>
            </w:pPr>
            <w:r w:rsidRPr="00CB010A">
              <w:rPr>
                <w:sz w:val="28"/>
                <w:szCs w:val="28"/>
              </w:rPr>
              <w:t>Administratīvo izmaksu monetārs novērtējums</w:t>
            </w:r>
          </w:p>
        </w:tc>
        <w:tc>
          <w:tcPr>
            <w:tcW w:w="4394" w:type="dxa"/>
          </w:tcPr>
          <w:p w:rsidR="00554850" w:rsidRPr="00CB010A" w:rsidRDefault="00427449" w:rsidP="00427449">
            <w:pPr>
              <w:pStyle w:val="naiskr"/>
              <w:spacing w:before="0" w:after="0"/>
              <w:rPr>
                <w:sz w:val="28"/>
                <w:szCs w:val="28"/>
              </w:rPr>
            </w:pPr>
            <w:r>
              <w:rPr>
                <w:sz w:val="28"/>
                <w:szCs w:val="28"/>
              </w:rPr>
              <w:t>Projekts šo jomu neskar.</w:t>
            </w:r>
          </w:p>
        </w:tc>
      </w:tr>
      <w:tr w:rsidR="00554850" w:rsidRPr="00CB010A" w:rsidTr="00427449">
        <w:tc>
          <w:tcPr>
            <w:tcW w:w="572" w:type="dxa"/>
          </w:tcPr>
          <w:p w:rsidR="00554850" w:rsidRPr="00CB010A" w:rsidRDefault="00554850" w:rsidP="00427449">
            <w:pPr>
              <w:pStyle w:val="naiskr"/>
              <w:spacing w:before="0" w:after="0"/>
              <w:rPr>
                <w:sz w:val="28"/>
                <w:szCs w:val="28"/>
              </w:rPr>
            </w:pPr>
            <w:r w:rsidRPr="00CB010A">
              <w:rPr>
                <w:sz w:val="28"/>
                <w:szCs w:val="28"/>
              </w:rPr>
              <w:t>7.</w:t>
            </w:r>
          </w:p>
        </w:tc>
        <w:tc>
          <w:tcPr>
            <w:tcW w:w="4253" w:type="dxa"/>
          </w:tcPr>
          <w:p w:rsidR="00554850" w:rsidRPr="00CB010A" w:rsidRDefault="00554850" w:rsidP="00427449">
            <w:pPr>
              <w:pStyle w:val="naiskr"/>
              <w:spacing w:before="0" w:after="0"/>
              <w:rPr>
                <w:sz w:val="28"/>
                <w:szCs w:val="28"/>
              </w:rPr>
            </w:pPr>
            <w:r w:rsidRPr="00CB010A">
              <w:rPr>
                <w:sz w:val="28"/>
                <w:szCs w:val="28"/>
              </w:rPr>
              <w:t>Cita informācija</w:t>
            </w:r>
          </w:p>
        </w:tc>
        <w:tc>
          <w:tcPr>
            <w:tcW w:w="4394" w:type="dxa"/>
          </w:tcPr>
          <w:p w:rsidR="00554850" w:rsidRPr="00CB010A" w:rsidRDefault="00554850" w:rsidP="00427449">
            <w:pPr>
              <w:pStyle w:val="naiskr"/>
              <w:spacing w:before="0" w:after="0"/>
              <w:rPr>
                <w:sz w:val="28"/>
                <w:szCs w:val="28"/>
              </w:rPr>
            </w:pPr>
            <w:r>
              <w:rPr>
                <w:sz w:val="28"/>
                <w:szCs w:val="28"/>
              </w:rPr>
              <w:t>Nav</w:t>
            </w:r>
          </w:p>
        </w:tc>
      </w:tr>
    </w:tbl>
    <w:p w:rsidR="00554850" w:rsidRPr="001D0A49" w:rsidRDefault="00554850" w:rsidP="00554850">
      <w:pPr>
        <w:jc w:val="both"/>
        <w:rPr>
          <w:sz w:val="28"/>
          <w:szCs w:val="28"/>
        </w:rPr>
      </w:pPr>
    </w:p>
    <w:tbl>
      <w:tblPr>
        <w:tblW w:w="9336" w:type="dxa"/>
        <w:jc w:val="center"/>
        <w:tblInd w:w="-3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2753"/>
        <w:gridCol w:w="1276"/>
        <w:gridCol w:w="1334"/>
        <w:gridCol w:w="1334"/>
        <w:gridCol w:w="1334"/>
        <w:gridCol w:w="1305"/>
      </w:tblGrid>
      <w:tr w:rsidR="00554850" w:rsidRPr="00CB010A" w:rsidTr="00427449">
        <w:trPr>
          <w:trHeight w:val="652"/>
          <w:jc w:val="center"/>
        </w:trPr>
        <w:tc>
          <w:tcPr>
            <w:tcW w:w="9336" w:type="dxa"/>
            <w:gridSpan w:val="6"/>
          </w:tcPr>
          <w:p w:rsidR="00554850" w:rsidRPr="00CB010A" w:rsidRDefault="00554850" w:rsidP="00427449">
            <w:pPr>
              <w:pStyle w:val="naisnod"/>
              <w:spacing w:before="0" w:after="0"/>
              <w:jc w:val="center"/>
              <w:rPr>
                <w:b/>
                <w:i/>
                <w:sz w:val="28"/>
                <w:szCs w:val="28"/>
              </w:rPr>
            </w:pPr>
            <w:r w:rsidRPr="00CB010A">
              <w:rPr>
                <w:b/>
                <w:sz w:val="28"/>
                <w:szCs w:val="28"/>
              </w:rPr>
              <w:br w:type="page"/>
              <w:t>III. Tiesību akta projekta ietekme uz valsts budžetu un pašvaldību budžetiem</w:t>
            </w:r>
          </w:p>
        </w:tc>
      </w:tr>
      <w:tr w:rsidR="00554850" w:rsidRPr="00CB010A" w:rsidTr="00427449">
        <w:trPr>
          <w:jc w:val="center"/>
        </w:trPr>
        <w:tc>
          <w:tcPr>
            <w:tcW w:w="2753" w:type="dxa"/>
            <w:vMerge w:val="restart"/>
            <w:vAlign w:val="center"/>
          </w:tcPr>
          <w:p w:rsidR="00554850" w:rsidRPr="00CB010A" w:rsidRDefault="00554850" w:rsidP="00427449">
            <w:pPr>
              <w:pStyle w:val="naisf"/>
              <w:spacing w:before="0" w:after="0"/>
              <w:ind w:firstLine="0"/>
              <w:jc w:val="center"/>
              <w:rPr>
                <w:b/>
                <w:sz w:val="28"/>
                <w:szCs w:val="28"/>
              </w:rPr>
            </w:pPr>
            <w:r w:rsidRPr="00CB010A">
              <w:rPr>
                <w:b/>
                <w:sz w:val="28"/>
                <w:szCs w:val="28"/>
              </w:rPr>
              <w:t>Rādītāji</w:t>
            </w:r>
          </w:p>
        </w:tc>
        <w:tc>
          <w:tcPr>
            <w:tcW w:w="2610" w:type="dxa"/>
            <w:gridSpan w:val="2"/>
            <w:vMerge w:val="restart"/>
            <w:vAlign w:val="center"/>
          </w:tcPr>
          <w:p w:rsidR="00554850" w:rsidRPr="00CB010A" w:rsidRDefault="00554850" w:rsidP="00427449">
            <w:pPr>
              <w:pStyle w:val="naisf"/>
              <w:spacing w:before="0" w:after="0"/>
              <w:ind w:firstLine="0"/>
              <w:jc w:val="center"/>
              <w:rPr>
                <w:b/>
                <w:sz w:val="28"/>
                <w:szCs w:val="28"/>
              </w:rPr>
            </w:pPr>
            <w:r>
              <w:rPr>
                <w:b/>
                <w:sz w:val="28"/>
                <w:szCs w:val="28"/>
              </w:rPr>
              <w:t>2012.</w:t>
            </w:r>
            <w:r w:rsidRPr="00CB010A">
              <w:rPr>
                <w:b/>
                <w:sz w:val="28"/>
                <w:szCs w:val="28"/>
              </w:rPr>
              <w:t xml:space="preserve"> gads</w:t>
            </w:r>
          </w:p>
        </w:tc>
        <w:tc>
          <w:tcPr>
            <w:tcW w:w="3973" w:type="dxa"/>
            <w:gridSpan w:val="3"/>
            <w:vAlign w:val="center"/>
          </w:tcPr>
          <w:p w:rsidR="00554850" w:rsidRPr="00CB010A" w:rsidRDefault="00554850" w:rsidP="00427449">
            <w:pPr>
              <w:pStyle w:val="naisf"/>
              <w:spacing w:before="0" w:after="0"/>
              <w:ind w:firstLine="0"/>
              <w:jc w:val="center"/>
              <w:rPr>
                <w:b/>
                <w:i/>
                <w:sz w:val="28"/>
                <w:szCs w:val="28"/>
              </w:rPr>
            </w:pPr>
            <w:r w:rsidRPr="00CB010A">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CB010A">
                <w:rPr>
                  <w:sz w:val="28"/>
                  <w:szCs w:val="28"/>
                </w:rPr>
                <w:t>. latu</w:t>
              </w:r>
            </w:smartTag>
            <w:r w:rsidRPr="00CB010A">
              <w:rPr>
                <w:sz w:val="28"/>
                <w:szCs w:val="28"/>
              </w:rPr>
              <w:t>)</w:t>
            </w:r>
          </w:p>
        </w:tc>
      </w:tr>
      <w:tr w:rsidR="00554850" w:rsidRPr="00CB010A" w:rsidTr="00427449">
        <w:trPr>
          <w:jc w:val="center"/>
        </w:trPr>
        <w:tc>
          <w:tcPr>
            <w:tcW w:w="2753" w:type="dxa"/>
            <w:vMerge/>
            <w:vAlign w:val="center"/>
          </w:tcPr>
          <w:p w:rsidR="00554850" w:rsidRPr="00CB010A" w:rsidRDefault="00554850" w:rsidP="00427449">
            <w:pPr>
              <w:pStyle w:val="naisf"/>
              <w:spacing w:before="0" w:after="0"/>
              <w:ind w:firstLine="0"/>
              <w:jc w:val="center"/>
              <w:rPr>
                <w:b/>
                <w:i/>
                <w:sz w:val="28"/>
                <w:szCs w:val="28"/>
              </w:rPr>
            </w:pPr>
          </w:p>
        </w:tc>
        <w:tc>
          <w:tcPr>
            <w:tcW w:w="2610" w:type="dxa"/>
            <w:gridSpan w:val="2"/>
            <w:vMerge/>
            <w:vAlign w:val="center"/>
          </w:tcPr>
          <w:p w:rsidR="00554850" w:rsidRPr="00CB010A" w:rsidRDefault="00554850" w:rsidP="00427449">
            <w:pPr>
              <w:pStyle w:val="naisf"/>
              <w:spacing w:before="0" w:after="0"/>
              <w:ind w:firstLine="0"/>
              <w:jc w:val="center"/>
              <w:rPr>
                <w:b/>
                <w:i/>
                <w:sz w:val="28"/>
                <w:szCs w:val="28"/>
              </w:rPr>
            </w:pPr>
          </w:p>
        </w:tc>
        <w:tc>
          <w:tcPr>
            <w:tcW w:w="1334" w:type="dxa"/>
            <w:vAlign w:val="center"/>
          </w:tcPr>
          <w:p w:rsidR="00554850" w:rsidRPr="00CB010A" w:rsidRDefault="00554850" w:rsidP="00427449">
            <w:pPr>
              <w:pStyle w:val="naisf"/>
              <w:spacing w:before="0" w:after="0"/>
              <w:ind w:firstLine="0"/>
              <w:jc w:val="center"/>
              <w:rPr>
                <w:b/>
                <w:i/>
                <w:sz w:val="28"/>
                <w:szCs w:val="28"/>
              </w:rPr>
            </w:pPr>
            <w:r>
              <w:rPr>
                <w:b/>
                <w:bCs/>
                <w:sz w:val="28"/>
                <w:szCs w:val="28"/>
              </w:rPr>
              <w:t>2013</w:t>
            </w:r>
          </w:p>
        </w:tc>
        <w:tc>
          <w:tcPr>
            <w:tcW w:w="1334" w:type="dxa"/>
            <w:vAlign w:val="center"/>
          </w:tcPr>
          <w:p w:rsidR="00554850" w:rsidRPr="00CB010A" w:rsidRDefault="00554850" w:rsidP="00427449">
            <w:pPr>
              <w:pStyle w:val="naisf"/>
              <w:spacing w:before="0" w:after="0"/>
              <w:ind w:firstLine="0"/>
              <w:jc w:val="center"/>
              <w:rPr>
                <w:b/>
                <w:i/>
                <w:sz w:val="28"/>
                <w:szCs w:val="28"/>
              </w:rPr>
            </w:pPr>
            <w:r>
              <w:rPr>
                <w:b/>
                <w:bCs/>
                <w:sz w:val="28"/>
                <w:szCs w:val="28"/>
              </w:rPr>
              <w:t>2014</w:t>
            </w:r>
          </w:p>
        </w:tc>
        <w:tc>
          <w:tcPr>
            <w:tcW w:w="1305" w:type="dxa"/>
            <w:vAlign w:val="center"/>
          </w:tcPr>
          <w:p w:rsidR="00554850" w:rsidRPr="00CB010A" w:rsidRDefault="00554850" w:rsidP="00427449">
            <w:pPr>
              <w:pStyle w:val="naisf"/>
              <w:spacing w:before="0" w:after="0"/>
              <w:ind w:firstLine="0"/>
              <w:jc w:val="center"/>
              <w:rPr>
                <w:b/>
                <w:i/>
                <w:sz w:val="28"/>
                <w:szCs w:val="28"/>
              </w:rPr>
            </w:pPr>
            <w:r>
              <w:rPr>
                <w:b/>
                <w:bCs/>
                <w:sz w:val="28"/>
                <w:szCs w:val="28"/>
              </w:rPr>
              <w:t>2015</w:t>
            </w:r>
          </w:p>
        </w:tc>
      </w:tr>
      <w:tr w:rsidR="00554850" w:rsidRPr="00CB010A" w:rsidTr="00427449">
        <w:trPr>
          <w:jc w:val="center"/>
        </w:trPr>
        <w:tc>
          <w:tcPr>
            <w:tcW w:w="2753" w:type="dxa"/>
            <w:vMerge/>
            <w:vAlign w:val="center"/>
          </w:tcPr>
          <w:p w:rsidR="00554850" w:rsidRPr="00CB010A" w:rsidRDefault="00554850" w:rsidP="00427449">
            <w:pPr>
              <w:pStyle w:val="naisf"/>
              <w:spacing w:before="0" w:after="0"/>
              <w:ind w:firstLine="0"/>
              <w:jc w:val="center"/>
              <w:rPr>
                <w:b/>
                <w:i/>
                <w:sz w:val="28"/>
                <w:szCs w:val="28"/>
              </w:rPr>
            </w:pPr>
          </w:p>
        </w:tc>
        <w:tc>
          <w:tcPr>
            <w:tcW w:w="1276" w:type="dxa"/>
            <w:vAlign w:val="center"/>
          </w:tcPr>
          <w:p w:rsidR="00554850" w:rsidRPr="00CB010A" w:rsidRDefault="00554850" w:rsidP="00427449">
            <w:pPr>
              <w:pStyle w:val="naisf"/>
              <w:spacing w:before="0" w:after="0"/>
              <w:ind w:firstLine="0"/>
              <w:jc w:val="center"/>
              <w:rPr>
                <w:b/>
                <w:i/>
                <w:sz w:val="28"/>
                <w:szCs w:val="28"/>
              </w:rPr>
            </w:pPr>
            <w:r w:rsidRPr="00CB010A">
              <w:rPr>
                <w:sz w:val="28"/>
                <w:szCs w:val="28"/>
              </w:rPr>
              <w:t xml:space="preserve">Saskaņā ar valsts budžetu kārtējam </w:t>
            </w:r>
            <w:r w:rsidRPr="00CB010A">
              <w:rPr>
                <w:sz w:val="28"/>
                <w:szCs w:val="28"/>
              </w:rPr>
              <w:lastRenderedPageBreak/>
              <w:t>gadam</w:t>
            </w:r>
          </w:p>
        </w:tc>
        <w:tc>
          <w:tcPr>
            <w:tcW w:w="1334" w:type="dxa"/>
            <w:vAlign w:val="center"/>
          </w:tcPr>
          <w:p w:rsidR="00554850" w:rsidRPr="00CB010A" w:rsidRDefault="00554850" w:rsidP="00427449">
            <w:pPr>
              <w:pStyle w:val="naisf"/>
              <w:spacing w:before="0" w:after="0"/>
              <w:ind w:firstLine="0"/>
              <w:jc w:val="center"/>
              <w:rPr>
                <w:b/>
                <w:i/>
                <w:sz w:val="28"/>
                <w:szCs w:val="28"/>
              </w:rPr>
            </w:pPr>
            <w:r w:rsidRPr="00CB010A">
              <w:rPr>
                <w:sz w:val="28"/>
                <w:szCs w:val="28"/>
              </w:rPr>
              <w:lastRenderedPageBreak/>
              <w:t xml:space="preserve">Izmaiņas kārtējā gadā, salīdzinot </w:t>
            </w:r>
            <w:r w:rsidRPr="00CB010A">
              <w:rPr>
                <w:sz w:val="28"/>
                <w:szCs w:val="28"/>
              </w:rPr>
              <w:lastRenderedPageBreak/>
              <w:t>ar budžetu kārtējam gadam</w:t>
            </w:r>
          </w:p>
        </w:tc>
        <w:tc>
          <w:tcPr>
            <w:tcW w:w="1334" w:type="dxa"/>
            <w:vAlign w:val="center"/>
          </w:tcPr>
          <w:p w:rsidR="00554850" w:rsidRPr="00CB010A" w:rsidRDefault="00554850" w:rsidP="00427449">
            <w:pPr>
              <w:pStyle w:val="naisf"/>
              <w:spacing w:before="0" w:after="0"/>
              <w:ind w:firstLine="0"/>
              <w:jc w:val="center"/>
              <w:rPr>
                <w:b/>
                <w:i/>
                <w:sz w:val="28"/>
                <w:szCs w:val="28"/>
              </w:rPr>
            </w:pPr>
            <w:r w:rsidRPr="00CB010A">
              <w:rPr>
                <w:sz w:val="28"/>
                <w:szCs w:val="28"/>
              </w:rPr>
              <w:lastRenderedPageBreak/>
              <w:t>Izmaiņas, salīdzinot ar kārtējo (n) gadu</w:t>
            </w:r>
          </w:p>
        </w:tc>
        <w:tc>
          <w:tcPr>
            <w:tcW w:w="1334" w:type="dxa"/>
            <w:vAlign w:val="center"/>
          </w:tcPr>
          <w:p w:rsidR="00554850" w:rsidRPr="00CB010A" w:rsidRDefault="00554850" w:rsidP="00427449">
            <w:pPr>
              <w:pStyle w:val="naisf"/>
              <w:spacing w:before="0" w:after="0"/>
              <w:ind w:firstLine="0"/>
              <w:jc w:val="center"/>
              <w:rPr>
                <w:b/>
                <w:i/>
                <w:sz w:val="28"/>
                <w:szCs w:val="28"/>
              </w:rPr>
            </w:pPr>
            <w:r w:rsidRPr="00CB010A">
              <w:rPr>
                <w:sz w:val="28"/>
                <w:szCs w:val="28"/>
              </w:rPr>
              <w:t>Izmaiņas, salīdzinot ar kārtējo (n) gadu</w:t>
            </w:r>
          </w:p>
        </w:tc>
        <w:tc>
          <w:tcPr>
            <w:tcW w:w="1305" w:type="dxa"/>
            <w:vAlign w:val="center"/>
          </w:tcPr>
          <w:p w:rsidR="00554850" w:rsidRPr="00CB010A" w:rsidRDefault="00554850" w:rsidP="00427449">
            <w:pPr>
              <w:pStyle w:val="naisf"/>
              <w:spacing w:before="0" w:after="0"/>
              <w:ind w:firstLine="0"/>
              <w:jc w:val="center"/>
              <w:rPr>
                <w:b/>
                <w:i/>
                <w:sz w:val="28"/>
                <w:szCs w:val="28"/>
              </w:rPr>
            </w:pPr>
            <w:r w:rsidRPr="00CB010A">
              <w:rPr>
                <w:sz w:val="28"/>
                <w:szCs w:val="28"/>
              </w:rPr>
              <w:t>Izmaiņas, salīdzinot ar kārtējo (n) gadu</w:t>
            </w:r>
          </w:p>
        </w:tc>
      </w:tr>
      <w:tr w:rsidR="00554850" w:rsidRPr="00CB010A" w:rsidTr="00427449">
        <w:trPr>
          <w:jc w:val="center"/>
        </w:trPr>
        <w:tc>
          <w:tcPr>
            <w:tcW w:w="2753" w:type="dxa"/>
            <w:vAlign w:val="center"/>
          </w:tcPr>
          <w:p w:rsidR="00554850" w:rsidRPr="00CB010A" w:rsidRDefault="00554850" w:rsidP="00427449">
            <w:pPr>
              <w:pStyle w:val="naisf"/>
              <w:spacing w:before="0" w:after="0"/>
              <w:ind w:firstLine="0"/>
              <w:jc w:val="center"/>
              <w:rPr>
                <w:bCs/>
                <w:sz w:val="28"/>
                <w:szCs w:val="28"/>
              </w:rPr>
            </w:pPr>
            <w:r w:rsidRPr="00CB010A">
              <w:rPr>
                <w:bCs/>
                <w:sz w:val="28"/>
                <w:szCs w:val="28"/>
              </w:rPr>
              <w:lastRenderedPageBreak/>
              <w:t>1</w:t>
            </w:r>
          </w:p>
        </w:tc>
        <w:tc>
          <w:tcPr>
            <w:tcW w:w="1276" w:type="dxa"/>
            <w:vAlign w:val="center"/>
          </w:tcPr>
          <w:p w:rsidR="00554850" w:rsidRPr="00CB010A" w:rsidRDefault="00554850" w:rsidP="00427449">
            <w:pPr>
              <w:pStyle w:val="naisf"/>
              <w:spacing w:before="0" w:after="0"/>
              <w:ind w:firstLine="0"/>
              <w:jc w:val="center"/>
              <w:rPr>
                <w:bCs/>
                <w:sz w:val="28"/>
                <w:szCs w:val="28"/>
              </w:rPr>
            </w:pPr>
            <w:r w:rsidRPr="00CB010A">
              <w:rPr>
                <w:bCs/>
                <w:sz w:val="28"/>
                <w:szCs w:val="28"/>
              </w:rPr>
              <w:t>2</w:t>
            </w:r>
          </w:p>
        </w:tc>
        <w:tc>
          <w:tcPr>
            <w:tcW w:w="1334" w:type="dxa"/>
            <w:vAlign w:val="center"/>
          </w:tcPr>
          <w:p w:rsidR="00554850" w:rsidRPr="00CB010A" w:rsidRDefault="00554850" w:rsidP="00427449">
            <w:pPr>
              <w:pStyle w:val="naisf"/>
              <w:spacing w:before="0" w:after="0"/>
              <w:ind w:firstLine="0"/>
              <w:jc w:val="center"/>
              <w:rPr>
                <w:bCs/>
                <w:sz w:val="28"/>
                <w:szCs w:val="28"/>
              </w:rPr>
            </w:pPr>
            <w:r w:rsidRPr="00CB010A">
              <w:rPr>
                <w:bCs/>
                <w:sz w:val="28"/>
                <w:szCs w:val="28"/>
              </w:rPr>
              <w:t>3</w:t>
            </w:r>
          </w:p>
        </w:tc>
        <w:tc>
          <w:tcPr>
            <w:tcW w:w="1334" w:type="dxa"/>
            <w:vAlign w:val="center"/>
          </w:tcPr>
          <w:p w:rsidR="00554850" w:rsidRPr="00CB010A" w:rsidRDefault="00554850" w:rsidP="00427449">
            <w:pPr>
              <w:pStyle w:val="naisf"/>
              <w:spacing w:before="0" w:after="0"/>
              <w:ind w:firstLine="0"/>
              <w:jc w:val="center"/>
              <w:rPr>
                <w:bCs/>
                <w:sz w:val="28"/>
                <w:szCs w:val="28"/>
              </w:rPr>
            </w:pPr>
            <w:r w:rsidRPr="00CB010A">
              <w:rPr>
                <w:bCs/>
                <w:sz w:val="28"/>
                <w:szCs w:val="28"/>
              </w:rPr>
              <w:t>4</w:t>
            </w:r>
          </w:p>
        </w:tc>
        <w:tc>
          <w:tcPr>
            <w:tcW w:w="1334" w:type="dxa"/>
            <w:vAlign w:val="center"/>
          </w:tcPr>
          <w:p w:rsidR="00554850" w:rsidRPr="00CB010A" w:rsidRDefault="00554850" w:rsidP="00427449">
            <w:pPr>
              <w:pStyle w:val="naisf"/>
              <w:spacing w:before="0" w:after="0"/>
              <w:ind w:firstLine="0"/>
              <w:jc w:val="center"/>
              <w:rPr>
                <w:bCs/>
                <w:sz w:val="28"/>
                <w:szCs w:val="28"/>
              </w:rPr>
            </w:pPr>
            <w:r w:rsidRPr="00CB010A">
              <w:rPr>
                <w:bCs/>
                <w:sz w:val="28"/>
                <w:szCs w:val="28"/>
              </w:rPr>
              <w:t>5</w:t>
            </w:r>
          </w:p>
        </w:tc>
        <w:tc>
          <w:tcPr>
            <w:tcW w:w="1305" w:type="dxa"/>
            <w:vAlign w:val="center"/>
          </w:tcPr>
          <w:p w:rsidR="00554850" w:rsidRPr="00CB010A" w:rsidRDefault="00554850" w:rsidP="00427449">
            <w:pPr>
              <w:pStyle w:val="naisf"/>
              <w:spacing w:before="0" w:after="0"/>
              <w:ind w:firstLine="0"/>
              <w:jc w:val="center"/>
              <w:rPr>
                <w:bCs/>
                <w:sz w:val="28"/>
                <w:szCs w:val="28"/>
              </w:rPr>
            </w:pPr>
            <w:r w:rsidRPr="00CB010A">
              <w:rPr>
                <w:bCs/>
                <w:sz w:val="28"/>
                <w:szCs w:val="28"/>
              </w:rPr>
              <w:t>6</w:t>
            </w:r>
          </w:p>
        </w:tc>
      </w:tr>
      <w:tr w:rsidR="00554850" w:rsidRPr="00CB010A" w:rsidTr="00427449">
        <w:trPr>
          <w:jc w:val="center"/>
        </w:trPr>
        <w:tc>
          <w:tcPr>
            <w:tcW w:w="2753" w:type="dxa"/>
          </w:tcPr>
          <w:p w:rsidR="00554850" w:rsidRPr="00CB010A" w:rsidRDefault="00554850" w:rsidP="00427449">
            <w:pPr>
              <w:pStyle w:val="naisf"/>
              <w:spacing w:before="0" w:after="0"/>
              <w:ind w:firstLine="0"/>
              <w:rPr>
                <w:i/>
                <w:sz w:val="28"/>
                <w:szCs w:val="28"/>
              </w:rPr>
            </w:pPr>
            <w:r w:rsidRPr="00CB010A">
              <w:rPr>
                <w:sz w:val="28"/>
                <w:szCs w:val="28"/>
              </w:rPr>
              <w:t>1. Budžeta ieņēmumi:</w:t>
            </w:r>
          </w:p>
        </w:tc>
        <w:tc>
          <w:tcPr>
            <w:tcW w:w="1276" w:type="dxa"/>
          </w:tcPr>
          <w:p w:rsidR="00554850" w:rsidRPr="00CB010A" w:rsidRDefault="00554850" w:rsidP="00427449">
            <w:pPr>
              <w:pStyle w:val="naisf"/>
              <w:spacing w:before="0" w:after="0"/>
              <w:ind w:firstLine="0"/>
              <w:rPr>
                <w:b/>
                <w:i/>
                <w:sz w:val="28"/>
                <w:szCs w:val="28"/>
              </w:rPr>
            </w:pPr>
          </w:p>
        </w:tc>
        <w:tc>
          <w:tcPr>
            <w:tcW w:w="1334" w:type="dxa"/>
          </w:tcPr>
          <w:p w:rsidR="00554850" w:rsidRPr="0044155B" w:rsidRDefault="00554850" w:rsidP="00427449">
            <w:pPr>
              <w:pStyle w:val="naisf"/>
              <w:spacing w:before="0" w:after="0"/>
              <w:ind w:firstLine="0"/>
              <w:rPr>
                <w:b/>
                <w:sz w:val="28"/>
                <w:szCs w:val="28"/>
              </w:rPr>
            </w:pPr>
          </w:p>
        </w:tc>
        <w:tc>
          <w:tcPr>
            <w:tcW w:w="1334" w:type="dxa"/>
          </w:tcPr>
          <w:p w:rsidR="00554850" w:rsidRPr="00941136" w:rsidRDefault="00554850" w:rsidP="00427449">
            <w:pPr>
              <w:pStyle w:val="naisf"/>
              <w:spacing w:before="0" w:after="0"/>
              <w:ind w:firstLine="0"/>
              <w:rPr>
                <w:b/>
                <w:sz w:val="28"/>
                <w:szCs w:val="28"/>
              </w:rPr>
            </w:pPr>
            <w:r>
              <w:rPr>
                <w:b/>
                <w:sz w:val="28"/>
                <w:szCs w:val="28"/>
              </w:rPr>
              <w:t>491,4</w:t>
            </w:r>
          </w:p>
        </w:tc>
        <w:tc>
          <w:tcPr>
            <w:tcW w:w="1334" w:type="dxa"/>
          </w:tcPr>
          <w:p w:rsidR="00554850" w:rsidRPr="00941136" w:rsidRDefault="00554850" w:rsidP="00427449">
            <w:pPr>
              <w:pStyle w:val="naisf"/>
              <w:spacing w:before="0" w:after="0"/>
              <w:ind w:firstLine="0"/>
              <w:rPr>
                <w:b/>
                <w:sz w:val="28"/>
                <w:szCs w:val="28"/>
              </w:rPr>
            </w:pPr>
            <w:r>
              <w:rPr>
                <w:b/>
                <w:sz w:val="28"/>
                <w:szCs w:val="28"/>
              </w:rPr>
              <w:t>491,4</w:t>
            </w:r>
          </w:p>
        </w:tc>
        <w:tc>
          <w:tcPr>
            <w:tcW w:w="1305" w:type="dxa"/>
          </w:tcPr>
          <w:p w:rsidR="00554850" w:rsidRPr="00941136" w:rsidRDefault="00554850" w:rsidP="00427449">
            <w:pPr>
              <w:pStyle w:val="naisf"/>
              <w:spacing w:before="0" w:after="0"/>
              <w:ind w:firstLine="0"/>
              <w:rPr>
                <w:b/>
                <w:sz w:val="28"/>
                <w:szCs w:val="28"/>
              </w:rPr>
            </w:pPr>
            <w:r>
              <w:rPr>
                <w:b/>
                <w:sz w:val="28"/>
                <w:szCs w:val="28"/>
              </w:rPr>
              <w:t>491,4</w:t>
            </w:r>
          </w:p>
        </w:tc>
      </w:tr>
      <w:tr w:rsidR="00554850" w:rsidRPr="00CB010A" w:rsidTr="00427449">
        <w:trPr>
          <w:jc w:val="center"/>
        </w:trPr>
        <w:tc>
          <w:tcPr>
            <w:tcW w:w="2753" w:type="dxa"/>
          </w:tcPr>
          <w:p w:rsidR="00554850" w:rsidRPr="00CB010A" w:rsidRDefault="00554850" w:rsidP="00427449">
            <w:pPr>
              <w:pStyle w:val="naisf"/>
              <w:spacing w:before="0" w:after="0"/>
              <w:ind w:firstLine="0"/>
              <w:jc w:val="left"/>
              <w:rPr>
                <w:i/>
                <w:sz w:val="28"/>
                <w:szCs w:val="28"/>
              </w:rPr>
            </w:pPr>
            <w:r w:rsidRPr="00CB010A">
              <w:rPr>
                <w:sz w:val="28"/>
                <w:szCs w:val="28"/>
              </w:rPr>
              <w:t>1.1. valsts pamatbudžets, tai skaitā ieņēmumi no maksas pakalpo-jumiem un citi pašu ieņēmumi</w:t>
            </w:r>
          </w:p>
        </w:tc>
        <w:tc>
          <w:tcPr>
            <w:tcW w:w="1276" w:type="dxa"/>
          </w:tcPr>
          <w:p w:rsidR="00554850" w:rsidRPr="00CB010A" w:rsidRDefault="00554850" w:rsidP="00427449">
            <w:pPr>
              <w:pStyle w:val="naisf"/>
              <w:spacing w:before="0" w:after="0"/>
              <w:ind w:firstLine="0"/>
              <w:rPr>
                <w:b/>
                <w:i/>
                <w:sz w:val="28"/>
                <w:szCs w:val="28"/>
              </w:rPr>
            </w:pPr>
          </w:p>
        </w:tc>
        <w:tc>
          <w:tcPr>
            <w:tcW w:w="1334" w:type="dxa"/>
          </w:tcPr>
          <w:p w:rsidR="00554850" w:rsidRPr="0044155B"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r>
              <w:rPr>
                <w:sz w:val="28"/>
                <w:szCs w:val="28"/>
              </w:rPr>
              <w:t>491,4</w:t>
            </w:r>
          </w:p>
        </w:tc>
        <w:tc>
          <w:tcPr>
            <w:tcW w:w="1334" w:type="dxa"/>
          </w:tcPr>
          <w:p w:rsidR="00554850" w:rsidRPr="00941136" w:rsidRDefault="00554850" w:rsidP="00427449">
            <w:pPr>
              <w:pStyle w:val="naisf"/>
              <w:spacing w:before="0" w:after="0"/>
              <w:ind w:firstLine="0"/>
              <w:rPr>
                <w:sz w:val="28"/>
                <w:szCs w:val="28"/>
              </w:rPr>
            </w:pPr>
            <w:r>
              <w:rPr>
                <w:sz w:val="28"/>
                <w:szCs w:val="28"/>
              </w:rPr>
              <w:t>491,4</w:t>
            </w:r>
          </w:p>
        </w:tc>
        <w:tc>
          <w:tcPr>
            <w:tcW w:w="1305" w:type="dxa"/>
          </w:tcPr>
          <w:p w:rsidR="00554850" w:rsidRPr="00941136" w:rsidRDefault="00554850" w:rsidP="00427449">
            <w:pPr>
              <w:pStyle w:val="naisf"/>
              <w:spacing w:before="0" w:after="0"/>
              <w:ind w:firstLine="0"/>
              <w:rPr>
                <w:sz w:val="28"/>
                <w:szCs w:val="28"/>
              </w:rPr>
            </w:pPr>
            <w:r>
              <w:rPr>
                <w:sz w:val="28"/>
                <w:szCs w:val="28"/>
              </w:rPr>
              <w:t>491,4</w:t>
            </w:r>
          </w:p>
        </w:tc>
      </w:tr>
      <w:tr w:rsidR="00554850" w:rsidRPr="00CB010A" w:rsidTr="00427449">
        <w:trPr>
          <w:jc w:val="center"/>
        </w:trPr>
        <w:tc>
          <w:tcPr>
            <w:tcW w:w="2753" w:type="dxa"/>
          </w:tcPr>
          <w:p w:rsidR="00554850" w:rsidRPr="00CB010A" w:rsidRDefault="00554850" w:rsidP="00427449">
            <w:pPr>
              <w:pStyle w:val="naisf"/>
              <w:spacing w:before="0" w:after="0"/>
              <w:ind w:firstLine="0"/>
              <w:jc w:val="left"/>
              <w:rPr>
                <w:i/>
                <w:sz w:val="28"/>
                <w:szCs w:val="28"/>
              </w:rPr>
            </w:pPr>
            <w:r w:rsidRPr="00CB010A">
              <w:rPr>
                <w:sz w:val="28"/>
                <w:szCs w:val="28"/>
              </w:rPr>
              <w:t>1.2. valsts speciālais budžets</w:t>
            </w:r>
          </w:p>
        </w:tc>
        <w:tc>
          <w:tcPr>
            <w:tcW w:w="1276" w:type="dxa"/>
          </w:tcPr>
          <w:p w:rsidR="00554850" w:rsidRPr="00CB010A" w:rsidRDefault="00554850" w:rsidP="00427449">
            <w:pPr>
              <w:pStyle w:val="naisf"/>
              <w:spacing w:before="0" w:after="0"/>
              <w:ind w:firstLine="0"/>
              <w:rPr>
                <w:b/>
                <w:i/>
                <w:sz w:val="28"/>
                <w:szCs w:val="28"/>
              </w:rPr>
            </w:pP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05" w:type="dxa"/>
          </w:tcPr>
          <w:p w:rsidR="00554850" w:rsidRPr="00CB010A"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CB010A" w:rsidRDefault="00554850" w:rsidP="00427449">
            <w:pPr>
              <w:pStyle w:val="naisf"/>
              <w:spacing w:before="0" w:after="0"/>
              <w:ind w:firstLine="0"/>
              <w:jc w:val="left"/>
              <w:rPr>
                <w:i/>
                <w:sz w:val="28"/>
                <w:szCs w:val="28"/>
              </w:rPr>
            </w:pPr>
            <w:r w:rsidRPr="00CB010A">
              <w:rPr>
                <w:sz w:val="28"/>
                <w:szCs w:val="28"/>
              </w:rPr>
              <w:t>1.3. pašvaldību budžets</w:t>
            </w:r>
          </w:p>
        </w:tc>
        <w:tc>
          <w:tcPr>
            <w:tcW w:w="1276" w:type="dxa"/>
          </w:tcPr>
          <w:p w:rsidR="00554850" w:rsidRPr="00CB010A" w:rsidRDefault="00554850" w:rsidP="00427449">
            <w:pPr>
              <w:pStyle w:val="naisf"/>
              <w:spacing w:before="0" w:after="0"/>
              <w:ind w:firstLine="0"/>
              <w:rPr>
                <w:b/>
                <w:i/>
                <w:sz w:val="28"/>
                <w:szCs w:val="28"/>
              </w:rPr>
            </w:pP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05" w:type="dxa"/>
          </w:tcPr>
          <w:p w:rsidR="00554850" w:rsidRPr="00CB010A"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2. Budžeta izdevumi:</w:t>
            </w:r>
          </w:p>
        </w:tc>
        <w:tc>
          <w:tcPr>
            <w:tcW w:w="1276" w:type="dxa"/>
          </w:tcPr>
          <w:p w:rsidR="00554850" w:rsidRPr="00CB010A" w:rsidRDefault="00554850" w:rsidP="00427449">
            <w:pPr>
              <w:pStyle w:val="naisf"/>
              <w:spacing w:before="0" w:after="0"/>
              <w:ind w:firstLine="0"/>
              <w:rPr>
                <w:b/>
                <w:i/>
                <w:sz w:val="28"/>
                <w:szCs w:val="28"/>
              </w:rPr>
            </w:pPr>
          </w:p>
        </w:tc>
        <w:tc>
          <w:tcPr>
            <w:tcW w:w="1334" w:type="dxa"/>
          </w:tcPr>
          <w:p w:rsidR="00554850" w:rsidRPr="0044155B" w:rsidRDefault="00554850" w:rsidP="00427449">
            <w:pPr>
              <w:pStyle w:val="naisf"/>
              <w:spacing w:before="0" w:after="0"/>
              <w:ind w:firstLine="0"/>
              <w:rPr>
                <w:b/>
                <w:sz w:val="28"/>
                <w:szCs w:val="28"/>
              </w:rPr>
            </w:pPr>
          </w:p>
        </w:tc>
        <w:tc>
          <w:tcPr>
            <w:tcW w:w="1334" w:type="dxa"/>
          </w:tcPr>
          <w:p w:rsidR="00554850" w:rsidRPr="00941136" w:rsidRDefault="00554850" w:rsidP="00427449">
            <w:pPr>
              <w:pStyle w:val="naisf"/>
              <w:spacing w:before="0" w:after="0"/>
              <w:ind w:firstLine="0"/>
              <w:rPr>
                <w:b/>
                <w:sz w:val="28"/>
                <w:szCs w:val="28"/>
              </w:rPr>
            </w:pPr>
            <w:r>
              <w:rPr>
                <w:b/>
                <w:sz w:val="28"/>
                <w:szCs w:val="28"/>
              </w:rPr>
              <w:t>491,4</w:t>
            </w:r>
          </w:p>
        </w:tc>
        <w:tc>
          <w:tcPr>
            <w:tcW w:w="1334" w:type="dxa"/>
          </w:tcPr>
          <w:p w:rsidR="00554850" w:rsidRPr="00941136" w:rsidRDefault="00554850" w:rsidP="00427449">
            <w:pPr>
              <w:pStyle w:val="naisf"/>
              <w:spacing w:before="0" w:after="0"/>
              <w:ind w:firstLine="0"/>
              <w:rPr>
                <w:b/>
                <w:sz w:val="28"/>
                <w:szCs w:val="28"/>
              </w:rPr>
            </w:pPr>
            <w:r>
              <w:rPr>
                <w:b/>
                <w:sz w:val="28"/>
                <w:szCs w:val="28"/>
              </w:rPr>
              <w:t>491,4</w:t>
            </w:r>
          </w:p>
        </w:tc>
        <w:tc>
          <w:tcPr>
            <w:tcW w:w="1305" w:type="dxa"/>
          </w:tcPr>
          <w:p w:rsidR="00554850" w:rsidRPr="00941136" w:rsidRDefault="00554850" w:rsidP="00427449">
            <w:pPr>
              <w:pStyle w:val="naisf"/>
              <w:spacing w:before="0" w:after="0"/>
              <w:ind w:firstLine="0"/>
              <w:rPr>
                <w:b/>
                <w:sz w:val="28"/>
                <w:szCs w:val="28"/>
              </w:rPr>
            </w:pPr>
            <w:r>
              <w:rPr>
                <w:b/>
                <w:sz w:val="28"/>
                <w:szCs w:val="28"/>
              </w:rPr>
              <w:t>491,4</w:t>
            </w: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2.1. valsts pamatbudžets</w:t>
            </w:r>
          </w:p>
        </w:tc>
        <w:tc>
          <w:tcPr>
            <w:tcW w:w="1276" w:type="dxa"/>
          </w:tcPr>
          <w:p w:rsidR="00554850" w:rsidRPr="00CB010A" w:rsidRDefault="00554850" w:rsidP="00427449">
            <w:pPr>
              <w:pStyle w:val="naisf"/>
              <w:spacing w:before="0" w:after="0"/>
              <w:ind w:firstLine="0"/>
              <w:rPr>
                <w:b/>
                <w:i/>
                <w:sz w:val="28"/>
                <w:szCs w:val="28"/>
              </w:rPr>
            </w:pPr>
          </w:p>
        </w:tc>
        <w:tc>
          <w:tcPr>
            <w:tcW w:w="1334" w:type="dxa"/>
          </w:tcPr>
          <w:p w:rsidR="00554850" w:rsidRPr="0044155B"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r>
              <w:rPr>
                <w:sz w:val="28"/>
                <w:szCs w:val="28"/>
              </w:rPr>
              <w:t>491,4</w:t>
            </w:r>
          </w:p>
        </w:tc>
        <w:tc>
          <w:tcPr>
            <w:tcW w:w="1334" w:type="dxa"/>
          </w:tcPr>
          <w:p w:rsidR="00554850" w:rsidRPr="00941136" w:rsidRDefault="00554850" w:rsidP="00427449">
            <w:pPr>
              <w:pStyle w:val="naisf"/>
              <w:spacing w:before="0" w:after="0"/>
              <w:ind w:firstLine="0"/>
              <w:rPr>
                <w:sz w:val="28"/>
                <w:szCs w:val="28"/>
              </w:rPr>
            </w:pPr>
            <w:r>
              <w:rPr>
                <w:sz w:val="28"/>
                <w:szCs w:val="28"/>
              </w:rPr>
              <w:t>491,4</w:t>
            </w:r>
          </w:p>
        </w:tc>
        <w:tc>
          <w:tcPr>
            <w:tcW w:w="1305" w:type="dxa"/>
          </w:tcPr>
          <w:p w:rsidR="00554850" w:rsidRPr="00941136" w:rsidRDefault="00554850" w:rsidP="00427449">
            <w:pPr>
              <w:pStyle w:val="naisf"/>
              <w:spacing w:before="0" w:after="0"/>
              <w:ind w:firstLine="0"/>
              <w:rPr>
                <w:sz w:val="28"/>
                <w:szCs w:val="28"/>
              </w:rPr>
            </w:pPr>
            <w:r>
              <w:rPr>
                <w:sz w:val="28"/>
                <w:szCs w:val="28"/>
              </w:rPr>
              <w:t>491,4</w:t>
            </w: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2.2. valsts speciālais budžets</w:t>
            </w:r>
          </w:p>
        </w:tc>
        <w:tc>
          <w:tcPr>
            <w:tcW w:w="1276" w:type="dxa"/>
          </w:tcPr>
          <w:p w:rsidR="00554850" w:rsidRPr="000C3C96" w:rsidRDefault="00554850" w:rsidP="00427449">
            <w:pPr>
              <w:pStyle w:val="naisf"/>
              <w:spacing w:before="0" w:after="0"/>
              <w:ind w:firstLine="0"/>
              <w:rPr>
                <w:b/>
                <w:i/>
                <w:sz w:val="28"/>
                <w:szCs w:val="28"/>
                <w:highlight w:val="yellow"/>
              </w:rPr>
            </w:pPr>
          </w:p>
        </w:tc>
        <w:tc>
          <w:tcPr>
            <w:tcW w:w="1334" w:type="dxa"/>
          </w:tcPr>
          <w:p w:rsidR="00554850" w:rsidRPr="0044155B"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p>
        </w:tc>
        <w:tc>
          <w:tcPr>
            <w:tcW w:w="1305" w:type="dxa"/>
          </w:tcPr>
          <w:p w:rsidR="00554850" w:rsidRPr="00941136" w:rsidRDefault="00554850" w:rsidP="00427449">
            <w:pPr>
              <w:pStyle w:val="naisf"/>
              <w:spacing w:before="0" w:after="0"/>
              <w:ind w:firstLine="0"/>
              <w:rPr>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 xml:space="preserve">2.3. pašvaldību budžets </w:t>
            </w:r>
          </w:p>
        </w:tc>
        <w:tc>
          <w:tcPr>
            <w:tcW w:w="1276" w:type="dxa"/>
          </w:tcPr>
          <w:p w:rsidR="00554850" w:rsidRPr="000C3C96" w:rsidRDefault="00554850" w:rsidP="00427449">
            <w:pPr>
              <w:pStyle w:val="naisf"/>
              <w:spacing w:before="0" w:after="0"/>
              <w:ind w:firstLine="0"/>
              <w:rPr>
                <w:b/>
                <w:i/>
                <w:sz w:val="28"/>
                <w:szCs w:val="28"/>
                <w:highlight w:val="yellow"/>
              </w:rPr>
            </w:pP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941136" w:rsidRDefault="00554850" w:rsidP="00427449">
            <w:pPr>
              <w:pStyle w:val="naisf"/>
              <w:spacing w:before="0" w:after="0"/>
              <w:ind w:firstLine="0"/>
              <w:rPr>
                <w:b/>
                <w:i/>
                <w:sz w:val="28"/>
                <w:szCs w:val="28"/>
              </w:rPr>
            </w:pPr>
          </w:p>
        </w:tc>
        <w:tc>
          <w:tcPr>
            <w:tcW w:w="1334" w:type="dxa"/>
          </w:tcPr>
          <w:p w:rsidR="00554850" w:rsidRPr="00941136" w:rsidRDefault="00554850" w:rsidP="00427449">
            <w:pPr>
              <w:pStyle w:val="naisf"/>
              <w:spacing w:before="0" w:after="0"/>
              <w:ind w:firstLine="0"/>
              <w:rPr>
                <w:b/>
                <w:i/>
                <w:sz w:val="28"/>
                <w:szCs w:val="28"/>
              </w:rPr>
            </w:pPr>
          </w:p>
        </w:tc>
        <w:tc>
          <w:tcPr>
            <w:tcW w:w="1305" w:type="dxa"/>
          </w:tcPr>
          <w:p w:rsidR="00554850" w:rsidRPr="00941136"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3. Finansiālā ietekme:</w:t>
            </w:r>
          </w:p>
        </w:tc>
        <w:tc>
          <w:tcPr>
            <w:tcW w:w="1276" w:type="dxa"/>
            <w:shd w:val="clear" w:color="auto" w:fill="auto"/>
            <w:vAlign w:val="center"/>
          </w:tcPr>
          <w:p w:rsidR="00554850" w:rsidRPr="000C3C96" w:rsidRDefault="00554850" w:rsidP="00427449">
            <w:pPr>
              <w:pStyle w:val="naisf"/>
              <w:spacing w:before="0" w:after="0"/>
              <w:ind w:firstLine="0"/>
              <w:jc w:val="center"/>
              <w:rPr>
                <w:sz w:val="28"/>
                <w:szCs w:val="28"/>
                <w:highlight w:val="yellow"/>
              </w:rPr>
            </w:pPr>
          </w:p>
        </w:tc>
        <w:tc>
          <w:tcPr>
            <w:tcW w:w="1334" w:type="dxa"/>
          </w:tcPr>
          <w:p w:rsidR="00554850" w:rsidRPr="0044155B" w:rsidRDefault="00554850" w:rsidP="00427449">
            <w:pPr>
              <w:pStyle w:val="naisf"/>
              <w:spacing w:before="0" w:after="0"/>
              <w:ind w:firstLine="0"/>
              <w:rPr>
                <w:b/>
                <w:sz w:val="28"/>
                <w:szCs w:val="28"/>
              </w:rPr>
            </w:pPr>
          </w:p>
        </w:tc>
        <w:tc>
          <w:tcPr>
            <w:tcW w:w="1334" w:type="dxa"/>
          </w:tcPr>
          <w:p w:rsidR="00554850" w:rsidRPr="00941136" w:rsidRDefault="00554850" w:rsidP="00427449">
            <w:pPr>
              <w:pStyle w:val="naisf"/>
              <w:spacing w:before="0" w:after="0"/>
              <w:ind w:firstLine="0"/>
              <w:rPr>
                <w:b/>
                <w:sz w:val="28"/>
                <w:szCs w:val="28"/>
              </w:rPr>
            </w:pPr>
          </w:p>
        </w:tc>
        <w:tc>
          <w:tcPr>
            <w:tcW w:w="1334" w:type="dxa"/>
          </w:tcPr>
          <w:p w:rsidR="00554850" w:rsidRPr="00941136" w:rsidRDefault="00554850" w:rsidP="00427449">
            <w:pPr>
              <w:pStyle w:val="naisf"/>
              <w:spacing w:before="0" w:after="0"/>
              <w:ind w:firstLine="0"/>
              <w:rPr>
                <w:b/>
                <w:sz w:val="28"/>
                <w:szCs w:val="28"/>
              </w:rPr>
            </w:pPr>
          </w:p>
        </w:tc>
        <w:tc>
          <w:tcPr>
            <w:tcW w:w="1305" w:type="dxa"/>
          </w:tcPr>
          <w:p w:rsidR="00554850" w:rsidRPr="00941136" w:rsidRDefault="00554850" w:rsidP="00427449">
            <w:pPr>
              <w:pStyle w:val="naisf"/>
              <w:spacing w:before="0" w:after="0"/>
              <w:ind w:firstLine="0"/>
              <w:rPr>
                <w:b/>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3.1. valsts pamatbudžets</w:t>
            </w:r>
          </w:p>
        </w:tc>
        <w:tc>
          <w:tcPr>
            <w:tcW w:w="1276" w:type="dxa"/>
            <w:shd w:val="clear" w:color="auto" w:fill="auto"/>
          </w:tcPr>
          <w:p w:rsidR="00554850" w:rsidRPr="000C3C96" w:rsidRDefault="00554850" w:rsidP="00427449">
            <w:pPr>
              <w:pStyle w:val="naisf"/>
              <w:spacing w:before="0" w:after="0"/>
              <w:ind w:firstLine="0"/>
              <w:rPr>
                <w:i/>
                <w:sz w:val="28"/>
                <w:szCs w:val="28"/>
                <w:highlight w:val="yellow"/>
              </w:rPr>
            </w:pPr>
          </w:p>
        </w:tc>
        <w:tc>
          <w:tcPr>
            <w:tcW w:w="1334" w:type="dxa"/>
          </w:tcPr>
          <w:p w:rsidR="00554850" w:rsidRPr="0044155B"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p>
        </w:tc>
        <w:tc>
          <w:tcPr>
            <w:tcW w:w="1305" w:type="dxa"/>
          </w:tcPr>
          <w:p w:rsidR="00554850" w:rsidRPr="00941136" w:rsidRDefault="00554850" w:rsidP="00427449">
            <w:pPr>
              <w:pStyle w:val="naisf"/>
              <w:spacing w:before="0" w:after="0"/>
              <w:ind w:firstLine="0"/>
              <w:rPr>
                <w:sz w:val="28"/>
                <w:szCs w:val="28"/>
              </w:rPr>
            </w:pPr>
          </w:p>
        </w:tc>
      </w:tr>
      <w:tr w:rsidR="00554850" w:rsidRPr="0044155B" w:rsidTr="00427449">
        <w:trPr>
          <w:gridAfter w:val="4"/>
          <w:wAfter w:w="5307" w:type="dxa"/>
          <w:jc w:val="center"/>
        </w:trPr>
        <w:tc>
          <w:tcPr>
            <w:tcW w:w="2753" w:type="dxa"/>
          </w:tcPr>
          <w:p w:rsidR="00554850" w:rsidRPr="00CB010A" w:rsidRDefault="00554850" w:rsidP="00427449">
            <w:pPr>
              <w:rPr>
                <w:sz w:val="28"/>
                <w:szCs w:val="28"/>
              </w:rPr>
            </w:pPr>
            <w:r w:rsidRPr="00CB010A">
              <w:rPr>
                <w:sz w:val="28"/>
                <w:szCs w:val="28"/>
              </w:rPr>
              <w:t>3.2. speciālais budžets</w:t>
            </w:r>
          </w:p>
        </w:tc>
        <w:tc>
          <w:tcPr>
            <w:tcW w:w="1276" w:type="dxa"/>
            <w:shd w:val="clear" w:color="auto" w:fill="auto"/>
          </w:tcPr>
          <w:p w:rsidR="00554850" w:rsidRPr="000C3C96" w:rsidRDefault="00554850" w:rsidP="00427449">
            <w:pPr>
              <w:pStyle w:val="naisf"/>
              <w:spacing w:before="0" w:after="0"/>
              <w:ind w:firstLine="0"/>
              <w:rPr>
                <w:i/>
                <w:sz w:val="28"/>
                <w:szCs w:val="28"/>
                <w:highlight w:val="yellow"/>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 xml:space="preserve">3.3. pašvaldību budžets </w:t>
            </w:r>
          </w:p>
        </w:tc>
        <w:tc>
          <w:tcPr>
            <w:tcW w:w="1276" w:type="dxa"/>
            <w:shd w:val="clear" w:color="auto" w:fill="auto"/>
          </w:tcPr>
          <w:p w:rsidR="00554850" w:rsidRPr="00CB010A" w:rsidRDefault="00554850" w:rsidP="00427449">
            <w:pPr>
              <w:pStyle w:val="naisf"/>
              <w:spacing w:before="0" w:after="0"/>
              <w:ind w:firstLine="0"/>
              <w:rPr>
                <w:i/>
                <w:sz w:val="28"/>
                <w:szCs w:val="28"/>
              </w:rPr>
            </w:pP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05" w:type="dxa"/>
          </w:tcPr>
          <w:p w:rsidR="00554850" w:rsidRPr="00CB010A" w:rsidRDefault="00554850" w:rsidP="00427449">
            <w:pPr>
              <w:pStyle w:val="naisf"/>
              <w:spacing w:before="0" w:after="0"/>
              <w:ind w:firstLine="0"/>
              <w:rPr>
                <w:b/>
                <w:i/>
                <w:sz w:val="28"/>
                <w:szCs w:val="28"/>
              </w:rPr>
            </w:pPr>
          </w:p>
        </w:tc>
      </w:tr>
      <w:tr w:rsidR="00554850" w:rsidRPr="00CB010A" w:rsidTr="00427449">
        <w:trPr>
          <w:trHeight w:val="2254"/>
          <w:jc w:val="center"/>
        </w:trPr>
        <w:tc>
          <w:tcPr>
            <w:tcW w:w="2753" w:type="dxa"/>
          </w:tcPr>
          <w:p w:rsidR="00554850" w:rsidRPr="00CB010A" w:rsidRDefault="00554850" w:rsidP="00427449">
            <w:pPr>
              <w:jc w:val="both"/>
              <w:rPr>
                <w:sz w:val="28"/>
                <w:szCs w:val="28"/>
              </w:rPr>
            </w:pPr>
            <w:r w:rsidRPr="00CB010A">
              <w:rPr>
                <w:sz w:val="28"/>
                <w:szCs w:val="28"/>
              </w:rPr>
              <w:t>4. Finanšu līdzekļi papildu izde</w:t>
            </w:r>
            <w:r w:rsidRPr="00CB010A">
              <w:rPr>
                <w:sz w:val="28"/>
                <w:szCs w:val="28"/>
              </w:rPr>
              <w:softHyphen/>
              <w:t>vumu finansēšanai (kompensējošu izdevumu samazinājumu norāda ar "+" zīmi)</w:t>
            </w:r>
          </w:p>
        </w:tc>
        <w:tc>
          <w:tcPr>
            <w:tcW w:w="1276" w:type="dxa"/>
          </w:tcPr>
          <w:p w:rsidR="00554850" w:rsidRPr="00CB010A" w:rsidRDefault="00554850" w:rsidP="00427449">
            <w:pPr>
              <w:pStyle w:val="naisf"/>
              <w:spacing w:before="0" w:after="0"/>
              <w:ind w:firstLine="0"/>
              <w:jc w:val="center"/>
              <w:rPr>
                <w:i/>
                <w:sz w:val="28"/>
                <w:szCs w:val="28"/>
              </w:rPr>
            </w:pPr>
            <w:r w:rsidRPr="00CB010A">
              <w:rPr>
                <w:sz w:val="28"/>
                <w:szCs w:val="28"/>
              </w:rPr>
              <w:t>X</w:t>
            </w:r>
          </w:p>
        </w:tc>
        <w:tc>
          <w:tcPr>
            <w:tcW w:w="1334" w:type="dxa"/>
          </w:tcPr>
          <w:p w:rsidR="00554850" w:rsidRPr="0044155B"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p>
        </w:tc>
        <w:tc>
          <w:tcPr>
            <w:tcW w:w="1334" w:type="dxa"/>
          </w:tcPr>
          <w:p w:rsidR="00554850" w:rsidRPr="00941136" w:rsidRDefault="00554850" w:rsidP="00427449">
            <w:pPr>
              <w:pStyle w:val="naisf"/>
              <w:spacing w:before="0" w:after="0"/>
              <w:ind w:firstLine="0"/>
              <w:rPr>
                <w:sz w:val="28"/>
                <w:szCs w:val="28"/>
              </w:rPr>
            </w:pPr>
          </w:p>
        </w:tc>
        <w:tc>
          <w:tcPr>
            <w:tcW w:w="1305" w:type="dxa"/>
          </w:tcPr>
          <w:p w:rsidR="00554850" w:rsidRPr="00941136" w:rsidRDefault="00554850" w:rsidP="00427449">
            <w:pPr>
              <w:pStyle w:val="naisf"/>
              <w:spacing w:before="0" w:after="0"/>
              <w:ind w:firstLine="0"/>
              <w:rPr>
                <w:sz w:val="28"/>
                <w:szCs w:val="28"/>
              </w:rPr>
            </w:pPr>
          </w:p>
        </w:tc>
      </w:tr>
      <w:tr w:rsidR="00554850" w:rsidRPr="00CB010A" w:rsidTr="00427449">
        <w:trPr>
          <w:jc w:val="center"/>
        </w:trPr>
        <w:tc>
          <w:tcPr>
            <w:tcW w:w="2753" w:type="dxa"/>
          </w:tcPr>
          <w:p w:rsidR="00554850" w:rsidRPr="00CB010A" w:rsidRDefault="00554850" w:rsidP="00427449">
            <w:pPr>
              <w:jc w:val="both"/>
              <w:rPr>
                <w:sz w:val="28"/>
                <w:szCs w:val="28"/>
              </w:rPr>
            </w:pPr>
            <w:r w:rsidRPr="00CB010A">
              <w:rPr>
                <w:sz w:val="28"/>
                <w:szCs w:val="28"/>
              </w:rPr>
              <w:t>5. Precizēta finansiālā ietekme:</w:t>
            </w:r>
          </w:p>
        </w:tc>
        <w:tc>
          <w:tcPr>
            <w:tcW w:w="1276" w:type="dxa"/>
            <w:vMerge w:val="restart"/>
          </w:tcPr>
          <w:p w:rsidR="00554850" w:rsidRPr="00CB010A" w:rsidRDefault="00554850" w:rsidP="00427449">
            <w:pPr>
              <w:pStyle w:val="naisf"/>
              <w:spacing w:before="0" w:after="0"/>
              <w:ind w:firstLine="0"/>
              <w:jc w:val="center"/>
              <w:rPr>
                <w:i/>
                <w:sz w:val="28"/>
                <w:szCs w:val="28"/>
              </w:rPr>
            </w:pPr>
            <w:r w:rsidRPr="00CB010A">
              <w:rPr>
                <w:sz w:val="28"/>
                <w:szCs w:val="28"/>
              </w:rPr>
              <w:t>X</w:t>
            </w: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05" w:type="dxa"/>
          </w:tcPr>
          <w:p w:rsidR="00554850" w:rsidRPr="00CB010A"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5.1. valsts pamatbudžets</w:t>
            </w:r>
          </w:p>
        </w:tc>
        <w:tc>
          <w:tcPr>
            <w:tcW w:w="1276" w:type="dxa"/>
            <w:vMerge/>
            <w:vAlign w:val="center"/>
          </w:tcPr>
          <w:p w:rsidR="00554850" w:rsidRPr="00CB010A" w:rsidRDefault="00554850" w:rsidP="00427449">
            <w:pPr>
              <w:pStyle w:val="naisf"/>
              <w:spacing w:before="0" w:after="0"/>
              <w:ind w:firstLine="0"/>
              <w:jc w:val="center"/>
              <w:rPr>
                <w:i/>
                <w:sz w:val="28"/>
                <w:szCs w:val="28"/>
              </w:rPr>
            </w:pP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05" w:type="dxa"/>
          </w:tcPr>
          <w:p w:rsidR="00554850" w:rsidRPr="00CB010A"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lastRenderedPageBreak/>
              <w:t>5.2. speciālais budžets</w:t>
            </w:r>
          </w:p>
        </w:tc>
        <w:tc>
          <w:tcPr>
            <w:tcW w:w="1276" w:type="dxa"/>
            <w:vMerge/>
            <w:vAlign w:val="center"/>
          </w:tcPr>
          <w:p w:rsidR="00554850" w:rsidRPr="00CB010A" w:rsidRDefault="00554850" w:rsidP="00427449">
            <w:pPr>
              <w:pStyle w:val="naisf"/>
              <w:spacing w:before="0" w:after="0"/>
              <w:ind w:firstLine="0"/>
              <w:jc w:val="center"/>
              <w:rPr>
                <w:i/>
                <w:sz w:val="28"/>
                <w:szCs w:val="28"/>
              </w:rPr>
            </w:pP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05" w:type="dxa"/>
          </w:tcPr>
          <w:p w:rsidR="00554850" w:rsidRPr="00CB010A"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 xml:space="preserve">5.3. pašvaldību budžets </w:t>
            </w:r>
          </w:p>
        </w:tc>
        <w:tc>
          <w:tcPr>
            <w:tcW w:w="1276" w:type="dxa"/>
            <w:vMerge/>
            <w:vAlign w:val="center"/>
          </w:tcPr>
          <w:p w:rsidR="00554850" w:rsidRPr="00CB010A" w:rsidRDefault="00554850" w:rsidP="00427449">
            <w:pPr>
              <w:pStyle w:val="naisf"/>
              <w:spacing w:before="0" w:after="0"/>
              <w:ind w:firstLine="0"/>
              <w:jc w:val="center"/>
              <w:rPr>
                <w:i/>
                <w:sz w:val="28"/>
                <w:szCs w:val="28"/>
              </w:rPr>
            </w:pPr>
          </w:p>
        </w:tc>
        <w:tc>
          <w:tcPr>
            <w:tcW w:w="1334" w:type="dxa"/>
          </w:tcPr>
          <w:p w:rsidR="00554850" w:rsidRPr="0044155B"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34" w:type="dxa"/>
          </w:tcPr>
          <w:p w:rsidR="00554850" w:rsidRPr="00CB010A" w:rsidRDefault="00554850" w:rsidP="00427449">
            <w:pPr>
              <w:pStyle w:val="naisf"/>
              <w:spacing w:before="0" w:after="0"/>
              <w:ind w:firstLine="0"/>
              <w:rPr>
                <w:b/>
                <w:i/>
                <w:sz w:val="28"/>
                <w:szCs w:val="28"/>
              </w:rPr>
            </w:pPr>
          </w:p>
        </w:tc>
        <w:tc>
          <w:tcPr>
            <w:tcW w:w="1305" w:type="dxa"/>
          </w:tcPr>
          <w:p w:rsidR="00554850" w:rsidRPr="00CB010A"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CB010A" w:rsidRDefault="00554850" w:rsidP="00427449">
            <w:pPr>
              <w:rPr>
                <w:sz w:val="28"/>
                <w:szCs w:val="28"/>
              </w:rPr>
            </w:pPr>
            <w:r w:rsidRPr="00CB010A">
              <w:rPr>
                <w:sz w:val="28"/>
                <w:szCs w:val="28"/>
              </w:rPr>
              <w:t>6. Detalizēts ieņēmumu un izdevu</w:t>
            </w:r>
            <w:r w:rsidRPr="00CB010A">
              <w:rPr>
                <w:sz w:val="28"/>
                <w:szCs w:val="28"/>
              </w:rPr>
              <w:softHyphen/>
              <w:t>mu aprēķins (ja nepieciešams, detalizētu ieņēmumu un izdevumu aprēķinu var pievienot anotācijas pielikumā):</w:t>
            </w:r>
          </w:p>
        </w:tc>
        <w:tc>
          <w:tcPr>
            <w:tcW w:w="6583" w:type="dxa"/>
            <w:gridSpan w:val="5"/>
            <w:vMerge w:val="restart"/>
            <w:vAlign w:val="center"/>
          </w:tcPr>
          <w:p w:rsidR="00554850" w:rsidRPr="00EC13F5" w:rsidRDefault="00554850" w:rsidP="00427449">
            <w:pPr>
              <w:pStyle w:val="naisf"/>
              <w:spacing w:before="0" w:after="0"/>
              <w:ind w:firstLine="0"/>
              <w:rPr>
                <w:b/>
                <w:i/>
                <w:color w:val="FF0000"/>
                <w:sz w:val="28"/>
                <w:szCs w:val="28"/>
              </w:rPr>
            </w:pPr>
          </w:p>
        </w:tc>
      </w:tr>
      <w:tr w:rsidR="00554850" w:rsidRPr="00CB010A" w:rsidTr="00427449">
        <w:trPr>
          <w:jc w:val="center"/>
        </w:trPr>
        <w:tc>
          <w:tcPr>
            <w:tcW w:w="2753" w:type="dxa"/>
          </w:tcPr>
          <w:p w:rsidR="00554850" w:rsidRPr="00CB010A" w:rsidRDefault="00554850" w:rsidP="00427449">
            <w:pPr>
              <w:jc w:val="both"/>
              <w:rPr>
                <w:sz w:val="28"/>
                <w:szCs w:val="28"/>
              </w:rPr>
            </w:pPr>
            <w:r w:rsidRPr="00CB010A">
              <w:rPr>
                <w:sz w:val="28"/>
                <w:szCs w:val="28"/>
              </w:rPr>
              <w:t>6.1. detalizēts ieņēmumu aprēķins</w:t>
            </w:r>
          </w:p>
        </w:tc>
        <w:tc>
          <w:tcPr>
            <w:tcW w:w="6583" w:type="dxa"/>
            <w:gridSpan w:val="5"/>
            <w:vMerge/>
          </w:tcPr>
          <w:p w:rsidR="00554850" w:rsidRPr="00CB010A" w:rsidRDefault="00554850" w:rsidP="00427449">
            <w:pPr>
              <w:pStyle w:val="naisf"/>
              <w:spacing w:before="0" w:after="0"/>
              <w:ind w:firstLine="0"/>
              <w:rPr>
                <w:b/>
                <w:i/>
                <w:sz w:val="28"/>
                <w:szCs w:val="28"/>
              </w:rPr>
            </w:pPr>
          </w:p>
        </w:tc>
      </w:tr>
      <w:tr w:rsidR="00554850" w:rsidRPr="00CB010A" w:rsidTr="00427449">
        <w:trPr>
          <w:jc w:val="center"/>
        </w:trPr>
        <w:tc>
          <w:tcPr>
            <w:tcW w:w="2753" w:type="dxa"/>
          </w:tcPr>
          <w:p w:rsidR="00554850" w:rsidRPr="00460008" w:rsidRDefault="00554850" w:rsidP="00427449">
            <w:pPr>
              <w:jc w:val="both"/>
              <w:rPr>
                <w:sz w:val="28"/>
                <w:szCs w:val="28"/>
              </w:rPr>
            </w:pPr>
            <w:r w:rsidRPr="00460008">
              <w:rPr>
                <w:sz w:val="28"/>
                <w:szCs w:val="28"/>
              </w:rPr>
              <w:t>6.2. detalizēts izdevumu aprēķins</w:t>
            </w:r>
          </w:p>
        </w:tc>
        <w:tc>
          <w:tcPr>
            <w:tcW w:w="6583" w:type="dxa"/>
            <w:gridSpan w:val="5"/>
          </w:tcPr>
          <w:p w:rsidR="00554850" w:rsidRPr="00E40947" w:rsidRDefault="00554850" w:rsidP="00427449">
            <w:pPr>
              <w:pStyle w:val="naisf"/>
              <w:tabs>
                <w:tab w:val="left" w:pos="4644"/>
              </w:tabs>
              <w:spacing w:before="0" w:after="0"/>
              <w:ind w:firstLine="357"/>
              <w:rPr>
                <w:sz w:val="28"/>
                <w:szCs w:val="28"/>
              </w:rPr>
            </w:pPr>
            <w:r w:rsidRPr="00E40947">
              <w:rPr>
                <w:sz w:val="28"/>
                <w:szCs w:val="28"/>
              </w:rPr>
              <w:t xml:space="preserve">Ņemot vērā, ka saskaņā ar Valsts un pašvaldību institūciju amatpersonu un darbinieku atlīdzības likumu, māksliniecisko kolektīvu (amatierkolektīvu) vadītāji atbilst 33.amatu („Radošie darbi”) saimei un maksimālajai mēnešalgu grupai – 10, mēneša amatalga (likme) vidēji ir Ls 513, vienas darba stundas izmaksa ir Ls 3,2. </w:t>
            </w:r>
          </w:p>
          <w:p w:rsidR="00554850" w:rsidRDefault="00554850" w:rsidP="00427449">
            <w:pPr>
              <w:pStyle w:val="naisf"/>
              <w:tabs>
                <w:tab w:val="left" w:pos="4644"/>
              </w:tabs>
              <w:spacing w:before="0" w:after="0"/>
              <w:ind w:firstLine="357"/>
              <w:rPr>
                <w:sz w:val="28"/>
                <w:szCs w:val="28"/>
              </w:rPr>
            </w:pPr>
            <w:r>
              <w:rPr>
                <w:sz w:val="28"/>
                <w:szCs w:val="28"/>
              </w:rPr>
              <w:t>A</w:t>
            </w:r>
            <w:r w:rsidRPr="005F59A6">
              <w:rPr>
                <w:sz w:val="28"/>
                <w:szCs w:val="28"/>
              </w:rPr>
              <w:t>tbilstoši valsts budžetā attiecīgajam gadam apstiprinātajam finansējumam</w:t>
            </w:r>
            <w:r>
              <w:rPr>
                <w:sz w:val="28"/>
                <w:szCs w:val="28"/>
              </w:rPr>
              <w:t>, tiek noteikta valsts mērķdotācijas bāzes summa vienam kolektīvam gadā.</w:t>
            </w:r>
          </w:p>
          <w:p w:rsidR="00554850" w:rsidRPr="009468B6" w:rsidRDefault="00554850" w:rsidP="00427449">
            <w:pPr>
              <w:pStyle w:val="naisf"/>
              <w:tabs>
                <w:tab w:val="left" w:pos="4644"/>
              </w:tabs>
              <w:spacing w:before="0" w:after="0"/>
              <w:ind w:firstLine="357"/>
              <w:rPr>
                <w:sz w:val="28"/>
                <w:szCs w:val="28"/>
              </w:rPr>
            </w:pPr>
            <w:r w:rsidRPr="00C20512">
              <w:rPr>
                <w:sz w:val="28"/>
                <w:szCs w:val="28"/>
              </w:rPr>
              <w:t>Ņemot vērā māksliniecisko kolektīvu skaitu - 1614, kas atbilstoši Valsts statistikas likumā noteiktajā termiņā</w:t>
            </w:r>
            <w:r>
              <w:rPr>
                <w:color w:val="FF0000"/>
                <w:sz w:val="28"/>
                <w:szCs w:val="28"/>
              </w:rPr>
              <w:t xml:space="preserve"> </w:t>
            </w:r>
            <w:r>
              <w:rPr>
                <w:sz w:val="28"/>
                <w:szCs w:val="28"/>
              </w:rPr>
              <w:t>2011.gadā saskaņā ar pašvaldību sniegtajiem datiem ir fiksēti</w:t>
            </w:r>
            <w:r w:rsidRPr="00096087">
              <w:rPr>
                <w:sz w:val="28"/>
                <w:szCs w:val="28"/>
              </w:rPr>
              <w:t xml:space="preserve"> elektroniskajā datubāzē „Latvijas digitālā kultūras karte”</w:t>
            </w:r>
            <w:r>
              <w:rPr>
                <w:sz w:val="28"/>
                <w:szCs w:val="28"/>
              </w:rPr>
              <w:t xml:space="preserve"> tīmekļa vietnē </w:t>
            </w:r>
            <w:r w:rsidR="00CC0908" w:rsidRPr="00CC0908">
              <w:rPr>
                <w:sz w:val="28"/>
                <w:szCs w:val="28"/>
              </w:rPr>
              <w:t>www.kulturaskarte.lv</w:t>
            </w:r>
            <w:r w:rsidRPr="005F6F57">
              <w:rPr>
                <w:sz w:val="28"/>
                <w:szCs w:val="28"/>
              </w:rPr>
              <w:t xml:space="preserve"> </w:t>
            </w:r>
            <w:r w:rsidRPr="00314AE8">
              <w:rPr>
                <w:sz w:val="28"/>
                <w:szCs w:val="28"/>
              </w:rPr>
              <w:t>un Kultūrizglītības un ne</w:t>
            </w:r>
            <w:r>
              <w:rPr>
                <w:sz w:val="28"/>
                <w:szCs w:val="28"/>
              </w:rPr>
              <w:t>materiālā mantojuma centra sniegtajiem datiem</w:t>
            </w:r>
            <w:r w:rsidRPr="00314AE8">
              <w:rPr>
                <w:sz w:val="28"/>
                <w:szCs w:val="28"/>
              </w:rPr>
              <w:t xml:space="preserve"> par māksliniecisko kolektīvu dalību Dziesmu un deju svētku likumā noteiktajos pasākumos</w:t>
            </w:r>
            <w:r w:rsidRPr="00314AE8">
              <w:rPr>
                <w:color w:val="4F81BD" w:themeColor="accent1"/>
                <w:sz w:val="28"/>
                <w:szCs w:val="28"/>
              </w:rPr>
              <w:t xml:space="preserve"> </w:t>
            </w:r>
            <w:r w:rsidRPr="00E40947">
              <w:rPr>
                <w:sz w:val="28"/>
                <w:szCs w:val="28"/>
              </w:rPr>
              <w:t>2011.gadā</w:t>
            </w:r>
            <w:r>
              <w:rPr>
                <w:sz w:val="28"/>
                <w:szCs w:val="28"/>
              </w:rPr>
              <w:t xml:space="preserve">, bāzes finansējums 2013.gadā vienam mākslinieciskajam kolektīvam ir Ls </w:t>
            </w:r>
            <w:r w:rsidRPr="003741B4">
              <w:rPr>
                <w:sz w:val="28"/>
                <w:szCs w:val="28"/>
              </w:rPr>
              <w:t>304,46</w:t>
            </w:r>
            <w:r>
              <w:rPr>
                <w:sz w:val="28"/>
                <w:szCs w:val="28"/>
              </w:rPr>
              <w:t xml:space="preserve"> (t.sk. valsts sociālās apdrošināšanas obligātās iemaksas), ar kuru vienam mākslinieciskā kolektīva vadītājam apmaksā </w:t>
            </w:r>
            <w:r w:rsidRPr="003741B4">
              <w:rPr>
                <w:sz w:val="28"/>
                <w:szCs w:val="28"/>
              </w:rPr>
              <w:t>95,14</w:t>
            </w:r>
            <w:r>
              <w:rPr>
                <w:sz w:val="28"/>
                <w:szCs w:val="28"/>
              </w:rPr>
              <w:t xml:space="preserve"> darba stundas gadā, kas ir </w:t>
            </w:r>
            <w:r w:rsidRPr="00E97C49">
              <w:rPr>
                <w:sz w:val="28"/>
                <w:szCs w:val="28"/>
              </w:rPr>
              <w:t>7,93</w:t>
            </w:r>
            <w:r>
              <w:rPr>
                <w:sz w:val="28"/>
                <w:szCs w:val="28"/>
              </w:rPr>
              <w:t xml:space="preserve"> stundas mēnesī  (0.05 slodzes), 1,98 stundas nedēļā, kas caurmērā atbilst viena mākslinieciskā kolektīva darba procesam vienā mēģinājumā. </w:t>
            </w:r>
          </w:p>
        </w:tc>
      </w:tr>
      <w:tr w:rsidR="00554850" w:rsidRPr="00CB010A" w:rsidTr="00427449">
        <w:trPr>
          <w:jc w:val="center"/>
        </w:trPr>
        <w:tc>
          <w:tcPr>
            <w:tcW w:w="2753" w:type="dxa"/>
          </w:tcPr>
          <w:p w:rsidR="00554850" w:rsidRPr="00CB010A" w:rsidRDefault="00554850" w:rsidP="00427449">
            <w:pPr>
              <w:jc w:val="both"/>
              <w:rPr>
                <w:sz w:val="28"/>
                <w:szCs w:val="28"/>
              </w:rPr>
            </w:pPr>
            <w:r w:rsidRPr="00CB010A">
              <w:rPr>
                <w:sz w:val="28"/>
                <w:szCs w:val="28"/>
              </w:rPr>
              <w:t>7. Cita informācija</w:t>
            </w:r>
          </w:p>
        </w:tc>
        <w:tc>
          <w:tcPr>
            <w:tcW w:w="6583" w:type="dxa"/>
            <w:gridSpan w:val="5"/>
          </w:tcPr>
          <w:p w:rsidR="00554850" w:rsidRPr="000932AE" w:rsidRDefault="00554850" w:rsidP="00DF1BCE">
            <w:pPr>
              <w:pStyle w:val="naisf"/>
              <w:tabs>
                <w:tab w:val="left" w:pos="4644"/>
              </w:tabs>
              <w:spacing w:before="0" w:after="0"/>
              <w:ind w:firstLine="391"/>
              <w:rPr>
                <w:sz w:val="28"/>
                <w:szCs w:val="28"/>
              </w:rPr>
            </w:pPr>
            <w:r w:rsidRPr="000932AE">
              <w:rPr>
                <w:sz w:val="28"/>
                <w:szCs w:val="28"/>
              </w:rPr>
              <w:t xml:space="preserve">Ministru kabineta 2012.gada 16.augusta sēdē nolemts </w:t>
            </w:r>
            <w:bookmarkStart w:id="6" w:name="_GoBack"/>
            <w:bookmarkEnd w:id="6"/>
            <w:r w:rsidRPr="000932AE">
              <w:rPr>
                <w:sz w:val="28"/>
                <w:szCs w:val="28"/>
              </w:rPr>
              <w:t xml:space="preserve">2013.gadā un turpmākajos gados ik gadu </w:t>
            </w:r>
            <w:r w:rsidRPr="000932AE">
              <w:rPr>
                <w:sz w:val="28"/>
                <w:szCs w:val="28"/>
              </w:rPr>
              <w:lastRenderedPageBreak/>
              <w:t>piešķirt finansējumu 491 396 latu apmērā Dziesmu un deju svētku sagatavošanai un rīkošanai, nodrošinot pašvaldību māksliniecisko kolektīvu vadītāju darba samaksu un valsts sociālās apdrošināšanas iemaksas.</w:t>
            </w:r>
            <w:r w:rsidR="000932AE" w:rsidRPr="000932AE">
              <w:rPr>
                <w:sz w:val="28"/>
                <w:szCs w:val="28"/>
                <w:shd w:val="clear" w:color="auto" w:fill="FFFFFF"/>
              </w:rPr>
              <w:t xml:space="preserve"> 2012.gada 16.augusta Ministru kabineta sēdes protokola Nr.46 11§ 1.punkts nosaka, atbalstīt valsts budžeta līdzekļu novirzīšanu prioritārajiem pasākumiem 2013. – 2015.gadā saskaņā ar Finanšu ministrijas iesniegtās informācijas „Par valsts budžeta prioritārajiem pasākumiem 2013. – 2015.gadam” (turpmāk – Informācija) I sadaļu „Indikatīvi atbalstāmie valsts budžeta prioritārie pasākumi 2013. - 2015.gadam” (atbilstoši sēdē nolemtajam)</w:t>
            </w:r>
            <w:r w:rsidR="00DF1BCE">
              <w:rPr>
                <w:sz w:val="28"/>
                <w:szCs w:val="28"/>
                <w:shd w:val="clear" w:color="auto" w:fill="FFFFFF"/>
              </w:rPr>
              <w:t>.</w:t>
            </w:r>
            <w:r w:rsidR="000932AE">
              <w:rPr>
                <w:sz w:val="28"/>
                <w:szCs w:val="28"/>
                <w:shd w:val="clear" w:color="auto" w:fill="FFFFFF"/>
              </w:rPr>
              <w:t xml:space="preserve"> Finanšu ministrijas iesniegtā informācija tika izskatīta Ministru kabineta sēdes slēgtajā daļā</w:t>
            </w:r>
            <w:r w:rsidR="00DF1BCE">
              <w:rPr>
                <w:sz w:val="28"/>
                <w:szCs w:val="28"/>
                <w:shd w:val="clear" w:color="auto" w:fill="FFFFFF"/>
              </w:rPr>
              <w:t>, kur tika noteikts arī mērķdotācijas pašvaldību māksliniecisko kolektīvu vadītāju darba samaksai un valsts sociālās apdrošināšanas obligātajām iemaksām turpmākais apjoms.</w:t>
            </w:r>
          </w:p>
        </w:tc>
      </w:tr>
    </w:tbl>
    <w:p w:rsidR="00554850" w:rsidRDefault="00554850" w:rsidP="00554850">
      <w:pPr>
        <w:jc w:val="both"/>
        <w:rPr>
          <w:i/>
          <w:color w:val="000000"/>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3262"/>
        <w:gridCol w:w="5668"/>
      </w:tblGrid>
      <w:tr w:rsidR="00CB5F72" w:rsidRPr="001D0A49" w:rsidTr="00DF1BCE">
        <w:trPr>
          <w:trHeight w:val="415"/>
          <w:tblCellSpacing w:w="0" w:type="dxa"/>
        </w:trPr>
        <w:tc>
          <w:tcPr>
            <w:tcW w:w="5000" w:type="pct"/>
            <w:gridSpan w:val="3"/>
            <w:tcBorders>
              <w:top w:val="outset" w:sz="6" w:space="0" w:color="auto"/>
              <w:left w:val="inset" w:sz="6" w:space="0" w:color="auto"/>
              <w:bottom w:val="outset" w:sz="6" w:space="0" w:color="auto"/>
            </w:tcBorders>
            <w:vAlign w:val="center"/>
          </w:tcPr>
          <w:p w:rsidR="00CB5F72" w:rsidRPr="001D0A49" w:rsidRDefault="00CB5F72" w:rsidP="006D4A73">
            <w:pPr>
              <w:pStyle w:val="naisnod"/>
              <w:jc w:val="center"/>
              <w:rPr>
                <w:b/>
                <w:sz w:val="28"/>
                <w:szCs w:val="28"/>
              </w:rPr>
            </w:pPr>
            <w:r w:rsidRPr="001D0A49">
              <w:rPr>
                <w:b/>
                <w:sz w:val="28"/>
                <w:szCs w:val="28"/>
              </w:rPr>
              <w:t>IV. Tiesību akta projekta ietekme uz spēkā esošo tiesību normu sistēm</w:t>
            </w:r>
            <w:r>
              <w:rPr>
                <w:b/>
                <w:sz w:val="28"/>
                <w:szCs w:val="28"/>
              </w:rPr>
              <w:t>u</w:t>
            </w:r>
          </w:p>
        </w:tc>
      </w:tr>
      <w:tr w:rsidR="00CB5F72" w:rsidRPr="001D0A49" w:rsidTr="00DF1BCE">
        <w:trPr>
          <w:trHeight w:val="405"/>
          <w:tblCellSpacing w:w="0" w:type="dxa"/>
        </w:trPr>
        <w:tc>
          <w:tcPr>
            <w:tcW w:w="228" w:type="pct"/>
            <w:tcBorders>
              <w:top w:val="outset" w:sz="6" w:space="0" w:color="auto"/>
              <w:left w:val="inset" w:sz="6" w:space="0" w:color="auto"/>
              <w:bottom w:val="outset" w:sz="6" w:space="0" w:color="auto"/>
              <w:right w:val="outset" w:sz="6" w:space="0" w:color="auto"/>
            </w:tcBorders>
          </w:tcPr>
          <w:p w:rsidR="00CB5F72" w:rsidRPr="001D0A49" w:rsidRDefault="00CB5F72" w:rsidP="006D4A73">
            <w:pPr>
              <w:pStyle w:val="naiskr"/>
              <w:rPr>
                <w:sz w:val="28"/>
                <w:szCs w:val="28"/>
              </w:rPr>
            </w:pPr>
            <w:r w:rsidRPr="001D0A49">
              <w:rPr>
                <w:sz w:val="28"/>
                <w:szCs w:val="28"/>
              </w:rPr>
              <w:t>1.</w:t>
            </w:r>
          </w:p>
        </w:tc>
        <w:tc>
          <w:tcPr>
            <w:tcW w:w="1743" w:type="pct"/>
            <w:tcBorders>
              <w:top w:val="outset" w:sz="6" w:space="0" w:color="auto"/>
              <w:left w:val="outset" w:sz="6" w:space="0" w:color="auto"/>
              <w:bottom w:val="outset" w:sz="6" w:space="0" w:color="auto"/>
              <w:right w:val="outset" w:sz="6" w:space="0" w:color="auto"/>
            </w:tcBorders>
          </w:tcPr>
          <w:p w:rsidR="00CB5F72" w:rsidRPr="001D0A49" w:rsidRDefault="00CB5F72" w:rsidP="006D4A73">
            <w:pPr>
              <w:pStyle w:val="naiskr"/>
              <w:rPr>
                <w:sz w:val="28"/>
                <w:szCs w:val="28"/>
              </w:rPr>
            </w:pPr>
            <w:r w:rsidRPr="001D0A49">
              <w:rPr>
                <w:sz w:val="28"/>
                <w:szCs w:val="28"/>
              </w:rPr>
              <w:t>Nepieciešamie saistītie tiesību aktu projekti</w:t>
            </w:r>
          </w:p>
        </w:tc>
        <w:tc>
          <w:tcPr>
            <w:tcW w:w="3029" w:type="pct"/>
            <w:tcBorders>
              <w:top w:val="outset" w:sz="6" w:space="0" w:color="auto"/>
              <w:left w:val="outset" w:sz="6" w:space="0" w:color="auto"/>
              <w:bottom w:val="outset" w:sz="6" w:space="0" w:color="auto"/>
            </w:tcBorders>
          </w:tcPr>
          <w:p w:rsidR="006D4A73" w:rsidRDefault="00CB5F72" w:rsidP="006D4A73">
            <w:pPr>
              <w:ind w:right="140" w:firstLine="408"/>
              <w:contextualSpacing/>
              <w:jc w:val="both"/>
              <w:outlineLvl w:val="3"/>
              <w:rPr>
                <w:sz w:val="28"/>
                <w:szCs w:val="28"/>
              </w:rPr>
            </w:pPr>
            <w:r>
              <w:rPr>
                <w:sz w:val="28"/>
                <w:szCs w:val="28"/>
              </w:rPr>
              <w:t>Kultūras ministrija vienlaikus</w:t>
            </w:r>
            <w:r w:rsidRPr="001D0A49">
              <w:rPr>
                <w:sz w:val="28"/>
                <w:szCs w:val="28"/>
              </w:rPr>
              <w:t xml:space="preserve"> ar Projektu </w:t>
            </w:r>
            <w:r>
              <w:rPr>
                <w:sz w:val="28"/>
                <w:szCs w:val="28"/>
              </w:rPr>
              <w:t>izskatīšanai Ministru kabinetā virza</w:t>
            </w:r>
            <w:r w:rsidRPr="001D0A49">
              <w:rPr>
                <w:sz w:val="28"/>
                <w:szCs w:val="28"/>
              </w:rPr>
              <w:t xml:space="preserve"> </w:t>
            </w:r>
            <w:r>
              <w:rPr>
                <w:sz w:val="28"/>
                <w:szCs w:val="28"/>
              </w:rPr>
              <w:t>arī saistīto Ministru kabineta noteikumu projektu „</w:t>
            </w:r>
            <w:r w:rsidRPr="00C02568">
              <w:rPr>
                <w:sz w:val="28"/>
                <w:szCs w:val="28"/>
              </w:rPr>
              <w:t>Grozījumi Ministru kabineta 2009.gada 22.septembra noteikumos Nr.1074 „Noteikumi par valsts statistikas apkopošanu kultūras jomā”</w:t>
            </w:r>
            <w:r>
              <w:rPr>
                <w:sz w:val="28"/>
                <w:szCs w:val="28"/>
              </w:rPr>
              <w:t>”.</w:t>
            </w:r>
            <w:r w:rsidR="006D4A73">
              <w:rPr>
                <w:sz w:val="28"/>
                <w:szCs w:val="28"/>
              </w:rPr>
              <w:t xml:space="preserve"> </w:t>
            </w:r>
          </w:p>
          <w:p w:rsidR="006D4A73" w:rsidRPr="00CB5F72" w:rsidRDefault="006D4A73" w:rsidP="00F55379">
            <w:pPr>
              <w:ind w:right="140" w:firstLine="408"/>
              <w:contextualSpacing/>
              <w:jc w:val="both"/>
              <w:outlineLvl w:val="3"/>
              <w:rPr>
                <w:sz w:val="28"/>
                <w:szCs w:val="28"/>
              </w:rPr>
            </w:pPr>
            <w:r>
              <w:rPr>
                <w:sz w:val="28"/>
                <w:szCs w:val="28"/>
              </w:rPr>
              <w:t xml:space="preserve">2012.gada 15.marta Valsts sekretāru sanāksmē tika izsludināts </w:t>
            </w:r>
            <w:r w:rsidR="002E785A">
              <w:rPr>
                <w:sz w:val="28"/>
                <w:szCs w:val="28"/>
              </w:rPr>
              <w:t xml:space="preserve">Ministru kabineta </w:t>
            </w:r>
            <w:r>
              <w:rPr>
                <w:sz w:val="28"/>
                <w:szCs w:val="28"/>
              </w:rPr>
              <w:t>noteikumu projekts „Latvijas Nacionālā kultūras centra nolikums”, kas paredz precizēt Kultūras ministrijas padotības iestādes Kultūrizglītības un nemateriālā mantojuma centra funkcijas uz uzdevumus, k</w:t>
            </w:r>
            <w:r w:rsidR="00F55379">
              <w:rPr>
                <w:sz w:val="28"/>
                <w:szCs w:val="28"/>
              </w:rPr>
              <w:t>ā arī mainīt iestādes nosaukumu, noteikumu projekts atrodas saskaņošanas procesā.</w:t>
            </w:r>
            <w:r>
              <w:rPr>
                <w:sz w:val="28"/>
                <w:szCs w:val="28"/>
              </w:rPr>
              <w:t xml:space="preserve"> Ministru kabineta noteikumu projekts „Latvijas Nacionāla kultūras centra nolikums” stāsies spēkā 2013.gada 1.janvārī</w:t>
            </w:r>
            <w:r w:rsidR="00F55379">
              <w:rPr>
                <w:sz w:val="28"/>
                <w:szCs w:val="28"/>
              </w:rPr>
              <w:t xml:space="preserve">, tāpat kā Projekts. </w:t>
            </w:r>
          </w:p>
        </w:tc>
      </w:tr>
      <w:tr w:rsidR="00CB5F72" w:rsidRPr="001D0A49" w:rsidTr="00DF1BCE">
        <w:trPr>
          <w:trHeight w:val="450"/>
          <w:tblCellSpacing w:w="0" w:type="dxa"/>
        </w:trPr>
        <w:tc>
          <w:tcPr>
            <w:tcW w:w="228" w:type="pct"/>
            <w:tcBorders>
              <w:top w:val="outset" w:sz="6" w:space="0" w:color="auto"/>
              <w:left w:val="inset" w:sz="6" w:space="0" w:color="auto"/>
              <w:bottom w:val="outset" w:sz="6" w:space="0" w:color="auto"/>
              <w:right w:val="outset" w:sz="6" w:space="0" w:color="auto"/>
            </w:tcBorders>
          </w:tcPr>
          <w:p w:rsidR="00CB5F72" w:rsidRPr="001D0A49" w:rsidRDefault="00CB5F72" w:rsidP="006D4A73">
            <w:pPr>
              <w:pStyle w:val="naiskr"/>
              <w:rPr>
                <w:sz w:val="28"/>
                <w:szCs w:val="28"/>
              </w:rPr>
            </w:pPr>
            <w:r w:rsidRPr="001D0A49">
              <w:rPr>
                <w:sz w:val="28"/>
                <w:szCs w:val="28"/>
              </w:rPr>
              <w:t> 2.</w:t>
            </w:r>
          </w:p>
        </w:tc>
        <w:tc>
          <w:tcPr>
            <w:tcW w:w="1743" w:type="pct"/>
            <w:tcBorders>
              <w:top w:val="outset" w:sz="6" w:space="0" w:color="auto"/>
              <w:left w:val="outset" w:sz="6" w:space="0" w:color="auto"/>
              <w:bottom w:val="outset" w:sz="6" w:space="0" w:color="auto"/>
              <w:right w:val="outset" w:sz="6" w:space="0" w:color="auto"/>
            </w:tcBorders>
          </w:tcPr>
          <w:p w:rsidR="00CB5F72" w:rsidRPr="001D0A49" w:rsidRDefault="00CB5F72" w:rsidP="006D4A73">
            <w:pPr>
              <w:pStyle w:val="naiskr"/>
              <w:rPr>
                <w:sz w:val="28"/>
                <w:szCs w:val="28"/>
              </w:rPr>
            </w:pPr>
            <w:r w:rsidRPr="001D0A49">
              <w:rPr>
                <w:sz w:val="28"/>
                <w:szCs w:val="28"/>
              </w:rPr>
              <w:t> Cita informācija</w:t>
            </w:r>
          </w:p>
        </w:tc>
        <w:tc>
          <w:tcPr>
            <w:tcW w:w="3029" w:type="pct"/>
            <w:tcBorders>
              <w:top w:val="outset" w:sz="6" w:space="0" w:color="auto"/>
              <w:left w:val="outset" w:sz="6" w:space="0" w:color="auto"/>
              <w:bottom w:val="outset" w:sz="6" w:space="0" w:color="auto"/>
            </w:tcBorders>
          </w:tcPr>
          <w:p w:rsidR="00CB5F72" w:rsidRPr="001D0A49" w:rsidRDefault="00CB5F72" w:rsidP="006D4A73">
            <w:pPr>
              <w:pStyle w:val="naiskr"/>
              <w:ind w:firstLine="155"/>
              <w:rPr>
                <w:sz w:val="28"/>
                <w:szCs w:val="28"/>
              </w:rPr>
            </w:pPr>
            <w:r w:rsidRPr="001D0A49">
              <w:rPr>
                <w:sz w:val="28"/>
                <w:szCs w:val="28"/>
              </w:rPr>
              <w:t>Nav</w:t>
            </w:r>
          </w:p>
        </w:tc>
      </w:tr>
    </w:tbl>
    <w:p w:rsidR="00CB5F72" w:rsidRDefault="00CB5F72" w:rsidP="00554850">
      <w:pPr>
        <w:jc w:val="both"/>
        <w:rPr>
          <w:i/>
          <w:color w:val="000000"/>
          <w:sz w:val="28"/>
          <w:szCs w:val="28"/>
        </w:rPr>
      </w:pPr>
    </w:p>
    <w:p w:rsidR="00554850" w:rsidRDefault="00554850" w:rsidP="00554850">
      <w:pPr>
        <w:jc w:val="both"/>
        <w:rPr>
          <w:i/>
          <w:sz w:val="28"/>
          <w:szCs w:val="28"/>
        </w:rPr>
      </w:pPr>
      <w:r w:rsidRPr="001876FD">
        <w:rPr>
          <w:i/>
          <w:color w:val="000000"/>
          <w:sz w:val="28"/>
          <w:szCs w:val="28"/>
        </w:rPr>
        <w:t>Anotācijas</w:t>
      </w:r>
      <w:r>
        <w:rPr>
          <w:i/>
          <w:color w:val="000000"/>
          <w:sz w:val="28"/>
          <w:szCs w:val="28"/>
        </w:rPr>
        <w:t xml:space="preserve"> V </w:t>
      </w:r>
      <w:r w:rsidRPr="001876FD">
        <w:rPr>
          <w:i/>
          <w:color w:val="000000"/>
          <w:sz w:val="28"/>
          <w:szCs w:val="28"/>
        </w:rPr>
        <w:t xml:space="preserve">sadaļa – </w:t>
      </w:r>
      <w:r w:rsidRPr="001876FD">
        <w:rPr>
          <w:i/>
          <w:sz w:val="28"/>
          <w:szCs w:val="28"/>
        </w:rPr>
        <w:t>projekts šīs jomas neskar.</w:t>
      </w:r>
    </w:p>
    <w:p w:rsidR="00554850" w:rsidRDefault="00554850" w:rsidP="00554850">
      <w:pPr>
        <w:jc w:val="both"/>
        <w:rPr>
          <w:i/>
          <w:sz w:val="28"/>
          <w:szCs w:val="28"/>
        </w:rPr>
      </w:pPr>
    </w:p>
    <w:tbl>
      <w:tblPr>
        <w:tblW w:w="9414" w:type="dxa"/>
        <w:jc w:val="center"/>
        <w:tblInd w:w="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451"/>
        <w:gridCol w:w="4116"/>
        <w:gridCol w:w="4847"/>
      </w:tblGrid>
      <w:tr w:rsidR="00554850" w:rsidRPr="00CB010A" w:rsidTr="00427449">
        <w:trPr>
          <w:jc w:val="center"/>
        </w:trPr>
        <w:tc>
          <w:tcPr>
            <w:tcW w:w="9414" w:type="dxa"/>
            <w:gridSpan w:val="3"/>
          </w:tcPr>
          <w:p w:rsidR="00554850" w:rsidRPr="00CB010A" w:rsidRDefault="00554850" w:rsidP="00427449">
            <w:pPr>
              <w:pStyle w:val="naisnod"/>
              <w:spacing w:before="0" w:after="0"/>
              <w:ind w:left="57" w:right="57"/>
              <w:jc w:val="center"/>
              <w:rPr>
                <w:b/>
                <w:sz w:val="28"/>
                <w:szCs w:val="28"/>
              </w:rPr>
            </w:pPr>
            <w:r w:rsidRPr="00CB010A">
              <w:rPr>
                <w:b/>
                <w:sz w:val="28"/>
                <w:szCs w:val="28"/>
              </w:rPr>
              <w:t>VI. Sabiedrības līdzdalība un šīs līdzdalības rezultāti</w:t>
            </w:r>
          </w:p>
        </w:tc>
      </w:tr>
      <w:tr w:rsidR="00554850" w:rsidRPr="00CB010A" w:rsidTr="00427449">
        <w:trPr>
          <w:trHeight w:val="553"/>
          <w:jc w:val="center"/>
        </w:trPr>
        <w:tc>
          <w:tcPr>
            <w:tcW w:w="451" w:type="dxa"/>
          </w:tcPr>
          <w:p w:rsidR="00554850" w:rsidRPr="00CB010A" w:rsidRDefault="00554850" w:rsidP="00427449">
            <w:pPr>
              <w:pStyle w:val="naiskr"/>
              <w:spacing w:before="0" w:after="0"/>
              <w:ind w:left="57" w:right="57"/>
              <w:rPr>
                <w:bCs/>
                <w:sz w:val="28"/>
                <w:szCs w:val="28"/>
              </w:rPr>
            </w:pPr>
            <w:r w:rsidRPr="00CB010A">
              <w:rPr>
                <w:bCs/>
                <w:sz w:val="28"/>
                <w:szCs w:val="28"/>
              </w:rPr>
              <w:t>1.</w:t>
            </w:r>
          </w:p>
        </w:tc>
        <w:tc>
          <w:tcPr>
            <w:tcW w:w="4116" w:type="dxa"/>
          </w:tcPr>
          <w:p w:rsidR="00554850" w:rsidRPr="00CB010A" w:rsidRDefault="00554850" w:rsidP="00427449">
            <w:pPr>
              <w:pStyle w:val="naiskr"/>
              <w:tabs>
                <w:tab w:val="left" w:pos="170"/>
              </w:tabs>
              <w:spacing w:before="0" w:after="0"/>
              <w:ind w:left="57" w:right="57"/>
              <w:rPr>
                <w:sz w:val="28"/>
                <w:szCs w:val="28"/>
              </w:rPr>
            </w:pPr>
            <w:r w:rsidRPr="00CB010A">
              <w:rPr>
                <w:sz w:val="28"/>
                <w:szCs w:val="28"/>
              </w:rPr>
              <w:t>Sabiedrības informēšana par projekta izstrādes uzsākšanu</w:t>
            </w:r>
          </w:p>
        </w:tc>
        <w:tc>
          <w:tcPr>
            <w:tcW w:w="4847" w:type="dxa"/>
          </w:tcPr>
          <w:p w:rsidR="00554850" w:rsidRPr="00CB010A" w:rsidRDefault="00554850" w:rsidP="00DF1BCE">
            <w:pPr>
              <w:ind w:firstLine="425"/>
              <w:jc w:val="both"/>
              <w:rPr>
                <w:sz w:val="28"/>
                <w:szCs w:val="28"/>
              </w:rPr>
            </w:pPr>
            <w:r>
              <w:rPr>
                <w:sz w:val="28"/>
                <w:szCs w:val="28"/>
              </w:rPr>
              <w:t>Kultūras ministrijas izveidotā darba grupa Dziesmu un deju svētku likuma 7.panta pirmās daļas 7.punkta aktualizēšanai nosūtīja uzaicinājumus piedalīties Projekta izstrādē un izteikt viedokli Dziesmu un deju svētku tradīcijas saglabāšanā iesaistītajām institūcijām un sabiedrības grupām.</w:t>
            </w:r>
          </w:p>
        </w:tc>
      </w:tr>
      <w:tr w:rsidR="00554850" w:rsidRPr="00CB010A" w:rsidTr="00427449">
        <w:trPr>
          <w:trHeight w:val="339"/>
          <w:jc w:val="center"/>
        </w:trPr>
        <w:tc>
          <w:tcPr>
            <w:tcW w:w="451" w:type="dxa"/>
          </w:tcPr>
          <w:p w:rsidR="00554850" w:rsidRPr="00CB010A" w:rsidRDefault="00554850" w:rsidP="00427449">
            <w:pPr>
              <w:pStyle w:val="naiskr"/>
              <w:spacing w:before="0" w:after="0"/>
              <w:ind w:left="57" w:right="57"/>
              <w:rPr>
                <w:bCs/>
                <w:sz w:val="28"/>
                <w:szCs w:val="28"/>
              </w:rPr>
            </w:pPr>
            <w:r w:rsidRPr="00CB010A">
              <w:rPr>
                <w:bCs/>
                <w:sz w:val="28"/>
                <w:szCs w:val="28"/>
              </w:rPr>
              <w:t>2.</w:t>
            </w:r>
          </w:p>
        </w:tc>
        <w:tc>
          <w:tcPr>
            <w:tcW w:w="4116" w:type="dxa"/>
          </w:tcPr>
          <w:p w:rsidR="00554850" w:rsidRPr="00CB010A" w:rsidRDefault="00554850" w:rsidP="00427449">
            <w:pPr>
              <w:pStyle w:val="naiskr"/>
              <w:spacing w:before="0" w:after="0"/>
              <w:ind w:left="57" w:right="57"/>
              <w:rPr>
                <w:sz w:val="28"/>
                <w:szCs w:val="28"/>
              </w:rPr>
            </w:pPr>
            <w:r w:rsidRPr="00CB010A">
              <w:rPr>
                <w:sz w:val="28"/>
                <w:szCs w:val="28"/>
              </w:rPr>
              <w:t xml:space="preserve">Sabiedrības līdzdalība projekta izstrādē </w:t>
            </w:r>
          </w:p>
        </w:tc>
        <w:tc>
          <w:tcPr>
            <w:tcW w:w="4847" w:type="dxa"/>
          </w:tcPr>
          <w:p w:rsidR="00554850" w:rsidRDefault="00554850" w:rsidP="00427449">
            <w:pPr>
              <w:jc w:val="both"/>
              <w:rPr>
                <w:sz w:val="28"/>
                <w:szCs w:val="28"/>
              </w:rPr>
            </w:pPr>
            <w:r>
              <w:rPr>
                <w:sz w:val="28"/>
                <w:szCs w:val="28"/>
              </w:rPr>
              <w:t>1. Latvijas Pašvaldību savienība;</w:t>
            </w:r>
          </w:p>
          <w:p w:rsidR="00554850" w:rsidRPr="00CB010A" w:rsidRDefault="00554850" w:rsidP="00427449">
            <w:pPr>
              <w:jc w:val="both"/>
              <w:rPr>
                <w:sz w:val="28"/>
                <w:szCs w:val="28"/>
              </w:rPr>
            </w:pPr>
            <w:r>
              <w:rPr>
                <w:sz w:val="28"/>
                <w:szCs w:val="28"/>
              </w:rPr>
              <w:t xml:space="preserve">2. </w:t>
            </w:r>
            <w:r w:rsidRPr="00280C2D">
              <w:rPr>
                <w:sz w:val="28"/>
                <w:szCs w:val="28"/>
              </w:rPr>
              <w:t>Lat</w:t>
            </w:r>
            <w:r>
              <w:rPr>
                <w:sz w:val="28"/>
                <w:szCs w:val="28"/>
              </w:rPr>
              <w:t>vijas Kultūras centru asociācija;</w:t>
            </w:r>
          </w:p>
          <w:p w:rsidR="00554850" w:rsidRDefault="00554850" w:rsidP="00427449">
            <w:pPr>
              <w:jc w:val="both"/>
              <w:rPr>
                <w:sz w:val="28"/>
                <w:szCs w:val="28"/>
              </w:rPr>
            </w:pPr>
            <w:r>
              <w:rPr>
                <w:sz w:val="28"/>
                <w:szCs w:val="28"/>
              </w:rPr>
              <w:t>3. Dziesmu un deju svētku biedrība;</w:t>
            </w:r>
          </w:p>
          <w:p w:rsidR="00554850" w:rsidRPr="00CB010A" w:rsidRDefault="00554850" w:rsidP="00427449">
            <w:pPr>
              <w:jc w:val="both"/>
              <w:rPr>
                <w:sz w:val="28"/>
                <w:szCs w:val="28"/>
              </w:rPr>
            </w:pPr>
            <w:r>
              <w:rPr>
                <w:sz w:val="28"/>
                <w:szCs w:val="28"/>
              </w:rPr>
              <w:t>4. Pašvaldību Dziesmu un deju svētku koordinatori.</w:t>
            </w:r>
          </w:p>
        </w:tc>
      </w:tr>
      <w:tr w:rsidR="00554850" w:rsidRPr="00CB010A" w:rsidTr="00427449">
        <w:trPr>
          <w:trHeight w:val="375"/>
          <w:jc w:val="center"/>
        </w:trPr>
        <w:tc>
          <w:tcPr>
            <w:tcW w:w="451" w:type="dxa"/>
          </w:tcPr>
          <w:p w:rsidR="00554850" w:rsidRPr="00CB010A" w:rsidRDefault="00554850" w:rsidP="00427449">
            <w:pPr>
              <w:pStyle w:val="naiskr"/>
              <w:spacing w:before="0" w:after="0"/>
              <w:ind w:left="57" w:right="57"/>
              <w:rPr>
                <w:bCs/>
                <w:sz w:val="28"/>
                <w:szCs w:val="28"/>
              </w:rPr>
            </w:pPr>
            <w:r w:rsidRPr="00CB010A">
              <w:rPr>
                <w:bCs/>
                <w:sz w:val="28"/>
                <w:szCs w:val="28"/>
              </w:rPr>
              <w:t>3.</w:t>
            </w:r>
          </w:p>
        </w:tc>
        <w:tc>
          <w:tcPr>
            <w:tcW w:w="4116" w:type="dxa"/>
          </w:tcPr>
          <w:p w:rsidR="00554850" w:rsidRPr="00CB010A" w:rsidRDefault="00554850" w:rsidP="00427449">
            <w:pPr>
              <w:pStyle w:val="naiskr"/>
              <w:spacing w:before="0" w:after="0"/>
              <w:ind w:left="57" w:right="57"/>
              <w:rPr>
                <w:sz w:val="28"/>
                <w:szCs w:val="28"/>
              </w:rPr>
            </w:pPr>
            <w:r w:rsidRPr="00CB010A">
              <w:rPr>
                <w:sz w:val="28"/>
                <w:szCs w:val="28"/>
              </w:rPr>
              <w:t xml:space="preserve">Sabiedrības līdzdalības rezultāti </w:t>
            </w:r>
          </w:p>
        </w:tc>
        <w:tc>
          <w:tcPr>
            <w:tcW w:w="4847" w:type="dxa"/>
          </w:tcPr>
          <w:p w:rsidR="00554850" w:rsidRPr="00CB010A" w:rsidRDefault="00554850" w:rsidP="005F6F57">
            <w:pPr>
              <w:pStyle w:val="naiskr"/>
              <w:spacing w:before="0" w:beforeAutospacing="0" w:after="0" w:afterAutospacing="0"/>
              <w:ind w:left="57" w:right="57"/>
              <w:jc w:val="both"/>
              <w:rPr>
                <w:sz w:val="28"/>
                <w:szCs w:val="28"/>
              </w:rPr>
            </w:pPr>
            <w:r>
              <w:rPr>
                <w:sz w:val="28"/>
                <w:szCs w:val="28"/>
              </w:rPr>
              <w:t>Priekšlikumi ir ņemti vērā, izstrādājot Projektu.</w:t>
            </w:r>
          </w:p>
        </w:tc>
      </w:tr>
      <w:tr w:rsidR="00554850" w:rsidRPr="00CB010A" w:rsidTr="00427449">
        <w:trPr>
          <w:trHeight w:val="397"/>
          <w:jc w:val="center"/>
        </w:trPr>
        <w:tc>
          <w:tcPr>
            <w:tcW w:w="451" w:type="dxa"/>
          </w:tcPr>
          <w:p w:rsidR="00554850" w:rsidRPr="00CB010A" w:rsidRDefault="00554850" w:rsidP="00427449">
            <w:pPr>
              <w:pStyle w:val="naiskr"/>
              <w:spacing w:before="0" w:after="0"/>
              <w:ind w:left="57" w:right="57"/>
              <w:rPr>
                <w:bCs/>
                <w:sz w:val="28"/>
                <w:szCs w:val="28"/>
              </w:rPr>
            </w:pPr>
            <w:r w:rsidRPr="00CB010A">
              <w:rPr>
                <w:bCs/>
                <w:sz w:val="28"/>
                <w:szCs w:val="28"/>
              </w:rPr>
              <w:t>4.</w:t>
            </w:r>
          </w:p>
        </w:tc>
        <w:tc>
          <w:tcPr>
            <w:tcW w:w="4116" w:type="dxa"/>
          </w:tcPr>
          <w:p w:rsidR="00554850" w:rsidRPr="00CB010A" w:rsidRDefault="00554850" w:rsidP="00427449">
            <w:pPr>
              <w:pStyle w:val="naiskr"/>
              <w:spacing w:before="0" w:after="0"/>
              <w:ind w:left="57" w:right="57"/>
              <w:rPr>
                <w:sz w:val="28"/>
                <w:szCs w:val="28"/>
              </w:rPr>
            </w:pPr>
            <w:r w:rsidRPr="00CB010A">
              <w:rPr>
                <w:sz w:val="28"/>
                <w:szCs w:val="28"/>
              </w:rPr>
              <w:t>Saeimas un ekspertu līdzdalība</w:t>
            </w:r>
          </w:p>
        </w:tc>
        <w:tc>
          <w:tcPr>
            <w:tcW w:w="4847" w:type="dxa"/>
          </w:tcPr>
          <w:p w:rsidR="00554850" w:rsidRPr="00CB010A" w:rsidRDefault="00554850" w:rsidP="00427449">
            <w:pPr>
              <w:pStyle w:val="naiskr"/>
              <w:ind w:left="57" w:right="57"/>
              <w:jc w:val="both"/>
              <w:rPr>
                <w:sz w:val="28"/>
                <w:szCs w:val="28"/>
              </w:rPr>
            </w:pPr>
            <w:r>
              <w:rPr>
                <w:sz w:val="28"/>
                <w:szCs w:val="28"/>
              </w:rPr>
              <w:t>Nozares eksperti izteikuši viedokli.</w:t>
            </w:r>
          </w:p>
        </w:tc>
      </w:tr>
      <w:tr w:rsidR="00554850" w:rsidRPr="00CB010A" w:rsidTr="005F6F57">
        <w:trPr>
          <w:trHeight w:val="604"/>
          <w:jc w:val="center"/>
        </w:trPr>
        <w:tc>
          <w:tcPr>
            <w:tcW w:w="451" w:type="dxa"/>
          </w:tcPr>
          <w:p w:rsidR="00554850" w:rsidRPr="00CB010A" w:rsidRDefault="00554850" w:rsidP="00427449">
            <w:pPr>
              <w:pStyle w:val="naiskr"/>
              <w:spacing w:before="0" w:after="0"/>
              <w:ind w:left="57" w:right="57"/>
              <w:rPr>
                <w:bCs/>
                <w:sz w:val="28"/>
                <w:szCs w:val="28"/>
              </w:rPr>
            </w:pPr>
            <w:r w:rsidRPr="00CB010A">
              <w:rPr>
                <w:bCs/>
                <w:sz w:val="28"/>
                <w:szCs w:val="28"/>
              </w:rPr>
              <w:t>5.</w:t>
            </w:r>
          </w:p>
        </w:tc>
        <w:tc>
          <w:tcPr>
            <w:tcW w:w="4116" w:type="dxa"/>
          </w:tcPr>
          <w:p w:rsidR="00554850" w:rsidRPr="00CB010A" w:rsidRDefault="00554850" w:rsidP="005F6F57">
            <w:pPr>
              <w:pStyle w:val="naiskr"/>
              <w:spacing w:before="0" w:after="0"/>
              <w:ind w:left="57" w:right="57"/>
              <w:rPr>
                <w:sz w:val="28"/>
                <w:szCs w:val="28"/>
              </w:rPr>
            </w:pPr>
            <w:r w:rsidRPr="00CB010A">
              <w:rPr>
                <w:sz w:val="28"/>
                <w:szCs w:val="28"/>
              </w:rPr>
              <w:t>Cita informācija</w:t>
            </w:r>
          </w:p>
        </w:tc>
        <w:tc>
          <w:tcPr>
            <w:tcW w:w="4847" w:type="dxa"/>
          </w:tcPr>
          <w:p w:rsidR="00554850" w:rsidRPr="00CB010A" w:rsidRDefault="00554850" w:rsidP="00427449">
            <w:pPr>
              <w:pStyle w:val="naiskr"/>
              <w:spacing w:before="0" w:after="0"/>
              <w:ind w:left="57" w:right="57"/>
              <w:jc w:val="both"/>
              <w:rPr>
                <w:sz w:val="28"/>
                <w:szCs w:val="28"/>
              </w:rPr>
            </w:pPr>
            <w:r>
              <w:rPr>
                <w:iCs/>
                <w:sz w:val="28"/>
                <w:szCs w:val="28"/>
              </w:rPr>
              <w:t>Nav</w:t>
            </w:r>
          </w:p>
        </w:tc>
      </w:tr>
    </w:tbl>
    <w:p w:rsidR="00554850" w:rsidRDefault="00554850" w:rsidP="00554850">
      <w:pPr>
        <w:rPr>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3003"/>
        <w:gridCol w:w="5797"/>
      </w:tblGrid>
      <w:tr w:rsidR="00554850" w:rsidRPr="001D0A49" w:rsidTr="00427449">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54850" w:rsidRPr="001D0A49" w:rsidRDefault="00554850" w:rsidP="00427449">
            <w:pPr>
              <w:jc w:val="center"/>
              <w:rPr>
                <w:sz w:val="28"/>
                <w:szCs w:val="28"/>
              </w:rPr>
            </w:pPr>
            <w:r w:rsidRPr="001D0A49">
              <w:rPr>
                <w:b/>
                <w:bCs/>
                <w:sz w:val="28"/>
                <w:szCs w:val="28"/>
              </w:rPr>
              <w:t>VII. Tiesību akta projekta izpildes nodrošināšana un tās ietekme uz institūcijām</w:t>
            </w:r>
          </w:p>
        </w:tc>
      </w:tr>
      <w:tr w:rsidR="00554850" w:rsidRPr="001D0A49" w:rsidTr="00427449">
        <w:trPr>
          <w:trHeight w:val="427"/>
          <w:tblCellSpacing w:w="0" w:type="dxa"/>
        </w:trPr>
        <w:tc>
          <w:tcPr>
            <w:tcW w:w="297"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1.</w:t>
            </w:r>
          </w:p>
        </w:tc>
        <w:tc>
          <w:tcPr>
            <w:tcW w:w="1605"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Projekta izpildē iesaistītās institūcijas</w:t>
            </w:r>
          </w:p>
        </w:tc>
        <w:tc>
          <w:tcPr>
            <w:tcW w:w="3098" w:type="pct"/>
            <w:tcBorders>
              <w:top w:val="outset" w:sz="6" w:space="0" w:color="auto"/>
              <w:left w:val="outset" w:sz="6" w:space="0" w:color="auto"/>
              <w:bottom w:val="outset" w:sz="6" w:space="0" w:color="auto"/>
              <w:right w:val="outset" w:sz="6" w:space="0" w:color="auto"/>
            </w:tcBorders>
            <w:vAlign w:val="center"/>
          </w:tcPr>
          <w:p w:rsidR="00554850" w:rsidRPr="001D0A49" w:rsidRDefault="00554850" w:rsidP="005F6F57">
            <w:pPr>
              <w:jc w:val="both"/>
              <w:rPr>
                <w:sz w:val="28"/>
                <w:szCs w:val="28"/>
              </w:rPr>
            </w:pPr>
            <w:r w:rsidRPr="001D0A49">
              <w:rPr>
                <w:sz w:val="28"/>
                <w:szCs w:val="28"/>
              </w:rPr>
              <w:t xml:space="preserve">Kultūras ministrija, </w:t>
            </w:r>
            <w:r>
              <w:rPr>
                <w:sz w:val="28"/>
                <w:szCs w:val="28"/>
              </w:rPr>
              <w:t xml:space="preserve">Finanšu ministrija, </w:t>
            </w:r>
            <w:r w:rsidRPr="001D0A49">
              <w:rPr>
                <w:sz w:val="28"/>
                <w:szCs w:val="28"/>
              </w:rPr>
              <w:t>Kultūrizg</w:t>
            </w:r>
            <w:r>
              <w:rPr>
                <w:sz w:val="28"/>
                <w:szCs w:val="28"/>
              </w:rPr>
              <w:t xml:space="preserve">lītības un nemateriālā </w:t>
            </w:r>
            <w:r w:rsidRPr="001D0A49">
              <w:rPr>
                <w:sz w:val="28"/>
                <w:szCs w:val="28"/>
              </w:rPr>
              <w:t>mantojuma centrs</w:t>
            </w:r>
            <w:r>
              <w:rPr>
                <w:sz w:val="28"/>
                <w:szCs w:val="28"/>
              </w:rPr>
              <w:t>, Latvijas Pašvaldību savienība.</w:t>
            </w:r>
          </w:p>
        </w:tc>
      </w:tr>
      <w:tr w:rsidR="00554850" w:rsidRPr="001D0A49" w:rsidTr="00427449">
        <w:trPr>
          <w:trHeight w:val="463"/>
          <w:tblCellSpacing w:w="0" w:type="dxa"/>
        </w:trPr>
        <w:tc>
          <w:tcPr>
            <w:tcW w:w="297"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2.</w:t>
            </w:r>
          </w:p>
        </w:tc>
        <w:tc>
          <w:tcPr>
            <w:tcW w:w="1605"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Projekta izpildes ietekme uz pārvaldes funkcijām</w:t>
            </w:r>
          </w:p>
        </w:tc>
        <w:tc>
          <w:tcPr>
            <w:tcW w:w="3098"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jc w:val="both"/>
              <w:rPr>
                <w:sz w:val="28"/>
                <w:szCs w:val="28"/>
              </w:rPr>
            </w:pPr>
            <w:r>
              <w:rPr>
                <w:sz w:val="28"/>
                <w:szCs w:val="28"/>
              </w:rPr>
              <w:t>Projekts šo jomu neskar.</w:t>
            </w:r>
          </w:p>
        </w:tc>
      </w:tr>
      <w:tr w:rsidR="00554850" w:rsidRPr="001D0A49" w:rsidTr="00427449">
        <w:trPr>
          <w:trHeight w:val="725"/>
          <w:tblCellSpacing w:w="0" w:type="dxa"/>
        </w:trPr>
        <w:tc>
          <w:tcPr>
            <w:tcW w:w="297"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3.</w:t>
            </w:r>
          </w:p>
        </w:tc>
        <w:tc>
          <w:tcPr>
            <w:tcW w:w="1605"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Projekta izpildes ietekme uz pārvaldes institucionālo struktūru.</w:t>
            </w:r>
          </w:p>
          <w:p w:rsidR="00554850" w:rsidRPr="001D0A49" w:rsidRDefault="00554850" w:rsidP="00427449">
            <w:pPr>
              <w:rPr>
                <w:sz w:val="28"/>
                <w:szCs w:val="28"/>
              </w:rPr>
            </w:pPr>
            <w:r w:rsidRPr="001D0A49">
              <w:rPr>
                <w:sz w:val="28"/>
                <w:szCs w:val="28"/>
              </w:rPr>
              <w:t>Jaunu institūciju izveide</w:t>
            </w:r>
          </w:p>
        </w:tc>
        <w:tc>
          <w:tcPr>
            <w:tcW w:w="3098"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ind w:right="57"/>
              <w:rPr>
                <w:sz w:val="28"/>
                <w:szCs w:val="28"/>
              </w:rPr>
            </w:pPr>
            <w:r>
              <w:rPr>
                <w:sz w:val="28"/>
                <w:szCs w:val="28"/>
              </w:rPr>
              <w:t xml:space="preserve"> Projekts šo jomu neskar.</w:t>
            </w:r>
          </w:p>
        </w:tc>
      </w:tr>
      <w:tr w:rsidR="00554850" w:rsidRPr="001D0A49" w:rsidTr="00427449">
        <w:trPr>
          <w:trHeight w:val="780"/>
          <w:tblCellSpacing w:w="0" w:type="dxa"/>
        </w:trPr>
        <w:tc>
          <w:tcPr>
            <w:tcW w:w="297"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4.</w:t>
            </w:r>
          </w:p>
        </w:tc>
        <w:tc>
          <w:tcPr>
            <w:tcW w:w="1605"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Projekta izpildes ietekme uz pārvaldes institucionālo struktūru.</w:t>
            </w:r>
          </w:p>
          <w:p w:rsidR="00554850" w:rsidRPr="001D0A49" w:rsidRDefault="00554850" w:rsidP="00427449">
            <w:pPr>
              <w:rPr>
                <w:sz w:val="28"/>
                <w:szCs w:val="28"/>
              </w:rPr>
            </w:pPr>
            <w:r w:rsidRPr="001D0A49">
              <w:rPr>
                <w:sz w:val="28"/>
                <w:szCs w:val="28"/>
              </w:rPr>
              <w:t>Esošu institūciju likvidācija</w:t>
            </w:r>
          </w:p>
        </w:tc>
        <w:tc>
          <w:tcPr>
            <w:tcW w:w="3098"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ind w:right="57"/>
              <w:rPr>
                <w:sz w:val="28"/>
                <w:szCs w:val="28"/>
              </w:rPr>
            </w:pPr>
            <w:r>
              <w:rPr>
                <w:sz w:val="28"/>
                <w:szCs w:val="28"/>
              </w:rPr>
              <w:t xml:space="preserve"> Projekts šo jomu neskar.</w:t>
            </w:r>
          </w:p>
        </w:tc>
      </w:tr>
      <w:tr w:rsidR="00554850" w:rsidRPr="001D0A49" w:rsidTr="00427449">
        <w:trPr>
          <w:trHeight w:val="703"/>
          <w:tblCellSpacing w:w="0" w:type="dxa"/>
        </w:trPr>
        <w:tc>
          <w:tcPr>
            <w:tcW w:w="297"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lastRenderedPageBreak/>
              <w:t> 5.</w:t>
            </w:r>
          </w:p>
        </w:tc>
        <w:tc>
          <w:tcPr>
            <w:tcW w:w="1605"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Projekta izpildes ietekme uz pārvaldes institucionālo struktūru.</w:t>
            </w:r>
          </w:p>
          <w:p w:rsidR="00554850" w:rsidRPr="001D0A49" w:rsidRDefault="00554850" w:rsidP="00427449">
            <w:pPr>
              <w:rPr>
                <w:sz w:val="28"/>
                <w:szCs w:val="28"/>
              </w:rPr>
            </w:pPr>
            <w:r w:rsidRPr="001D0A49">
              <w:rPr>
                <w:sz w:val="28"/>
                <w:szCs w:val="28"/>
              </w:rPr>
              <w:t>Esošu institūciju reorganizācija</w:t>
            </w:r>
          </w:p>
        </w:tc>
        <w:tc>
          <w:tcPr>
            <w:tcW w:w="3098"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ind w:right="57"/>
              <w:rPr>
                <w:sz w:val="28"/>
                <w:szCs w:val="28"/>
              </w:rPr>
            </w:pPr>
            <w:r>
              <w:rPr>
                <w:sz w:val="28"/>
                <w:szCs w:val="28"/>
              </w:rPr>
              <w:t xml:space="preserve"> Projekts šo jomu neskar.</w:t>
            </w:r>
          </w:p>
        </w:tc>
      </w:tr>
      <w:tr w:rsidR="00554850" w:rsidRPr="001D0A49" w:rsidTr="00427449">
        <w:trPr>
          <w:trHeight w:val="476"/>
          <w:tblCellSpacing w:w="0" w:type="dxa"/>
        </w:trPr>
        <w:tc>
          <w:tcPr>
            <w:tcW w:w="297"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6.</w:t>
            </w:r>
          </w:p>
        </w:tc>
        <w:tc>
          <w:tcPr>
            <w:tcW w:w="1605"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 Cita informācija</w:t>
            </w:r>
          </w:p>
        </w:tc>
        <w:tc>
          <w:tcPr>
            <w:tcW w:w="3098" w:type="pct"/>
            <w:tcBorders>
              <w:top w:val="outset" w:sz="6" w:space="0" w:color="auto"/>
              <w:left w:val="outset" w:sz="6" w:space="0" w:color="auto"/>
              <w:bottom w:val="outset" w:sz="6" w:space="0" w:color="auto"/>
              <w:right w:val="outset" w:sz="6" w:space="0" w:color="auto"/>
            </w:tcBorders>
          </w:tcPr>
          <w:p w:rsidR="00554850" w:rsidRPr="001D0A49" w:rsidRDefault="00554850" w:rsidP="00427449">
            <w:pPr>
              <w:rPr>
                <w:sz w:val="28"/>
                <w:szCs w:val="28"/>
              </w:rPr>
            </w:pPr>
            <w:r w:rsidRPr="001D0A49">
              <w:rPr>
                <w:sz w:val="28"/>
                <w:szCs w:val="28"/>
              </w:rPr>
              <w:t>Nav</w:t>
            </w:r>
          </w:p>
        </w:tc>
      </w:tr>
      <w:bookmarkEnd w:id="2"/>
      <w:bookmarkEnd w:id="3"/>
      <w:bookmarkEnd w:id="4"/>
      <w:bookmarkEnd w:id="5"/>
    </w:tbl>
    <w:p w:rsidR="00554850" w:rsidRDefault="00554850" w:rsidP="00554850">
      <w:pPr>
        <w:jc w:val="both"/>
        <w:rPr>
          <w:color w:val="000000"/>
          <w:sz w:val="28"/>
          <w:szCs w:val="28"/>
        </w:rPr>
      </w:pPr>
    </w:p>
    <w:p w:rsidR="005F6F57" w:rsidRDefault="005F6F57" w:rsidP="00554850">
      <w:pPr>
        <w:jc w:val="both"/>
        <w:rPr>
          <w:color w:val="000000"/>
          <w:sz w:val="28"/>
          <w:szCs w:val="28"/>
        </w:rPr>
      </w:pPr>
    </w:p>
    <w:p w:rsidR="00554850" w:rsidRPr="00E52880" w:rsidRDefault="00554850" w:rsidP="00554850">
      <w:pPr>
        <w:rPr>
          <w:sz w:val="28"/>
          <w:szCs w:val="28"/>
        </w:rPr>
      </w:pPr>
      <w:r w:rsidRPr="00E52880">
        <w:rPr>
          <w:sz w:val="28"/>
          <w:szCs w:val="28"/>
        </w:rPr>
        <w:t>Kultūras ministre</w:t>
      </w:r>
      <w:r w:rsidRPr="00E52880">
        <w:rPr>
          <w:sz w:val="28"/>
          <w:szCs w:val="28"/>
        </w:rPr>
        <w:tab/>
      </w:r>
      <w:r w:rsidRPr="00E52880">
        <w:rPr>
          <w:sz w:val="28"/>
          <w:szCs w:val="28"/>
        </w:rPr>
        <w:tab/>
      </w:r>
      <w:r w:rsidRPr="00E52880">
        <w:rPr>
          <w:sz w:val="28"/>
          <w:szCs w:val="28"/>
        </w:rPr>
        <w:tab/>
      </w:r>
      <w:r w:rsidRPr="00E52880">
        <w:rPr>
          <w:sz w:val="28"/>
          <w:szCs w:val="28"/>
        </w:rPr>
        <w:tab/>
      </w:r>
      <w:r w:rsidRPr="00E52880">
        <w:rPr>
          <w:sz w:val="28"/>
          <w:szCs w:val="28"/>
        </w:rPr>
        <w:tab/>
      </w:r>
      <w:r>
        <w:rPr>
          <w:sz w:val="28"/>
          <w:szCs w:val="28"/>
        </w:rPr>
        <w:tab/>
      </w:r>
      <w:r w:rsidR="005F6F57">
        <w:rPr>
          <w:sz w:val="28"/>
          <w:szCs w:val="28"/>
        </w:rPr>
        <w:t xml:space="preserve">Ž.Jaunzeme – </w:t>
      </w:r>
      <w:r w:rsidRPr="00E52880">
        <w:rPr>
          <w:sz w:val="28"/>
          <w:szCs w:val="28"/>
        </w:rPr>
        <w:t>Grende</w:t>
      </w:r>
    </w:p>
    <w:p w:rsidR="00554850" w:rsidRDefault="00554850" w:rsidP="00554850">
      <w:pPr>
        <w:rPr>
          <w:sz w:val="28"/>
          <w:szCs w:val="28"/>
        </w:rPr>
      </w:pPr>
    </w:p>
    <w:p w:rsidR="00554850" w:rsidRDefault="00554850" w:rsidP="00554850">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sidRPr="00E52880">
        <w:rPr>
          <w:sz w:val="28"/>
          <w:szCs w:val="28"/>
        </w:rPr>
        <w:t>G.Puķītis</w:t>
      </w:r>
    </w:p>
    <w:p w:rsidR="00554850" w:rsidRDefault="00554850" w:rsidP="00554850">
      <w:pPr>
        <w:rPr>
          <w:sz w:val="28"/>
          <w:szCs w:val="28"/>
        </w:rPr>
      </w:pPr>
    </w:p>
    <w:p w:rsidR="005F6F57" w:rsidRDefault="005F6F57" w:rsidP="00554850">
      <w:pPr>
        <w:rPr>
          <w:sz w:val="28"/>
          <w:szCs w:val="28"/>
        </w:rPr>
      </w:pPr>
    </w:p>
    <w:p w:rsidR="005F6F57" w:rsidRDefault="005F6F57" w:rsidP="00554850">
      <w:pPr>
        <w:rPr>
          <w:sz w:val="28"/>
          <w:szCs w:val="28"/>
        </w:rPr>
      </w:pPr>
    </w:p>
    <w:p w:rsidR="005F6F57" w:rsidRPr="005F6F57" w:rsidRDefault="005F6F57" w:rsidP="00554850">
      <w:pPr>
        <w:rPr>
          <w:sz w:val="22"/>
          <w:szCs w:val="22"/>
        </w:rPr>
      </w:pPr>
    </w:p>
    <w:p w:rsidR="00554850" w:rsidRPr="005F6F57" w:rsidRDefault="006D4A73" w:rsidP="00554850">
      <w:pPr>
        <w:rPr>
          <w:sz w:val="22"/>
          <w:szCs w:val="22"/>
        </w:rPr>
      </w:pPr>
      <w:r>
        <w:rPr>
          <w:sz w:val="22"/>
          <w:szCs w:val="22"/>
        </w:rPr>
        <w:t>20</w:t>
      </w:r>
      <w:r w:rsidR="00F95C68" w:rsidRPr="005F6F57">
        <w:rPr>
          <w:sz w:val="22"/>
          <w:szCs w:val="22"/>
        </w:rPr>
        <w:t>.09</w:t>
      </w:r>
      <w:r w:rsidR="00554850" w:rsidRPr="005F6F57">
        <w:rPr>
          <w:sz w:val="22"/>
          <w:szCs w:val="22"/>
        </w:rPr>
        <w:t>.2012.</w:t>
      </w:r>
    </w:p>
    <w:p w:rsidR="00554850" w:rsidRPr="005F6F57" w:rsidRDefault="002E785A" w:rsidP="00554850">
      <w:pPr>
        <w:jc w:val="both"/>
        <w:rPr>
          <w:sz w:val="22"/>
          <w:szCs w:val="22"/>
        </w:rPr>
      </w:pPr>
      <w:r>
        <w:rPr>
          <w:sz w:val="22"/>
          <w:szCs w:val="22"/>
        </w:rPr>
        <w:t>1806</w:t>
      </w:r>
    </w:p>
    <w:p w:rsidR="00554850" w:rsidRPr="005F6F57" w:rsidRDefault="00F95C68" w:rsidP="00554850">
      <w:pPr>
        <w:rPr>
          <w:sz w:val="22"/>
          <w:szCs w:val="22"/>
        </w:rPr>
      </w:pPr>
      <w:r w:rsidRPr="005F6F57">
        <w:rPr>
          <w:sz w:val="22"/>
          <w:szCs w:val="22"/>
        </w:rPr>
        <w:t>B.Erdmane</w:t>
      </w:r>
    </w:p>
    <w:p w:rsidR="00554850" w:rsidRPr="005F6F57" w:rsidRDefault="00554850" w:rsidP="00554850">
      <w:pPr>
        <w:pStyle w:val="Galvene"/>
        <w:rPr>
          <w:color w:val="808080" w:themeColor="background1" w:themeShade="80"/>
          <w:sz w:val="22"/>
          <w:szCs w:val="22"/>
        </w:rPr>
      </w:pPr>
      <w:bookmarkStart w:id="7" w:name="OLE_LINK7"/>
      <w:bookmarkStart w:id="8" w:name="OLE_LINK8"/>
      <w:r w:rsidRPr="005F6F57">
        <w:rPr>
          <w:sz w:val="22"/>
          <w:szCs w:val="22"/>
        </w:rPr>
        <w:t>Tālr.</w:t>
      </w:r>
      <w:r w:rsidR="00F95C68" w:rsidRPr="005F6F57">
        <w:rPr>
          <w:sz w:val="22"/>
          <w:szCs w:val="22"/>
        </w:rPr>
        <w:t>67228985; Fakss 67227405</w:t>
      </w:r>
    </w:p>
    <w:p w:rsidR="000932AE" w:rsidRPr="005F6F57" w:rsidRDefault="005F6F57">
      <w:pPr>
        <w:rPr>
          <w:sz w:val="22"/>
          <w:szCs w:val="22"/>
        </w:rPr>
      </w:pPr>
      <w:r w:rsidRPr="00A9001C">
        <w:rPr>
          <w:sz w:val="22"/>
          <w:szCs w:val="22"/>
        </w:rPr>
        <w:t>baiba.erdmane@knmc.gov.lv</w:t>
      </w:r>
      <w:r>
        <w:rPr>
          <w:sz w:val="22"/>
          <w:szCs w:val="22"/>
        </w:rPr>
        <w:t xml:space="preserve"> </w:t>
      </w:r>
    </w:p>
    <w:bookmarkEnd w:id="7"/>
    <w:bookmarkEnd w:id="8"/>
    <w:p w:rsidR="00274834" w:rsidRPr="005F6F57" w:rsidRDefault="000932AE" w:rsidP="000932AE">
      <w:pPr>
        <w:tabs>
          <w:tab w:val="left" w:pos="3600"/>
        </w:tabs>
        <w:rPr>
          <w:sz w:val="22"/>
          <w:szCs w:val="22"/>
        </w:rPr>
      </w:pPr>
      <w:r w:rsidRPr="005F6F57">
        <w:rPr>
          <w:sz w:val="22"/>
          <w:szCs w:val="22"/>
        </w:rPr>
        <w:tab/>
      </w:r>
    </w:p>
    <w:sectPr w:rsidR="00274834" w:rsidRPr="005F6F57" w:rsidSect="00427449">
      <w:headerReference w:type="default" r:id="rId7"/>
      <w:footerReference w:type="default" r:id="rId8"/>
      <w:footerReference w:type="first" r:id="rId9"/>
      <w:pgSz w:w="11906" w:h="16838"/>
      <w:pgMar w:top="1276"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73" w:rsidRDefault="006D4A73" w:rsidP="00F95C68">
      <w:r>
        <w:separator/>
      </w:r>
    </w:p>
  </w:endnote>
  <w:endnote w:type="continuationSeparator" w:id="0">
    <w:p w:rsidR="006D4A73" w:rsidRDefault="006D4A73" w:rsidP="00F95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73" w:rsidRDefault="006D4A73" w:rsidP="00427449">
    <w:pPr>
      <w:jc w:val="both"/>
      <w:rPr>
        <w:sz w:val="22"/>
        <w:szCs w:val="22"/>
      </w:rPr>
    </w:pPr>
  </w:p>
  <w:p w:rsidR="006D4A73" w:rsidRPr="002B2695" w:rsidRDefault="006D4A73" w:rsidP="00427449">
    <w:pPr>
      <w:jc w:val="both"/>
      <w:rPr>
        <w:sz w:val="22"/>
        <w:szCs w:val="22"/>
      </w:rPr>
    </w:pPr>
    <w:bookmarkStart w:id="9" w:name="OLE_LINK5"/>
    <w:bookmarkStart w:id="10" w:name="OLE_LINK6"/>
    <w:r w:rsidRPr="00802BE3">
      <w:rPr>
        <w:sz w:val="22"/>
        <w:szCs w:val="22"/>
      </w:rPr>
      <w:t>KMAnot_</w:t>
    </w:r>
    <w:r>
      <w:rPr>
        <w:sz w:val="22"/>
        <w:szCs w:val="22"/>
      </w:rPr>
      <w:t>2009</w:t>
    </w:r>
    <w:r w:rsidRPr="002B2695">
      <w:rPr>
        <w:sz w:val="22"/>
        <w:szCs w:val="22"/>
      </w:rPr>
      <w:t xml:space="preserve">12_dz_sv_merkdot; </w:t>
    </w:r>
    <w:bookmarkEnd w:id="9"/>
    <w:bookmarkEnd w:id="10"/>
    <w:r w:rsidRPr="002B2695">
      <w:rPr>
        <w:sz w:val="22"/>
        <w:szCs w:val="22"/>
      </w:rPr>
      <w:t xml:space="preserve">Ministru kabineta noteikumu projekta „Kārtība, kādā pašvaldībām tiek aprēķināta un sadalīta valsts budžeta mērķdotācija māksliniecisko kolektīvu vadītāju darba samaksai un valsts sociālās apdrošināšanas obligātajām iemaksām” </w:t>
    </w:r>
    <w:r w:rsidRPr="002B2695">
      <w:rPr>
        <w:bCs/>
        <w:sz w:val="22"/>
        <w:szCs w:val="22"/>
      </w:rPr>
      <w:t>sākotnējās ietekmes novērtējuma ziņojums (anotācija)</w:t>
    </w:r>
  </w:p>
  <w:p w:rsidR="006D4A73" w:rsidRDefault="006D4A73" w:rsidP="00427449">
    <w:pPr>
      <w:pStyle w:val="Kjene"/>
      <w:tabs>
        <w:tab w:val="clear" w:pos="4153"/>
        <w:tab w:val="clear" w:pos="8306"/>
        <w:tab w:val="left" w:pos="5700"/>
      </w:tabs>
      <w:jc w:val="both"/>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73" w:rsidRPr="00802BE3" w:rsidRDefault="006D4A73" w:rsidP="00427449">
    <w:pPr>
      <w:jc w:val="both"/>
      <w:rPr>
        <w:color w:val="0D0D0D"/>
        <w:sz w:val="22"/>
        <w:szCs w:val="22"/>
      </w:rPr>
    </w:pPr>
    <w:r w:rsidRPr="00802BE3">
      <w:rPr>
        <w:sz w:val="22"/>
        <w:szCs w:val="22"/>
      </w:rPr>
      <w:t>KMAnot_</w:t>
    </w:r>
    <w:r>
      <w:rPr>
        <w:sz w:val="22"/>
        <w:szCs w:val="22"/>
      </w:rPr>
      <w:t>2009</w:t>
    </w:r>
    <w:r w:rsidRPr="00802BE3">
      <w:rPr>
        <w:sz w:val="22"/>
        <w:szCs w:val="22"/>
      </w:rPr>
      <w:t>12_dz_sv_</w:t>
    </w:r>
    <w:r>
      <w:rPr>
        <w:sz w:val="22"/>
        <w:szCs w:val="22"/>
      </w:rPr>
      <w:t>merkdot</w:t>
    </w:r>
    <w:r w:rsidRPr="00802BE3">
      <w:rPr>
        <w:sz w:val="22"/>
        <w:szCs w:val="22"/>
      </w:rPr>
      <w:t xml:space="preserve">; Ministru kabineta noteikumu </w:t>
    </w:r>
    <w:r>
      <w:rPr>
        <w:sz w:val="22"/>
        <w:szCs w:val="22"/>
      </w:rPr>
      <w:t xml:space="preserve">projekta </w:t>
    </w:r>
    <w:r w:rsidRPr="00802BE3">
      <w:rPr>
        <w:sz w:val="22"/>
        <w:szCs w:val="22"/>
      </w:rPr>
      <w:t>„Kārtība, kādā pašvaldībām tiek aprēķināta un sadalīta valsts budžeta mērķdotācija māksliniecisko kolektīvu vadītāju darba samaksai un valsts sociālās apdrošināšanas obligātajām iemaksām</w:t>
    </w:r>
    <w:r>
      <w:rPr>
        <w:sz w:val="22"/>
        <w:szCs w:val="22"/>
      </w:rPr>
      <w:t>”</w:t>
    </w:r>
    <w:r w:rsidRPr="00802BE3">
      <w:rPr>
        <w:sz w:val="22"/>
        <w:szCs w:val="22"/>
      </w:rPr>
      <w:t xml:space="preserve"> </w:t>
    </w:r>
    <w:r w:rsidRPr="00802BE3">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73" w:rsidRDefault="006D4A73" w:rsidP="00F95C68">
      <w:r>
        <w:separator/>
      </w:r>
    </w:p>
  </w:footnote>
  <w:footnote w:type="continuationSeparator" w:id="0">
    <w:p w:rsidR="006D4A73" w:rsidRDefault="006D4A73" w:rsidP="00F95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6D4A73" w:rsidRDefault="009738C8">
        <w:pPr>
          <w:pStyle w:val="Galvene"/>
          <w:jc w:val="center"/>
        </w:pPr>
        <w:fldSimple w:instr=" PAGE   \* MERGEFORMAT ">
          <w:r w:rsidR="00BF3B1C">
            <w:rPr>
              <w:noProof/>
            </w:rPr>
            <w:t>3</w:t>
          </w:r>
        </w:fldSimple>
      </w:p>
    </w:sdtContent>
  </w:sdt>
  <w:p w:rsidR="006D4A73" w:rsidRDefault="006D4A7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D0D"/>
    <w:multiLevelType w:val="hybridMultilevel"/>
    <w:tmpl w:val="399801C8"/>
    <w:lvl w:ilvl="0" w:tplc="BA2E00D4">
      <w:start w:val="1"/>
      <w:numFmt w:val="decimal"/>
      <w:lvlText w:val="%1)"/>
      <w:lvlJc w:val="left"/>
      <w:pPr>
        <w:ind w:left="857" w:hanging="360"/>
      </w:pPr>
      <w:rPr>
        <w:rFonts w:ascii="Times New Roman" w:hAnsi="Times New Roman" w:cs="Times New Roman" w:hint="default"/>
        <w:b w:val="0"/>
      </w:rPr>
    </w:lvl>
    <w:lvl w:ilvl="1" w:tplc="04260019" w:tentative="1">
      <w:start w:val="1"/>
      <w:numFmt w:val="lowerLetter"/>
      <w:lvlText w:val="%2."/>
      <w:lvlJc w:val="left"/>
      <w:pPr>
        <w:ind w:left="1577" w:hanging="360"/>
      </w:pPr>
    </w:lvl>
    <w:lvl w:ilvl="2" w:tplc="0426001B" w:tentative="1">
      <w:start w:val="1"/>
      <w:numFmt w:val="lowerRoman"/>
      <w:lvlText w:val="%3."/>
      <w:lvlJc w:val="right"/>
      <w:pPr>
        <w:ind w:left="2297" w:hanging="180"/>
      </w:pPr>
    </w:lvl>
    <w:lvl w:ilvl="3" w:tplc="0426000F" w:tentative="1">
      <w:start w:val="1"/>
      <w:numFmt w:val="decimal"/>
      <w:lvlText w:val="%4."/>
      <w:lvlJc w:val="left"/>
      <w:pPr>
        <w:ind w:left="3017" w:hanging="360"/>
      </w:pPr>
    </w:lvl>
    <w:lvl w:ilvl="4" w:tplc="04260019" w:tentative="1">
      <w:start w:val="1"/>
      <w:numFmt w:val="lowerLetter"/>
      <w:lvlText w:val="%5."/>
      <w:lvlJc w:val="left"/>
      <w:pPr>
        <w:ind w:left="3737" w:hanging="360"/>
      </w:pPr>
    </w:lvl>
    <w:lvl w:ilvl="5" w:tplc="0426001B" w:tentative="1">
      <w:start w:val="1"/>
      <w:numFmt w:val="lowerRoman"/>
      <w:lvlText w:val="%6."/>
      <w:lvlJc w:val="right"/>
      <w:pPr>
        <w:ind w:left="4457" w:hanging="180"/>
      </w:pPr>
    </w:lvl>
    <w:lvl w:ilvl="6" w:tplc="0426000F" w:tentative="1">
      <w:start w:val="1"/>
      <w:numFmt w:val="decimal"/>
      <w:lvlText w:val="%7."/>
      <w:lvlJc w:val="left"/>
      <w:pPr>
        <w:ind w:left="5177" w:hanging="360"/>
      </w:pPr>
    </w:lvl>
    <w:lvl w:ilvl="7" w:tplc="04260019" w:tentative="1">
      <w:start w:val="1"/>
      <w:numFmt w:val="lowerLetter"/>
      <w:lvlText w:val="%8."/>
      <w:lvlJc w:val="left"/>
      <w:pPr>
        <w:ind w:left="5897" w:hanging="360"/>
      </w:pPr>
    </w:lvl>
    <w:lvl w:ilvl="8" w:tplc="0426001B" w:tentative="1">
      <w:start w:val="1"/>
      <w:numFmt w:val="lowerRoman"/>
      <w:lvlText w:val="%9."/>
      <w:lvlJc w:val="right"/>
      <w:pPr>
        <w:ind w:left="6617" w:hanging="180"/>
      </w:pPr>
    </w:lvl>
  </w:abstractNum>
  <w:abstractNum w:abstractNumId="1">
    <w:nsid w:val="0BEF104C"/>
    <w:multiLevelType w:val="multilevel"/>
    <w:tmpl w:val="F97CC4E8"/>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rPr>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4850"/>
    <w:rsid w:val="00013C50"/>
    <w:rsid w:val="000932AE"/>
    <w:rsid w:val="0010242E"/>
    <w:rsid w:val="00127A66"/>
    <w:rsid w:val="00186D34"/>
    <w:rsid w:val="001E68C9"/>
    <w:rsid w:val="00274834"/>
    <w:rsid w:val="002E785A"/>
    <w:rsid w:val="00304E58"/>
    <w:rsid w:val="003B76BD"/>
    <w:rsid w:val="00427449"/>
    <w:rsid w:val="004A1487"/>
    <w:rsid w:val="00554850"/>
    <w:rsid w:val="005F6F57"/>
    <w:rsid w:val="006C42F8"/>
    <w:rsid w:val="006D4A73"/>
    <w:rsid w:val="007C121F"/>
    <w:rsid w:val="00806024"/>
    <w:rsid w:val="0091238F"/>
    <w:rsid w:val="009738C8"/>
    <w:rsid w:val="00A25C40"/>
    <w:rsid w:val="00A9001C"/>
    <w:rsid w:val="00A96C16"/>
    <w:rsid w:val="00AE01E6"/>
    <w:rsid w:val="00BF3B1C"/>
    <w:rsid w:val="00CA47B2"/>
    <w:rsid w:val="00CB5F72"/>
    <w:rsid w:val="00CC0908"/>
    <w:rsid w:val="00D55FC5"/>
    <w:rsid w:val="00DF1BCE"/>
    <w:rsid w:val="00E31020"/>
    <w:rsid w:val="00F55379"/>
    <w:rsid w:val="00F95C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54850"/>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554850"/>
    <w:pPr>
      <w:tabs>
        <w:tab w:val="center" w:pos="4153"/>
        <w:tab w:val="right" w:pos="8306"/>
      </w:tabs>
    </w:pPr>
  </w:style>
  <w:style w:type="character" w:customStyle="1" w:styleId="KjeneRakstz">
    <w:name w:val="Kājene Rakstz."/>
    <w:basedOn w:val="Noklusjumarindkopasfonts"/>
    <w:link w:val="Kjene"/>
    <w:rsid w:val="00554850"/>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554850"/>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554850"/>
    <w:rPr>
      <w:rFonts w:ascii="Times New Roman" w:eastAsia="Times New Roman" w:hAnsi="Times New Roman" w:cs="Times New Roman"/>
      <w:sz w:val="24"/>
      <w:szCs w:val="24"/>
      <w:lang w:eastAsia="lv-LV"/>
    </w:rPr>
  </w:style>
  <w:style w:type="character" w:styleId="Hipersaite">
    <w:name w:val="Hyperlink"/>
    <w:basedOn w:val="Noklusjumarindkopasfonts"/>
    <w:rsid w:val="00554850"/>
    <w:rPr>
      <w:color w:val="0000FF"/>
      <w:u w:val="single"/>
    </w:rPr>
  </w:style>
  <w:style w:type="paragraph" w:customStyle="1" w:styleId="naisnod">
    <w:name w:val="naisnod"/>
    <w:basedOn w:val="Parastais"/>
    <w:rsid w:val="00554850"/>
    <w:pPr>
      <w:suppressAutoHyphens w:val="0"/>
      <w:spacing w:before="100" w:beforeAutospacing="1" w:after="100" w:afterAutospacing="1"/>
    </w:pPr>
    <w:rPr>
      <w:lang w:eastAsia="lv-LV"/>
    </w:rPr>
  </w:style>
  <w:style w:type="paragraph" w:customStyle="1" w:styleId="naiskr">
    <w:name w:val="naiskr"/>
    <w:basedOn w:val="Parastais"/>
    <w:rsid w:val="00554850"/>
    <w:pPr>
      <w:suppressAutoHyphens w:val="0"/>
      <w:spacing w:before="100" w:beforeAutospacing="1" w:after="100" w:afterAutospacing="1"/>
    </w:pPr>
    <w:rPr>
      <w:lang w:eastAsia="lv-LV"/>
    </w:rPr>
  </w:style>
  <w:style w:type="paragraph" w:customStyle="1" w:styleId="naisf">
    <w:name w:val="naisf"/>
    <w:basedOn w:val="Parastais"/>
    <w:rsid w:val="00554850"/>
    <w:pPr>
      <w:suppressAutoHyphens w:val="0"/>
      <w:spacing w:before="75" w:after="75"/>
      <w:ind w:firstLine="375"/>
      <w:jc w:val="both"/>
    </w:pPr>
    <w:rPr>
      <w:lang w:eastAsia="lv-LV"/>
    </w:rPr>
  </w:style>
  <w:style w:type="paragraph" w:styleId="Pamatteksts">
    <w:name w:val="Body Text"/>
    <w:basedOn w:val="Parastais"/>
    <w:link w:val="PamattekstsRakstz"/>
    <w:rsid w:val="00554850"/>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554850"/>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F95C68"/>
  </w:style>
  <w:style w:type="character" w:styleId="Komentraatsauce">
    <w:name w:val="annotation reference"/>
    <w:basedOn w:val="Noklusjumarindkopasfonts"/>
    <w:uiPriority w:val="99"/>
    <w:semiHidden/>
    <w:unhideWhenUsed/>
    <w:rsid w:val="00427449"/>
    <w:rPr>
      <w:sz w:val="16"/>
      <w:szCs w:val="16"/>
    </w:rPr>
  </w:style>
  <w:style w:type="paragraph" w:styleId="Komentrateksts">
    <w:name w:val="annotation text"/>
    <w:basedOn w:val="Parastais"/>
    <w:link w:val="KomentratekstsRakstz"/>
    <w:uiPriority w:val="99"/>
    <w:semiHidden/>
    <w:unhideWhenUsed/>
    <w:rsid w:val="00427449"/>
    <w:rPr>
      <w:sz w:val="20"/>
      <w:szCs w:val="20"/>
    </w:rPr>
  </w:style>
  <w:style w:type="character" w:customStyle="1" w:styleId="KomentratekstsRakstz">
    <w:name w:val="Komentāra teksts Rakstz."/>
    <w:basedOn w:val="Noklusjumarindkopasfonts"/>
    <w:link w:val="Komentrateksts"/>
    <w:uiPriority w:val="99"/>
    <w:semiHidden/>
    <w:rsid w:val="00427449"/>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427449"/>
    <w:rPr>
      <w:b/>
      <w:bCs/>
    </w:rPr>
  </w:style>
  <w:style w:type="character" w:customStyle="1" w:styleId="KomentratmaRakstz">
    <w:name w:val="Komentāra tēma Rakstz."/>
    <w:basedOn w:val="KomentratekstsRakstz"/>
    <w:link w:val="Komentratma"/>
    <w:uiPriority w:val="99"/>
    <w:semiHidden/>
    <w:rsid w:val="00427449"/>
    <w:rPr>
      <w:b/>
      <w:bCs/>
    </w:rPr>
  </w:style>
  <w:style w:type="paragraph" w:styleId="Balonteksts">
    <w:name w:val="Balloon Text"/>
    <w:basedOn w:val="Parastais"/>
    <w:link w:val="BalontekstsRakstz"/>
    <w:uiPriority w:val="99"/>
    <w:semiHidden/>
    <w:unhideWhenUsed/>
    <w:rsid w:val="004274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7449"/>
    <w:rPr>
      <w:rFonts w:ascii="Tahoma" w:eastAsia="Times New Roman" w:hAnsi="Tahoma" w:cs="Tahoma"/>
      <w:sz w:val="16"/>
      <w:szCs w:val="16"/>
      <w:lang w:eastAsia="ar-SA"/>
    </w:rPr>
  </w:style>
  <w:style w:type="character" w:styleId="Izclums">
    <w:name w:val="Emphasis"/>
    <w:basedOn w:val="Noklusjumarindkopasfonts"/>
    <w:uiPriority w:val="20"/>
    <w:qFormat/>
    <w:rsid w:val="00CB5F72"/>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9460</Words>
  <Characters>5393</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darbs</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pašvaldībām tiek aprēķināta un sadalīta valsts budžeta mērķdotācija māksliniecisko kolektīvu vadītāju darba samaksai un valsts sociālās apdrošināšanas obligātajām iemaksām” sākotnējās ietekmes novērtējuma ziņojums (anotācija)</dc:title>
  <dc:subject>anotācija</dc:subject>
  <dc:creator>Baiba Erdmane</dc:creator>
  <cp:keywords/>
  <dc:description>Tālr.67228985; Fakss 67227405
baiba.erdmane@knmc.gov.lv </dc:description>
  <cp:lastModifiedBy>Dzintra Rozīte</cp:lastModifiedBy>
  <cp:revision>15</cp:revision>
  <dcterms:created xsi:type="dcterms:W3CDTF">2012-09-14T10:42:00Z</dcterms:created>
  <dcterms:modified xsi:type="dcterms:W3CDTF">2012-09-20T14:41:00Z</dcterms:modified>
</cp:coreProperties>
</file>