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F81" w:rsidRPr="00CC2A4B" w:rsidRDefault="008E126B" w:rsidP="007156D0">
      <w:pPr>
        <w:jc w:val="center"/>
        <w:rPr>
          <w:b/>
        </w:rPr>
      </w:pPr>
      <w:r w:rsidRPr="00CC2A4B">
        <w:rPr>
          <w:rStyle w:val="Strong"/>
        </w:rPr>
        <w:t xml:space="preserve">Ministru kabineta noteikumu projekta </w:t>
      </w:r>
      <w:r w:rsidR="00061F81" w:rsidRPr="00CC2A4B">
        <w:rPr>
          <w:rStyle w:val="Strong"/>
        </w:rPr>
        <w:t>„</w:t>
      </w:r>
      <w:r w:rsidR="00CF24F6">
        <w:rPr>
          <w:rStyle w:val="Strong"/>
        </w:rPr>
        <w:t>Noteikumi par m</w:t>
      </w:r>
      <w:r w:rsidR="00330383" w:rsidRPr="00CC2A4B">
        <w:rPr>
          <w:b/>
        </w:rPr>
        <w:t>etodik</w:t>
      </w:r>
      <w:r w:rsidR="00CF24F6">
        <w:rPr>
          <w:b/>
        </w:rPr>
        <w:t xml:space="preserve">u, kādā </w:t>
      </w:r>
      <w:r w:rsidR="00330383" w:rsidRPr="00CC2A4B">
        <w:rPr>
          <w:b/>
        </w:rPr>
        <w:t>Nacionālais kino centrs aprēķina maksu par filmu izmantošanu, kuru autortiesības vai blakustiesības pieder vai piekrīt valstij</w:t>
      </w:r>
      <w:r w:rsidR="00061F81" w:rsidRPr="00CC2A4B">
        <w:rPr>
          <w:rStyle w:val="Strong"/>
        </w:rPr>
        <w:t>”</w:t>
      </w:r>
      <w:r w:rsidR="007156D0" w:rsidRPr="00CC2A4B">
        <w:rPr>
          <w:rStyle w:val="Strong"/>
        </w:rPr>
        <w:t xml:space="preserve"> </w:t>
      </w:r>
      <w:r w:rsidR="00061F81" w:rsidRPr="00CC2A4B">
        <w:rPr>
          <w:b/>
        </w:rPr>
        <w:t xml:space="preserve">sākotnējās ietekmes novērtējuma </w:t>
      </w:r>
      <w:smartTag w:uri="schemas-tilde-lv/tildestengine" w:element="veidnes">
        <w:smartTagPr>
          <w:attr w:name="text" w:val="ziņojums"/>
          <w:attr w:name="baseform" w:val="ziņojums"/>
          <w:attr w:name="id" w:val="-1"/>
        </w:smartTagPr>
        <w:r w:rsidR="00061F81" w:rsidRPr="00CC2A4B">
          <w:rPr>
            <w:b/>
          </w:rPr>
          <w:t>ziņojums</w:t>
        </w:r>
      </w:smartTag>
      <w:r w:rsidR="00061F81" w:rsidRPr="00CC2A4B">
        <w:rPr>
          <w:b/>
        </w:rPr>
        <w:t xml:space="preserve"> (anotācija)</w:t>
      </w:r>
    </w:p>
    <w:p w:rsidR="00C63C0F" w:rsidRPr="00CC2A4B" w:rsidRDefault="00C63C0F" w:rsidP="00061F81">
      <w:pPr>
        <w:pStyle w:val="naislab"/>
        <w:spacing w:before="0" w:after="0"/>
        <w:jc w:val="center"/>
        <w:outlineLvl w:val="0"/>
        <w:rPr>
          <w:b/>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340"/>
        <w:gridCol w:w="6659"/>
      </w:tblGrid>
      <w:tr w:rsidR="00314501" w:rsidRPr="00CC2A4B" w:rsidTr="00314501">
        <w:tc>
          <w:tcPr>
            <w:tcW w:w="9539" w:type="dxa"/>
            <w:gridSpan w:val="3"/>
          </w:tcPr>
          <w:p w:rsidR="00314501" w:rsidRPr="00CC2A4B" w:rsidRDefault="00314501" w:rsidP="00314501">
            <w:pPr>
              <w:pStyle w:val="naislab"/>
              <w:spacing w:before="0" w:after="0"/>
              <w:jc w:val="center"/>
              <w:outlineLvl w:val="0"/>
              <w:rPr>
                <w:b/>
              </w:rPr>
            </w:pPr>
            <w:r w:rsidRPr="00CC2A4B">
              <w:rPr>
                <w:b/>
              </w:rPr>
              <w:t>I. Tiesību akta projekta izstrādes nepieciešamība</w:t>
            </w:r>
          </w:p>
        </w:tc>
      </w:tr>
      <w:tr w:rsidR="00314501" w:rsidRPr="00CC2A4B" w:rsidTr="00671AD8">
        <w:tc>
          <w:tcPr>
            <w:tcW w:w="540" w:type="dxa"/>
          </w:tcPr>
          <w:p w:rsidR="00314501" w:rsidRPr="00CC2A4B" w:rsidRDefault="00314501" w:rsidP="00314501">
            <w:pPr>
              <w:pStyle w:val="naislab"/>
              <w:spacing w:before="0" w:after="0"/>
              <w:jc w:val="center"/>
              <w:outlineLvl w:val="0"/>
            </w:pPr>
            <w:r w:rsidRPr="00CC2A4B">
              <w:t>1.</w:t>
            </w:r>
          </w:p>
        </w:tc>
        <w:tc>
          <w:tcPr>
            <w:tcW w:w="2340" w:type="dxa"/>
          </w:tcPr>
          <w:p w:rsidR="00314501" w:rsidRPr="00CC2A4B" w:rsidRDefault="00314501" w:rsidP="00314501">
            <w:pPr>
              <w:pStyle w:val="naislab"/>
              <w:spacing w:before="0" w:after="0"/>
              <w:jc w:val="both"/>
              <w:outlineLvl w:val="0"/>
            </w:pPr>
            <w:r w:rsidRPr="00CC2A4B">
              <w:t>Pamatojums</w:t>
            </w:r>
          </w:p>
        </w:tc>
        <w:tc>
          <w:tcPr>
            <w:tcW w:w="6659" w:type="dxa"/>
          </w:tcPr>
          <w:p w:rsidR="00561318" w:rsidRPr="00CC2A4B" w:rsidRDefault="00330383" w:rsidP="007C2A93">
            <w:pPr>
              <w:jc w:val="both"/>
            </w:pPr>
            <w:r w:rsidRPr="00CC2A4B">
              <w:t xml:space="preserve">Filmu likuma </w:t>
            </w:r>
            <w:r w:rsidR="00B76317" w:rsidRPr="00CC2A4B">
              <w:t xml:space="preserve">5.panta otrā daļa, </w:t>
            </w:r>
            <w:r w:rsidR="00561318">
              <w:t xml:space="preserve">Filmu likuma </w:t>
            </w:r>
            <w:r w:rsidR="008255DD" w:rsidRPr="00CC2A4B">
              <w:t xml:space="preserve">Pārejas noteikumu 2.punkts. </w:t>
            </w:r>
          </w:p>
        </w:tc>
      </w:tr>
      <w:tr w:rsidR="00314501" w:rsidRPr="00CC2A4B" w:rsidTr="00671AD8">
        <w:tc>
          <w:tcPr>
            <w:tcW w:w="540" w:type="dxa"/>
          </w:tcPr>
          <w:p w:rsidR="00314501" w:rsidRPr="00CC2A4B" w:rsidRDefault="00314501" w:rsidP="00314501">
            <w:pPr>
              <w:pStyle w:val="naislab"/>
              <w:spacing w:before="0" w:after="0"/>
              <w:jc w:val="center"/>
              <w:outlineLvl w:val="0"/>
            </w:pPr>
            <w:r w:rsidRPr="00CC2A4B">
              <w:t>2.</w:t>
            </w:r>
          </w:p>
        </w:tc>
        <w:tc>
          <w:tcPr>
            <w:tcW w:w="2340" w:type="dxa"/>
          </w:tcPr>
          <w:p w:rsidR="00314501" w:rsidRPr="00CC2A4B" w:rsidRDefault="00314501" w:rsidP="00314501">
            <w:pPr>
              <w:pStyle w:val="naislab"/>
              <w:spacing w:before="0" w:after="0"/>
              <w:jc w:val="both"/>
              <w:outlineLvl w:val="0"/>
            </w:pPr>
            <w:r w:rsidRPr="00CC2A4B">
              <w:t>Pašreizējā situācija un problēmas</w:t>
            </w:r>
          </w:p>
        </w:tc>
        <w:tc>
          <w:tcPr>
            <w:tcW w:w="6659" w:type="dxa"/>
          </w:tcPr>
          <w:p w:rsidR="008255DD" w:rsidRPr="00CC2A4B" w:rsidRDefault="008255DD" w:rsidP="00AE68C2">
            <w:pPr>
              <w:pStyle w:val="naisf"/>
              <w:spacing w:before="0" w:after="0"/>
              <w:ind w:firstLine="0"/>
            </w:pPr>
            <w:r w:rsidRPr="00CC2A4B">
              <w:t xml:space="preserve">30.06.2010. spēkā stājās Filmu likums saskaņā ar kura 5.panta pirmo daļu Autortiesību likumā paredzētās licences tādu filmu izmantošanai, kuru autortiesības vai blakustiesības pieder vai piekrīt valstij, izsniedz Nacionālais kino centrs, ja citos likumos nav paredzēts citādi. </w:t>
            </w:r>
            <w:r w:rsidR="00650301" w:rsidRPr="00CC2A4B">
              <w:t>S</w:t>
            </w:r>
            <w:r w:rsidRPr="00CC2A4B">
              <w:t xml:space="preserve">askaņā ar minētā likuma 5.panta otro daļu Nacionālais kino centrs </w:t>
            </w:r>
            <w:r w:rsidR="00756D29">
              <w:t xml:space="preserve">(turpmāk –NKC) </w:t>
            </w:r>
            <w:r w:rsidRPr="00CC2A4B">
              <w:t xml:space="preserve">maksu par filmu izmantošanu nosaka saskaņā ar Ministru </w:t>
            </w:r>
            <w:r w:rsidR="00D374DD" w:rsidRPr="00CC2A4B">
              <w:t xml:space="preserve">kabineta noteiktu metodiku. Filmu likuma Pārejas noteikumu 2.punkts nosaka, ka likuma 5.panta otrā daļa stājas spēkā 01.07.2011. </w:t>
            </w:r>
          </w:p>
          <w:p w:rsidR="006A4EF7" w:rsidRPr="00CC2A4B" w:rsidRDefault="00650301" w:rsidP="00903EB9">
            <w:pPr>
              <w:pStyle w:val="naisf"/>
              <w:spacing w:before="0" w:after="0"/>
              <w:ind w:firstLine="0"/>
            </w:pPr>
            <w:r w:rsidRPr="00CC2A4B">
              <w:t>Tādejādi</w:t>
            </w:r>
            <w:r w:rsidR="00354A20" w:rsidRPr="00CC2A4B">
              <w:t xml:space="preserve">, lai </w:t>
            </w:r>
            <w:r w:rsidR="0040622B" w:rsidRPr="00CC2A4B">
              <w:t xml:space="preserve">izpildītu Saeimas noteikto pilnvarojumu Ministru kabinetam un no 01.07.2011. būtu iespējams noteikt maksu par tādu filmu izmantošanu, kuru autortiesības vai blakustiesības pieder vai piekrīt valstij, nepieciešams </w:t>
            </w:r>
            <w:r w:rsidRPr="00CC2A4B">
              <w:t xml:space="preserve">pieņemot noteikumus par metodiku, kādā šī maksa nosakāma. </w:t>
            </w:r>
          </w:p>
        </w:tc>
      </w:tr>
      <w:tr w:rsidR="00314501" w:rsidRPr="00CC2A4B" w:rsidTr="00671AD8">
        <w:tc>
          <w:tcPr>
            <w:tcW w:w="540" w:type="dxa"/>
          </w:tcPr>
          <w:p w:rsidR="00314501" w:rsidRPr="00CC2A4B" w:rsidRDefault="00314501" w:rsidP="00314501">
            <w:pPr>
              <w:pStyle w:val="naislab"/>
              <w:spacing w:before="0" w:after="0"/>
              <w:jc w:val="center"/>
              <w:outlineLvl w:val="0"/>
            </w:pPr>
            <w:r w:rsidRPr="00CC2A4B">
              <w:t>3.</w:t>
            </w:r>
          </w:p>
        </w:tc>
        <w:tc>
          <w:tcPr>
            <w:tcW w:w="2340" w:type="dxa"/>
          </w:tcPr>
          <w:p w:rsidR="00314501" w:rsidRPr="00CC2A4B" w:rsidRDefault="00314501" w:rsidP="00314501">
            <w:pPr>
              <w:pStyle w:val="naislab"/>
              <w:spacing w:before="0" w:after="0"/>
              <w:jc w:val="both"/>
              <w:outlineLvl w:val="0"/>
            </w:pPr>
            <w:r w:rsidRPr="00CC2A4B">
              <w:t>Saistītie politikas ietekmes novērtējumi un pētījumi</w:t>
            </w:r>
          </w:p>
        </w:tc>
        <w:tc>
          <w:tcPr>
            <w:tcW w:w="6659" w:type="dxa"/>
          </w:tcPr>
          <w:p w:rsidR="00314501" w:rsidRPr="00CC2A4B" w:rsidRDefault="008816C7" w:rsidP="00314501">
            <w:pPr>
              <w:jc w:val="both"/>
            </w:pPr>
            <w:r w:rsidRPr="00CC2A4B">
              <w:t>Nav attiecināms.</w:t>
            </w:r>
          </w:p>
        </w:tc>
      </w:tr>
      <w:tr w:rsidR="00314501" w:rsidRPr="00CC2A4B" w:rsidTr="00671AD8">
        <w:tc>
          <w:tcPr>
            <w:tcW w:w="540" w:type="dxa"/>
          </w:tcPr>
          <w:p w:rsidR="00314501" w:rsidRPr="00CC2A4B" w:rsidRDefault="00314501" w:rsidP="00314501">
            <w:pPr>
              <w:pStyle w:val="naislab"/>
              <w:spacing w:before="0" w:after="0"/>
              <w:jc w:val="center"/>
              <w:outlineLvl w:val="0"/>
            </w:pPr>
            <w:r w:rsidRPr="00CC2A4B">
              <w:t>4.</w:t>
            </w:r>
          </w:p>
        </w:tc>
        <w:tc>
          <w:tcPr>
            <w:tcW w:w="2340" w:type="dxa"/>
          </w:tcPr>
          <w:p w:rsidR="00314501" w:rsidRPr="00CC2A4B" w:rsidRDefault="00314501" w:rsidP="00314501">
            <w:pPr>
              <w:pStyle w:val="naislab"/>
              <w:spacing w:before="0" w:after="0"/>
              <w:jc w:val="both"/>
              <w:outlineLvl w:val="0"/>
            </w:pPr>
            <w:r w:rsidRPr="00CC2A4B">
              <w:t>Tiesiskā regulējuma mērķis un būtība</w:t>
            </w:r>
          </w:p>
        </w:tc>
        <w:tc>
          <w:tcPr>
            <w:tcW w:w="6659" w:type="dxa"/>
          </w:tcPr>
          <w:p w:rsidR="00F34801" w:rsidRPr="00CC2A4B" w:rsidRDefault="00D374DD" w:rsidP="00061F81">
            <w:pPr>
              <w:jc w:val="both"/>
            </w:pPr>
            <w:r w:rsidRPr="00CC2A4B">
              <w:t>Ministru kabineta noteikumu projekta „</w:t>
            </w:r>
            <w:r w:rsidR="00A85075">
              <w:t xml:space="preserve">Noteikumi par metodiku, kādā </w:t>
            </w:r>
            <w:r w:rsidRPr="00CC2A4B">
              <w:t>Nacionālais kino cent</w:t>
            </w:r>
            <w:r w:rsidR="00B5777D">
              <w:t>r</w:t>
            </w:r>
            <w:r w:rsidRPr="00CC2A4B">
              <w:t xml:space="preserve">s aprēķina maksu par filmu izmantošanu, kuru autortiesības vai blakustiesības pieder vai piekrīt valstij” (turpmāk – Projekts) mērķis ir saskaņā ar Filmu likumā noteikto deleģējumu noteikt metodiku, kādā Nacionālais kino centrs aprēķina un nosaka maksu par </w:t>
            </w:r>
            <w:r w:rsidR="00F34801" w:rsidRPr="00CC2A4B">
              <w:t>tādu filmu izmantošanu, kuru autortiesības vai blakustiesības pieder vai piekrīt valstij</w:t>
            </w:r>
            <w:r w:rsidR="00087F16">
              <w:t xml:space="preserve"> (izņemot </w:t>
            </w:r>
            <w:r w:rsidR="00F147E3">
              <w:t xml:space="preserve">kinodokumentus, kuri nodoti valsts glabāšanā </w:t>
            </w:r>
            <w:r w:rsidR="00087F16">
              <w:t>Latvijas Nacion</w:t>
            </w:r>
            <w:r w:rsidR="00F147E3">
              <w:t>ālajā</w:t>
            </w:r>
            <w:r w:rsidR="003B2FCC">
              <w:t xml:space="preserve"> arhīvā glabātos dokumentus)</w:t>
            </w:r>
            <w:r w:rsidR="00F34801" w:rsidRPr="00CC2A4B">
              <w:t xml:space="preserve">. </w:t>
            </w:r>
          </w:p>
          <w:p w:rsidR="00F34801" w:rsidRDefault="00F34801" w:rsidP="00061F81">
            <w:pPr>
              <w:jc w:val="both"/>
            </w:pPr>
          </w:p>
          <w:p w:rsidR="005F083F" w:rsidRDefault="00177032" w:rsidP="00D374DD">
            <w:pPr>
              <w:jc w:val="both"/>
            </w:pPr>
            <w:r>
              <w:t xml:space="preserve">Projekts paredz noteikt maksu par filmas izmantošanas licences izsniegšanu tādā apmērā, kura ietver visas </w:t>
            </w:r>
            <w:r w:rsidR="00093EC8">
              <w:t xml:space="preserve">NKC </w:t>
            </w:r>
            <w:r>
              <w:t>izmaksas, kas saistītas ar valstij piederošo vai piekritīgo filmu autortiesību un blakustiesību administrēšanu</w:t>
            </w:r>
            <w:r w:rsidR="0083270A">
              <w:t xml:space="preserve"> (Projekta 5.punkts)</w:t>
            </w:r>
            <w:r>
              <w:t>.</w:t>
            </w:r>
            <w:r w:rsidR="008A4337">
              <w:t xml:space="preserve"> </w:t>
            </w:r>
            <w:r w:rsidR="00756D29">
              <w:t xml:space="preserve">Attiecīgi </w:t>
            </w:r>
            <w:r w:rsidR="0083270A">
              <w:t xml:space="preserve">Centra izmaksās tiek iekļautas tiešās (Projekta 6.punkts) un netiešās (Projekta 7.punkts) izmaksas. </w:t>
            </w:r>
            <w:r w:rsidR="00AE4D9F" w:rsidRPr="00CC2A4B">
              <w:t xml:space="preserve">Filmu izmantošanas veidi </w:t>
            </w:r>
            <w:r w:rsidR="00225D31">
              <w:t xml:space="preserve">(Projekta </w:t>
            </w:r>
            <w:r w:rsidR="00171292">
              <w:t xml:space="preserve">5.punkts) </w:t>
            </w:r>
            <w:r w:rsidR="00515A89">
              <w:t>noteikti saskaņā ar Autortiesību likuma 15.pantā</w:t>
            </w:r>
            <w:r w:rsidR="009A3696">
              <w:t xml:space="preserve"> (autortiesības)</w:t>
            </w:r>
            <w:r w:rsidR="00945EE5">
              <w:t xml:space="preserve"> un 50.pantā</w:t>
            </w:r>
            <w:r w:rsidR="00515A89">
              <w:t xml:space="preserve"> </w:t>
            </w:r>
            <w:r w:rsidR="009A3696">
              <w:t xml:space="preserve">(blakustiesības) </w:t>
            </w:r>
            <w:r w:rsidR="00515A89">
              <w:t>noteiktajiem filmu izmantošanas veidiem</w:t>
            </w:r>
            <w:r w:rsidR="00171292">
              <w:t xml:space="preserve">. Projekta 5.punktā nav norādīti tādi filmu izmantošanas veidi, kuru </w:t>
            </w:r>
            <w:r w:rsidR="00A15638">
              <w:t xml:space="preserve">administrēšana saskaņā ar Autortiesību likuma 63.panta </w:t>
            </w:r>
            <w:r w:rsidR="00A522A4">
              <w:t xml:space="preserve">piekto daļu tiek administrēti tikai kolektīvi </w:t>
            </w:r>
            <w:r w:rsidR="005F083F">
              <w:t xml:space="preserve">(mantisko tiesību kolektīvā pārvaldījuma organizācijas). </w:t>
            </w:r>
          </w:p>
          <w:p w:rsidR="00671AD8" w:rsidRPr="00671AD8" w:rsidRDefault="00671AD8" w:rsidP="00671AD8">
            <w:pPr>
              <w:pStyle w:val="naisf"/>
              <w:spacing w:before="0" w:after="0"/>
              <w:ind w:firstLine="0"/>
            </w:pPr>
          </w:p>
          <w:p w:rsidR="004169F3" w:rsidRPr="004169F3" w:rsidRDefault="004169F3" w:rsidP="004169F3">
            <w:pPr>
              <w:pStyle w:val="naisf"/>
              <w:spacing w:before="0" w:after="0"/>
              <w:ind w:firstLine="0"/>
            </w:pPr>
            <w:r w:rsidRPr="004169F3">
              <w:t xml:space="preserve">Noteikumu projekta 8.punktā noteiktie atšķirīgie koeficienti tiek piemēroti pamatojoties uz šādiem kritērijiem: </w:t>
            </w:r>
          </w:p>
          <w:p w:rsidR="004169F3" w:rsidRPr="004169F3" w:rsidRDefault="004169F3" w:rsidP="004169F3">
            <w:pPr>
              <w:pStyle w:val="naisf"/>
              <w:spacing w:before="0" w:after="0"/>
              <w:ind w:firstLine="0"/>
            </w:pPr>
            <w:r w:rsidRPr="004169F3">
              <w:lastRenderedPageBreak/>
              <w:t xml:space="preserve">1) </w:t>
            </w:r>
            <w:r w:rsidRPr="004169F3">
              <w:rPr>
                <w:u w:val="single"/>
              </w:rPr>
              <w:t>izmantojamās filmas apjoms (hronometrāža)</w:t>
            </w:r>
            <w:r w:rsidRPr="004169F3">
              <w:t xml:space="preserve"> -Projekta 8.2.-8.3.apakšpunkti. Diferencēta maksa noteikta, ņemot vērā, ka pēc filmu ilguma (hronometrāžas) vidēji īsmetrāžas filmas sastāda līdz pusei no pilnmetrāžas filmas garuma (aptuveni 100 minūtes); savukārt īsmetrāžas animācijas filmas – līdz 20 minūtēm no pilnmetrāžas filmas garuma). Tādejādi aritmētiski tiek aprēķināta samazinātā maksa par filmu izmantošanu atkarībā no filmu ilguma (hronometrāžas), piemērojot koeficientu 0.5 īsmetrāžas filmām un koeficientu 0.2 animācijas īsmetrāžas filmām. </w:t>
            </w:r>
          </w:p>
          <w:p w:rsidR="004169F3" w:rsidRPr="004169F3" w:rsidRDefault="004169F3" w:rsidP="004169F3">
            <w:pPr>
              <w:pStyle w:val="naisf"/>
              <w:spacing w:before="0" w:after="0"/>
              <w:ind w:firstLine="0"/>
            </w:pPr>
            <w:r w:rsidRPr="004169F3">
              <w:t xml:space="preserve">2) </w:t>
            </w:r>
            <w:r w:rsidRPr="004169F3">
              <w:rPr>
                <w:u w:val="single"/>
              </w:rPr>
              <w:t>filmu izmantošanas mērķis</w:t>
            </w:r>
            <w:r w:rsidRPr="004169F3">
              <w:t xml:space="preserve"> (Projekta 8.1.apakšpunkts). Veicot filmas publisku izpildījumu (demonstrēšanu) bez ieejas maksas, tiek veicināta filmu pieejamība Latvijas sabiedrībai, attiecīgi tiek noteikta samazināta maksa par šādu izmantošanu. Koeficients 0.3 apmērā aprēķināts, ņemot vērā pieteikuma par filmas izmantošanu izskatīšanai un pakalpojuma sniegšanai nepieciešamos tiešos NKC izdevumus darba samaksai un ar šo samaksu saistītās valsts sociālās apdrošināšanas obligātās iemaksas </w:t>
            </w:r>
            <w:r w:rsidRPr="004169F3">
              <w:rPr>
                <w:i/>
              </w:rPr>
              <w:t>(izdevumu klasifikācijas kods 1114; 1119; 1210)</w:t>
            </w:r>
            <w:r w:rsidRPr="004169F3">
              <w:t xml:space="preserve">, proti: </w:t>
            </w:r>
          </w:p>
          <w:p w:rsidR="004169F3" w:rsidRPr="004169F3" w:rsidRDefault="004169F3" w:rsidP="004169F3">
            <w:pPr>
              <w:pStyle w:val="naisf"/>
              <w:spacing w:before="0" w:after="0"/>
              <w:ind w:firstLine="0"/>
            </w:pPr>
            <w:r w:rsidRPr="004169F3">
              <w:t xml:space="preserve">1) juriskonsults (0.5 stundas): 2.24 + valsts sociālās apdrošināšanas obligātās iemaksas (24.09%) 0.54 = LVL 2.78; </w:t>
            </w:r>
          </w:p>
          <w:p w:rsidR="004169F3" w:rsidRPr="004169F3" w:rsidRDefault="004169F3" w:rsidP="004169F3">
            <w:pPr>
              <w:pStyle w:val="naisf"/>
              <w:spacing w:before="0" w:after="0"/>
              <w:ind w:firstLine="0"/>
            </w:pPr>
            <w:r w:rsidRPr="004169F3">
              <w:t xml:space="preserve">2) filmu speciālists (0.5 stundas): 1.83 + valsts sociālās apdrošināšanas obligātās iemaksas (24.09%) 0.44 = LVL 2.27; </w:t>
            </w:r>
          </w:p>
          <w:p w:rsidR="004169F3" w:rsidRPr="004169F3" w:rsidRDefault="004169F3" w:rsidP="004169F3">
            <w:pPr>
              <w:pStyle w:val="naisf"/>
              <w:spacing w:before="0" w:after="0"/>
              <w:ind w:firstLine="0"/>
            </w:pPr>
            <w:r w:rsidRPr="004169F3">
              <w:t>3) finanšu un budžeta vecākais speciālists (0.25 stundas): 1.00 + valsts sociālās apdrošināšanas obligātās iemaksas (24.09%) 0.24= LVL 1.24 .</w:t>
            </w:r>
          </w:p>
          <w:p w:rsidR="004169F3" w:rsidRPr="004169F3" w:rsidRDefault="004169F3" w:rsidP="004169F3">
            <w:pPr>
              <w:pStyle w:val="naisf"/>
              <w:spacing w:before="0" w:after="0"/>
              <w:ind w:firstLine="0"/>
            </w:pPr>
            <w:r w:rsidRPr="004169F3">
              <w:t>Kopā tiešie izdevumi darba samaksai un ar šo samaksu saistītās valsts sociālās apdrošināšanas obligātās iemaksas = LVL 6.29</w:t>
            </w:r>
          </w:p>
          <w:p w:rsidR="004169F3" w:rsidRPr="004169F3" w:rsidRDefault="004169F3" w:rsidP="004169F3">
            <w:pPr>
              <w:pStyle w:val="naisf"/>
              <w:spacing w:before="0" w:after="0"/>
              <w:ind w:firstLine="0"/>
            </w:pPr>
          </w:p>
          <w:p w:rsidR="00671AD8" w:rsidRDefault="004169F3" w:rsidP="004169F3">
            <w:pPr>
              <w:jc w:val="both"/>
            </w:pPr>
            <w:r w:rsidRPr="004169F3">
              <w:t>Vienlaikus ar Noteikumu projektu tiek virzīts Ministru kabineta noteikumu projekts „Noteikumi par Nacionālā kino centra sniegto publisko maksas pakalpojumu cenrādi</w:t>
            </w:r>
            <w:r w:rsidR="005E3E95">
              <w:t>”</w:t>
            </w:r>
            <w:r w:rsidRPr="004169F3">
              <w:t xml:space="preserve"> (VSS-532). Saskaņā ar šim noteikumu projektam pievienoto anotācijas pielikumu – Maksas pakalpojuma izcenojuma aprēķins, maksa par filmas publisku izpildījumu (demonstrēšanu) kinoteātros, festivālos u.c. līdzīgās vietās sastāda LVL 22.80. Piemērojot koeficientu 0,3 par filmas izmantošanu publiskam izpildījumam (demonstrēšanai) bez ieejas maksas, maksas apmērs par filmas izmantošanu sastāda 6.84 LVL, kas samērīgi atbilst augstāk norādītajiem Nacionālā kino centra tiešajiem izdevumiem darba samaksai un ar šo samaksu saistītajām valsts sociālās apdrošināšanas iemaksām.</w:t>
            </w:r>
          </w:p>
          <w:p w:rsidR="0067169B" w:rsidRPr="004169F3" w:rsidRDefault="0067169B" w:rsidP="004169F3">
            <w:pPr>
              <w:jc w:val="both"/>
            </w:pPr>
          </w:p>
          <w:p w:rsidR="0051133E" w:rsidRPr="00671AD8" w:rsidRDefault="005F083F" w:rsidP="00D374DD">
            <w:pPr>
              <w:jc w:val="both"/>
            </w:pPr>
            <w:r w:rsidRPr="00671AD8">
              <w:t>Filmu izmantošanas maksa tiks norādīta</w:t>
            </w:r>
            <w:r w:rsidR="00515A89" w:rsidRPr="00671AD8">
              <w:t xml:space="preserve"> Ministru kabineta noteikumu projektā „Noteikumi par Nacionālā kino centra maksas pakalpojumu cenrādi” (minētais normatīvā akta projekts tiek virzīts reizē ar Projektu)</w:t>
            </w:r>
            <w:r w:rsidR="00AE4D9F" w:rsidRPr="00671AD8">
              <w:t xml:space="preserve">. </w:t>
            </w:r>
          </w:p>
          <w:p w:rsidR="008A4337" w:rsidRPr="00CC2A4B" w:rsidRDefault="008A4337" w:rsidP="00D374DD">
            <w:pPr>
              <w:jc w:val="both"/>
            </w:pPr>
          </w:p>
          <w:p w:rsidR="004E143B" w:rsidRPr="00CC2A4B" w:rsidRDefault="00061F81" w:rsidP="00F916BE">
            <w:pPr>
              <w:jc w:val="both"/>
            </w:pPr>
            <w:r w:rsidRPr="00CC2A4B">
              <w:t xml:space="preserve">Ar </w:t>
            </w:r>
            <w:r w:rsidR="00D374DD" w:rsidRPr="00CC2A4B">
              <w:t xml:space="preserve">Projekta pieņemšanu tiks pilnībā izpildīts Ministru kabinetam dotais </w:t>
            </w:r>
            <w:r w:rsidR="00F916BE" w:rsidRPr="00CC2A4B">
              <w:t>uzdevums</w:t>
            </w:r>
            <w:r w:rsidR="00D374DD" w:rsidRPr="00CC2A4B">
              <w:t xml:space="preserve">. </w:t>
            </w:r>
          </w:p>
        </w:tc>
      </w:tr>
      <w:tr w:rsidR="00314501" w:rsidRPr="00CC2A4B" w:rsidTr="00671AD8">
        <w:tc>
          <w:tcPr>
            <w:tcW w:w="540" w:type="dxa"/>
          </w:tcPr>
          <w:p w:rsidR="00314501" w:rsidRPr="00CC2A4B" w:rsidRDefault="00314501" w:rsidP="00314501">
            <w:pPr>
              <w:pStyle w:val="naislab"/>
              <w:spacing w:before="0" w:after="0"/>
              <w:jc w:val="center"/>
              <w:outlineLvl w:val="0"/>
            </w:pPr>
            <w:r w:rsidRPr="00CC2A4B">
              <w:lastRenderedPageBreak/>
              <w:t>5.</w:t>
            </w:r>
          </w:p>
        </w:tc>
        <w:tc>
          <w:tcPr>
            <w:tcW w:w="2340" w:type="dxa"/>
          </w:tcPr>
          <w:p w:rsidR="00314501" w:rsidRPr="00CC2A4B" w:rsidRDefault="00314501" w:rsidP="00314501">
            <w:pPr>
              <w:pStyle w:val="naislab"/>
              <w:spacing w:before="0" w:after="0"/>
              <w:jc w:val="both"/>
              <w:outlineLvl w:val="0"/>
            </w:pPr>
            <w:r w:rsidRPr="00CC2A4B">
              <w:t xml:space="preserve">Projekta izstrādē </w:t>
            </w:r>
            <w:r w:rsidRPr="00CC2A4B">
              <w:lastRenderedPageBreak/>
              <w:t>iesaistītās institūcijas</w:t>
            </w:r>
          </w:p>
        </w:tc>
        <w:tc>
          <w:tcPr>
            <w:tcW w:w="6659" w:type="dxa"/>
          </w:tcPr>
          <w:p w:rsidR="00314501" w:rsidRPr="00CC2A4B" w:rsidRDefault="00265C4F" w:rsidP="00314501">
            <w:pPr>
              <w:jc w:val="both"/>
            </w:pPr>
            <w:r w:rsidRPr="00CC2A4B">
              <w:lastRenderedPageBreak/>
              <w:t xml:space="preserve">Projektu izstrādāja Kultūras ministrijas padotībā esošā valsts </w:t>
            </w:r>
            <w:r w:rsidRPr="00CC2A4B">
              <w:lastRenderedPageBreak/>
              <w:t>pārvaldes iestāde – Nacionālais kino centrs</w:t>
            </w:r>
            <w:r w:rsidR="00E35F26" w:rsidRPr="00CC2A4B">
              <w:t xml:space="preserve">. </w:t>
            </w:r>
          </w:p>
        </w:tc>
      </w:tr>
      <w:tr w:rsidR="00314501" w:rsidRPr="00CC2A4B" w:rsidTr="00671AD8">
        <w:tc>
          <w:tcPr>
            <w:tcW w:w="540" w:type="dxa"/>
          </w:tcPr>
          <w:p w:rsidR="00314501" w:rsidRPr="00CC2A4B" w:rsidRDefault="00314501" w:rsidP="00314501">
            <w:pPr>
              <w:pStyle w:val="naislab"/>
              <w:spacing w:before="0" w:after="0"/>
              <w:jc w:val="center"/>
              <w:outlineLvl w:val="0"/>
            </w:pPr>
            <w:r w:rsidRPr="00CC2A4B">
              <w:lastRenderedPageBreak/>
              <w:t>6.</w:t>
            </w:r>
          </w:p>
        </w:tc>
        <w:tc>
          <w:tcPr>
            <w:tcW w:w="2340" w:type="dxa"/>
          </w:tcPr>
          <w:p w:rsidR="00314501" w:rsidRPr="00CC2A4B" w:rsidRDefault="00314501" w:rsidP="00314501">
            <w:pPr>
              <w:pStyle w:val="naislab"/>
              <w:spacing w:before="0" w:after="0"/>
              <w:jc w:val="both"/>
              <w:outlineLvl w:val="0"/>
            </w:pPr>
            <w:r w:rsidRPr="00CC2A4B">
              <w:t>Iemesli, kādēļ netika nodrošināta sabiedrības līdzdalība</w:t>
            </w:r>
          </w:p>
        </w:tc>
        <w:tc>
          <w:tcPr>
            <w:tcW w:w="6659" w:type="dxa"/>
          </w:tcPr>
          <w:p w:rsidR="00314501" w:rsidRPr="00CC2A4B" w:rsidRDefault="00314501" w:rsidP="00314501">
            <w:pPr>
              <w:jc w:val="both"/>
            </w:pPr>
            <w:r w:rsidRPr="00CC2A4B">
              <w:t>Nav attiecināms.</w:t>
            </w:r>
          </w:p>
        </w:tc>
      </w:tr>
      <w:tr w:rsidR="00314501" w:rsidRPr="00CC2A4B" w:rsidTr="00671AD8">
        <w:tc>
          <w:tcPr>
            <w:tcW w:w="540" w:type="dxa"/>
          </w:tcPr>
          <w:p w:rsidR="00314501" w:rsidRPr="00CC2A4B" w:rsidRDefault="00314501" w:rsidP="00314501">
            <w:pPr>
              <w:pStyle w:val="naislab"/>
              <w:spacing w:before="0" w:after="0"/>
              <w:jc w:val="center"/>
              <w:outlineLvl w:val="0"/>
            </w:pPr>
            <w:r w:rsidRPr="00CC2A4B">
              <w:t>7.</w:t>
            </w:r>
          </w:p>
        </w:tc>
        <w:tc>
          <w:tcPr>
            <w:tcW w:w="2340" w:type="dxa"/>
          </w:tcPr>
          <w:p w:rsidR="00314501" w:rsidRPr="00CC2A4B" w:rsidRDefault="00314501" w:rsidP="00314501">
            <w:pPr>
              <w:pStyle w:val="naislab"/>
              <w:spacing w:before="0" w:after="0"/>
              <w:jc w:val="both"/>
              <w:outlineLvl w:val="0"/>
            </w:pPr>
            <w:r w:rsidRPr="00CC2A4B">
              <w:t>Cita informācija</w:t>
            </w:r>
          </w:p>
        </w:tc>
        <w:tc>
          <w:tcPr>
            <w:tcW w:w="6659" w:type="dxa"/>
          </w:tcPr>
          <w:p w:rsidR="00314501" w:rsidRPr="00CC2A4B" w:rsidRDefault="00314501" w:rsidP="00314501">
            <w:pPr>
              <w:jc w:val="both"/>
            </w:pPr>
            <w:r w:rsidRPr="00CC2A4B">
              <w:t>Nav.</w:t>
            </w:r>
          </w:p>
        </w:tc>
      </w:tr>
    </w:tbl>
    <w:p w:rsidR="00314501" w:rsidRPr="00CC2A4B" w:rsidRDefault="00314501" w:rsidP="00314501"/>
    <w:p w:rsidR="00E32D28" w:rsidRPr="00CC2A4B" w:rsidRDefault="00E32D28" w:rsidP="00314501">
      <w:r w:rsidRPr="00CC2A4B">
        <w:t xml:space="preserve">Anotācijas II. un III. sadaļa- nav attiecināms. </w:t>
      </w:r>
    </w:p>
    <w:p w:rsidR="007560C2" w:rsidRPr="00CC2A4B" w:rsidRDefault="007560C2" w:rsidP="0031450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2880"/>
        <w:gridCol w:w="6119"/>
      </w:tblGrid>
      <w:tr w:rsidR="00314501" w:rsidRPr="00CC2A4B" w:rsidTr="00314501">
        <w:trPr>
          <w:trHeight w:val="279"/>
        </w:trPr>
        <w:tc>
          <w:tcPr>
            <w:tcW w:w="9539" w:type="dxa"/>
            <w:gridSpan w:val="3"/>
          </w:tcPr>
          <w:p w:rsidR="00314501" w:rsidRPr="00CC2A4B" w:rsidRDefault="00314501" w:rsidP="00314501">
            <w:pPr>
              <w:jc w:val="center"/>
              <w:rPr>
                <w:b/>
              </w:rPr>
            </w:pPr>
            <w:r w:rsidRPr="00CC2A4B">
              <w:rPr>
                <w:b/>
              </w:rPr>
              <w:t>IV. Tiesību akta projekta ietekme uz spēkā esošo tiesību normu sistēmu</w:t>
            </w:r>
          </w:p>
        </w:tc>
      </w:tr>
      <w:tr w:rsidR="00314501" w:rsidRPr="00CC2A4B" w:rsidTr="00BF1E68">
        <w:trPr>
          <w:trHeight w:val="279"/>
        </w:trPr>
        <w:tc>
          <w:tcPr>
            <w:tcW w:w="540" w:type="dxa"/>
          </w:tcPr>
          <w:p w:rsidR="00314501" w:rsidRPr="00CC2A4B" w:rsidRDefault="00314501" w:rsidP="00314501">
            <w:pPr>
              <w:jc w:val="both"/>
            </w:pPr>
            <w:r w:rsidRPr="00CC2A4B">
              <w:t>1.</w:t>
            </w:r>
          </w:p>
        </w:tc>
        <w:tc>
          <w:tcPr>
            <w:tcW w:w="2880" w:type="dxa"/>
          </w:tcPr>
          <w:p w:rsidR="00314501" w:rsidRPr="00CC2A4B" w:rsidRDefault="00314501" w:rsidP="00314501">
            <w:pPr>
              <w:jc w:val="both"/>
            </w:pPr>
            <w:r w:rsidRPr="00CC2A4B">
              <w:t>Nepieciešamie saistītie tiesību aktu projekti</w:t>
            </w:r>
          </w:p>
        </w:tc>
        <w:tc>
          <w:tcPr>
            <w:tcW w:w="6119" w:type="dxa"/>
          </w:tcPr>
          <w:p w:rsidR="0026009D" w:rsidRPr="00CC2A4B" w:rsidRDefault="00F07C40" w:rsidP="00E23C89">
            <w:pPr>
              <w:jc w:val="both"/>
            </w:pPr>
            <w:r w:rsidRPr="00CC2A4B">
              <w:t xml:space="preserve">Vienlaikus ar Projektu tiek virzīts </w:t>
            </w:r>
            <w:r w:rsidR="00E23C89">
              <w:t xml:space="preserve">Ministru kabineta noteikumu projekts „Par </w:t>
            </w:r>
            <w:r w:rsidRPr="00CC2A4B">
              <w:t xml:space="preserve">Nacionālā kino centra </w:t>
            </w:r>
            <w:r w:rsidR="00E23C89">
              <w:t>sniegto maksas pakalpojumu cenrādi”</w:t>
            </w:r>
            <w:r w:rsidRPr="00CC2A4B">
              <w:t xml:space="preserve">, </w:t>
            </w:r>
            <w:r w:rsidR="00E23C89">
              <w:t xml:space="preserve">kurā noteikti filmu izmantošanas veidi un attiecīgā maksa. </w:t>
            </w:r>
            <w:r w:rsidRPr="00CC2A4B">
              <w:t xml:space="preserve">Par cenrāža izstrādi atbildīgā institūcija- Nacionālais kino centrs. </w:t>
            </w:r>
            <w:r w:rsidR="00F27A09" w:rsidRPr="00CC2A4B">
              <w:t xml:space="preserve">Nacionālā kino centra cenrādis apstiprināms Ministru kabinetā līdz 2011.gada 1.jūlijam. </w:t>
            </w:r>
          </w:p>
        </w:tc>
      </w:tr>
      <w:tr w:rsidR="00314501" w:rsidRPr="00CC2A4B" w:rsidTr="00BF1E68">
        <w:trPr>
          <w:trHeight w:val="279"/>
        </w:trPr>
        <w:tc>
          <w:tcPr>
            <w:tcW w:w="540" w:type="dxa"/>
          </w:tcPr>
          <w:p w:rsidR="00314501" w:rsidRPr="00CC2A4B" w:rsidRDefault="00314501" w:rsidP="00314501">
            <w:pPr>
              <w:jc w:val="both"/>
            </w:pPr>
            <w:r w:rsidRPr="00CC2A4B">
              <w:t>2.</w:t>
            </w:r>
          </w:p>
        </w:tc>
        <w:tc>
          <w:tcPr>
            <w:tcW w:w="2880" w:type="dxa"/>
          </w:tcPr>
          <w:p w:rsidR="00314501" w:rsidRPr="00CC2A4B" w:rsidRDefault="00314501" w:rsidP="00314501">
            <w:pPr>
              <w:jc w:val="both"/>
            </w:pPr>
            <w:r w:rsidRPr="00CC2A4B">
              <w:t>Cita informācija</w:t>
            </w:r>
          </w:p>
        </w:tc>
        <w:tc>
          <w:tcPr>
            <w:tcW w:w="6119" w:type="dxa"/>
          </w:tcPr>
          <w:p w:rsidR="00314501" w:rsidRPr="00CC2A4B" w:rsidRDefault="00314501" w:rsidP="00314501">
            <w:pPr>
              <w:jc w:val="both"/>
            </w:pPr>
            <w:r w:rsidRPr="00CC2A4B">
              <w:t>Nav</w:t>
            </w:r>
            <w:r w:rsidR="00AE3322" w:rsidRPr="00CC2A4B">
              <w:t>.</w:t>
            </w:r>
          </w:p>
        </w:tc>
      </w:tr>
    </w:tbl>
    <w:p w:rsidR="00CD3986" w:rsidRPr="00CC2A4B" w:rsidRDefault="00CD3986" w:rsidP="00314501"/>
    <w:p w:rsidR="00F07C40" w:rsidRPr="00CC2A4B" w:rsidRDefault="00ED6EE6" w:rsidP="00314501">
      <w:r w:rsidRPr="00CC2A4B">
        <w:t xml:space="preserve">Anotācijas V sadaļa- nav attiecināms. </w:t>
      </w:r>
    </w:p>
    <w:p w:rsidR="00AB271C" w:rsidRPr="00CC2A4B" w:rsidRDefault="00AB271C" w:rsidP="0031450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060"/>
        <w:gridCol w:w="5939"/>
      </w:tblGrid>
      <w:tr w:rsidR="00314501" w:rsidRPr="00CC2A4B" w:rsidTr="00314501">
        <w:trPr>
          <w:trHeight w:val="279"/>
        </w:trPr>
        <w:tc>
          <w:tcPr>
            <w:tcW w:w="9539" w:type="dxa"/>
            <w:gridSpan w:val="3"/>
          </w:tcPr>
          <w:p w:rsidR="00314501" w:rsidRPr="00CC2A4B" w:rsidRDefault="00314501" w:rsidP="00314501">
            <w:pPr>
              <w:jc w:val="center"/>
              <w:rPr>
                <w:b/>
              </w:rPr>
            </w:pPr>
            <w:r w:rsidRPr="00CC2A4B">
              <w:rPr>
                <w:b/>
              </w:rPr>
              <w:t>VI. Sabiedrības līdzdalība un šīs līdzdalības rezultāti</w:t>
            </w:r>
          </w:p>
        </w:tc>
      </w:tr>
      <w:tr w:rsidR="00314501" w:rsidRPr="00CC2A4B" w:rsidTr="00314501">
        <w:trPr>
          <w:trHeight w:val="279"/>
        </w:trPr>
        <w:tc>
          <w:tcPr>
            <w:tcW w:w="540" w:type="dxa"/>
          </w:tcPr>
          <w:p w:rsidR="00314501" w:rsidRPr="00CC2A4B" w:rsidRDefault="00314501" w:rsidP="00314501">
            <w:pPr>
              <w:jc w:val="both"/>
            </w:pPr>
            <w:r w:rsidRPr="00CC2A4B">
              <w:t>1.</w:t>
            </w:r>
          </w:p>
        </w:tc>
        <w:tc>
          <w:tcPr>
            <w:tcW w:w="3060" w:type="dxa"/>
          </w:tcPr>
          <w:p w:rsidR="00314501" w:rsidRPr="00CC2A4B" w:rsidRDefault="00314501" w:rsidP="00314501">
            <w:pPr>
              <w:jc w:val="both"/>
            </w:pPr>
            <w:r w:rsidRPr="00CC2A4B">
              <w:t>Sabiedrības informēšana par projekta izstrādes uzsākšanu</w:t>
            </w:r>
          </w:p>
        </w:tc>
        <w:tc>
          <w:tcPr>
            <w:tcW w:w="5939" w:type="dxa"/>
          </w:tcPr>
          <w:p w:rsidR="00314501" w:rsidRPr="00CC2A4B" w:rsidRDefault="00D9166E" w:rsidP="00314501">
            <w:pPr>
              <w:jc w:val="both"/>
            </w:pPr>
            <w:r w:rsidRPr="00CC2A4B">
              <w:t>Nav attiecināms.</w:t>
            </w:r>
          </w:p>
        </w:tc>
      </w:tr>
      <w:tr w:rsidR="00314501" w:rsidRPr="00CC2A4B" w:rsidTr="00314501">
        <w:trPr>
          <w:trHeight w:val="279"/>
        </w:trPr>
        <w:tc>
          <w:tcPr>
            <w:tcW w:w="540" w:type="dxa"/>
          </w:tcPr>
          <w:p w:rsidR="00314501" w:rsidRPr="00CC2A4B" w:rsidRDefault="00314501" w:rsidP="00314501">
            <w:pPr>
              <w:jc w:val="both"/>
            </w:pPr>
            <w:r w:rsidRPr="00CC2A4B">
              <w:t>2.</w:t>
            </w:r>
          </w:p>
        </w:tc>
        <w:tc>
          <w:tcPr>
            <w:tcW w:w="3060" w:type="dxa"/>
          </w:tcPr>
          <w:p w:rsidR="00314501" w:rsidRPr="00CC2A4B" w:rsidRDefault="00314501" w:rsidP="00314501">
            <w:pPr>
              <w:jc w:val="both"/>
            </w:pPr>
            <w:r w:rsidRPr="00CC2A4B">
              <w:t>Sabiedrības līdzdalība projekta izstrādē</w:t>
            </w:r>
          </w:p>
        </w:tc>
        <w:tc>
          <w:tcPr>
            <w:tcW w:w="5939" w:type="dxa"/>
          </w:tcPr>
          <w:p w:rsidR="00314501" w:rsidRPr="00CC2A4B" w:rsidRDefault="00BA1556" w:rsidP="00146FC7">
            <w:pPr>
              <w:pStyle w:val="naiskr"/>
              <w:spacing w:before="0" w:after="0"/>
              <w:jc w:val="both"/>
            </w:pPr>
            <w:r w:rsidRPr="00CC2A4B">
              <w:t>Projekta izstrādes gaitā notika konsultācijas ar filmu nozares organizācijām- Latvijas Kinematogrāfistu savien</w:t>
            </w:r>
            <w:r w:rsidR="00DE4F3D" w:rsidRPr="00CC2A4B">
              <w:t>ību, Latvijas Kinoproducentu apvienību un neatkarīgiem filmu producentiem</w:t>
            </w:r>
            <w:r w:rsidR="00146FC7" w:rsidRPr="00CC2A4B">
              <w:t>, ņemot vērā, ka minētās organizācijas praktiski nodarbojas ar sev piederošo filmu izplatīšanu un izmantošanu.</w:t>
            </w:r>
            <w:r w:rsidR="009216E0" w:rsidRPr="00CC2A4B">
              <w:t xml:space="preserve"> </w:t>
            </w:r>
            <w:r w:rsidR="00101EFC" w:rsidRPr="00CC2A4B">
              <w:t xml:space="preserve">Projekts elektroniski nosūtīts </w:t>
            </w:r>
            <w:r w:rsidR="006C4A78" w:rsidRPr="00CC2A4B">
              <w:t>06.05.2011.</w:t>
            </w:r>
            <w:r w:rsidR="00101EFC" w:rsidRPr="00CC2A4B">
              <w:t xml:space="preserve">, </w:t>
            </w:r>
            <w:r w:rsidR="009216E0" w:rsidRPr="00CC2A4B">
              <w:t xml:space="preserve">kopīga sanāksme par Projektu, kā arī Nacionālā kino centra cenrādi notika </w:t>
            </w:r>
            <w:r w:rsidR="00146FC7" w:rsidRPr="00CC2A4B">
              <w:t>10.05.2011</w:t>
            </w:r>
            <w:r w:rsidR="009216E0" w:rsidRPr="00CC2A4B">
              <w:t xml:space="preserve">. </w:t>
            </w:r>
          </w:p>
        </w:tc>
      </w:tr>
      <w:tr w:rsidR="00314501" w:rsidRPr="00CC2A4B" w:rsidTr="00314501">
        <w:trPr>
          <w:trHeight w:val="279"/>
        </w:trPr>
        <w:tc>
          <w:tcPr>
            <w:tcW w:w="540" w:type="dxa"/>
          </w:tcPr>
          <w:p w:rsidR="00314501" w:rsidRPr="00CC2A4B" w:rsidRDefault="00314501" w:rsidP="00314501">
            <w:pPr>
              <w:jc w:val="both"/>
            </w:pPr>
            <w:r w:rsidRPr="00CC2A4B">
              <w:t>3.</w:t>
            </w:r>
          </w:p>
        </w:tc>
        <w:tc>
          <w:tcPr>
            <w:tcW w:w="3060" w:type="dxa"/>
          </w:tcPr>
          <w:p w:rsidR="00314501" w:rsidRPr="00CC2A4B" w:rsidRDefault="00314501" w:rsidP="00314501">
            <w:pPr>
              <w:jc w:val="both"/>
            </w:pPr>
            <w:r w:rsidRPr="00CC2A4B">
              <w:t>Sabiedrības līdzdalības rezultāti</w:t>
            </w:r>
          </w:p>
        </w:tc>
        <w:tc>
          <w:tcPr>
            <w:tcW w:w="5939" w:type="dxa"/>
          </w:tcPr>
          <w:p w:rsidR="00EE44F6" w:rsidRPr="00CC2A4B" w:rsidRDefault="007841CE" w:rsidP="005621F6">
            <w:pPr>
              <w:pStyle w:val="naiskr"/>
              <w:spacing w:before="0" w:after="0"/>
              <w:jc w:val="both"/>
            </w:pPr>
            <w:r w:rsidRPr="00CC2A4B">
              <w:t xml:space="preserve">Projekts tika atbalstīts. </w:t>
            </w:r>
            <w:r w:rsidR="004E5AF9" w:rsidRPr="00CC2A4B">
              <w:t xml:space="preserve">Projekta </w:t>
            </w:r>
            <w:r w:rsidRPr="00CC2A4B">
              <w:t>apspriešanas gaitā t</w:t>
            </w:r>
            <w:r w:rsidR="00714237" w:rsidRPr="00CC2A4B">
              <w:t>ika izteikts priekšlikums Projekt</w:t>
            </w:r>
            <w:r w:rsidR="00206805" w:rsidRPr="00CC2A4B">
              <w:t>u papildināt ar pielikumu, kurā noteikts izsmeļošs filmu saraksts, kuru autortiesības vai blakustiesības pieder vai piekrīt valstij, t</w:t>
            </w:r>
            <w:r w:rsidRPr="00CC2A4B">
              <w:t>aču šāda saraksta apstiprināšanai</w:t>
            </w:r>
            <w:r w:rsidR="00206805" w:rsidRPr="00CC2A4B">
              <w:t xml:space="preserve"> Ministru kabinetam nav </w:t>
            </w:r>
            <w:r w:rsidRPr="00CC2A4B">
              <w:t>pilnvarojuma</w:t>
            </w:r>
            <w:r w:rsidR="00206805" w:rsidRPr="00CC2A4B">
              <w:t xml:space="preserve">. </w:t>
            </w:r>
          </w:p>
        </w:tc>
      </w:tr>
      <w:tr w:rsidR="00314501" w:rsidRPr="00CC2A4B" w:rsidTr="00314501">
        <w:trPr>
          <w:trHeight w:val="279"/>
        </w:trPr>
        <w:tc>
          <w:tcPr>
            <w:tcW w:w="540" w:type="dxa"/>
          </w:tcPr>
          <w:p w:rsidR="00314501" w:rsidRPr="00CC2A4B" w:rsidRDefault="00314501" w:rsidP="00314501">
            <w:pPr>
              <w:jc w:val="both"/>
            </w:pPr>
            <w:r w:rsidRPr="00CC2A4B">
              <w:t>4.</w:t>
            </w:r>
          </w:p>
        </w:tc>
        <w:tc>
          <w:tcPr>
            <w:tcW w:w="3060" w:type="dxa"/>
          </w:tcPr>
          <w:p w:rsidR="00314501" w:rsidRPr="00CC2A4B" w:rsidRDefault="00314501" w:rsidP="00314501">
            <w:pPr>
              <w:jc w:val="both"/>
            </w:pPr>
            <w:r w:rsidRPr="00CC2A4B">
              <w:t>Saeimas un ekspertu līdzdalība</w:t>
            </w:r>
          </w:p>
        </w:tc>
        <w:tc>
          <w:tcPr>
            <w:tcW w:w="5939" w:type="dxa"/>
          </w:tcPr>
          <w:p w:rsidR="005D4CE6" w:rsidRPr="00CC2A4B" w:rsidRDefault="00057DF3" w:rsidP="005D4CE6">
            <w:pPr>
              <w:pStyle w:val="naiskr"/>
              <w:spacing w:before="0" w:after="0"/>
              <w:jc w:val="both"/>
            </w:pPr>
            <w:r w:rsidRPr="00CC2A4B">
              <w:t>Nav attiecināms.</w:t>
            </w:r>
          </w:p>
        </w:tc>
      </w:tr>
      <w:tr w:rsidR="00314501" w:rsidRPr="00CC2A4B" w:rsidTr="00314501">
        <w:trPr>
          <w:trHeight w:val="279"/>
        </w:trPr>
        <w:tc>
          <w:tcPr>
            <w:tcW w:w="540" w:type="dxa"/>
          </w:tcPr>
          <w:p w:rsidR="00314501" w:rsidRPr="00CC2A4B" w:rsidRDefault="00314501" w:rsidP="00314501">
            <w:pPr>
              <w:jc w:val="both"/>
            </w:pPr>
            <w:r w:rsidRPr="00CC2A4B">
              <w:t>5.</w:t>
            </w:r>
          </w:p>
        </w:tc>
        <w:tc>
          <w:tcPr>
            <w:tcW w:w="3060" w:type="dxa"/>
          </w:tcPr>
          <w:p w:rsidR="00314501" w:rsidRPr="00CC2A4B" w:rsidRDefault="00314501" w:rsidP="00314501">
            <w:pPr>
              <w:jc w:val="both"/>
            </w:pPr>
            <w:r w:rsidRPr="00CC2A4B">
              <w:t>Cita informācija</w:t>
            </w:r>
          </w:p>
        </w:tc>
        <w:tc>
          <w:tcPr>
            <w:tcW w:w="5939" w:type="dxa"/>
          </w:tcPr>
          <w:p w:rsidR="00314501" w:rsidRPr="00CC2A4B" w:rsidRDefault="00314501" w:rsidP="00314501">
            <w:pPr>
              <w:jc w:val="both"/>
            </w:pPr>
            <w:r w:rsidRPr="00CC2A4B">
              <w:t>Nav.</w:t>
            </w:r>
          </w:p>
        </w:tc>
      </w:tr>
    </w:tbl>
    <w:p w:rsidR="00314501" w:rsidRPr="00CC2A4B" w:rsidRDefault="00314501" w:rsidP="00314501"/>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140"/>
        <w:gridCol w:w="4859"/>
      </w:tblGrid>
      <w:tr w:rsidR="00314501" w:rsidRPr="00CC2A4B" w:rsidTr="00314501">
        <w:trPr>
          <w:trHeight w:val="279"/>
        </w:trPr>
        <w:tc>
          <w:tcPr>
            <w:tcW w:w="9539" w:type="dxa"/>
            <w:gridSpan w:val="3"/>
          </w:tcPr>
          <w:p w:rsidR="00314501" w:rsidRPr="00CC2A4B" w:rsidRDefault="00314501" w:rsidP="00314501">
            <w:pPr>
              <w:jc w:val="center"/>
              <w:rPr>
                <w:b/>
              </w:rPr>
            </w:pPr>
            <w:r w:rsidRPr="00CC2A4B">
              <w:rPr>
                <w:b/>
              </w:rPr>
              <w:t>VII. Tiesību akta projekta izpildes nodrošināšana un tās ietekme uz institūcijām</w:t>
            </w:r>
          </w:p>
        </w:tc>
      </w:tr>
      <w:tr w:rsidR="00314501" w:rsidRPr="00CC2A4B" w:rsidTr="00FB60FE">
        <w:trPr>
          <w:trHeight w:val="279"/>
        </w:trPr>
        <w:tc>
          <w:tcPr>
            <w:tcW w:w="540" w:type="dxa"/>
          </w:tcPr>
          <w:p w:rsidR="00314501" w:rsidRPr="00CC2A4B" w:rsidRDefault="00314501" w:rsidP="00314501">
            <w:pPr>
              <w:jc w:val="both"/>
            </w:pPr>
            <w:r w:rsidRPr="00CC2A4B">
              <w:t>1.</w:t>
            </w:r>
          </w:p>
        </w:tc>
        <w:tc>
          <w:tcPr>
            <w:tcW w:w="4140" w:type="dxa"/>
          </w:tcPr>
          <w:p w:rsidR="00314501" w:rsidRPr="00CC2A4B" w:rsidRDefault="00314501" w:rsidP="00314501">
            <w:pPr>
              <w:jc w:val="both"/>
            </w:pPr>
            <w:r w:rsidRPr="00CC2A4B">
              <w:t>Projekta izpildē iesaistītās institūcijas</w:t>
            </w:r>
          </w:p>
        </w:tc>
        <w:tc>
          <w:tcPr>
            <w:tcW w:w="4859" w:type="dxa"/>
          </w:tcPr>
          <w:p w:rsidR="00314501" w:rsidRPr="00CC2A4B" w:rsidRDefault="00314501" w:rsidP="006F0ED8">
            <w:pPr>
              <w:jc w:val="both"/>
            </w:pPr>
            <w:r w:rsidRPr="00CC2A4B">
              <w:t xml:space="preserve">Izpildi </w:t>
            </w:r>
            <w:r w:rsidR="00A113F0" w:rsidRPr="00CC2A4B">
              <w:t xml:space="preserve">saskaņā ar Filmu likuma 5.panta pirmo daļu un </w:t>
            </w:r>
            <w:r w:rsidR="008813E0" w:rsidRPr="00CC2A4B">
              <w:t xml:space="preserve">10.panta otrās daļas </w:t>
            </w:r>
            <w:r w:rsidR="006F0ED8" w:rsidRPr="00CC2A4B">
              <w:t xml:space="preserve">9.punktu </w:t>
            </w:r>
            <w:r w:rsidRPr="00CC2A4B">
              <w:t xml:space="preserve">nodrošinās </w:t>
            </w:r>
            <w:r w:rsidR="006F0ED8" w:rsidRPr="00CC2A4B">
              <w:t xml:space="preserve">Kultūras ministrijas padotībā esošā valsts pārvaldes iestāde Nacionālais kino centrs. </w:t>
            </w:r>
          </w:p>
        </w:tc>
      </w:tr>
      <w:tr w:rsidR="00314501" w:rsidRPr="00CC2A4B" w:rsidTr="00FB60FE">
        <w:trPr>
          <w:trHeight w:val="279"/>
        </w:trPr>
        <w:tc>
          <w:tcPr>
            <w:tcW w:w="540" w:type="dxa"/>
          </w:tcPr>
          <w:p w:rsidR="00314501" w:rsidRPr="00CC2A4B" w:rsidRDefault="00314501" w:rsidP="00314501">
            <w:pPr>
              <w:jc w:val="both"/>
            </w:pPr>
            <w:r w:rsidRPr="00CC2A4B">
              <w:t>2.</w:t>
            </w:r>
          </w:p>
        </w:tc>
        <w:tc>
          <w:tcPr>
            <w:tcW w:w="4140" w:type="dxa"/>
          </w:tcPr>
          <w:p w:rsidR="00314501" w:rsidRPr="00CC2A4B" w:rsidRDefault="00314501" w:rsidP="00314501">
            <w:pPr>
              <w:jc w:val="both"/>
            </w:pPr>
            <w:r w:rsidRPr="00CC2A4B">
              <w:t>Projekta izpildes ietekme uz pārvaldes funkcijām</w:t>
            </w:r>
          </w:p>
        </w:tc>
        <w:tc>
          <w:tcPr>
            <w:tcW w:w="4859" w:type="dxa"/>
            <w:shd w:val="clear" w:color="auto" w:fill="auto"/>
          </w:tcPr>
          <w:p w:rsidR="00314501" w:rsidRPr="00CC2A4B" w:rsidRDefault="00FF7381" w:rsidP="00314501">
            <w:pPr>
              <w:jc w:val="both"/>
            </w:pPr>
            <w:r w:rsidRPr="00CC2A4B">
              <w:t xml:space="preserve">Nacionālā kino centra funkcijas netiek paplašinātas. </w:t>
            </w:r>
          </w:p>
          <w:p w:rsidR="00F35EC6" w:rsidRPr="00CC2A4B" w:rsidRDefault="00F35EC6" w:rsidP="00314501">
            <w:pPr>
              <w:jc w:val="both"/>
            </w:pPr>
          </w:p>
        </w:tc>
      </w:tr>
      <w:tr w:rsidR="00314501" w:rsidRPr="00CC2A4B" w:rsidTr="00FB60FE">
        <w:trPr>
          <w:trHeight w:val="279"/>
        </w:trPr>
        <w:tc>
          <w:tcPr>
            <w:tcW w:w="540" w:type="dxa"/>
          </w:tcPr>
          <w:p w:rsidR="00314501" w:rsidRPr="00CC2A4B" w:rsidRDefault="00314501" w:rsidP="00314501">
            <w:pPr>
              <w:jc w:val="both"/>
            </w:pPr>
            <w:r w:rsidRPr="00CC2A4B">
              <w:t>3.</w:t>
            </w:r>
          </w:p>
        </w:tc>
        <w:tc>
          <w:tcPr>
            <w:tcW w:w="4140" w:type="dxa"/>
          </w:tcPr>
          <w:p w:rsidR="00314501" w:rsidRPr="00CC2A4B" w:rsidRDefault="00314501" w:rsidP="00314501">
            <w:pPr>
              <w:pStyle w:val="naisf"/>
              <w:spacing w:before="0" w:after="0"/>
              <w:ind w:left="57" w:right="57" w:firstLine="0"/>
              <w:jc w:val="left"/>
            </w:pPr>
            <w:r w:rsidRPr="00CC2A4B">
              <w:t xml:space="preserve">Projekta izpildes ietekme uz pārvaldes </w:t>
            </w:r>
            <w:r w:rsidRPr="00CC2A4B">
              <w:lastRenderedPageBreak/>
              <w:t>institucionālo struktūru.</w:t>
            </w:r>
          </w:p>
          <w:p w:rsidR="00314501" w:rsidRPr="00CC2A4B" w:rsidRDefault="00314501" w:rsidP="00314501">
            <w:pPr>
              <w:jc w:val="both"/>
            </w:pPr>
            <w:r w:rsidRPr="00CC2A4B">
              <w:t>Jaunu institūciju izveide</w:t>
            </w:r>
          </w:p>
        </w:tc>
        <w:tc>
          <w:tcPr>
            <w:tcW w:w="4859" w:type="dxa"/>
          </w:tcPr>
          <w:p w:rsidR="00314501" w:rsidRPr="00CC2A4B" w:rsidRDefault="00FF7381" w:rsidP="00314501">
            <w:pPr>
              <w:jc w:val="both"/>
            </w:pPr>
            <w:r w:rsidRPr="00CC2A4B">
              <w:lastRenderedPageBreak/>
              <w:t xml:space="preserve">Noteikuma projekta izpilde iespējama uzreiz </w:t>
            </w:r>
            <w:r w:rsidRPr="00CC2A4B">
              <w:lastRenderedPageBreak/>
              <w:t>pēc stāšanas spēkā. Jaunas valsts institūcijas netiek radītas.</w:t>
            </w:r>
          </w:p>
        </w:tc>
      </w:tr>
      <w:tr w:rsidR="00314501" w:rsidRPr="00CC2A4B" w:rsidTr="00FB60FE">
        <w:trPr>
          <w:trHeight w:val="279"/>
        </w:trPr>
        <w:tc>
          <w:tcPr>
            <w:tcW w:w="540" w:type="dxa"/>
          </w:tcPr>
          <w:p w:rsidR="00314501" w:rsidRPr="00CC2A4B" w:rsidRDefault="00314501" w:rsidP="00314501">
            <w:pPr>
              <w:jc w:val="both"/>
            </w:pPr>
            <w:r w:rsidRPr="00CC2A4B">
              <w:lastRenderedPageBreak/>
              <w:t>4.</w:t>
            </w:r>
          </w:p>
        </w:tc>
        <w:tc>
          <w:tcPr>
            <w:tcW w:w="4140" w:type="dxa"/>
          </w:tcPr>
          <w:p w:rsidR="00314501" w:rsidRPr="00CC2A4B" w:rsidRDefault="00314501" w:rsidP="00314501">
            <w:pPr>
              <w:pStyle w:val="naisf"/>
              <w:spacing w:before="0" w:after="0"/>
              <w:ind w:left="57" w:right="57" w:firstLine="0"/>
              <w:jc w:val="left"/>
            </w:pPr>
            <w:r w:rsidRPr="00CC2A4B">
              <w:t>Projekta izpildes ietekme uz pārvaldes institucionālo struktūru.</w:t>
            </w:r>
          </w:p>
          <w:p w:rsidR="00314501" w:rsidRPr="00CC2A4B" w:rsidRDefault="00314501" w:rsidP="00314501">
            <w:pPr>
              <w:jc w:val="both"/>
            </w:pPr>
            <w:r w:rsidRPr="00CC2A4B">
              <w:t>Esošu institūciju likvidācija</w:t>
            </w:r>
          </w:p>
        </w:tc>
        <w:tc>
          <w:tcPr>
            <w:tcW w:w="4859" w:type="dxa"/>
          </w:tcPr>
          <w:p w:rsidR="00314501" w:rsidRPr="00CC2A4B" w:rsidRDefault="00314501" w:rsidP="00314501">
            <w:pPr>
              <w:jc w:val="both"/>
            </w:pPr>
            <w:r w:rsidRPr="00CC2A4B">
              <w:t>Nav attiecināms.</w:t>
            </w:r>
          </w:p>
        </w:tc>
      </w:tr>
      <w:tr w:rsidR="00314501" w:rsidRPr="00CC2A4B" w:rsidTr="00FB60FE">
        <w:trPr>
          <w:trHeight w:val="279"/>
        </w:trPr>
        <w:tc>
          <w:tcPr>
            <w:tcW w:w="540" w:type="dxa"/>
          </w:tcPr>
          <w:p w:rsidR="00314501" w:rsidRPr="00CC2A4B" w:rsidRDefault="00314501" w:rsidP="00314501">
            <w:pPr>
              <w:jc w:val="both"/>
            </w:pPr>
            <w:r w:rsidRPr="00CC2A4B">
              <w:t>5.</w:t>
            </w:r>
          </w:p>
        </w:tc>
        <w:tc>
          <w:tcPr>
            <w:tcW w:w="4140" w:type="dxa"/>
          </w:tcPr>
          <w:p w:rsidR="00314501" w:rsidRPr="00CC2A4B" w:rsidRDefault="00314501" w:rsidP="00314501">
            <w:pPr>
              <w:pStyle w:val="naisf"/>
              <w:spacing w:before="0" w:after="0"/>
              <w:ind w:left="57" w:right="57" w:firstLine="0"/>
              <w:jc w:val="left"/>
            </w:pPr>
            <w:r w:rsidRPr="00CC2A4B">
              <w:t>Projekta izpildes ietekme uz pārvaldes institucionālo struktūru.</w:t>
            </w:r>
          </w:p>
          <w:p w:rsidR="00314501" w:rsidRPr="00CC2A4B" w:rsidRDefault="00314501" w:rsidP="00314501">
            <w:pPr>
              <w:jc w:val="both"/>
            </w:pPr>
            <w:r w:rsidRPr="00CC2A4B">
              <w:t>Esošu institūciju reorganizācija</w:t>
            </w:r>
          </w:p>
        </w:tc>
        <w:tc>
          <w:tcPr>
            <w:tcW w:w="4859" w:type="dxa"/>
          </w:tcPr>
          <w:p w:rsidR="00314501" w:rsidRPr="00CC2A4B" w:rsidRDefault="00314501" w:rsidP="00314501">
            <w:pPr>
              <w:jc w:val="both"/>
            </w:pPr>
            <w:r w:rsidRPr="00CC2A4B">
              <w:t>Nav attiecināms.</w:t>
            </w:r>
          </w:p>
        </w:tc>
      </w:tr>
      <w:tr w:rsidR="00314501" w:rsidRPr="00CC2A4B" w:rsidTr="00FB60FE">
        <w:trPr>
          <w:trHeight w:val="279"/>
        </w:trPr>
        <w:tc>
          <w:tcPr>
            <w:tcW w:w="540" w:type="dxa"/>
          </w:tcPr>
          <w:p w:rsidR="00314501" w:rsidRPr="00CC2A4B" w:rsidRDefault="00314501" w:rsidP="00314501">
            <w:pPr>
              <w:jc w:val="both"/>
            </w:pPr>
            <w:r w:rsidRPr="00CC2A4B">
              <w:t>6.</w:t>
            </w:r>
          </w:p>
        </w:tc>
        <w:tc>
          <w:tcPr>
            <w:tcW w:w="4140" w:type="dxa"/>
          </w:tcPr>
          <w:p w:rsidR="00314501" w:rsidRPr="00CC2A4B" w:rsidRDefault="00314501" w:rsidP="00314501">
            <w:pPr>
              <w:jc w:val="both"/>
            </w:pPr>
            <w:r w:rsidRPr="00CC2A4B">
              <w:t>Cita informācija</w:t>
            </w:r>
          </w:p>
        </w:tc>
        <w:tc>
          <w:tcPr>
            <w:tcW w:w="4859" w:type="dxa"/>
          </w:tcPr>
          <w:p w:rsidR="00314501" w:rsidRPr="00CC2A4B" w:rsidRDefault="00314501" w:rsidP="00314501">
            <w:pPr>
              <w:jc w:val="both"/>
            </w:pPr>
            <w:r w:rsidRPr="00CC2A4B">
              <w:t>Nav.</w:t>
            </w:r>
          </w:p>
        </w:tc>
      </w:tr>
    </w:tbl>
    <w:p w:rsidR="00C83D19" w:rsidRPr="00CC2A4B" w:rsidRDefault="00C83D19" w:rsidP="00C83D19">
      <w:pPr>
        <w:jc w:val="both"/>
      </w:pPr>
    </w:p>
    <w:p w:rsidR="00314501" w:rsidRPr="00CC2A4B" w:rsidRDefault="002A0676" w:rsidP="00314501">
      <w:pPr>
        <w:ind w:firstLine="709"/>
        <w:jc w:val="both"/>
      </w:pPr>
      <w:r w:rsidRPr="00CC2A4B">
        <w:t>Kultūras ministre</w:t>
      </w:r>
      <w:r w:rsidR="009A0840" w:rsidRPr="00CC2A4B">
        <w:t xml:space="preserve"> </w:t>
      </w:r>
      <w:r w:rsidR="009A0840" w:rsidRPr="00CC2A4B">
        <w:tab/>
      </w:r>
      <w:r w:rsidR="009A0840" w:rsidRPr="00CC2A4B">
        <w:tab/>
      </w:r>
      <w:r w:rsidR="009A0840" w:rsidRPr="00CC2A4B">
        <w:tab/>
      </w:r>
      <w:r w:rsidR="009A0840" w:rsidRPr="00CC2A4B">
        <w:tab/>
      </w:r>
      <w:r w:rsidR="00C63C0F" w:rsidRPr="00CC2A4B">
        <w:tab/>
      </w:r>
      <w:r w:rsidRPr="00CC2A4B">
        <w:t>S.Ēlerte</w:t>
      </w:r>
    </w:p>
    <w:p w:rsidR="00C83D19" w:rsidRPr="00CC2A4B" w:rsidRDefault="00C83D19" w:rsidP="00314501"/>
    <w:p w:rsidR="00C83D19" w:rsidRPr="00CC2A4B" w:rsidRDefault="00E27DDA" w:rsidP="00314501">
      <w:r w:rsidRPr="00CC2A4B">
        <w:tab/>
        <w:t xml:space="preserve">Vīza: </w:t>
      </w:r>
      <w:r w:rsidR="00383AFA">
        <w:t xml:space="preserve">valsts sekretāra p.i. </w:t>
      </w:r>
      <w:r w:rsidR="00D96F1F" w:rsidRPr="00CC2A4B">
        <w:tab/>
      </w:r>
      <w:r w:rsidR="00D96F1F" w:rsidRPr="00CC2A4B">
        <w:tab/>
      </w:r>
      <w:r w:rsidR="00D96F1F" w:rsidRPr="00CC2A4B">
        <w:tab/>
      </w:r>
      <w:r w:rsidR="00D96F1F" w:rsidRPr="00CC2A4B">
        <w:tab/>
      </w:r>
      <w:r w:rsidR="00383AFA">
        <w:t>U.Lielpēters</w:t>
      </w:r>
    </w:p>
    <w:p w:rsidR="00671AD8" w:rsidRDefault="00671AD8" w:rsidP="00314501">
      <w:pPr>
        <w:rPr>
          <w:sz w:val="20"/>
          <w:szCs w:val="20"/>
        </w:rPr>
      </w:pPr>
    </w:p>
    <w:p w:rsidR="0040549E" w:rsidRDefault="0040549E" w:rsidP="00314501">
      <w:pPr>
        <w:rPr>
          <w:sz w:val="20"/>
          <w:szCs w:val="20"/>
        </w:rPr>
      </w:pPr>
    </w:p>
    <w:p w:rsidR="0040549E" w:rsidRDefault="0040549E" w:rsidP="00314501">
      <w:pPr>
        <w:rPr>
          <w:sz w:val="20"/>
          <w:szCs w:val="20"/>
        </w:rPr>
      </w:pPr>
    </w:p>
    <w:p w:rsidR="00BD59FF" w:rsidRPr="00822DE2" w:rsidRDefault="00426D99" w:rsidP="00314501">
      <w:pPr>
        <w:rPr>
          <w:sz w:val="20"/>
          <w:szCs w:val="20"/>
        </w:rPr>
      </w:pPr>
      <w:r>
        <w:rPr>
          <w:sz w:val="20"/>
          <w:szCs w:val="20"/>
        </w:rPr>
        <w:t>2</w:t>
      </w:r>
      <w:r w:rsidR="00073347">
        <w:rPr>
          <w:sz w:val="20"/>
          <w:szCs w:val="20"/>
        </w:rPr>
        <w:t>1</w:t>
      </w:r>
      <w:r w:rsidR="006C52FC" w:rsidRPr="00822DE2">
        <w:rPr>
          <w:sz w:val="20"/>
          <w:szCs w:val="20"/>
        </w:rPr>
        <w:t>.0</w:t>
      </w:r>
      <w:r w:rsidR="00073347">
        <w:rPr>
          <w:sz w:val="20"/>
          <w:szCs w:val="20"/>
        </w:rPr>
        <w:t>6</w:t>
      </w:r>
      <w:r w:rsidR="006C52FC" w:rsidRPr="00822DE2">
        <w:rPr>
          <w:sz w:val="20"/>
          <w:szCs w:val="20"/>
        </w:rPr>
        <w:t xml:space="preserve">.2011. </w:t>
      </w:r>
      <w:r w:rsidR="00073347">
        <w:rPr>
          <w:sz w:val="20"/>
          <w:szCs w:val="20"/>
        </w:rPr>
        <w:t>09</w:t>
      </w:r>
      <w:r w:rsidR="006C52FC" w:rsidRPr="00822DE2">
        <w:rPr>
          <w:sz w:val="20"/>
          <w:szCs w:val="20"/>
        </w:rPr>
        <w:t xml:space="preserve">:43 </w:t>
      </w:r>
    </w:p>
    <w:p w:rsidR="00BD59FF" w:rsidRPr="00822DE2" w:rsidRDefault="0032049B" w:rsidP="00314501">
      <w:pPr>
        <w:rPr>
          <w:sz w:val="20"/>
          <w:szCs w:val="20"/>
        </w:rPr>
      </w:pPr>
      <w:r>
        <w:rPr>
          <w:sz w:val="20"/>
          <w:szCs w:val="20"/>
        </w:rPr>
        <w:t>1</w:t>
      </w:r>
      <w:r w:rsidR="008C0B60">
        <w:rPr>
          <w:sz w:val="20"/>
          <w:szCs w:val="20"/>
        </w:rPr>
        <w:t>015</w:t>
      </w:r>
    </w:p>
    <w:p w:rsidR="00314501" w:rsidRPr="00822DE2" w:rsidRDefault="006C52FC" w:rsidP="00314501">
      <w:pPr>
        <w:rPr>
          <w:sz w:val="20"/>
          <w:szCs w:val="20"/>
          <w:lang w:val="pl-PL"/>
        </w:rPr>
      </w:pPr>
      <w:r w:rsidRPr="00822DE2">
        <w:rPr>
          <w:sz w:val="20"/>
          <w:szCs w:val="20"/>
          <w:lang w:val="pl-PL"/>
        </w:rPr>
        <w:t>S.Voldiņš</w:t>
      </w:r>
    </w:p>
    <w:p w:rsidR="00E326A4" w:rsidRDefault="00EC6775">
      <w:pPr>
        <w:rPr>
          <w:sz w:val="20"/>
          <w:szCs w:val="20"/>
        </w:rPr>
      </w:pPr>
      <w:r w:rsidRPr="00822DE2">
        <w:rPr>
          <w:sz w:val="20"/>
          <w:szCs w:val="20"/>
          <w:lang w:val="pl-PL"/>
        </w:rPr>
        <w:t>67</w:t>
      </w:r>
      <w:r w:rsidR="00EF4B27">
        <w:rPr>
          <w:sz w:val="20"/>
          <w:szCs w:val="20"/>
          <w:lang w:val="pl-PL"/>
        </w:rPr>
        <w:t>358859</w:t>
      </w:r>
      <w:r w:rsidR="00314501" w:rsidRPr="00822DE2">
        <w:rPr>
          <w:sz w:val="20"/>
          <w:szCs w:val="20"/>
          <w:lang w:val="pl-PL"/>
        </w:rPr>
        <w:t xml:space="preserve">, </w:t>
      </w:r>
      <w:r w:rsidRPr="00822DE2">
        <w:rPr>
          <w:sz w:val="20"/>
          <w:szCs w:val="20"/>
          <w:lang w:val="pl-PL"/>
        </w:rPr>
        <w:t>Sandis.Voldins</w:t>
      </w:r>
      <w:r w:rsidR="00314501" w:rsidRPr="00822DE2">
        <w:rPr>
          <w:sz w:val="20"/>
          <w:szCs w:val="20"/>
          <w:lang w:val="pl-PL"/>
        </w:rPr>
        <w:t>@</w:t>
      </w:r>
      <w:r w:rsidRPr="00822DE2">
        <w:rPr>
          <w:sz w:val="20"/>
          <w:szCs w:val="20"/>
          <w:lang w:val="pl-PL"/>
        </w:rPr>
        <w:t>nfc</w:t>
      </w:r>
      <w:r w:rsidR="00314501" w:rsidRPr="00822DE2">
        <w:rPr>
          <w:sz w:val="20"/>
          <w:szCs w:val="20"/>
          <w:lang w:val="pl-PL"/>
        </w:rPr>
        <w:t>.gov.lv</w:t>
      </w:r>
    </w:p>
    <w:p w:rsidR="00E326A4" w:rsidRPr="00E326A4" w:rsidRDefault="00E326A4" w:rsidP="00E326A4">
      <w:pPr>
        <w:rPr>
          <w:sz w:val="20"/>
          <w:szCs w:val="20"/>
        </w:rPr>
      </w:pPr>
    </w:p>
    <w:p w:rsidR="00E326A4" w:rsidRDefault="00E326A4" w:rsidP="00E326A4">
      <w:pPr>
        <w:rPr>
          <w:sz w:val="20"/>
          <w:szCs w:val="20"/>
        </w:rPr>
      </w:pPr>
    </w:p>
    <w:p w:rsidR="000A15B9" w:rsidRPr="00E326A4" w:rsidRDefault="000A15B9" w:rsidP="00E326A4">
      <w:pPr>
        <w:jc w:val="center"/>
        <w:rPr>
          <w:sz w:val="20"/>
          <w:szCs w:val="20"/>
        </w:rPr>
      </w:pPr>
    </w:p>
    <w:sectPr w:rsidR="000A15B9" w:rsidRPr="00E326A4" w:rsidSect="00BD59FF">
      <w:headerReference w:type="even" r:id="rId7"/>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204" w:rsidRDefault="00584204">
      <w:r>
        <w:separator/>
      </w:r>
    </w:p>
  </w:endnote>
  <w:endnote w:type="continuationSeparator" w:id="1">
    <w:p w:rsidR="00584204" w:rsidRDefault="005842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904" w:rsidRPr="007156D0" w:rsidRDefault="000561A3" w:rsidP="00017904">
    <w:pPr>
      <w:jc w:val="both"/>
      <w:rPr>
        <w:sz w:val="20"/>
        <w:szCs w:val="20"/>
      </w:rPr>
    </w:pPr>
    <w:r w:rsidRPr="007D5088">
      <w:rPr>
        <w:sz w:val="20"/>
        <w:szCs w:val="20"/>
      </w:rPr>
      <w:t>KMAnot_</w:t>
    </w:r>
    <w:r>
      <w:rPr>
        <w:sz w:val="20"/>
        <w:szCs w:val="20"/>
      </w:rPr>
      <w:t>2106</w:t>
    </w:r>
    <w:r w:rsidRPr="007D5088">
      <w:rPr>
        <w:sz w:val="20"/>
        <w:szCs w:val="20"/>
      </w:rPr>
      <w:t>11_</w:t>
    </w:r>
    <w:r>
      <w:rPr>
        <w:sz w:val="20"/>
        <w:szCs w:val="20"/>
      </w:rPr>
      <w:t>VSS548</w:t>
    </w:r>
    <w:r w:rsidR="00017904" w:rsidRPr="007156D0">
      <w:rPr>
        <w:sz w:val="20"/>
        <w:szCs w:val="20"/>
      </w:rPr>
      <w:t xml:space="preserve">; </w:t>
    </w:r>
    <w:r w:rsidR="00017904" w:rsidRPr="007D5088">
      <w:rPr>
        <w:rStyle w:val="Strong"/>
        <w:b w:val="0"/>
        <w:i/>
        <w:sz w:val="20"/>
        <w:szCs w:val="20"/>
      </w:rPr>
      <w:t>Ministru kabineta noteikumu projekta</w:t>
    </w:r>
    <w:r w:rsidR="00017904" w:rsidRPr="007D5088">
      <w:rPr>
        <w:rStyle w:val="Strong"/>
        <w:i/>
        <w:sz w:val="20"/>
        <w:szCs w:val="20"/>
      </w:rPr>
      <w:t xml:space="preserve"> </w:t>
    </w:r>
    <w:r w:rsidR="00017904" w:rsidRPr="00017904">
      <w:rPr>
        <w:rStyle w:val="Strong"/>
        <w:b w:val="0"/>
        <w:i/>
        <w:sz w:val="20"/>
        <w:szCs w:val="20"/>
      </w:rPr>
      <w:t>„Noteikumi par metodiku, kādā</w:t>
    </w:r>
    <w:r w:rsidR="00017904">
      <w:rPr>
        <w:rStyle w:val="Strong"/>
        <w:i/>
        <w:sz w:val="20"/>
        <w:szCs w:val="20"/>
      </w:rPr>
      <w:t xml:space="preserve"> </w:t>
    </w:r>
    <w:r w:rsidR="00017904" w:rsidRPr="007D5088">
      <w:rPr>
        <w:i/>
        <w:sz w:val="20"/>
        <w:szCs w:val="20"/>
      </w:rPr>
      <w:t>Nacionālais kino centrs aprēķina maksu par filmu izmantošanu, kuru autortiesības vai blakustiesības pieder vai piekrīt valstij</w:t>
    </w:r>
    <w:r w:rsidR="00017904" w:rsidRPr="007D5088">
      <w:rPr>
        <w:rStyle w:val="Strong"/>
        <w:i/>
        <w:sz w:val="20"/>
        <w:szCs w:val="20"/>
      </w:rPr>
      <w:t>”</w:t>
    </w:r>
    <w:r w:rsidR="00017904" w:rsidRPr="007D5088">
      <w:rPr>
        <w:bCs/>
        <w:i/>
        <w:sz w:val="20"/>
        <w:szCs w:val="20"/>
      </w:rPr>
      <w:t xml:space="preserve"> </w:t>
    </w:r>
    <w:r w:rsidR="00017904" w:rsidRPr="007D5088">
      <w:rPr>
        <w:i/>
        <w:sz w:val="20"/>
        <w:szCs w:val="20"/>
      </w:rPr>
      <w:t xml:space="preserve">sākotnējās ietekmes novērtējuma </w:t>
    </w:r>
    <w:smartTag w:uri="schemas-tilde-lv/tildestengine" w:element="veidnes">
      <w:smartTagPr>
        <w:attr w:name="text" w:val="ziņojums"/>
        <w:attr w:name="baseform" w:val="ziņojums"/>
        <w:attr w:name="id" w:val="-1"/>
      </w:smartTagPr>
      <w:r w:rsidR="00017904" w:rsidRPr="007D5088">
        <w:rPr>
          <w:i/>
          <w:sz w:val="20"/>
          <w:szCs w:val="20"/>
        </w:rPr>
        <w:t>ziņojums</w:t>
      </w:r>
    </w:smartTag>
    <w:r w:rsidR="00017904" w:rsidRPr="007D5088">
      <w:rPr>
        <w:i/>
        <w:sz w:val="20"/>
        <w:szCs w:val="20"/>
      </w:rPr>
      <w:t xml:space="preserve"> (anotācija)</w:t>
    </w:r>
  </w:p>
  <w:p w:rsidR="00714237" w:rsidRPr="007D5088" w:rsidRDefault="00714237" w:rsidP="007D5088">
    <w:pPr>
      <w:pStyle w:val="Foo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6D0" w:rsidRPr="007156D0" w:rsidRDefault="007156D0" w:rsidP="007156D0">
    <w:pPr>
      <w:jc w:val="both"/>
      <w:rPr>
        <w:sz w:val="20"/>
        <w:szCs w:val="20"/>
      </w:rPr>
    </w:pPr>
    <w:bookmarkStart w:id="0" w:name="OLE_LINK1"/>
    <w:bookmarkStart w:id="1" w:name="OLE_LINK2"/>
    <w:r w:rsidRPr="007D5088">
      <w:rPr>
        <w:sz w:val="20"/>
        <w:szCs w:val="20"/>
      </w:rPr>
      <w:t>KMAnot_</w:t>
    </w:r>
    <w:r w:rsidR="000561A3">
      <w:rPr>
        <w:sz w:val="20"/>
        <w:szCs w:val="20"/>
      </w:rPr>
      <w:t>21</w:t>
    </w:r>
    <w:r w:rsidR="00211583">
      <w:rPr>
        <w:sz w:val="20"/>
        <w:szCs w:val="20"/>
      </w:rPr>
      <w:t>06</w:t>
    </w:r>
    <w:r w:rsidRPr="007D5088">
      <w:rPr>
        <w:sz w:val="20"/>
        <w:szCs w:val="20"/>
      </w:rPr>
      <w:t>11_</w:t>
    </w:r>
    <w:r w:rsidR="00211583">
      <w:rPr>
        <w:sz w:val="20"/>
        <w:szCs w:val="20"/>
      </w:rPr>
      <w:t>VSS548</w:t>
    </w:r>
    <w:bookmarkEnd w:id="0"/>
    <w:bookmarkEnd w:id="1"/>
    <w:r w:rsidR="00714237" w:rsidRPr="007156D0">
      <w:rPr>
        <w:sz w:val="20"/>
        <w:szCs w:val="20"/>
      </w:rPr>
      <w:t xml:space="preserve">; </w:t>
    </w:r>
    <w:r w:rsidRPr="007D5088">
      <w:rPr>
        <w:rStyle w:val="Strong"/>
        <w:b w:val="0"/>
        <w:i/>
        <w:sz w:val="20"/>
        <w:szCs w:val="20"/>
      </w:rPr>
      <w:t>Ministru kabineta noteikumu projekta</w:t>
    </w:r>
    <w:r w:rsidRPr="007D5088">
      <w:rPr>
        <w:rStyle w:val="Strong"/>
        <w:i/>
        <w:sz w:val="20"/>
        <w:szCs w:val="20"/>
      </w:rPr>
      <w:t xml:space="preserve"> </w:t>
    </w:r>
    <w:r w:rsidRPr="00017904">
      <w:rPr>
        <w:rStyle w:val="Strong"/>
        <w:b w:val="0"/>
        <w:i/>
        <w:sz w:val="20"/>
        <w:szCs w:val="20"/>
      </w:rPr>
      <w:t>„</w:t>
    </w:r>
    <w:r w:rsidR="00017904" w:rsidRPr="00017904">
      <w:rPr>
        <w:rStyle w:val="Strong"/>
        <w:b w:val="0"/>
        <w:i/>
        <w:sz w:val="20"/>
        <w:szCs w:val="20"/>
      </w:rPr>
      <w:t>Noteikumi par metodiku, kādā</w:t>
    </w:r>
    <w:r w:rsidR="00017904">
      <w:rPr>
        <w:rStyle w:val="Strong"/>
        <w:i/>
        <w:sz w:val="20"/>
        <w:szCs w:val="20"/>
      </w:rPr>
      <w:t xml:space="preserve"> </w:t>
    </w:r>
    <w:r w:rsidRPr="007D5088">
      <w:rPr>
        <w:i/>
        <w:sz w:val="20"/>
        <w:szCs w:val="20"/>
      </w:rPr>
      <w:t>Nacionālais kino centrs aprēķina maksu par filmu izmantošanu, kuru autortiesības vai blakustiesības pieder vai piekrīt valstij</w:t>
    </w:r>
    <w:r w:rsidRPr="007D5088">
      <w:rPr>
        <w:rStyle w:val="Strong"/>
        <w:i/>
        <w:sz w:val="20"/>
        <w:szCs w:val="20"/>
      </w:rPr>
      <w:t>”</w:t>
    </w:r>
    <w:r w:rsidRPr="007D5088">
      <w:rPr>
        <w:bCs/>
        <w:i/>
        <w:sz w:val="20"/>
        <w:szCs w:val="20"/>
      </w:rPr>
      <w:t xml:space="preserve"> </w:t>
    </w:r>
    <w:r w:rsidRPr="007D5088">
      <w:rPr>
        <w:i/>
        <w:sz w:val="20"/>
        <w:szCs w:val="20"/>
      </w:rPr>
      <w:t xml:space="preserve">sākotnējās ietekmes novērtējuma </w:t>
    </w:r>
    <w:smartTag w:uri="schemas-tilde-lv/tildestengine" w:element="veidnes">
      <w:smartTagPr>
        <w:attr w:name="text" w:val="ziņojums"/>
        <w:attr w:name="baseform" w:val="ziņojums"/>
        <w:attr w:name="id" w:val="-1"/>
      </w:smartTagPr>
      <w:r w:rsidRPr="007D5088">
        <w:rPr>
          <w:i/>
          <w:sz w:val="20"/>
          <w:szCs w:val="20"/>
        </w:rPr>
        <w:t>ziņojums</w:t>
      </w:r>
    </w:smartTag>
    <w:r w:rsidRPr="007D5088">
      <w:rPr>
        <w:i/>
        <w:sz w:val="20"/>
        <w:szCs w:val="20"/>
      </w:rPr>
      <w:t xml:space="preserve"> (anotācija)</w:t>
    </w:r>
  </w:p>
  <w:p w:rsidR="00714237" w:rsidRPr="00C05E32" w:rsidRDefault="00714237" w:rsidP="00D12505">
    <w:pPr>
      <w:pStyle w:val="Footer"/>
      <w:jc w:val="both"/>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204" w:rsidRDefault="00584204">
      <w:r>
        <w:separator/>
      </w:r>
    </w:p>
  </w:footnote>
  <w:footnote w:type="continuationSeparator" w:id="1">
    <w:p w:rsidR="00584204" w:rsidRDefault="005842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37" w:rsidRDefault="00BA2520" w:rsidP="00314501">
    <w:pPr>
      <w:pStyle w:val="Header"/>
      <w:framePr w:wrap="around" w:vAnchor="text" w:hAnchor="margin" w:xAlign="center" w:y="1"/>
      <w:rPr>
        <w:rStyle w:val="PageNumber"/>
      </w:rPr>
    </w:pPr>
    <w:r>
      <w:rPr>
        <w:rStyle w:val="PageNumber"/>
      </w:rPr>
      <w:fldChar w:fldCharType="begin"/>
    </w:r>
    <w:r w:rsidR="00714237">
      <w:rPr>
        <w:rStyle w:val="PageNumber"/>
      </w:rPr>
      <w:instrText xml:space="preserve">PAGE  </w:instrText>
    </w:r>
    <w:r>
      <w:rPr>
        <w:rStyle w:val="PageNumber"/>
      </w:rPr>
      <w:fldChar w:fldCharType="end"/>
    </w:r>
  </w:p>
  <w:p w:rsidR="00714237" w:rsidRDefault="0071423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4237" w:rsidRDefault="00BA2520" w:rsidP="00314501">
    <w:pPr>
      <w:pStyle w:val="Header"/>
      <w:framePr w:wrap="around" w:vAnchor="text" w:hAnchor="margin" w:xAlign="center" w:y="1"/>
      <w:rPr>
        <w:rStyle w:val="PageNumber"/>
      </w:rPr>
    </w:pPr>
    <w:r>
      <w:rPr>
        <w:rStyle w:val="PageNumber"/>
      </w:rPr>
      <w:fldChar w:fldCharType="begin"/>
    </w:r>
    <w:r w:rsidR="00714237">
      <w:rPr>
        <w:rStyle w:val="PageNumber"/>
      </w:rPr>
      <w:instrText xml:space="preserve">PAGE  </w:instrText>
    </w:r>
    <w:r>
      <w:rPr>
        <w:rStyle w:val="PageNumber"/>
      </w:rPr>
      <w:fldChar w:fldCharType="separate"/>
    </w:r>
    <w:r w:rsidR="00037667">
      <w:rPr>
        <w:rStyle w:val="PageNumber"/>
        <w:noProof/>
      </w:rPr>
      <w:t>2</w:t>
    </w:r>
    <w:r>
      <w:rPr>
        <w:rStyle w:val="PageNumber"/>
      </w:rPr>
      <w:fldChar w:fldCharType="end"/>
    </w:r>
  </w:p>
  <w:p w:rsidR="00714237" w:rsidRDefault="0071423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4603"/>
    <w:multiLevelType w:val="hybridMultilevel"/>
    <w:tmpl w:val="7EC8561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E897FA3"/>
    <w:multiLevelType w:val="hybridMultilevel"/>
    <w:tmpl w:val="66FEBC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14501"/>
    <w:rsid w:val="00004926"/>
    <w:rsid w:val="000075ED"/>
    <w:rsid w:val="00010002"/>
    <w:rsid w:val="00011D3F"/>
    <w:rsid w:val="00016183"/>
    <w:rsid w:val="00017904"/>
    <w:rsid w:val="00020113"/>
    <w:rsid w:val="0002049C"/>
    <w:rsid w:val="0002118F"/>
    <w:rsid w:val="000255D5"/>
    <w:rsid w:val="00025A56"/>
    <w:rsid w:val="00037667"/>
    <w:rsid w:val="00045B85"/>
    <w:rsid w:val="000460A9"/>
    <w:rsid w:val="0005144E"/>
    <w:rsid w:val="00055AE0"/>
    <w:rsid w:val="000561A3"/>
    <w:rsid w:val="00057DF3"/>
    <w:rsid w:val="00061F81"/>
    <w:rsid w:val="00067602"/>
    <w:rsid w:val="00073347"/>
    <w:rsid w:val="00082EF0"/>
    <w:rsid w:val="00082FD3"/>
    <w:rsid w:val="0008799E"/>
    <w:rsid w:val="00087F16"/>
    <w:rsid w:val="00093EC8"/>
    <w:rsid w:val="000A15B9"/>
    <w:rsid w:val="000A4BA7"/>
    <w:rsid w:val="000B61ED"/>
    <w:rsid w:val="000C2531"/>
    <w:rsid w:val="000C4192"/>
    <w:rsid w:val="000C6618"/>
    <w:rsid w:val="000D0EC8"/>
    <w:rsid w:val="000D309D"/>
    <w:rsid w:val="000D38DB"/>
    <w:rsid w:val="000D5688"/>
    <w:rsid w:val="000D7F28"/>
    <w:rsid w:val="000E1100"/>
    <w:rsid w:val="000E30F9"/>
    <w:rsid w:val="000E4F93"/>
    <w:rsid w:val="000E687C"/>
    <w:rsid w:val="000F0179"/>
    <w:rsid w:val="000F15FB"/>
    <w:rsid w:val="000F25AD"/>
    <w:rsid w:val="000F3C77"/>
    <w:rsid w:val="000F580E"/>
    <w:rsid w:val="00100E2E"/>
    <w:rsid w:val="00101EFC"/>
    <w:rsid w:val="00105C84"/>
    <w:rsid w:val="00110FF5"/>
    <w:rsid w:val="001159A4"/>
    <w:rsid w:val="001169FE"/>
    <w:rsid w:val="00116EEA"/>
    <w:rsid w:val="0012150A"/>
    <w:rsid w:val="001307E1"/>
    <w:rsid w:val="00133011"/>
    <w:rsid w:val="00134F8C"/>
    <w:rsid w:val="00140306"/>
    <w:rsid w:val="00141E0F"/>
    <w:rsid w:val="00143C15"/>
    <w:rsid w:val="00145D90"/>
    <w:rsid w:val="00146BB5"/>
    <w:rsid w:val="00146FC7"/>
    <w:rsid w:val="0015103B"/>
    <w:rsid w:val="0015750F"/>
    <w:rsid w:val="00162B14"/>
    <w:rsid w:val="00165BDF"/>
    <w:rsid w:val="00171292"/>
    <w:rsid w:val="001724A3"/>
    <w:rsid w:val="00174BB7"/>
    <w:rsid w:val="00177032"/>
    <w:rsid w:val="00180641"/>
    <w:rsid w:val="001851F9"/>
    <w:rsid w:val="00192A08"/>
    <w:rsid w:val="0019473A"/>
    <w:rsid w:val="00196C94"/>
    <w:rsid w:val="001A1034"/>
    <w:rsid w:val="001A35D5"/>
    <w:rsid w:val="001A52E5"/>
    <w:rsid w:val="001A571E"/>
    <w:rsid w:val="001B1FFE"/>
    <w:rsid w:val="001B21C6"/>
    <w:rsid w:val="001B2AA2"/>
    <w:rsid w:val="001B4405"/>
    <w:rsid w:val="001C40F8"/>
    <w:rsid w:val="001C656E"/>
    <w:rsid w:val="001D33FA"/>
    <w:rsid w:val="001D4A83"/>
    <w:rsid w:val="001E03F6"/>
    <w:rsid w:val="001E7450"/>
    <w:rsid w:val="001E7E40"/>
    <w:rsid w:val="001F1D71"/>
    <w:rsid w:val="001F69D3"/>
    <w:rsid w:val="002038E0"/>
    <w:rsid w:val="00206805"/>
    <w:rsid w:val="0020735D"/>
    <w:rsid w:val="00207F5B"/>
    <w:rsid w:val="00211583"/>
    <w:rsid w:val="00217C1E"/>
    <w:rsid w:val="00225D31"/>
    <w:rsid w:val="00232E7F"/>
    <w:rsid w:val="0023628B"/>
    <w:rsid w:val="002377ED"/>
    <w:rsid w:val="0024312A"/>
    <w:rsid w:val="00244DCF"/>
    <w:rsid w:val="002500AE"/>
    <w:rsid w:val="0025135B"/>
    <w:rsid w:val="0025559E"/>
    <w:rsid w:val="00255800"/>
    <w:rsid w:val="0026009D"/>
    <w:rsid w:val="00261A61"/>
    <w:rsid w:val="00263E47"/>
    <w:rsid w:val="00265C4F"/>
    <w:rsid w:val="0026673C"/>
    <w:rsid w:val="00276B7B"/>
    <w:rsid w:val="002810A2"/>
    <w:rsid w:val="00281377"/>
    <w:rsid w:val="0028321A"/>
    <w:rsid w:val="002832AA"/>
    <w:rsid w:val="002920B2"/>
    <w:rsid w:val="00293692"/>
    <w:rsid w:val="0029759A"/>
    <w:rsid w:val="002A0676"/>
    <w:rsid w:val="002A1D55"/>
    <w:rsid w:val="002A3460"/>
    <w:rsid w:val="002B0487"/>
    <w:rsid w:val="002B29E5"/>
    <w:rsid w:val="002B3B1D"/>
    <w:rsid w:val="002B574A"/>
    <w:rsid w:val="002E48C1"/>
    <w:rsid w:val="002E6B50"/>
    <w:rsid w:val="002F02B7"/>
    <w:rsid w:val="002F1C99"/>
    <w:rsid w:val="002F4AAC"/>
    <w:rsid w:val="002F7343"/>
    <w:rsid w:val="003125EF"/>
    <w:rsid w:val="00313C36"/>
    <w:rsid w:val="00314501"/>
    <w:rsid w:val="00316D74"/>
    <w:rsid w:val="0032049B"/>
    <w:rsid w:val="00330383"/>
    <w:rsid w:val="003314E5"/>
    <w:rsid w:val="0034224F"/>
    <w:rsid w:val="003425FD"/>
    <w:rsid w:val="003430D0"/>
    <w:rsid w:val="00343DCB"/>
    <w:rsid w:val="0034461F"/>
    <w:rsid w:val="003466F2"/>
    <w:rsid w:val="003468D1"/>
    <w:rsid w:val="00350C8C"/>
    <w:rsid w:val="00350D6F"/>
    <w:rsid w:val="00351660"/>
    <w:rsid w:val="00354A20"/>
    <w:rsid w:val="003578AF"/>
    <w:rsid w:val="00370C84"/>
    <w:rsid w:val="00375C22"/>
    <w:rsid w:val="00383AFA"/>
    <w:rsid w:val="00391FE8"/>
    <w:rsid w:val="003A0C41"/>
    <w:rsid w:val="003A6CE3"/>
    <w:rsid w:val="003B28F3"/>
    <w:rsid w:val="003B2FCC"/>
    <w:rsid w:val="003C17D6"/>
    <w:rsid w:val="003C4D95"/>
    <w:rsid w:val="003C6374"/>
    <w:rsid w:val="003D7081"/>
    <w:rsid w:val="003F19AE"/>
    <w:rsid w:val="004031CA"/>
    <w:rsid w:val="00404FA7"/>
    <w:rsid w:val="0040549E"/>
    <w:rsid w:val="0040622B"/>
    <w:rsid w:val="004062BD"/>
    <w:rsid w:val="00411132"/>
    <w:rsid w:val="00414AE6"/>
    <w:rsid w:val="004169F3"/>
    <w:rsid w:val="00417C17"/>
    <w:rsid w:val="00425E7A"/>
    <w:rsid w:val="00426D99"/>
    <w:rsid w:val="00430378"/>
    <w:rsid w:val="00453576"/>
    <w:rsid w:val="00464719"/>
    <w:rsid w:val="00470B59"/>
    <w:rsid w:val="00472982"/>
    <w:rsid w:val="004777C3"/>
    <w:rsid w:val="00477989"/>
    <w:rsid w:val="00480A39"/>
    <w:rsid w:val="004876F7"/>
    <w:rsid w:val="00494197"/>
    <w:rsid w:val="0049687F"/>
    <w:rsid w:val="004B03E0"/>
    <w:rsid w:val="004B0974"/>
    <w:rsid w:val="004B0E65"/>
    <w:rsid w:val="004B32E7"/>
    <w:rsid w:val="004B41B9"/>
    <w:rsid w:val="004B7E0F"/>
    <w:rsid w:val="004C011F"/>
    <w:rsid w:val="004C16E3"/>
    <w:rsid w:val="004C1896"/>
    <w:rsid w:val="004C208A"/>
    <w:rsid w:val="004C2C55"/>
    <w:rsid w:val="004C47CB"/>
    <w:rsid w:val="004C56FB"/>
    <w:rsid w:val="004D24A3"/>
    <w:rsid w:val="004D60BC"/>
    <w:rsid w:val="004E143B"/>
    <w:rsid w:val="004E1BAB"/>
    <w:rsid w:val="004E5AF9"/>
    <w:rsid w:val="004F407E"/>
    <w:rsid w:val="004F5BDF"/>
    <w:rsid w:val="00505D39"/>
    <w:rsid w:val="00507906"/>
    <w:rsid w:val="0051133E"/>
    <w:rsid w:val="00515A89"/>
    <w:rsid w:val="00532D09"/>
    <w:rsid w:val="00533167"/>
    <w:rsid w:val="00537D27"/>
    <w:rsid w:val="005462AC"/>
    <w:rsid w:val="005603DB"/>
    <w:rsid w:val="00560A62"/>
    <w:rsid w:val="00561318"/>
    <w:rsid w:val="005621F6"/>
    <w:rsid w:val="00562DED"/>
    <w:rsid w:val="005631C0"/>
    <w:rsid w:val="005720F3"/>
    <w:rsid w:val="00577A9F"/>
    <w:rsid w:val="00584204"/>
    <w:rsid w:val="00584ED2"/>
    <w:rsid w:val="005862CF"/>
    <w:rsid w:val="00596728"/>
    <w:rsid w:val="005B322B"/>
    <w:rsid w:val="005B42EF"/>
    <w:rsid w:val="005B4A69"/>
    <w:rsid w:val="005C2338"/>
    <w:rsid w:val="005C48EB"/>
    <w:rsid w:val="005D4CE6"/>
    <w:rsid w:val="005E3E95"/>
    <w:rsid w:val="005E4810"/>
    <w:rsid w:val="005F083F"/>
    <w:rsid w:val="005F0CAF"/>
    <w:rsid w:val="005F2A1B"/>
    <w:rsid w:val="006106A8"/>
    <w:rsid w:val="00610CA1"/>
    <w:rsid w:val="00610D63"/>
    <w:rsid w:val="00627D33"/>
    <w:rsid w:val="00630F5D"/>
    <w:rsid w:val="00631034"/>
    <w:rsid w:val="00634802"/>
    <w:rsid w:val="00637B0F"/>
    <w:rsid w:val="0064418F"/>
    <w:rsid w:val="00646AE1"/>
    <w:rsid w:val="00650301"/>
    <w:rsid w:val="00664654"/>
    <w:rsid w:val="00664D0D"/>
    <w:rsid w:val="0067169B"/>
    <w:rsid w:val="00671AD8"/>
    <w:rsid w:val="00671BF2"/>
    <w:rsid w:val="0067687A"/>
    <w:rsid w:val="00681EED"/>
    <w:rsid w:val="00682E73"/>
    <w:rsid w:val="00683464"/>
    <w:rsid w:val="0068346C"/>
    <w:rsid w:val="006849DB"/>
    <w:rsid w:val="0068769C"/>
    <w:rsid w:val="00691595"/>
    <w:rsid w:val="00693305"/>
    <w:rsid w:val="00693803"/>
    <w:rsid w:val="0069446C"/>
    <w:rsid w:val="00694711"/>
    <w:rsid w:val="00695736"/>
    <w:rsid w:val="00697564"/>
    <w:rsid w:val="006A4EF7"/>
    <w:rsid w:val="006A63E9"/>
    <w:rsid w:val="006A6DE1"/>
    <w:rsid w:val="006C276C"/>
    <w:rsid w:val="006C2F0B"/>
    <w:rsid w:val="006C3E47"/>
    <w:rsid w:val="006C4A78"/>
    <w:rsid w:val="006C52FC"/>
    <w:rsid w:val="006D1A5E"/>
    <w:rsid w:val="006E4577"/>
    <w:rsid w:val="006F0ED8"/>
    <w:rsid w:val="006F202E"/>
    <w:rsid w:val="006F4167"/>
    <w:rsid w:val="00700D93"/>
    <w:rsid w:val="007055E7"/>
    <w:rsid w:val="00713DD0"/>
    <w:rsid w:val="00713F04"/>
    <w:rsid w:val="007141D0"/>
    <w:rsid w:val="00714237"/>
    <w:rsid w:val="007156D0"/>
    <w:rsid w:val="00725F79"/>
    <w:rsid w:val="00730DF1"/>
    <w:rsid w:val="00737661"/>
    <w:rsid w:val="00747FE5"/>
    <w:rsid w:val="00752070"/>
    <w:rsid w:val="00752D68"/>
    <w:rsid w:val="00753FB4"/>
    <w:rsid w:val="007560C2"/>
    <w:rsid w:val="00756D29"/>
    <w:rsid w:val="00757866"/>
    <w:rsid w:val="00757D70"/>
    <w:rsid w:val="00764716"/>
    <w:rsid w:val="00765B06"/>
    <w:rsid w:val="00772D0C"/>
    <w:rsid w:val="00774688"/>
    <w:rsid w:val="007757D1"/>
    <w:rsid w:val="007841CE"/>
    <w:rsid w:val="00785A13"/>
    <w:rsid w:val="00785F57"/>
    <w:rsid w:val="00791CA5"/>
    <w:rsid w:val="00797770"/>
    <w:rsid w:val="007A1464"/>
    <w:rsid w:val="007A6B31"/>
    <w:rsid w:val="007B3C57"/>
    <w:rsid w:val="007B735D"/>
    <w:rsid w:val="007C22FE"/>
    <w:rsid w:val="007C2A93"/>
    <w:rsid w:val="007D5088"/>
    <w:rsid w:val="007D7904"/>
    <w:rsid w:val="007F7DC5"/>
    <w:rsid w:val="0080132A"/>
    <w:rsid w:val="0080146E"/>
    <w:rsid w:val="00804E04"/>
    <w:rsid w:val="00814F09"/>
    <w:rsid w:val="00815094"/>
    <w:rsid w:val="0081698A"/>
    <w:rsid w:val="008219D1"/>
    <w:rsid w:val="00822DE2"/>
    <w:rsid w:val="008255DD"/>
    <w:rsid w:val="00827C61"/>
    <w:rsid w:val="008300A6"/>
    <w:rsid w:val="0083270A"/>
    <w:rsid w:val="00833A43"/>
    <w:rsid w:val="0083422B"/>
    <w:rsid w:val="00836A0E"/>
    <w:rsid w:val="0084715C"/>
    <w:rsid w:val="00850A3E"/>
    <w:rsid w:val="00857D05"/>
    <w:rsid w:val="00862383"/>
    <w:rsid w:val="008707F9"/>
    <w:rsid w:val="008736AA"/>
    <w:rsid w:val="008800D2"/>
    <w:rsid w:val="00880611"/>
    <w:rsid w:val="008813E0"/>
    <w:rsid w:val="008816C7"/>
    <w:rsid w:val="00892830"/>
    <w:rsid w:val="00893272"/>
    <w:rsid w:val="008968C2"/>
    <w:rsid w:val="008A104A"/>
    <w:rsid w:val="008A4337"/>
    <w:rsid w:val="008A6244"/>
    <w:rsid w:val="008B0BEE"/>
    <w:rsid w:val="008C0B60"/>
    <w:rsid w:val="008C2365"/>
    <w:rsid w:val="008E126B"/>
    <w:rsid w:val="008E41C5"/>
    <w:rsid w:val="00901685"/>
    <w:rsid w:val="00903EB9"/>
    <w:rsid w:val="009044E1"/>
    <w:rsid w:val="00905823"/>
    <w:rsid w:val="009070B2"/>
    <w:rsid w:val="00907749"/>
    <w:rsid w:val="0091146F"/>
    <w:rsid w:val="009123D7"/>
    <w:rsid w:val="00912B02"/>
    <w:rsid w:val="009135D8"/>
    <w:rsid w:val="009216E0"/>
    <w:rsid w:val="009245B0"/>
    <w:rsid w:val="0092473B"/>
    <w:rsid w:val="00924F4A"/>
    <w:rsid w:val="00926154"/>
    <w:rsid w:val="00930723"/>
    <w:rsid w:val="00931F4F"/>
    <w:rsid w:val="00936D97"/>
    <w:rsid w:val="00945EE5"/>
    <w:rsid w:val="00947F3B"/>
    <w:rsid w:val="009503BF"/>
    <w:rsid w:val="0096325B"/>
    <w:rsid w:val="00965283"/>
    <w:rsid w:val="009679E5"/>
    <w:rsid w:val="0098081B"/>
    <w:rsid w:val="009877D0"/>
    <w:rsid w:val="00991A52"/>
    <w:rsid w:val="00993C38"/>
    <w:rsid w:val="009A0840"/>
    <w:rsid w:val="009A3696"/>
    <w:rsid w:val="009B0E1F"/>
    <w:rsid w:val="009B21D4"/>
    <w:rsid w:val="009B3173"/>
    <w:rsid w:val="009B5CDD"/>
    <w:rsid w:val="009C784F"/>
    <w:rsid w:val="009D0DEA"/>
    <w:rsid w:val="009D475C"/>
    <w:rsid w:val="009F1A30"/>
    <w:rsid w:val="009F69E8"/>
    <w:rsid w:val="009F74AB"/>
    <w:rsid w:val="00A00081"/>
    <w:rsid w:val="00A004A2"/>
    <w:rsid w:val="00A0225E"/>
    <w:rsid w:val="00A04FF1"/>
    <w:rsid w:val="00A06101"/>
    <w:rsid w:val="00A066EE"/>
    <w:rsid w:val="00A113F0"/>
    <w:rsid w:val="00A12406"/>
    <w:rsid w:val="00A15638"/>
    <w:rsid w:val="00A209A9"/>
    <w:rsid w:val="00A22FE6"/>
    <w:rsid w:val="00A25C38"/>
    <w:rsid w:val="00A27B04"/>
    <w:rsid w:val="00A35255"/>
    <w:rsid w:val="00A37D36"/>
    <w:rsid w:val="00A509CE"/>
    <w:rsid w:val="00A522A4"/>
    <w:rsid w:val="00A57CC4"/>
    <w:rsid w:val="00A617C7"/>
    <w:rsid w:val="00A76A8E"/>
    <w:rsid w:val="00A817F8"/>
    <w:rsid w:val="00A821EF"/>
    <w:rsid w:val="00A83AF8"/>
    <w:rsid w:val="00A85075"/>
    <w:rsid w:val="00A85D5D"/>
    <w:rsid w:val="00A97AD8"/>
    <w:rsid w:val="00AA0C11"/>
    <w:rsid w:val="00AA1E1A"/>
    <w:rsid w:val="00AB1A7C"/>
    <w:rsid w:val="00AB271C"/>
    <w:rsid w:val="00AB3E04"/>
    <w:rsid w:val="00AB5869"/>
    <w:rsid w:val="00AB661C"/>
    <w:rsid w:val="00AC1876"/>
    <w:rsid w:val="00AD1096"/>
    <w:rsid w:val="00AD18D5"/>
    <w:rsid w:val="00AD2BBA"/>
    <w:rsid w:val="00AD68A4"/>
    <w:rsid w:val="00AE1B6E"/>
    <w:rsid w:val="00AE3322"/>
    <w:rsid w:val="00AE4D9F"/>
    <w:rsid w:val="00AE68C2"/>
    <w:rsid w:val="00AE73FE"/>
    <w:rsid w:val="00AF1FE2"/>
    <w:rsid w:val="00AF66EB"/>
    <w:rsid w:val="00B04125"/>
    <w:rsid w:val="00B05FE1"/>
    <w:rsid w:val="00B073C2"/>
    <w:rsid w:val="00B10028"/>
    <w:rsid w:val="00B1615B"/>
    <w:rsid w:val="00B2057C"/>
    <w:rsid w:val="00B403B9"/>
    <w:rsid w:val="00B424E5"/>
    <w:rsid w:val="00B5777D"/>
    <w:rsid w:val="00B602C5"/>
    <w:rsid w:val="00B660A4"/>
    <w:rsid w:val="00B6628A"/>
    <w:rsid w:val="00B76317"/>
    <w:rsid w:val="00B776AF"/>
    <w:rsid w:val="00B806CC"/>
    <w:rsid w:val="00B82990"/>
    <w:rsid w:val="00B8736F"/>
    <w:rsid w:val="00B9408E"/>
    <w:rsid w:val="00BA0884"/>
    <w:rsid w:val="00BA1556"/>
    <w:rsid w:val="00BA2520"/>
    <w:rsid w:val="00BB1F07"/>
    <w:rsid w:val="00BC0F08"/>
    <w:rsid w:val="00BC3E72"/>
    <w:rsid w:val="00BD09DA"/>
    <w:rsid w:val="00BD59FF"/>
    <w:rsid w:val="00BE50EB"/>
    <w:rsid w:val="00BE7EFC"/>
    <w:rsid w:val="00BF1E68"/>
    <w:rsid w:val="00BF27BA"/>
    <w:rsid w:val="00BF5B99"/>
    <w:rsid w:val="00C00D55"/>
    <w:rsid w:val="00C00D89"/>
    <w:rsid w:val="00C05853"/>
    <w:rsid w:val="00C120A0"/>
    <w:rsid w:val="00C16A71"/>
    <w:rsid w:val="00C22772"/>
    <w:rsid w:val="00C256AA"/>
    <w:rsid w:val="00C26DA1"/>
    <w:rsid w:val="00C42B3E"/>
    <w:rsid w:val="00C5101F"/>
    <w:rsid w:val="00C63C0F"/>
    <w:rsid w:val="00C67A79"/>
    <w:rsid w:val="00C83D19"/>
    <w:rsid w:val="00C85F7C"/>
    <w:rsid w:val="00C87DE8"/>
    <w:rsid w:val="00C97375"/>
    <w:rsid w:val="00C97C6F"/>
    <w:rsid w:val="00CA2AE8"/>
    <w:rsid w:val="00CA2DD1"/>
    <w:rsid w:val="00CA3613"/>
    <w:rsid w:val="00CA44C4"/>
    <w:rsid w:val="00CA7DB8"/>
    <w:rsid w:val="00CB1E45"/>
    <w:rsid w:val="00CB4C8B"/>
    <w:rsid w:val="00CB5773"/>
    <w:rsid w:val="00CB6BEC"/>
    <w:rsid w:val="00CC2A4B"/>
    <w:rsid w:val="00CC4A6D"/>
    <w:rsid w:val="00CD3986"/>
    <w:rsid w:val="00CE1CA2"/>
    <w:rsid w:val="00CF24F6"/>
    <w:rsid w:val="00CF28BF"/>
    <w:rsid w:val="00D072DB"/>
    <w:rsid w:val="00D12505"/>
    <w:rsid w:val="00D336AD"/>
    <w:rsid w:val="00D374DD"/>
    <w:rsid w:val="00D45504"/>
    <w:rsid w:val="00D46BC3"/>
    <w:rsid w:val="00D54A96"/>
    <w:rsid w:val="00D56DC7"/>
    <w:rsid w:val="00D5796D"/>
    <w:rsid w:val="00D6102D"/>
    <w:rsid w:val="00D66358"/>
    <w:rsid w:val="00D71779"/>
    <w:rsid w:val="00D71C18"/>
    <w:rsid w:val="00D733C8"/>
    <w:rsid w:val="00D741B5"/>
    <w:rsid w:val="00D76838"/>
    <w:rsid w:val="00D845D1"/>
    <w:rsid w:val="00D9166E"/>
    <w:rsid w:val="00D942F3"/>
    <w:rsid w:val="00D95821"/>
    <w:rsid w:val="00D96392"/>
    <w:rsid w:val="00D96F1F"/>
    <w:rsid w:val="00DA16A9"/>
    <w:rsid w:val="00DA1D6B"/>
    <w:rsid w:val="00DA7553"/>
    <w:rsid w:val="00DC014B"/>
    <w:rsid w:val="00DD02B9"/>
    <w:rsid w:val="00DD0C95"/>
    <w:rsid w:val="00DD2613"/>
    <w:rsid w:val="00DE1DED"/>
    <w:rsid w:val="00DE3A5E"/>
    <w:rsid w:val="00DE4F3D"/>
    <w:rsid w:val="00DE63F5"/>
    <w:rsid w:val="00DF5B5E"/>
    <w:rsid w:val="00E06242"/>
    <w:rsid w:val="00E11A1C"/>
    <w:rsid w:val="00E208CE"/>
    <w:rsid w:val="00E23C34"/>
    <w:rsid w:val="00E23C89"/>
    <w:rsid w:val="00E27BE4"/>
    <w:rsid w:val="00E27DDA"/>
    <w:rsid w:val="00E320D0"/>
    <w:rsid w:val="00E326A4"/>
    <w:rsid w:val="00E32D28"/>
    <w:rsid w:val="00E35F26"/>
    <w:rsid w:val="00E365D7"/>
    <w:rsid w:val="00E377AE"/>
    <w:rsid w:val="00E523C3"/>
    <w:rsid w:val="00E53311"/>
    <w:rsid w:val="00E54FA1"/>
    <w:rsid w:val="00E64909"/>
    <w:rsid w:val="00E66940"/>
    <w:rsid w:val="00E763B8"/>
    <w:rsid w:val="00E80986"/>
    <w:rsid w:val="00E83C68"/>
    <w:rsid w:val="00E8538F"/>
    <w:rsid w:val="00E967EE"/>
    <w:rsid w:val="00EA1798"/>
    <w:rsid w:val="00EA6C1C"/>
    <w:rsid w:val="00EB1F32"/>
    <w:rsid w:val="00EB5F6E"/>
    <w:rsid w:val="00EC1213"/>
    <w:rsid w:val="00EC6775"/>
    <w:rsid w:val="00ED6EE6"/>
    <w:rsid w:val="00EE44F6"/>
    <w:rsid w:val="00EE5F99"/>
    <w:rsid w:val="00EF0626"/>
    <w:rsid w:val="00EF4B27"/>
    <w:rsid w:val="00EF4C17"/>
    <w:rsid w:val="00F0122C"/>
    <w:rsid w:val="00F040A6"/>
    <w:rsid w:val="00F07A53"/>
    <w:rsid w:val="00F07C40"/>
    <w:rsid w:val="00F147E3"/>
    <w:rsid w:val="00F17983"/>
    <w:rsid w:val="00F26512"/>
    <w:rsid w:val="00F27A09"/>
    <w:rsid w:val="00F32841"/>
    <w:rsid w:val="00F34801"/>
    <w:rsid w:val="00F35B2D"/>
    <w:rsid w:val="00F35EC6"/>
    <w:rsid w:val="00F41009"/>
    <w:rsid w:val="00F42C60"/>
    <w:rsid w:val="00F568CE"/>
    <w:rsid w:val="00F57D16"/>
    <w:rsid w:val="00F6134B"/>
    <w:rsid w:val="00F828C1"/>
    <w:rsid w:val="00F83516"/>
    <w:rsid w:val="00F840D5"/>
    <w:rsid w:val="00F916BE"/>
    <w:rsid w:val="00F9603D"/>
    <w:rsid w:val="00FA381E"/>
    <w:rsid w:val="00FA6977"/>
    <w:rsid w:val="00FB0B39"/>
    <w:rsid w:val="00FB60FE"/>
    <w:rsid w:val="00FB650A"/>
    <w:rsid w:val="00FC6F44"/>
    <w:rsid w:val="00FD4511"/>
    <w:rsid w:val="00FD4629"/>
    <w:rsid w:val="00FD6AC3"/>
    <w:rsid w:val="00FE17D8"/>
    <w:rsid w:val="00FE1B66"/>
    <w:rsid w:val="00FF15A3"/>
    <w:rsid w:val="00FF2C8D"/>
    <w:rsid w:val="00FF73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4F8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4501"/>
    <w:pPr>
      <w:spacing w:before="75" w:after="75"/>
      <w:jc w:val="right"/>
    </w:pPr>
  </w:style>
  <w:style w:type="paragraph" w:customStyle="1" w:styleId="naiskr">
    <w:name w:val="naiskr"/>
    <w:basedOn w:val="Normal"/>
    <w:rsid w:val="00314501"/>
    <w:pPr>
      <w:spacing w:before="75" w:after="75"/>
    </w:pPr>
  </w:style>
  <w:style w:type="paragraph" w:styleId="Header">
    <w:name w:val="header"/>
    <w:basedOn w:val="Normal"/>
    <w:rsid w:val="00314501"/>
    <w:pPr>
      <w:tabs>
        <w:tab w:val="center" w:pos="4153"/>
        <w:tab w:val="right" w:pos="8306"/>
      </w:tabs>
    </w:pPr>
  </w:style>
  <w:style w:type="character" w:styleId="PageNumber">
    <w:name w:val="page number"/>
    <w:basedOn w:val="DefaultParagraphFont"/>
    <w:rsid w:val="00314501"/>
  </w:style>
  <w:style w:type="paragraph" w:customStyle="1" w:styleId="naisnod">
    <w:name w:val="naisnod"/>
    <w:basedOn w:val="Normal"/>
    <w:rsid w:val="00314501"/>
    <w:pPr>
      <w:spacing w:before="150" w:after="150"/>
      <w:jc w:val="center"/>
    </w:pPr>
    <w:rPr>
      <w:b/>
      <w:bCs/>
    </w:rPr>
  </w:style>
  <w:style w:type="paragraph" w:customStyle="1" w:styleId="naisf">
    <w:name w:val="naisf"/>
    <w:basedOn w:val="Normal"/>
    <w:rsid w:val="00314501"/>
    <w:pPr>
      <w:spacing w:before="75" w:after="75"/>
      <w:ind w:firstLine="375"/>
      <w:jc w:val="both"/>
    </w:pPr>
  </w:style>
  <w:style w:type="paragraph" w:styleId="Footer">
    <w:name w:val="footer"/>
    <w:basedOn w:val="Normal"/>
    <w:rsid w:val="00314501"/>
    <w:pPr>
      <w:tabs>
        <w:tab w:val="center" w:pos="4153"/>
        <w:tab w:val="right" w:pos="8306"/>
      </w:tabs>
    </w:pPr>
  </w:style>
  <w:style w:type="character" w:styleId="Hyperlink">
    <w:name w:val="Hyperlink"/>
    <w:basedOn w:val="DefaultParagraphFont"/>
    <w:rsid w:val="00C256AA"/>
    <w:rPr>
      <w:color w:val="0000FF"/>
      <w:u w:val="single"/>
    </w:rPr>
  </w:style>
  <w:style w:type="paragraph" w:styleId="NormalWeb">
    <w:name w:val="Normal (Web)"/>
    <w:basedOn w:val="Normal"/>
    <w:rsid w:val="00C256AA"/>
    <w:pPr>
      <w:spacing w:before="100" w:beforeAutospacing="1" w:after="100" w:afterAutospacing="1"/>
    </w:pPr>
  </w:style>
  <w:style w:type="paragraph" w:styleId="BalloonText">
    <w:name w:val="Balloon Text"/>
    <w:basedOn w:val="Normal"/>
    <w:semiHidden/>
    <w:rsid w:val="00E83C68"/>
    <w:rPr>
      <w:rFonts w:ascii="Tahoma" w:hAnsi="Tahoma" w:cs="Tahoma"/>
      <w:sz w:val="16"/>
      <w:szCs w:val="16"/>
    </w:rPr>
  </w:style>
  <w:style w:type="character" w:styleId="Strong">
    <w:name w:val="Strong"/>
    <w:basedOn w:val="DefaultParagraphFont"/>
    <w:qFormat/>
    <w:rsid w:val="00061F81"/>
    <w:rPr>
      <w:b/>
      <w:bCs/>
    </w:rPr>
  </w:style>
  <w:style w:type="table" w:styleId="TableGrid">
    <w:name w:val="Table Grid"/>
    <w:basedOn w:val="TableNormal"/>
    <w:rsid w:val="001851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42880">
      <w:bodyDiv w:val="1"/>
      <w:marLeft w:val="0"/>
      <w:marRight w:val="0"/>
      <w:marTop w:val="0"/>
      <w:marBottom w:val="0"/>
      <w:divBdr>
        <w:top w:val="none" w:sz="0" w:space="0" w:color="auto"/>
        <w:left w:val="none" w:sz="0" w:space="0" w:color="auto"/>
        <w:bottom w:val="none" w:sz="0" w:space="0" w:color="auto"/>
        <w:right w:val="none" w:sz="0" w:space="0" w:color="auto"/>
      </w:divBdr>
      <w:divsChild>
        <w:div w:id="1781298151">
          <w:marLeft w:val="0"/>
          <w:marRight w:val="0"/>
          <w:marTop w:val="0"/>
          <w:marBottom w:val="0"/>
          <w:divBdr>
            <w:top w:val="none" w:sz="0" w:space="0" w:color="auto"/>
            <w:left w:val="none" w:sz="0" w:space="0" w:color="auto"/>
            <w:bottom w:val="none" w:sz="0" w:space="0" w:color="auto"/>
            <w:right w:val="none" w:sz="0" w:space="0" w:color="auto"/>
          </w:divBdr>
          <w:divsChild>
            <w:div w:id="73374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395120">
      <w:bodyDiv w:val="1"/>
      <w:marLeft w:val="0"/>
      <w:marRight w:val="0"/>
      <w:marTop w:val="0"/>
      <w:marBottom w:val="0"/>
      <w:divBdr>
        <w:top w:val="none" w:sz="0" w:space="0" w:color="auto"/>
        <w:left w:val="none" w:sz="0" w:space="0" w:color="auto"/>
        <w:bottom w:val="none" w:sz="0" w:space="0" w:color="auto"/>
        <w:right w:val="none" w:sz="0" w:space="0" w:color="auto"/>
      </w:divBdr>
    </w:div>
    <w:div w:id="632759237">
      <w:bodyDiv w:val="1"/>
      <w:marLeft w:val="0"/>
      <w:marRight w:val="0"/>
      <w:marTop w:val="0"/>
      <w:marBottom w:val="0"/>
      <w:divBdr>
        <w:top w:val="none" w:sz="0" w:space="0" w:color="auto"/>
        <w:left w:val="none" w:sz="0" w:space="0" w:color="auto"/>
        <w:bottom w:val="none" w:sz="0" w:space="0" w:color="auto"/>
        <w:right w:val="none" w:sz="0" w:space="0" w:color="auto"/>
      </w:divBdr>
      <w:divsChild>
        <w:div w:id="128130007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1242</Words>
  <Characters>7083</Characters>
  <Application>Microsoft Office Word</Application>
  <DocSecurity>0</DocSecurity>
  <Lines>59</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Augu šķirņu aizsardzības likumā</vt:lpstr>
      <vt:lpstr> Grozījumi Augu šķirņu aizsardzības likumā</vt:lpstr>
    </vt:vector>
  </TitlesOfParts>
  <Manager>I.Gailīte-Holmberga</Manager>
  <Company>Nacionālais kino cenrs, Kultūras ministrija</Company>
  <LinksUpToDate>false</LinksUpToDate>
  <CharactersWithSpaces>8309</CharactersWithSpaces>
  <SharedDoc>false</SharedDoc>
  <HLinks>
    <vt:vector size="6" baseType="variant">
      <vt:variant>
        <vt:i4>1179674</vt:i4>
      </vt:variant>
      <vt:variant>
        <vt:i4>0</vt:i4>
      </vt:variant>
      <vt:variant>
        <vt:i4>0</vt:i4>
      </vt:variant>
      <vt:variant>
        <vt:i4>5</vt:i4>
      </vt:variant>
      <vt:variant>
        <vt:lpwstr>http://www.zm.gov.lv/?sadala=1352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KMAnot_210611_VSS548</dc:title>
  <dc:subject>Anotācija</dc:subject>
  <dc:creator>S.Voldiņš</dc:creator>
  <dc:description>Sandis.Voldins@nfc.gov.lv; 67358859</dc:description>
  <cp:lastModifiedBy>SandisV</cp:lastModifiedBy>
  <cp:revision>303</cp:revision>
  <cp:lastPrinted>2010-03-18T09:13:00Z</cp:lastPrinted>
  <dcterms:created xsi:type="dcterms:W3CDTF">2010-10-20T09:16:00Z</dcterms:created>
  <dcterms:modified xsi:type="dcterms:W3CDTF">2011-06-21T08:22:00Z</dcterms:modified>
</cp:coreProperties>
</file>