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82" w:rsidRDefault="008B6F82" w:rsidP="003A6A04">
      <w:pPr>
        <w:jc w:val="center"/>
        <w:rPr>
          <w:b/>
          <w:bCs/>
          <w:sz w:val="28"/>
          <w:szCs w:val="28"/>
        </w:rPr>
      </w:pPr>
      <w:bookmarkStart w:id="0" w:name="_GoBack"/>
      <w:bookmarkStart w:id="1" w:name="OLE_LINK5"/>
      <w:bookmarkStart w:id="2" w:name="OLE_LINK6"/>
      <w:bookmarkEnd w:id="0"/>
      <w:r w:rsidRPr="00F95433">
        <w:rPr>
          <w:b/>
          <w:sz w:val="28"/>
          <w:szCs w:val="28"/>
        </w:rPr>
        <w:t xml:space="preserve">Ministru kabineta </w:t>
      </w:r>
      <w:r w:rsidR="003A6A04">
        <w:rPr>
          <w:b/>
          <w:sz w:val="28"/>
          <w:szCs w:val="28"/>
        </w:rPr>
        <w:t>rīkojuma projekta</w:t>
      </w:r>
      <w:r w:rsidRPr="00F95433">
        <w:rPr>
          <w:b/>
          <w:sz w:val="28"/>
          <w:szCs w:val="28"/>
        </w:rPr>
        <w:t xml:space="preserve"> </w:t>
      </w:r>
      <w:r w:rsidR="003A6A04">
        <w:rPr>
          <w:b/>
          <w:sz w:val="28"/>
          <w:szCs w:val="28"/>
        </w:rPr>
        <w:t>„</w:t>
      </w:r>
      <w:r w:rsidR="003A6A04" w:rsidRPr="003A6A04">
        <w:rPr>
          <w:b/>
          <w:sz w:val="28"/>
          <w:szCs w:val="28"/>
        </w:rPr>
        <w:t>Par mērķdotāciju sadalījumu māksliniecisko kolektīvu, kuru dibinātāji nav pašvaldība, vadītāju darba samaksai un valsts sociālās apdrošināšanas obligātajām iemaksām 2014.gadam</w:t>
      </w:r>
      <w:r w:rsidR="003A6A04">
        <w:rPr>
          <w:b/>
          <w:sz w:val="28"/>
          <w:szCs w:val="28"/>
        </w:rPr>
        <w:t xml:space="preserve">” </w:t>
      </w:r>
      <w:r w:rsidRPr="00F95433">
        <w:rPr>
          <w:b/>
          <w:bCs/>
          <w:sz w:val="28"/>
          <w:szCs w:val="28"/>
        </w:rPr>
        <w:t>sākotnējās ietekmes novērtējuma ziņojums (anotācija)</w:t>
      </w:r>
    </w:p>
    <w:bookmarkEnd w:id="1"/>
    <w:bookmarkEnd w:id="2"/>
    <w:p w:rsidR="008B6F82" w:rsidRPr="00F95433" w:rsidRDefault="008B6F82" w:rsidP="008B6F82">
      <w:pPr>
        <w:jc w:val="center"/>
        <w:rPr>
          <w:b/>
          <w:color w:val="0D0D0D"/>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2976"/>
        <w:gridCol w:w="5684"/>
      </w:tblGrid>
      <w:tr w:rsidR="008B6F82" w:rsidRPr="001D0A49" w:rsidTr="00C71066">
        <w:trPr>
          <w:trHeight w:val="535"/>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8B6F82" w:rsidRPr="001D0A49" w:rsidRDefault="008B6F82" w:rsidP="00C71066">
            <w:pPr>
              <w:spacing w:before="100" w:beforeAutospacing="1" w:after="100" w:afterAutospacing="1"/>
              <w:jc w:val="center"/>
              <w:rPr>
                <w:sz w:val="28"/>
                <w:szCs w:val="28"/>
              </w:rPr>
            </w:pPr>
            <w:bookmarkStart w:id="3" w:name="OLE_LINK3"/>
            <w:bookmarkStart w:id="4" w:name="OLE_LINK1"/>
            <w:bookmarkStart w:id="5" w:name="OLE_LINK2"/>
            <w:bookmarkStart w:id="6" w:name="OLE_LINK4"/>
            <w:r w:rsidRPr="001D0A49">
              <w:rPr>
                <w:b/>
                <w:bCs/>
                <w:sz w:val="28"/>
                <w:szCs w:val="28"/>
              </w:rPr>
              <w:t>I. Tiesību akta projekta izstrādes nepieciešamība</w:t>
            </w:r>
          </w:p>
        </w:tc>
      </w:tr>
      <w:tr w:rsidR="008B6F82" w:rsidRPr="001D0A49" w:rsidTr="00C71066">
        <w:trPr>
          <w:trHeight w:val="207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1.</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Pamatojums</w:t>
            </w:r>
          </w:p>
        </w:tc>
        <w:tc>
          <w:tcPr>
            <w:tcW w:w="5684" w:type="dxa"/>
            <w:tcBorders>
              <w:top w:val="outset" w:sz="6" w:space="0" w:color="auto"/>
              <w:left w:val="outset" w:sz="6" w:space="0" w:color="auto"/>
              <w:bottom w:val="outset" w:sz="6" w:space="0" w:color="auto"/>
              <w:right w:val="outset" w:sz="6" w:space="0" w:color="auto"/>
            </w:tcBorders>
          </w:tcPr>
          <w:p w:rsidR="008B6F82" w:rsidRPr="00680FD0" w:rsidRDefault="008B6F82" w:rsidP="00CE35B3">
            <w:pPr>
              <w:ind w:firstLine="357"/>
              <w:jc w:val="both"/>
              <w:rPr>
                <w:iCs/>
                <w:sz w:val="28"/>
                <w:szCs w:val="28"/>
                <w:shd w:val="clear" w:color="auto" w:fill="FFFFFF"/>
              </w:rPr>
            </w:pPr>
            <w:r>
              <w:rPr>
                <w:sz w:val="28"/>
                <w:szCs w:val="28"/>
              </w:rPr>
              <w:t xml:space="preserve">Ministru kabineta </w:t>
            </w:r>
            <w:r w:rsidR="003A6A04">
              <w:rPr>
                <w:sz w:val="28"/>
                <w:szCs w:val="28"/>
              </w:rPr>
              <w:t>rīkojuma</w:t>
            </w:r>
            <w:r>
              <w:rPr>
                <w:sz w:val="28"/>
                <w:szCs w:val="28"/>
              </w:rPr>
              <w:t xml:space="preserve"> </w:t>
            </w:r>
            <w:r w:rsidR="003A6A04">
              <w:rPr>
                <w:sz w:val="28"/>
                <w:szCs w:val="28"/>
              </w:rPr>
              <w:t xml:space="preserve">projekts </w:t>
            </w:r>
            <w:r w:rsidR="003A6A04" w:rsidRPr="003A6A04">
              <w:rPr>
                <w:sz w:val="28"/>
                <w:szCs w:val="28"/>
              </w:rPr>
              <w:t xml:space="preserve">„Par mērķdotāciju sadalījumu māksliniecisko kolektīvu, kuru dibinātāji nav pašvaldība, vadītāju darba samaksai un valsts sociālās apdrošināšanas obligātajām iemaksām 2014.gadam” sākotnējās ietekmes novērtējuma ziņojums (anotācija) </w:t>
            </w:r>
            <w:r w:rsidRPr="00A61262">
              <w:rPr>
                <w:sz w:val="28"/>
                <w:szCs w:val="28"/>
              </w:rPr>
              <w:t xml:space="preserve">(turpmāk – Projekts) izstrādāts, pamatojoties uz </w:t>
            </w:r>
            <w:r w:rsidR="00CE35B3">
              <w:rPr>
                <w:sz w:val="28"/>
                <w:szCs w:val="28"/>
              </w:rPr>
              <w:t>Ministru kabineta noteikumu „</w:t>
            </w:r>
            <w:r w:rsidR="00CE35B3" w:rsidRPr="00CE35B3">
              <w:rPr>
                <w:sz w:val="28"/>
                <w:szCs w:val="28"/>
              </w:rPr>
              <w:t>Kārtība, kādā tiek aprēķināta un sadalīta valsts budžeta mērķdotācija māksliniecisko kolektīvu, kuru dibinātāji nav pašvaldība, vadītāju darba samaksai un valsts sociālās apdrošināšanas obligātajām iemaksām</w:t>
            </w:r>
            <w:r w:rsidR="00CE35B3">
              <w:rPr>
                <w:sz w:val="28"/>
                <w:szCs w:val="28"/>
              </w:rPr>
              <w:t>” 9.punktu.</w:t>
            </w:r>
          </w:p>
        </w:tc>
      </w:tr>
      <w:tr w:rsidR="008B6F82" w:rsidRPr="001D0A49" w:rsidTr="00C71066">
        <w:trPr>
          <w:trHeight w:val="472"/>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2.</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Pašreizējā situācija un problēmas</w:t>
            </w:r>
          </w:p>
        </w:tc>
        <w:tc>
          <w:tcPr>
            <w:tcW w:w="5684" w:type="dxa"/>
            <w:tcBorders>
              <w:top w:val="outset" w:sz="6" w:space="0" w:color="auto"/>
              <w:left w:val="outset" w:sz="6" w:space="0" w:color="auto"/>
              <w:bottom w:val="outset" w:sz="6" w:space="0" w:color="auto"/>
              <w:right w:val="outset" w:sz="6" w:space="0" w:color="auto"/>
            </w:tcBorders>
          </w:tcPr>
          <w:p w:rsidR="001E4A23" w:rsidRDefault="004920B1" w:rsidP="001E4A23">
            <w:pPr>
              <w:suppressAutoHyphens w:val="0"/>
              <w:ind w:firstLine="411"/>
              <w:jc w:val="both"/>
              <w:rPr>
                <w:sz w:val="28"/>
                <w:szCs w:val="28"/>
                <w:lang w:eastAsia="en-US" w:bidi="yi-Hebr"/>
              </w:rPr>
            </w:pPr>
            <w:r>
              <w:rPr>
                <w:sz w:val="28"/>
                <w:szCs w:val="28"/>
                <w:lang w:eastAsia="en-US" w:bidi="yi-Hebr"/>
              </w:rPr>
              <w:t xml:space="preserve">Kultūras ministrija ir izstrādājusi </w:t>
            </w:r>
            <w:r>
              <w:rPr>
                <w:sz w:val="28"/>
                <w:szCs w:val="28"/>
              </w:rPr>
              <w:t>Ministru kabineta noteikumu projektu „</w:t>
            </w:r>
            <w:r w:rsidRPr="00CE35B3">
              <w:rPr>
                <w:sz w:val="28"/>
                <w:szCs w:val="28"/>
              </w:rPr>
              <w:t>Kārtība, kādā tiek aprēķināta un sadalīta valsts budžeta mērķdotācija māksliniecisko kolektīvu, kuru dibinātāji nav pašvaldība, vadītāju darba samaksai un valsts sociālās apdrošināšanas obligātajām iemaksām</w:t>
            </w:r>
            <w:r>
              <w:rPr>
                <w:sz w:val="28"/>
                <w:szCs w:val="28"/>
              </w:rPr>
              <w:t>”</w:t>
            </w:r>
            <w:r w:rsidR="001E4A23">
              <w:rPr>
                <w:sz w:val="28"/>
                <w:szCs w:val="28"/>
              </w:rPr>
              <w:t xml:space="preserve">, </w:t>
            </w:r>
            <w:r>
              <w:rPr>
                <w:sz w:val="28"/>
                <w:szCs w:val="28"/>
              </w:rPr>
              <w:t xml:space="preserve">kas nosaka, ka mērķdotācijas sadalījumu apstiprina Ministru kabinetā. </w:t>
            </w:r>
            <w:r w:rsidR="000645FA">
              <w:rPr>
                <w:sz w:val="28"/>
                <w:szCs w:val="28"/>
                <w:lang w:eastAsia="en-US" w:bidi="yi-Hebr"/>
              </w:rPr>
              <w:t xml:space="preserve">Dziesmu un deju svētku likuma 7.panta pirmās daļas 7.punkts nosaka, </w:t>
            </w:r>
            <w:r w:rsidR="000645FA" w:rsidRPr="000645FA">
              <w:rPr>
                <w:sz w:val="28"/>
                <w:szCs w:val="28"/>
                <w:lang w:eastAsia="en-US" w:bidi="yi-Hebr"/>
              </w:rPr>
              <w:t xml:space="preserve">ka Ministru kabinets nosaka kārtību, kādā tiek sadalīta valsts mērķdotācija kolektīvu vadītāju darba samaksai un sociālā nodokļa samaksai, kā arī sadalīšanas kritērijus un 9.panta otrās daļas 9.punktā noteikts, ka valsts budžeta līdzekļi kārtējo Dziesmu un deju svētku starplaikā tiek izmantoti valsts mērķdotācijai kolektīvu vadītāju darba samaksai un sociālā nodokļa samaksai. </w:t>
            </w:r>
            <w:r w:rsidR="000645FA">
              <w:rPr>
                <w:sz w:val="28"/>
                <w:szCs w:val="28"/>
                <w:lang w:eastAsia="en-US" w:bidi="yi-Hebr"/>
              </w:rPr>
              <w:t>Kārtību</w:t>
            </w:r>
            <w:r w:rsidR="00F1007D">
              <w:rPr>
                <w:sz w:val="28"/>
                <w:szCs w:val="28"/>
                <w:lang w:eastAsia="en-US" w:bidi="yi-Hebr"/>
              </w:rPr>
              <w:t>,</w:t>
            </w:r>
            <w:r w:rsidR="000645FA">
              <w:rPr>
                <w:sz w:val="28"/>
                <w:szCs w:val="28"/>
                <w:lang w:eastAsia="en-US" w:bidi="yi-Hebr"/>
              </w:rPr>
              <w:t xml:space="preserve"> kādā tiek sadalīta</w:t>
            </w:r>
            <w:r w:rsidR="000645FA">
              <w:t xml:space="preserve"> </w:t>
            </w:r>
            <w:r w:rsidR="000645FA" w:rsidRPr="000645FA">
              <w:rPr>
                <w:sz w:val="28"/>
                <w:szCs w:val="28"/>
                <w:lang w:eastAsia="en-US" w:bidi="yi-Hebr"/>
              </w:rPr>
              <w:t>valsts</w:t>
            </w:r>
            <w:r w:rsidR="000645FA">
              <w:rPr>
                <w:sz w:val="28"/>
                <w:szCs w:val="28"/>
                <w:lang w:eastAsia="en-US" w:bidi="yi-Hebr"/>
              </w:rPr>
              <w:t xml:space="preserve"> mērķdotācija kolektīvu vadītāju darba samaksai un sociālā nodokļa samaksai</w:t>
            </w:r>
            <w:r w:rsidR="00F1007D">
              <w:rPr>
                <w:sz w:val="28"/>
                <w:szCs w:val="28"/>
                <w:lang w:eastAsia="en-US" w:bidi="yi-Hebr"/>
              </w:rPr>
              <w:t>,</w:t>
            </w:r>
            <w:r w:rsidR="000645FA">
              <w:rPr>
                <w:sz w:val="28"/>
                <w:szCs w:val="28"/>
                <w:lang w:eastAsia="en-US" w:bidi="yi-Hebr"/>
              </w:rPr>
              <w:t xml:space="preserve"> </w:t>
            </w:r>
            <w:r w:rsidR="001E4A23">
              <w:rPr>
                <w:sz w:val="28"/>
                <w:szCs w:val="28"/>
                <w:lang w:eastAsia="en-US" w:bidi="yi-Hebr"/>
              </w:rPr>
              <w:t>līdz šim noteica</w:t>
            </w:r>
            <w:r w:rsidR="000645FA">
              <w:rPr>
                <w:sz w:val="28"/>
                <w:szCs w:val="28"/>
                <w:lang w:eastAsia="en-US" w:bidi="yi-Hebr"/>
              </w:rPr>
              <w:t xml:space="preserve"> </w:t>
            </w:r>
            <w:r w:rsidR="000645FA" w:rsidRPr="000645FA">
              <w:rPr>
                <w:sz w:val="28"/>
                <w:szCs w:val="28"/>
                <w:lang w:eastAsia="en-US" w:bidi="yi-Hebr"/>
              </w:rPr>
              <w:t xml:space="preserve">Ministru kabineta </w:t>
            </w:r>
            <w:r w:rsidR="000645FA">
              <w:rPr>
                <w:sz w:val="28"/>
                <w:szCs w:val="28"/>
                <w:lang w:eastAsia="en-US" w:bidi="yi-Hebr"/>
              </w:rPr>
              <w:t>2012.gada 25.septembra</w:t>
            </w:r>
            <w:r w:rsidR="000645FA" w:rsidRPr="000645FA">
              <w:rPr>
                <w:sz w:val="28"/>
                <w:szCs w:val="28"/>
                <w:lang w:eastAsia="en-US" w:bidi="yi-Hebr"/>
              </w:rPr>
              <w:t xml:space="preserve"> </w:t>
            </w:r>
            <w:r w:rsidR="000645FA">
              <w:rPr>
                <w:sz w:val="28"/>
                <w:szCs w:val="28"/>
                <w:lang w:eastAsia="en-US" w:bidi="yi-Hebr"/>
              </w:rPr>
              <w:t>noteikumi Nr.670 „</w:t>
            </w:r>
            <w:r w:rsidR="000645FA" w:rsidRPr="000645FA">
              <w:rPr>
                <w:sz w:val="28"/>
                <w:szCs w:val="28"/>
                <w:lang w:eastAsia="en-US" w:bidi="yi-Hebr"/>
              </w:rPr>
              <w:t xml:space="preserve">Kārtība, kādā pašvaldībām </w:t>
            </w:r>
            <w:r w:rsidR="000645FA" w:rsidRPr="000645FA">
              <w:rPr>
                <w:sz w:val="28"/>
                <w:szCs w:val="28"/>
                <w:lang w:eastAsia="en-US" w:bidi="yi-Hebr"/>
              </w:rPr>
              <w:lastRenderedPageBreak/>
              <w:t>tiek aprēķināta un sadalīta valsts budžeta mērķdotācija māksliniecisko kolektīvu vadītāju darba samaksai un valsts sociālās apdrošināšanas obligātajām iemaksām</w:t>
            </w:r>
            <w:r w:rsidR="000645FA">
              <w:rPr>
                <w:sz w:val="28"/>
                <w:szCs w:val="28"/>
                <w:lang w:eastAsia="en-US" w:bidi="yi-Hebr"/>
              </w:rPr>
              <w:t>”</w:t>
            </w:r>
            <w:r w:rsidR="001E4A23">
              <w:rPr>
                <w:sz w:val="28"/>
                <w:szCs w:val="28"/>
                <w:lang w:eastAsia="en-US" w:bidi="yi-Hebr"/>
              </w:rPr>
              <w:t xml:space="preserve"> (turpmāk- Noteikumi). Noteikumos ir noteikts, ka</w:t>
            </w:r>
            <w:r w:rsidR="000645FA">
              <w:rPr>
                <w:sz w:val="28"/>
                <w:szCs w:val="28"/>
                <w:lang w:eastAsia="en-US" w:bidi="yi-Hebr"/>
              </w:rPr>
              <w:t xml:space="preserve"> valsts mērķdotāciju saņem </w:t>
            </w:r>
            <w:r w:rsidR="000645FA" w:rsidRPr="000645FA">
              <w:rPr>
                <w:sz w:val="28"/>
                <w:szCs w:val="28"/>
                <w:lang w:eastAsia="en-US" w:bidi="yi-Hebr"/>
              </w:rPr>
              <w:t xml:space="preserve">pašvaldības par to teritorijā esošajiem kolektīviem. </w:t>
            </w:r>
          </w:p>
          <w:p w:rsidR="001E4A23" w:rsidRPr="001E4A23" w:rsidRDefault="00DD3EC5" w:rsidP="001E4A23">
            <w:pPr>
              <w:suppressAutoHyphens w:val="0"/>
              <w:ind w:firstLine="411"/>
              <w:jc w:val="both"/>
              <w:rPr>
                <w:sz w:val="28"/>
                <w:szCs w:val="28"/>
              </w:rPr>
            </w:pPr>
            <w:r w:rsidRPr="000645FA">
              <w:rPr>
                <w:sz w:val="28"/>
                <w:szCs w:val="28"/>
                <w:lang w:eastAsia="en-US" w:bidi="yi-Hebr"/>
              </w:rPr>
              <w:t>Noteikumu piemērošanas procesā tika konstatēts, ka atsevišķām paš</w:t>
            </w:r>
            <w:r w:rsidR="000645FA">
              <w:rPr>
                <w:sz w:val="28"/>
                <w:szCs w:val="28"/>
                <w:lang w:eastAsia="en-US" w:bidi="yi-Hebr"/>
              </w:rPr>
              <w:t>valdībām nav tiesiskas attiecība</w:t>
            </w:r>
            <w:r w:rsidRPr="000645FA">
              <w:rPr>
                <w:sz w:val="28"/>
                <w:szCs w:val="28"/>
                <w:lang w:eastAsia="en-US" w:bidi="yi-Hebr"/>
              </w:rPr>
              <w:t xml:space="preserve">s ar konkrētu māksliniecisko kolektīvu vadītājiem, kuri regulāri, t.sk. ar izciliem mākslinieciskajiem sasniegumiem piedalās Dziesmu un deju svētku tradīcijas ilgtspējas nodrošināšanā. Ņemot vērā iepriekš minēto, pēc Finanšu ministrijas ierosinājuma, Kultūras ministrija sadarbībā ar Latvijas Nacionālo kultūras centru ir </w:t>
            </w:r>
            <w:r w:rsidR="000645FA">
              <w:rPr>
                <w:sz w:val="28"/>
                <w:szCs w:val="28"/>
                <w:lang w:eastAsia="en-US" w:bidi="yi-Hebr"/>
              </w:rPr>
              <w:t xml:space="preserve">izstrādājusi </w:t>
            </w:r>
            <w:r w:rsidR="001E4A23" w:rsidRPr="001E4A23">
              <w:rPr>
                <w:sz w:val="28"/>
                <w:szCs w:val="28"/>
                <w:lang w:eastAsia="en-US" w:bidi="yi-Hebr"/>
              </w:rPr>
              <w:t>Ministru kabineta noteikumu projektu „Kārtība, kādā tiek aprēķināta un sadalīta valsts budžeta mērķdotācija māksliniecisko kolektīvu, kuru dibinātāji nav pašvaldība, vadītāju darba samaksai un valsts sociālās apdrošināšanas obligātajām iemaksām”</w:t>
            </w:r>
            <w:r w:rsidRPr="000645FA">
              <w:rPr>
                <w:sz w:val="28"/>
                <w:szCs w:val="28"/>
                <w:lang w:eastAsia="en-US" w:bidi="yi-Hebr"/>
              </w:rPr>
              <w:t>, k</w:t>
            </w:r>
            <w:r w:rsidR="00651B00">
              <w:rPr>
                <w:sz w:val="28"/>
                <w:szCs w:val="28"/>
                <w:lang w:eastAsia="en-US" w:bidi="yi-Hebr"/>
              </w:rPr>
              <w:t>as</w:t>
            </w:r>
            <w:r w:rsidRPr="000645FA">
              <w:rPr>
                <w:sz w:val="28"/>
                <w:szCs w:val="28"/>
                <w:lang w:eastAsia="en-US" w:bidi="yi-Hebr"/>
              </w:rPr>
              <w:t xml:space="preserve"> noteiks kārtību</w:t>
            </w:r>
            <w:r w:rsidR="00651B00">
              <w:rPr>
                <w:sz w:val="28"/>
                <w:szCs w:val="28"/>
                <w:lang w:eastAsia="en-US" w:bidi="yi-Hebr"/>
              </w:rPr>
              <w:t>,</w:t>
            </w:r>
            <w:r w:rsidRPr="000645FA">
              <w:rPr>
                <w:sz w:val="28"/>
                <w:szCs w:val="28"/>
                <w:lang w:eastAsia="en-US" w:bidi="yi-Hebr"/>
              </w:rPr>
              <w:t xml:space="preserve"> kādā ne pašvaldību dibinātu māksliniecisko kolektīvu vadītājiem tiek aprēķināta un sadalīta mērķdotācija</w:t>
            </w:r>
            <w:r w:rsidR="001E4A23">
              <w:rPr>
                <w:sz w:val="28"/>
                <w:szCs w:val="28"/>
                <w:lang w:eastAsia="en-US" w:bidi="yi-Hebr"/>
              </w:rPr>
              <w:t xml:space="preserve">. Projekts paredz noteikt mērķdotācijas sadalījumu pa kolektīviem saskaņā ar </w:t>
            </w:r>
            <w:r w:rsidR="001E4A23">
              <w:rPr>
                <w:sz w:val="28"/>
                <w:szCs w:val="28"/>
              </w:rPr>
              <w:t>Ministru kabineta noteikumu projektu „</w:t>
            </w:r>
            <w:r w:rsidR="001E4A23" w:rsidRPr="00CE35B3">
              <w:rPr>
                <w:sz w:val="28"/>
                <w:szCs w:val="28"/>
              </w:rPr>
              <w:t xml:space="preserve">Kārtība, kādā tiek aprēķināta un sadalīta valsts budžeta mērķdotācija māksliniecisko kolektīvu, kuru dibinātāji nav </w:t>
            </w:r>
            <w:r w:rsidR="001E4A23" w:rsidRPr="001E4A23">
              <w:rPr>
                <w:sz w:val="28"/>
                <w:szCs w:val="28"/>
              </w:rPr>
              <w:t>pašvaldība, vadītāju darba samaksai un valsts sociālās apdrošināšanas obligātajām iemaksām”.</w:t>
            </w:r>
          </w:p>
          <w:p w:rsidR="008B6F82" w:rsidRPr="00F91D33" w:rsidRDefault="00DD3EC5" w:rsidP="001E4A23">
            <w:pPr>
              <w:suppressAutoHyphens w:val="0"/>
              <w:ind w:firstLine="411"/>
              <w:jc w:val="both"/>
              <w:rPr>
                <w:sz w:val="28"/>
                <w:szCs w:val="28"/>
                <w:lang w:eastAsia="en-US" w:bidi="yi-Hebr"/>
              </w:rPr>
            </w:pPr>
            <w:r w:rsidRPr="001E4A23">
              <w:rPr>
                <w:sz w:val="28"/>
                <w:szCs w:val="28"/>
                <w:lang w:eastAsia="en-US" w:bidi="yi-Hebr"/>
              </w:rPr>
              <w:t xml:space="preserve">Latvijas Nacionālais kultūras centrs ir apkopojis informāciju par mākslinieciskajiem kolektīviem un to juridisko statusu, kuru dibinātāji nav pašvaldības </w:t>
            </w:r>
            <w:r w:rsidR="001E4A23">
              <w:rPr>
                <w:sz w:val="28"/>
                <w:szCs w:val="28"/>
                <w:lang w:eastAsia="en-US" w:bidi="yi-Hebr"/>
              </w:rPr>
              <w:t>(Projekta 1.pielikums un 2.pielikums).</w:t>
            </w:r>
          </w:p>
        </w:tc>
      </w:tr>
      <w:tr w:rsidR="008B6F82" w:rsidRPr="001D0A49" w:rsidTr="00C71066">
        <w:trPr>
          <w:trHeight w:val="688"/>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lastRenderedPageBreak/>
              <w:t>3.</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Saistītie politikas ietekmes novērtējumi un pētījumi</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ind w:right="57"/>
              <w:rPr>
                <w:sz w:val="28"/>
                <w:szCs w:val="28"/>
              </w:rPr>
            </w:pPr>
            <w:r>
              <w:rPr>
                <w:sz w:val="28"/>
                <w:szCs w:val="28"/>
              </w:rPr>
              <w:t xml:space="preserve"> Projekts šo jomu neskar.</w:t>
            </w:r>
          </w:p>
        </w:tc>
      </w:tr>
      <w:tr w:rsidR="008B6F82" w:rsidRPr="001D0A49" w:rsidTr="00C71066">
        <w:trPr>
          <w:trHeight w:val="384"/>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4.</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Tiesiskā regulējuma mērķis un būtība</w:t>
            </w:r>
          </w:p>
        </w:tc>
        <w:tc>
          <w:tcPr>
            <w:tcW w:w="5684" w:type="dxa"/>
            <w:tcBorders>
              <w:top w:val="outset" w:sz="6" w:space="0" w:color="auto"/>
              <w:left w:val="outset" w:sz="6" w:space="0" w:color="auto"/>
              <w:bottom w:val="outset" w:sz="6" w:space="0" w:color="auto"/>
              <w:right w:val="outset" w:sz="6" w:space="0" w:color="auto"/>
            </w:tcBorders>
          </w:tcPr>
          <w:p w:rsidR="001E4A23" w:rsidRDefault="008B6F82" w:rsidP="001E4A23">
            <w:pPr>
              <w:ind w:right="34" w:firstLine="411"/>
              <w:jc w:val="both"/>
              <w:rPr>
                <w:sz w:val="28"/>
                <w:szCs w:val="28"/>
              </w:rPr>
            </w:pPr>
            <w:r w:rsidRPr="008E3743">
              <w:rPr>
                <w:sz w:val="28"/>
                <w:szCs w:val="28"/>
              </w:rPr>
              <w:t xml:space="preserve">Projekts sagatavots, lai </w:t>
            </w:r>
            <w:r w:rsidR="004920B1">
              <w:rPr>
                <w:sz w:val="28"/>
                <w:szCs w:val="28"/>
              </w:rPr>
              <w:t>apstiprinātu</w:t>
            </w:r>
            <w:r w:rsidRPr="008E3743">
              <w:rPr>
                <w:sz w:val="28"/>
                <w:szCs w:val="28"/>
              </w:rPr>
              <w:t xml:space="preserve"> valsts budžeta mērķdotācija</w:t>
            </w:r>
            <w:r w:rsidR="004920B1">
              <w:rPr>
                <w:sz w:val="28"/>
                <w:szCs w:val="28"/>
              </w:rPr>
              <w:t>s</w:t>
            </w:r>
            <w:r w:rsidRPr="008E3743">
              <w:rPr>
                <w:sz w:val="28"/>
                <w:szCs w:val="28"/>
              </w:rPr>
              <w:t xml:space="preserve"> māksliniecisko kolektīvu</w:t>
            </w:r>
            <w:r w:rsidR="00DD3EC5">
              <w:rPr>
                <w:sz w:val="28"/>
                <w:szCs w:val="28"/>
              </w:rPr>
              <w:t xml:space="preserve">, </w:t>
            </w:r>
            <w:r w:rsidR="00DD3EC5">
              <w:rPr>
                <w:sz w:val="28"/>
                <w:szCs w:val="28"/>
              </w:rPr>
              <w:lastRenderedPageBreak/>
              <w:t>kuru dibinātāji nav pašvaldības,</w:t>
            </w:r>
            <w:r w:rsidRPr="008E3743">
              <w:rPr>
                <w:sz w:val="28"/>
                <w:szCs w:val="28"/>
              </w:rPr>
              <w:t xml:space="preserve"> vadītāju darba samaksai un valsts sociālās apdrošināšanas obligātajām iemaksām</w:t>
            </w:r>
            <w:r w:rsidR="004920B1">
              <w:rPr>
                <w:sz w:val="28"/>
                <w:szCs w:val="28"/>
              </w:rPr>
              <w:t>, sadalījumu</w:t>
            </w:r>
            <w:r w:rsidRPr="008E3743">
              <w:rPr>
                <w:sz w:val="28"/>
                <w:szCs w:val="28"/>
              </w:rPr>
              <w:t xml:space="preserve">. </w:t>
            </w:r>
          </w:p>
          <w:p w:rsidR="008B6F82" w:rsidRPr="00861736" w:rsidRDefault="004920B1" w:rsidP="001E4A23">
            <w:pPr>
              <w:ind w:right="34" w:firstLine="411"/>
              <w:jc w:val="both"/>
              <w:rPr>
                <w:sz w:val="28"/>
                <w:szCs w:val="28"/>
              </w:rPr>
            </w:pPr>
            <w:r>
              <w:rPr>
                <w:sz w:val="28"/>
                <w:szCs w:val="28"/>
              </w:rPr>
              <w:t>M</w:t>
            </w:r>
            <w:r w:rsidR="00474CE4" w:rsidRPr="00474CE4">
              <w:rPr>
                <w:sz w:val="28"/>
                <w:szCs w:val="28"/>
              </w:rPr>
              <w:t>ērķdotācijas apmēr</w:t>
            </w:r>
            <w:r>
              <w:rPr>
                <w:sz w:val="28"/>
                <w:szCs w:val="28"/>
              </w:rPr>
              <w:t>s</w:t>
            </w:r>
            <w:r w:rsidR="00474CE4" w:rsidRPr="00474CE4">
              <w:rPr>
                <w:sz w:val="28"/>
                <w:szCs w:val="28"/>
              </w:rPr>
              <w:t xml:space="preserve"> katram </w:t>
            </w:r>
            <w:r>
              <w:rPr>
                <w:sz w:val="28"/>
                <w:szCs w:val="28"/>
              </w:rPr>
              <w:t xml:space="preserve">mākslinieciskajam kolektīvam veikts, pamatojoties uz </w:t>
            </w:r>
            <w:r w:rsidR="001E4A23" w:rsidRPr="001E4A23">
              <w:rPr>
                <w:sz w:val="28"/>
                <w:szCs w:val="28"/>
              </w:rPr>
              <w:t>Ministru kabineta noteikumu „Kārtība, kādā tiek aprēķināta un sadalīta valsts budžeta mērķdotācija māksliniecisko kolektīvu, kuru dibinātāji nav pašvaldība, vadītāju darba samaksai un valsts sociālās apdro</w:t>
            </w:r>
            <w:r w:rsidR="001E4A23">
              <w:rPr>
                <w:sz w:val="28"/>
                <w:szCs w:val="28"/>
              </w:rPr>
              <w:t xml:space="preserve">šināšanas obligātajām iemaksām” </w:t>
            </w:r>
            <w:r w:rsidR="00474CE4">
              <w:rPr>
                <w:sz w:val="28"/>
                <w:szCs w:val="28"/>
              </w:rPr>
              <w:t>noteikto aprēķina formulu.</w:t>
            </w:r>
          </w:p>
        </w:tc>
      </w:tr>
      <w:tr w:rsidR="008B6F82" w:rsidRPr="001D0A49" w:rsidTr="00C71066">
        <w:trPr>
          <w:trHeight w:val="47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lastRenderedPageBreak/>
              <w:t>5.</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Projekta izstrādē iesaistītās institūcijas</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ind w:left="57" w:right="57"/>
              <w:jc w:val="both"/>
              <w:rPr>
                <w:sz w:val="28"/>
                <w:szCs w:val="28"/>
              </w:rPr>
            </w:pPr>
            <w:r w:rsidRPr="001D0A49">
              <w:rPr>
                <w:sz w:val="28"/>
                <w:szCs w:val="28"/>
              </w:rPr>
              <w:t xml:space="preserve">Kultūras ministrija, </w:t>
            </w:r>
            <w:r>
              <w:rPr>
                <w:sz w:val="28"/>
                <w:szCs w:val="28"/>
              </w:rPr>
              <w:t xml:space="preserve">Finanšu ministrija, </w:t>
            </w:r>
            <w:r w:rsidR="00DD3EC5">
              <w:rPr>
                <w:sz w:val="28"/>
                <w:szCs w:val="28"/>
              </w:rPr>
              <w:t>Latvijas Nacionālais kultūras centrs</w:t>
            </w:r>
            <w:r w:rsidR="008E0D6B">
              <w:rPr>
                <w:sz w:val="28"/>
                <w:szCs w:val="28"/>
              </w:rPr>
              <w:t>.</w:t>
            </w:r>
          </w:p>
        </w:tc>
      </w:tr>
      <w:tr w:rsidR="008B6F82" w:rsidRPr="001D0A49" w:rsidTr="00C71066">
        <w:trPr>
          <w:trHeight w:val="681"/>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6.</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Iemesli, kādēļ netika nodrošināta sabiedrības līdzdalība</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ind w:right="57"/>
              <w:rPr>
                <w:sz w:val="28"/>
                <w:szCs w:val="28"/>
              </w:rPr>
            </w:pPr>
            <w:r>
              <w:rPr>
                <w:sz w:val="28"/>
                <w:szCs w:val="28"/>
              </w:rPr>
              <w:t xml:space="preserve"> Projekts šo jomu neskar.</w:t>
            </w:r>
          </w:p>
        </w:tc>
      </w:tr>
      <w:tr w:rsidR="008B6F82" w:rsidRPr="001D0A49" w:rsidTr="00C71066">
        <w:trPr>
          <w:trHeight w:val="506"/>
          <w:tblCellSpacing w:w="0" w:type="dxa"/>
        </w:trPr>
        <w:tc>
          <w:tcPr>
            <w:tcW w:w="441" w:type="dxa"/>
            <w:tcBorders>
              <w:top w:val="outset" w:sz="6" w:space="0" w:color="auto"/>
              <w:left w:val="outset" w:sz="6" w:space="0" w:color="auto"/>
              <w:bottom w:val="outset" w:sz="6" w:space="0" w:color="auto"/>
              <w:right w:val="outset" w:sz="6" w:space="0" w:color="auto"/>
            </w:tcBorders>
          </w:tcPr>
          <w:p w:rsidR="008B6F82" w:rsidRPr="001D0A49" w:rsidRDefault="008B6F82" w:rsidP="00651B00">
            <w:pPr>
              <w:spacing w:before="100" w:beforeAutospacing="1" w:after="100" w:afterAutospacing="1"/>
              <w:jc w:val="center"/>
              <w:rPr>
                <w:sz w:val="28"/>
                <w:szCs w:val="28"/>
              </w:rPr>
            </w:pPr>
            <w:r w:rsidRPr="001D0A49">
              <w:rPr>
                <w:sz w:val="28"/>
                <w:szCs w:val="28"/>
              </w:rPr>
              <w:t>7.</w:t>
            </w:r>
          </w:p>
        </w:tc>
        <w:tc>
          <w:tcPr>
            <w:tcW w:w="2976"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spacing w:before="100" w:beforeAutospacing="1" w:after="100" w:afterAutospacing="1"/>
              <w:rPr>
                <w:sz w:val="28"/>
                <w:szCs w:val="28"/>
              </w:rPr>
            </w:pPr>
            <w:r w:rsidRPr="001D0A49">
              <w:rPr>
                <w:sz w:val="28"/>
                <w:szCs w:val="28"/>
              </w:rPr>
              <w:t> Cita informācija</w:t>
            </w:r>
          </w:p>
        </w:tc>
        <w:tc>
          <w:tcPr>
            <w:tcW w:w="5684" w:type="dxa"/>
            <w:tcBorders>
              <w:top w:val="outset" w:sz="6" w:space="0" w:color="auto"/>
              <w:left w:val="outset" w:sz="6" w:space="0" w:color="auto"/>
              <w:bottom w:val="outset" w:sz="6" w:space="0" w:color="auto"/>
              <w:right w:val="outset" w:sz="6" w:space="0" w:color="auto"/>
            </w:tcBorders>
          </w:tcPr>
          <w:p w:rsidR="008B6F82" w:rsidRPr="001D0A49" w:rsidRDefault="008B6F82" w:rsidP="00C71066">
            <w:pPr>
              <w:jc w:val="both"/>
              <w:rPr>
                <w:sz w:val="28"/>
                <w:szCs w:val="28"/>
              </w:rPr>
            </w:pPr>
            <w:r w:rsidRPr="001D0A49">
              <w:rPr>
                <w:sz w:val="28"/>
                <w:szCs w:val="28"/>
              </w:rPr>
              <w:t xml:space="preserve"> </w:t>
            </w:r>
            <w:r>
              <w:rPr>
                <w:sz w:val="28"/>
                <w:szCs w:val="28"/>
              </w:rPr>
              <w:t>Nav</w:t>
            </w:r>
          </w:p>
        </w:tc>
      </w:tr>
    </w:tbl>
    <w:p w:rsidR="008B6F82" w:rsidRDefault="008B6F82" w:rsidP="008B6F82">
      <w:pPr>
        <w:jc w:val="both"/>
        <w:rPr>
          <w:sz w:val="28"/>
          <w:szCs w:val="28"/>
        </w:rPr>
      </w:pPr>
    </w:p>
    <w:p w:rsidR="008B6F82" w:rsidRPr="001D0A49" w:rsidRDefault="008B6F82" w:rsidP="008B6F82">
      <w:pPr>
        <w:jc w:val="both"/>
        <w:rPr>
          <w:sz w:val="28"/>
          <w:szCs w:val="28"/>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tblPr>
      <w:tblGrid>
        <w:gridCol w:w="2738"/>
        <w:gridCol w:w="1269"/>
        <w:gridCol w:w="1326"/>
        <w:gridCol w:w="1324"/>
        <w:gridCol w:w="1324"/>
        <w:gridCol w:w="1306"/>
      </w:tblGrid>
      <w:tr w:rsidR="008B6F82" w:rsidRPr="00C50BCE" w:rsidTr="00651B00">
        <w:trPr>
          <w:trHeight w:val="652"/>
          <w:jc w:val="center"/>
        </w:trPr>
        <w:tc>
          <w:tcPr>
            <w:tcW w:w="5000" w:type="pct"/>
            <w:gridSpan w:val="6"/>
          </w:tcPr>
          <w:p w:rsidR="008B6F82" w:rsidRPr="00651B00" w:rsidRDefault="008B6F82" w:rsidP="00C71066">
            <w:pPr>
              <w:pStyle w:val="naisnod"/>
              <w:spacing w:before="0" w:after="0"/>
              <w:jc w:val="center"/>
              <w:rPr>
                <w:b/>
                <w:i/>
                <w:sz w:val="28"/>
                <w:szCs w:val="28"/>
              </w:rPr>
            </w:pPr>
            <w:r w:rsidRPr="00651B00">
              <w:rPr>
                <w:b/>
                <w:sz w:val="28"/>
                <w:szCs w:val="28"/>
              </w:rPr>
              <w:br w:type="page"/>
              <w:t>III. Tiesību akta projekta ietekme uz valsts budžetu un pašvaldību budžetiem</w:t>
            </w:r>
          </w:p>
        </w:tc>
      </w:tr>
      <w:tr w:rsidR="008B6F82" w:rsidRPr="00C50BCE" w:rsidTr="00C27AEB">
        <w:trPr>
          <w:jc w:val="center"/>
        </w:trPr>
        <w:tc>
          <w:tcPr>
            <w:tcW w:w="1474" w:type="pct"/>
            <w:vMerge w:val="restart"/>
            <w:vAlign w:val="center"/>
          </w:tcPr>
          <w:p w:rsidR="008B6F82" w:rsidRPr="00651B00" w:rsidRDefault="008B6F82" w:rsidP="00C71066">
            <w:pPr>
              <w:pStyle w:val="naisf"/>
              <w:spacing w:before="0" w:after="0"/>
              <w:ind w:firstLine="0"/>
              <w:jc w:val="center"/>
              <w:rPr>
                <w:b/>
                <w:sz w:val="28"/>
                <w:szCs w:val="28"/>
              </w:rPr>
            </w:pPr>
            <w:r w:rsidRPr="00651B00">
              <w:rPr>
                <w:b/>
                <w:sz w:val="28"/>
                <w:szCs w:val="28"/>
              </w:rPr>
              <w:t>Rādītāji</w:t>
            </w:r>
          </w:p>
        </w:tc>
        <w:tc>
          <w:tcPr>
            <w:tcW w:w="1397" w:type="pct"/>
            <w:gridSpan w:val="2"/>
            <w:vMerge w:val="restart"/>
            <w:vAlign w:val="center"/>
          </w:tcPr>
          <w:p w:rsidR="008B6F82" w:rsidRPr="00651B00" w:rsidRDefault="008B6F82" w:rsidP="00C27AEB">
            <w:pPr>
              <w:pStyle w:val="naisf"/>
              <w:spacing w:before="0" w:after="0"/>
              <w:ind w:firstLine="0"/>
              <w:jc w:val="center"/>
              <w:rPr>
                <w:b/>
                <w:sz w:val="28"/>
                <w:szCs w:val="28"/>
              </w:rPr>
            </w:pPr>
            <w:r w:rsidRPr="00651B00">
              <w:rPr>
                <w:b/>
                <w:sz w:val="28"/>
                <w:szCs w:val="28"/>
              </w:rPr>
              <w:t>201</w:t>
            </w:r>
            <w:r w:rsidR="00C27AEB">
              <w:rPr>
                <w:b/>
                <w:sz w:val="28"/>
                <w:szCs w:val="28"/>
              </w:rPr>
              <w:t>4</w:t>
            </w:r>
            <w:r w:rsidR="00651B00" w:rsidRPr="00651B00">
              <w:rPr>
                <w:b/>
                <w:sz w:val="28"/>
                <w:szCs w:val="28"/>
              </w:rPr>
              <w:t>.</w:t>
            </w:r>
            <w:r w:rsidRPr="00651B00">
              <w:rPr>
                <w:b/>
                <w:sz w:val="28"/>
                <w:szCs w:val="28"/>
              </w:rPr>
              <w:t>gads</w:t>
            </w:r>
          </w:p>
        </w:tc>
        <w:tc>
          <w:tcPr>
            <w:tcW w:w="2129" w:type="pct"/>
            <w:gridSpan w:val="3"/>
            <w:vAlign w:val="center"/>
          </w:tcPr>
          <w:p w:rsidR="008B6F82" w:rsidRPr="00651B00" w:rsidRDefault="008B6F82" w:rsidP="00C27AEB">
            <w:pPr>
              <w:pStyle w:val="naisf"/>
              <w:spacing w:before="0" w:after="0"/>
              <w:ind w:firstLine="0"/>
              <w:jc w:val="center"/>
              <w:rPr>
                <w:b/>
                <w:i/>
                <w:sz w:val="28"/>
                <w:szCs w:val="28"/>
              </w:rPr>
            </w:pPr>
            <w:r w:rsidRPr="00651B00">
              <w:rPr>
                <w:sz w:val="28"/>
                <w:szCs w:val="28"/>
              </w:rPr>
              <w:t xml:space="preserve">Turpmākie trīs gadi (tūkst. </w:t>
            </w:r>
            <w:r w:rsidR="00C27AEB" w:rsidRPr="00C27AEB">
              <w:rPr>
                <w:i/>
                <w:sz w:val="28"/>
                <w:szCs w:val="28"/>
              </w:rPr>
              <w:t>euro</w:t>
            </w:r>
            <w:r w:rsidRPr="00651B00">
              <w:rPr>
                <w:sz w:val="28"/>
                <w:szCs w:val="28"/>
              </w:rPr>
              <w:t>)</w:t>
            </w:r>
          </w:p>
        </w:tc>
      </w:tr>
      <w:tr w:rsidR="008B6F82" w:rsidRPr="00C50BCE" w:rsidTr="00C27AEB">
        <w:trPr>
          <w:jc w:val="center"/>
        </w:trPr>
        <w:tc>
          <w:tcPr>
            <w:tcW w:w="1474" w:type="pct"/>
            <w:vMerge/>
            <w:vAlign w:val="center"/>
          </w:tcPr>
          <w:p w:rsidR="008B6F82" w:rsidRPr="00651B00" w:rsidRDefault="008B6F82" w:rsidP="00C71066">
            <w:pPr>
              <w:pStyle w:val="naisf"/>
              <w:spacing w:before="0" w:after="0"/>
              <w:ind w:firstLine="0"/>
              <w:jc w:val="center"/>
              <w:rPr>
                <w:b/>
                <w:i/>
                <w:sz w:val="28"/>
                <w:szCs w:val="28"/>
              </w:rPr>
            </w:pPr>
          </w:p>
        </w:tc>
        <w:tc>
          <w:tcPr>
            <w:tcW w:w="1397" w:type="pct"/>
            <w:gridSpan w:val="2"/>
            <w:vMerge/>
            <w:vAlign w:val="center"/>
          </w:tcPr>
          <w:p w:rsidR="008B6F82" w:rsidRPr="00651B00" w:rsidRDefault="008B6F82" w:rsidP="00C71066">
            <w:pPr>
              <w:pStyle w:val="naisf"/>
              <w:spacing w:before="0" w:after="0"/>
              <w:ind w:firstLine="0"/>
              <w:jc w:val="center"/>
              <w:rPr>
                <w:b/>
                <w:i/>
                <w:sz w:val="28"/>
                <w:szCs w:val="28"/>
              </w:rPr>
            </w:pPr>
          </w:p>
        </w:tc>
        <w:tc>
          <w:tcPr>
            <w:tcW w:w="713" w:type="pct"/>
            <w:vAlign w:val="center"/>
          </w:tcPr>
          <w:p w:rsidR="008B6F82" w:rsidRPr="00651B00" w:rsidRDefault="008B6F82" w:rsidP="00C27AEB">
            <w:pPr>
              <w:pStyle w:val="naisf"/>
              <w:spacing w:before="0" w:after="0"/>
              <w:ind w:firstLine="0"/>
              <w:jc w:val="center"/>
              <w:rPr>
                <w:b/>
                <w:i/>
                <w:sz w:val="28"/>
                <w:szCs w:val="28"/>
              </w:rPr>
            </w:pPr>
            <w:r w:rsidRPr="00651B00">
              <w:rPr>
                <w:b/>
                <w:bCs/>
                <w:sz w:val="28"/>
                <w:szCs w:val="28"/>
              </w:rPr>
              <w:t>201</w:t>
            </w:r>
            <w:r w:rsidR="00C27AEB">
              <w:rPr>
                <w:b/>
                <w:bCs/>
                <w:sz w:val="28"/>
                <w:szCs w:val="28"/>
              </w:rPr>
              <w:t>5</w:t>
            </w:r>
          </w:p>
        </w:tc>
        <w:tc>
          <w:tcPr>
            <w:tcW w:w="713" w:type="pct"/>
            <w:vAlign w:val="center"/>
          </w:tcPr>
          <w:p w:rsidR="008B6F82" w:rsidRPr="00651B00" w:rsidRDefault="008B6F82" w:rsidP="00C27AEB">
            <w:pPr>
              <w:pStyle w:val="naisf"/>
              <w:spacing w:before="0" w:after="0"/>
              <w:ind w:firstLine="0"/>
              <w:jc w:val="center"/>
              <w:rPr>
                <w:b/>
                <w:i/>
                <w:sz w:val="28"/>
                <w:szCs w:val="28"/>
              </w:rPr>
            </w:pPr>
            <w:r w:rsidRPr="00651B00">
              <w:rPr>
                <w:b/>
                <w:bCs/>
                <w:sz w:val="28"/>
                <w:szCs w:val="28"/>
              </w:rPr>
              <w:t>201</w:t>
            </w:r>
            <w:r w:rsidR="00C27AEB">
              <w:rPr>
                <w:b/>
                <w:bCs/>
                <w:sz w:val="28"/>
                <w:szCs w:val="28"/>
              </w:rPr>
              <w:t>6</w:t>
            </w:r>
          </w:p>
        </w:tc>
        <w:tc>
          <w:tcPr>
            <w:tcW w:w="703" w:type="pct"/>
            <w:vAlign w:val="center"/>
          </w:tcPr>
          <w:p w:rsidR="008B6F82" w:rsidRPr="00651B00" w:rsidRDefault="008B6F82" w:rsidP="00C27AEB">
            <w:pPr>
              <w:pStyle w:val="naisf"/>
              <w:spacing w:before="0" w:after="0"/>
              <w:ind w:firstLine="0"/>
              <w:jc w:val="center"/>
              <w:rPr>
                <w:b/>
                <w:i/>
                <w:sz w:val="28"/>
                <w:szCs w:val="28"/>
              </w:rPr>
            </w:pPr>
            <w:r w:rsidRPr="00651B00">
              <w:rPr>
                <w:b/>
                <w:bCs/>
                <w:sz w:val="28"/>
                <w:szCs w:val="28"/>
              </w:rPr>
              <w:t>201</w:t>
            </w:r>
            <w:r w:rsidR="00C27AEB">
              <w:rPr>
                <w:b/>
                <w:bCs/>
                <w:sz w:val="28"/>
                <w:szCs w:val="28"/>
              </w:rPr>
              <w:t>7</w:t>
            </w:r>
          </w:p>
        </w:tc>
      </w:tr>
      <w:tr w:rsidR="008B6F82" w:rsidRPr="00C50BCE" w:rsidTr="00C27AEB">
        <w:trPr>
          <w:jc w:val="center"/>
        </w:trPr>
        <w:tc>
          <w:tcPr>
            <w:tcW w:w="1474" w:type="pct"/>
            <w:vMerge/>
            <w:vAlign w:val="center"/>
          </w:tcPr>
          <w:p w:rsidR="008B6F82" w:rsidRPr="00651B00" w:rsidRDefault="008B6F82" w:rsidP="00C71066">
            <w:pPr>
              <w:pStyle w:val="naisf"/>
              <w:spacing w:before="0" w:after="0"/>
              <w:ind w:firstLine="0"/>
              <w:jc w:val="center"/>
              <w:rPr>
                <w:b/>
                <w:i/>
                <w:sz w:val="28"/>
                <w:szCs w:val="28"/>
              </w:rPr>
            </w:pPr>
          </w:p>
        </w:tc>
        <w:tc>
          <w:tcPr>
            <w:tcW w:w="683"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t>Saskaņā ar valsts budžetu kārtējam gadam</w:t>
            </w:r>
          </w:p>
        </w:tc>
        <w:tc>
          <w:tcPr>
            <w:tcW w:w="714"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t>Izmaiņas kārtējā gadā, salīdzinot ar budžetu kārtējam gadam</w:t>
            </w:r>
          </w:p>
        </w:tc>
        <w:tc>
          <w:tcPr>
            <w:tcW w:w="713"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t>Izmaiņas, salīdzinot ar kārtējo (n) gadu</w:t>
            </w:r>
          </w:p>
        </w:tc>
        <w:tc>
          <w:tcPr>
            <w:tcW w:w="713"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t>Izmaiņas, salīdzinot ar kārtējo (n) gadu</w:t>
            </w:r>
          </w:p>
        </w:tc>
        <w:tc>
          <w:tcPr>
            <w:tcW w:w="703" w:type="pct"/>
            <w:vAlign w:val="center"/>
          </w:tcPr>
          <w:p w:rsidR="008B6F82" w:rsidRPr="00651B00" w:rsidRDefault="008B6F82" w:rsidP="00C71066">
            <w:pPr>
              <w:pStyle w:val="naisf"/>
              <w:spacing w:before="0" w:after="0"/>
              <w:ind w:firstLine="0"/>
              <w:jc w:val="center"/>
              <w:rPr>
                <w:b/>
                <w:i/>
                <w:sz w:val="28"/>
                <w:szCs w:val="28"/>
              </w:rPr>
            </w:pPr>
            <w:r w:rsidRPr="00651B00">
              <w:rPr>
                <w:sz w:val="28"/>
                <w:szCs w:val="28"/>
              </w:rPr>
              <w:t>Izmaiņas, salīdzinot ar kārtējo (n) gadu</w:t>
            </w:r>
          </w:p>
        </w:tc>
      </w:tr>
      <w:tr w:rsidR="008B6F82" w:rsidRPr="00C50BCE" w:rsidTr="00C27AEB">
        <w:trPr>
          <w:jc w:val="center"/>
        </w:trPr>
        <w:tc>
          <w:tcPr>
            <w:tcW w:w="1474"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1</w:t>
            </w:r>
          </w:p>
        </w:tc>
        <w:tc>
          <w:tcPr>
            <w:tcW w:w="683"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2</w:t>
            </w:r>
          </w:p>
        </w:tc>
        <w:tc>
          <w:tcPr>
            <w:tcW w:w="714"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3</w:t>
            </w:r>
          </w:p>
        </w:tc>
        <w:tc>
          <w:tcPr>
            <w:tcW w:w="713"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4</w:t>
            </w:r>
          </w:p>
        </w:tc>
        <w:tc>
          <w:tcPr>
            <w:tcW w:w="713"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5</w:t>
            </w:r>
          </w:p>
        </w:tc>
        <w:tc>
          <w:tcPr>
            <w:tcW w:w="703" w:type="pct"/>
            <w:vAlign w:val="center"/>
          </w:tcPr>
          <w:p w:rsidR="008B6F82" w:rsidRPr="00651B00" w:rsidRDefault="008B6F82" w:rsidP="00C71066">
            <w:pPr>
              <w:pStyle w:val="naisf"/>
              <w:spacing w:before="0" w:after="0"/>
              <w:ind w:firstLine="0"/>
              <w:jc w:val="center"/>
              <w:rPr>
                <w:bCs/>
                <w:sz w:val="28"/>
                <w:szCs w:val="28"/>
              </w:rPr>
            </w:pPr>
            <w:r w:rsidRPr="00651B00">
              <w:rPr>
                <w:bCs/>
                <w:sz w:val="28"/>
                <w:szCs w:val="28"/>
              </w:rPr>
              <w:t>6</w:t>
            </w:r>
          </w:p>
        </w:tc>
      </w:tr>
      <w:tr w:rsidR="008B6F82" w:rsidRPr="00C50BCE" w:rsidTr="00C27AEB">
        <w:trPr>
          <w:jc w:val="center"/>
        </w:trPr>
        <w:tc>
          <w:tcPr>
            <w:tcW w:w="1474" w:type="pct"/>
          </w:tcPr>
          <w:p w:rsidR="008B6F82" w:rsidRPr="00651B00" w:rsidRDefault="008B6F82" w:rsidP="00C71066">
            <w:pPr>
              <w:pStyle w:val="naisf"/>
              <w:spacing w:before="0" w:after="0"/>
              <w:ind w:firstLine="0"/>
              <w:rPr>
                <w:i/>
                <w:sz w:val="28"/>
                <w:szCs w:val="28"/>
              </w:rPr>
            </w:pPr>
            <w:r w:rsidRPr="00651B00">
              <w:rPr>
                <w:sz w:val="28"/>
                <w:szCs w:val="28"/>
              </w:rPr>
              <w:t>1. Budžeta ieņēmumi:</w:t>
            </w:r>
          </w:p>
        </w:tc>
        <w:tc>
          <w:tcPr>
            <w:tcW w:w="683" w:type="pct"/>
          </w:tcPr>
          <w:p w:rsidR="008B6F82" w:rsidRPr="00651B00" w:rsidRDefault="008B6F82" w:rsidP="00C71066">
            <w:pPr>
              <w:pStyle w:val="naisf"/>
              <w:spacing w:before="0" w:after="0"/>
              <w:ind w:firstLine="0"/>
              <w:rPr>
                <w:b/>
                <w:i/>
                <w:sz w:val="28"/>
                <w:szCs w:val="28"/>
              </w:rPr>
            </w:pPr>
          </w:p>
        </w:tc>
        <w:tc>
          <w:tcPr>
            <w:tcW w:w="714" w:type="pct"/>
          </w:tcPr>
          <w:p w:rsidR="008B6F82" w:rsidRPr="00651B00" w:rsidRDefault="008B6F82" w:rsidP="00C71066">
            <w:pPr>
              <w:pStyle w:val="naisf"/>
              <w:spacing w:before="0" w:after="0"/>
              <w:ind w:firstLine="0"/>
              <w:rPr>
                <w:b/>
                <w:sz w:val="28"/>
                <w:szCs w:val="28"/>
              </w:rPr>
            </w:pPr>
          </w:p>
        </w:tc>
        <w:tc>
          <w:tcPr>
            <w:tcW w:w="713" w:type="pct"/>
          </w:tcPr>
          <w:p w:rsidR="008B6F82" w:rsidRPr="00651B00" w:rsidRDefault="008B6F82" w:rsidP="00C71066">
            <w:pPr>
              <w:pStyle w:val="naisf"/>
              <w:spacing w:before="0" w:after="0"/>
              <w:ind w:firstLine="0"/>
              <w:rPr>
                <w:b/>
                <w:sz w:val="28"/>
                <w:szCs w:val="28"/>
              </w:rPr>
            </w:pPr>
          </w:p>
        </w:tc>
        <w:tc>
          <w:tcPr>
            <w:tcW w:w="713" w:type="pct"/>
          </w:tcPr>
          <w:p w:rsidR="008B6F82" w:rsidRPr="00651B00" w:rsidRDefault="008B6F82" w:rsidP="00C71066">
            <w:pPr>
              <w:pStyle w:val="naisf"/>
              <w:spacing w:before="0" w:after="0"/>
              <w:ind w:firstLine="0"/>
              <w:rPr>
                <w:b/>
                <w:sz w:val="28"/>
                <w:szCs w:val="28"/>
              </w:rPr>
            </w:pPr>
          </w:p>
        </w:tc>
        <w:tc>
          <w:tcPr>
            <w:tcW w:w="703" w:type="pct"/>
          </w:tcPr>
          <w:p w:rsidR="008B6F82" w:rsidRPr="00651B00" w:rsidRDefault="008B6F82" w:rsidP="00C71066">
            <w:pPr>
              <w:pStyle w:val="naisf"/>
              <w:spacing w:before="0" w:after="0"/>
              <w:ind w:firstLine="0"/>
              <w:rPr>
                <w:b/>
                <w:sz w:val="28"/>
                <w:szCs w:val="28"/>
              </w:rPr>
            </w:pPr>
          </w:p>
        </w:tc>
      </w:tr>
      <w:tr w:rsidR="008B6F82" w:rsidRPr="00C50BCE" w:rsidTr="00C27AEB">
        <w:trPr>
          <w:jc w:val="center"/>
        </w:trPr>
        <w:tc>
          <w:tcPr>
            <w:tcW w:w="1474" w:type="pct"/>
          </w:tcPr>
          <w:p w:rsidR="008B6F82" w:rsidRPr="00651B00" w:rsidRDefault="008B6F82" w:rsidP="00C71066">
            <w:pPr>
              <w:pStyle w:val="naisf"/>
              <w:spacing w:before="0" w:after="0"/>
              <w:ind w:firstLine="0"/>
              <w:jc w:val="left"/>
              <w:rPr>
                <w:i/>
                <w:sz w:val="28"/>
                <w:szCs w:val="28"/>
              </w:rPr>
            </w:pPr>
            <w:r w:rsidRPr="00651B00">
              <w:rPr>
                <w:sz w:val="28"/>
                <w:szCs w:val="28"/>
              </w:rPr>
              <w:t>1.1. valsts pamatbudžets, tai skaitā ieņēmumi no maksas pakalpo-jumiem un citi pašu ieņēmumi</w:t>
            </w:r>
          </w:p>
        </w:tc>
        <w:tc>
          <w:tcPr>
            <w:tcW w:w="68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4" w:type="pct"/>
          </w:tcPr>
          <w:p w:rsidR="008B6F82" w:rsidRPr="00651B00" w:rsidRDefault="00C27AEB" w:rsidP="00C71066">
            <w:pPr>
              <w:pStyle w:val="naisf"/>
              <w:spacing w:before="0" w:after="0"/>
              <w:ind w:firstLine="0"/>
              <w:rPr>
                <w:sz w:val="28"/>
                <w:szCs w:val="28"/>
              </w:rPr>
            </w:pPr>
            <w:r>
              <w:rPr>
                <w:sz w:val="28"/>
                <w:szCs w:val="28"/>
              </w:rPr>
              <w:t>0</w:t>
            </w:r>
          </w:p>
        </w:tc>
        <w:tc>
          <w:tcPr>
            <w:tcW w:w="713" w:type="pct"/>
          </w:tcPr>
          <w:p w:rsidR="008B6F82" w:rsidRPr="00651B00" w:rsidRDefault="00C27AEB" w:rsidP="00C71066">
            <w:pPr>
              <w:pStyle w:val="naisf"/>
              <w:spacing w:before="0" w:after="0"/>
              <w:ind w:firstLine="0"/>
              <w:rPr>
                <w:sz w:val="28"/>
                <w:szCs w:val="28"/>
              </w:rPr>
            </w:pPr>
            <w:r>
              <w:rPr>
                <w:sz w:val="28"/>
                <w:szCs w:val="28"/>
              </w:rPr>
              <w:t>0</w:t>
            </w:r>
          </w:p>
        </w:tc>
        <w:tc>
          <w:tcPr>
            <w:tcW w:w="713" w:type="pct"/>
          </w:tcPr>
          <w:p w:rsidR="008B6F82" w:rsidRPr="00651B00" w:rsidRDefault="00C27AEB" w:rsidP="00C71066">
            <w:pPr>
              <w:pStyle w:val="naisf"/>
              <w:spacing w:before="0" w:after="0"/>
              <w:ind w:firstLine="0"/>
              <w:rPr>
                <w:sz w:val="28"/>
                <w:szCs w:val="28"/>
              </w:rPr>
            </w:pPr>
            <w:r>
              <w:rPr>
                <w:sz w:val="28"/>
                <w:szCs w:val="28"/>
              </w:rPr>
              <w:t>0</w:t>
            </w:r>
          </w:p>
        </w:tc>
        <w:tc>
          <w:tcPr>
            <w:tcW w:w="703" w:type="pct"/>
          </w:tcPr>
          <w:p w:rsidR="008B6F82" w:rsidRPr="00651B00" w:rsidRDefault="00C27AEB" w:rsidP="00C71066">
            <w:pPr>
              <w:pStyle w:val="naisf"/>
              <w:spacing w:before="0" w:after="0"/>
              <w:ind w:firstLine="0"/>
              <w:rPr>
                <w:sz w:val="28"/>
                <w:szCs w:val="28"/>
              </w:rPr>
            </w:pPr>
            <w:r>
              <w:rPr>
                <w:sz w:val="28"/>
                <w:szCs w:val="28"/>
              </w:rPr>
              <w:t>0</w:t>
            </w:r>
          </w:p>
        </w:tc>
      </w:tr>
      <w:tr w:rsidR="008B6F82" w:rsidRPr="00C50BCE" w:rsidTr="00C27AEB">
        <w:trPr>
          <w:jc w:val="center"/>
        </w:trPr>
        <w:tc>
          <w:tcPr>
            <w:tcW w:w="1474" w:type="pct"/>
          </w:tcPr>
          <w:p w:rsidR="008B6F82" w:rsidRPr="00651B00" w:rsidRDefault="008B6F82" w:rsidP="00C71066">
            <w:pPr>
              <w:pStyle w:val="naisf"/>
              <w:spacing w:before="0" w:after="0"/>
              <w:ind w:firstLine="0"/>
              <w:jc w:val="left"/>
              <w:rPr>
                <w:i/>
                <w:sz w:val="28"/>
                <w:szCs w:val="28"/>
              </w:rPr>
            </w:pPr>
            <w:r w:rsidRPr="00651B00">
              <w:rPr>
                <w:sz w:val="28"/>
                <w:szCs w:val="28"/>
              </w:rPr>
              <w:t xml:space="preserve">1.2. valsts speciālais </w:t>
            </w:r>
            <w:r w:rsidRPr="00651B00">
              <w:rPr>
                <w:sz w:val="28"/>
                <w:szCs w:val="28"/>
              </w:rPr>
              <w:lastRenderedPageBreak/>
              <w:t>budžets</w:t>
            </w:r>
          </w:p>
        </w:tc>
        <w:tc>
          <w:tcPr>
            <w:tcW w:w="683" w:type="pct"/>
          </w:tcPr>
          <w:p w:rsidR="008B6F82" w:rsidRPr="00C27AEB" w:rsidRDefault="00C27AEB" w:rsidP="00C71066">
            <w:pPr>
              <w:pStyle w:val="naisf"/>
              <w:spacing w:before="0" w:after="0"/>
              <w:ind w:firstLine="0"/>
              <w:rPr>
                <w:sz w:val="28"/>
                <w:szCs w:val="28"/>
              </w:rPr>
            </w:pPr>
            <w:r>
              <w:rPr>
                <w:sz w:val="28"/>
                <w:szCs w:val="28"/>
              </w:rPr>
              <w:lastRenderedPageBreak/>
              <w:t>0</w:t>
            </w:r>
          </w:p>
        </w:tc>
        <w:tc>
          <w:tcPr>
            <w:tcW w:w="714"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03" w:type="pct"/>
          </w:tcPr>
          <w:p w:rsidR="008B6F82" w:rsidRPr="00C27AEB" w:rsidRDefault="00C27AEB" w:rsidP="00C71066">
            <w:pPr>
              <w:pStyle w:val="naisf"/>
              <w:spacing w:before="0" w:after="0"/>
              <w:ind w:firstLine="0"/>
              <w:rPr>
                <w:sz w:val="28"/>
                <w:szCs w:val="28"/>
              </w:rPr>
            </w:pPr>
            <w:r w:rsidRPr="00C27AEB">
              <w:rPr>
                <w:sz w:val="28"/>
                <w:szCs w:val="28"/>
              </w:rPr>
              <w:t>0</w:t>
            </w:r>
          </w:p>
        </w:tc>
      </w:tr>
      <w:tr w:rsidR="008B6F82" w:rsidRPr="00C50BCE" w:rsidTr="00C27AEB">
        <w:trPr>
          <w:jc w:val="center"/>
        </w:trPr>
        <w:tc>
          <w:tcPr>
            <w:tcW w:w="1474" w:type="pct"/>
          </w:tcPr>
          <w:p w:rsidR="008B6F82" w:rsidRPr="00651B00" w:rsidRDefault="008B6F82" w:rsidP="00C71066">
            <w:pPr>
              <w:pStyle w:val="naisf"/>
              <w:spacing w:before="0" w:after="0"/>
              <w:ind w:firstLine="0"/>
              <w:jc w:val="left"/>
              <w:rPr>
                <w:i/>
                <w:sz w:val="28"/>
                <w:szCs w:val="28"/>
              </w:rPr>
            </w:pPr>
            <w:r w:rsidRPr="00651B00">
              <w:rPr>
                <w:sz w:val="28"/>
                <w:szCs w:val="28"/>
              </w:rPr>
              <w:lastRenderedPageBreak/>
              <w:t>1.3. pašvaldību budžets</w:t>
            </w:r>
          </w:p>
        </w:tc>
        <w:tc>
          <w:tcPr>
            <w:tcW w:w="68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4"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03" w:type="pct"/>
          </w:tcPr>
          <w:p w:rsidR="008B6F82" w:rsidRPr="00C27AEB" w:rsidRDefault="00C27AEB" w:rsidP="00C71066">
            <w:pPr>
              <w:pStyle w:val="naisf"/>
              <w:spacing w:before="0" w:after="0"/>
              <w:ind w:firstLine="0"/>
              <w:rPr>
                <w:sz w:val="28"/>
                <w:szCs w:val="28"/>
              </w:rPr>
            </w:pPr>
            <w:r w:rsidRPr="00C27AEB">
              <w:rPr>
                <w:sz w:val="28"/>
                <w:szCs w:val="28"/>
              </w:rPr>
              <w:t>0</w:t>
            </w:r>
          </w:p>
        </w:tc>
      </w:tr>
      <w:tr w:rsidR="008B6F82" w:rsidRPr="00C50BCE" w:rsidTr="00C27AEB">
        <w:trPr>
          <w:jc w:val="center"/>
        </w:trPr>
        <w:tc>
          <w:tcPr>
            <w:tcW w:w="1474" w:type="pct"/>
          </w:tcPr>
          <w:p w:rsidR="008B6F82" w:rsidRPr="00651B00" w:rsidRDefault="008B6F82" w:rsidP="00C71066">
            <w:pPr>
              <w:rPr>
                <w:sz w:val="28"/>
                <w:szCs w:val="28"/>
              </w:rPr>
            </w:pPr>
            <w:r w:rsidRPr="00651B00">
              <w:rPr>
                <w:sz w:val="28"/>
                <w:szCs w:val="28"/>
              </w:rPr>
              <w:t>2. Budžeta izdevumi:</w:t>
            </w:r>
          </w:p>
        </w:tc>
        <w:tc>
          <w:tcPr>
            <w:tcW w:w="68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4"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03" w:type="pct"/>
          </w:tcPr>
          <w:p w:rsidR="008B6F82" w:rsidRPr="00C27AEB" w:rsidRDefault="00C27AEB" w:rsidP="00C71066">
            <w:pPr>
              <w:pStyle w:val="naisf"/>
              <w:spacing w:before="0" w:after="0"/>
              <w:ind w:firstLine="0"/>
              <w:rPr>
                <w:sz w:val="28"/>
                <w:szCs w:val="28"/>
              </w:rPr>
            </w:pPr>
            <w:r w:rsidRPr="00C27AEB">
              <w:rPr>
                <w:sz w:val="28"/>
                <w:szCs w:val="28"/>
              </w:rPr>
              <w:t>0</w:t>
            </w:r>
          </w:p>
        </w:tc>
      </w:tr>
      <w:tr w:rsidR="008B6F82" w:rsidRPr="00C50BCE" w:rsidTr="00C27AEB">
        <w:trPr>
          <w:jc w:val="center"/>
        </w:trPr>
        <w:tc>
          <w:tcPr>
            <w:tcW w:w="1474" w:type="pct"/>
          </w:tcPr>
          <w:p w:rsidR="008B6F82" w:rsidRPr="00651B00" w:rsidRDefault="008B6F82" w:rsidP="00C71066">
            <w:pPr>
              <w:rPr>
                <w:sz w:val="28"/>
                <w:szCs w:val="28"/>
              </w:rPr>
            </w:pPr>
            <w:r w:rsidRPr="00651B00">
              <w:rPr>
                <w:sz w:val="28"/>
                <w:szCs w:val="28"/>
              </w:rPr>
              <w:t>2.1. valsts pamatbudžets</w:t>
            </w:r>
          </w:p>
        </w:tc>
        <w:tc>
          <w:tcPr>
            <w:tcW w:w="68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4"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13" w:type="pct"/>
          </w:tcPr>
          <w:p w:rsidR="008B6F82" w:rsidRPr="00C27AEB" w:rsidRDefault="00C27AEB" w:rsidP="00C71066">
            <w:pPr>
              <w:pStyle w:val="naisf"/>
              <w:spacing w:before="0" w:after="0"/>
              <w:ind w:firstLine="0"/>
              <w:rPr>
                <w:sz w:val="28"/>
                <w:szCs w:val="28"/>
              </w:rPr>
            </w:pPr>
            <w:r w:rsidRPr="00C27AEB">
              <w:rPr>
                <w:sz w:val="28"/>
                <w:szCs w:val="28"/>
              </w:rPr>
              <w:t>0</w:t>
            </w:r>
          </w:p>
        </w:tc>
        <w:tc>
          <w:tcPr>
            <w:tcW w:w="703" w:type="pct"/>
          </w:tcPr>
          <w:p w:rsidR="008B6F82" w:rsidRPr="00C27AEB" w:rsidRDefault="00C27AEB" w:rsidP="00C71066">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2.2. valsts speciālais budžets</w:t>
            </w:r>
          </w:p>
        </w:tc>
        <w:tc>
          <w:tcPr>
            <w:tcW w:w="68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 xml:space="preserve">2.3. pašvaldību budžets </w:t>
            </w:r>
          </w:p>
        </w:tc>
        <w:tc>
          <w:tcPr>
            <w:tcW w:w="68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4A6011">
        <w:trPr>
          <w:jc w:val="center"/>
        </w:trPr>
        <w:tc>
          <w:tcPr>
            <w:tcW w:w="1474" w:type="pct"/>
          </w:tcPr>
          <w:p w:rsidR="00C27AEB" w:rsidRPr="00651B00" w:rsidRDefault="00C27AEB" w:rsidP="00C71066">
            <w:pPr>
              <w:rPr>
                <w:sz w:val="28"/>
                <w:szCs w:val="28"/>
              </w:rPr>
            </w:pPr>
            <w:r w:rsidRPr="00651B00">
              <w:rPr>
                <w:sz w:val="28"/>
                <w:szCs w:val="28"/>
              </w:rPr>
              <w:t>3. Finansiālā ietekme:</w:t>
            </w:r>
          </w:p>
        </w:tc>
        <w:tc>
          <w:tcPr>
            <w:tcW w:w="683" w:type="pct"/>
            <w:shd w:val="clear" w:color="auto" w:fill="auto"/>
          </w:tcPr>
          <w:p w:rsidR="00C27AEB" w:rsidRPr="00C27AEB" w:rsidRDefault="00C27AEB" w:rsidP="00F053A9">
            <w:pPr>
              <w:pStyle w:val="naisf"/>
              <w:spacing w:before="0" w:after="0"/>
              <w:ind w:firstLine="0"/>
              <w:rPr>
                <w:sz w:val="28"/>
                <w:szCs w:val="28"/>
              </w:rPr>
            </w:pPr>
            <w:r w:rsidRPr="00C27AEB">
              <w:rPr>
                <w:sz w:val="28"/>
                <w:szCs w:val="28"/>
              </w:rPr>
              <w:t>0</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3.1. valsts pamatbudžets</w:t>
            </w:r>
          </w:p>
        </w:tc>
        <w:tc>
          <w:tcPr>
            <w:tcW w:w="683" w:type="pct"/>
            <w:shd w:val="clear" w:color="auto" w:fill="auto"/>
          </w:tcPr>
          <w:p w:rsidR="00C27AEB" w:rsidRPr="00C27AEB" w:rsidRDefault="00C27AEB" w:rsidP="00F053A9">
            <w:pPr>
              <w:pStyle w:val="naisf"/>
              <w:spacing w:before="0" w:after="0"/>
              <w:ind w:firstLine="0"/>
              <w:rPr>
                <w:sz w:val="28"/>
                <w:szCs w:val="28"/>
              </w:rPr>
            </w:pPr>
            <w:r w:rsidRPr="00C27AEB">
              <w:rPr>
                <w:sz w:val="28"/>
                <w:szCs w:val="28"/>
              </w:rPr>
              <w:t>0</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8B6F82" w:rsidRPr="00651B00" w:rsidTr="00651B00">
        <w:trPr>
          <w:gridAfter w:val="4"/>
          <w:wAfter w:w="2843" w:type="pct"/>
          <w:jc w:val="center"/>
        </w:trPr>
        <w:tc>
          <w:tcPr>
            <w:tcW w:w="1474" w:type="pct"/>
          </w:tcPr>
          <w:p w:rsidR="008B6F82" w:rsidRPr="00651B00" w:rsidRDefault="008B6F82" w:rsidP="00C71066">
            <w:pPr>
              <w:rPr>
                <w:sz w:val="28"/>
                <w:szCs w:val="28"/>
              </w:rPr>
            </w:pPr>
            <w:r w:rsidRPr="00651B00">
              <w:rPr>
                <w:sz w:val="28"/>
                <w:szCs w:val="28"/>
              </w:rPr>
              <w:t>3.2. speciālais budžets</w:t>
            </w:r>
          </w:p>
        </w:tc>
        <w:tc>
          <w:tcPr>
            <w:tcW w:w="683" w:type="pct"/>
            <w:shd w:val="clear" w:color="auto" w:fill="auto"/>
          </w:tcPr>
          <w:p w:rsidR="008B6F82" w:rsidRPr="00651B00" w:rsidRDefault="00C27AEB" w:rsidP="00C71066">
            <w:pPr>
              <w:pStyle w:val="naisf"/>
              <w:spacing w:before="0" w:after="0"/>
              <w:ind w:firstLine="0"/>
              <w:rPr>
                <w:i/>
                <w:sz w:val="28"/>
                <w:szCs w:val="28"/>
              </w:rPr>
            </w:pPr>
            <w:r>
              <w:rPr>
                <w:i/>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 xml:space="preserve">3.3. pašvaldību budžets </w:t>
            </w:r>
          </w:p>
        </w:tc>
        <w:tc>
          <w:tcPr>
            <w:tcW w:w="683" w:type="pct"/>
            <w:shd w:val="clear" w:color="auto" w:fill="auto"/>
          </w:tcPr>
          <w:p w:rsidR="00C27AEB" w:rsidRPr="00C27AEB" w:rsidRDefault="00C27AEB" w:rsidP="00F053A9">
            <w:pPr>
              <w:pStyle w:val="naisf"/>
              <w:spacing w:before="0" w:after="0"/>
              <w:ind w:firstLine="0"/>
              <w:rPr>
                <w:sz w:val="28"/>
                <w:szCs w:val="28"/>
              </w:rPr>
            </w:pPr>
            <w:r w:rsidRPr="00C27AEB">
              <w:rPr>
                <w:sz w:val="28"/>
                <w:szCs w:val="28"/>
              </w:rPr>
              <w:t>0</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trHeight w:val="2254"/>
          <w:jc w:val="center"/>
        </w:trPr>
        <w:tc>
          <w:tcPr>
            <w:tcW w:w="1474" w:type="pct"/>
          </w:tcPr>
          <w:p w:rsidR="00C27AEB" w:rsidRPr="00651B00" w:rsidRDefault="00C27AEB" w:rsidP="00C71066">
            <w:pPr>
              <w:jc w:val="both"/>
              <w:rPr>
                <w:sz w:val="28"/>
                <w:szCs w:val="28"/>
              </w:rPr>
            </w:pPr>
            <w:r w:rsidRPr="00651B00">
              <w:rPr>
                <w:sz w:val="28"/>
                <w:szCs w:val="28"/>
              </w:rPr>
              <w:t>4. Finanšu līdzekļi papildu izde</w:t>
            </w:r>
            <w:r w:rsidRPr="00651B00">
              <w:rPr>
                <w:sz w:val="28"/>
                <w:szCs w:val="28"/>
              </w:rPr>
              <w:softHyphen/>
              <w:t>vumu finansēšanai (kompensējošu izdevumu samazinājumu norāda ar "+" zīmi)</w:t>
            </w:r>
          </w:p>
        </w:tc>
        <w:tc>
          <w:tcPr>
            <w:tcW w:w="683" w:type="pct"/>
          </w:tcPr>
          <w:p w:rsidR="00C27AEB" w:rsidRPr="00651B00" w:rsidRDefault="00C27AEB" w:rsidP="00C71066">
            <w:pPr>
              <w:pStyle w:val="naisf"/>
              <w:spacing w:before="0" w:after="0"/>
              <w:ind w:firstLine="0"/>
              <w:jc w:val="center"/>
              <w:rPr>
                <w:i/>
                <w:sz w:val="28"/>
                <w:szCs w:val="28"/>
              </w:rPr>
            </w:pPr>
            <w:r w:rsidRPr="00651B00">
              <w:rPr>
                <w:sz w:val="28"/>
                <w:szCs w:val="28"/>
              </w:rPr>
              <w:t>X</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jc w:val="both"/>
              <w:rPr>
                <w:sz w:val="28"/>
                <w:szCs w:val="28"/>
              </w:rPr>
            </w:pPr>
            <w:r w:rsidRPr="00651B00">
              <w:rPr>
                <w:sz w:val="28"/>
                <w:szCs w:val="28"/>
              </w:rPr>
              <w:t>5. Precizēta finansiālā ietekme:</w:t>
            </w:r>
          </w:p>
        </w:tc>
        <w:tc>
          <w:tcPr>
            <w:tcW w:w="683" w:type="pct"/>
            <w:vMerge w:val="restart"/>
          </w:tcPr>
          <w:p w:rsidR="00C27AEB" w:rsidRPr="00651B00" w:rsidRDefault="00C27AEB" w:rsidP="00C71066">
            <w:pPr>
              <w:pStyle w:val="naisf"/>
              <w:spacing w:before="0" w:after="0"/>
              <w:ind w:firstLine="0"/>
              <w:jc w:val="center"/>
              <w:rPr>
                <w:i/>
                <w:sz w:val="28"/>
                <w:szCs w:val="28"/>
              </w:rPr>
            </w:pPr>
            <w:r w:rsidRPr="00651B00">
              <w:rPr>
                <w:sz w:val="28"/>
                <w:szCs w:val="28"/>
              </w:rPr>
              <w:t>X</w:t>
            </w: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5.1. valsts pamatbudžets</w:t>
            </w:r>
          </w:p>
        </w:tc>
        <w:tc>
          <w:tcPr>
            <w:tcW w:w="683" w:type="pct"/>
            <w:vMerge/>
            <w:vAlign w:val="center"/>
          </w:tcPr>
          <w:p w:rsidR="00C27AEB" w:rsidRPr="00651B00" w:rsidRDefault="00C27AEB" w:rsidP="00C71066">
            <w:pPr>
              <w:pStyle w:val="naisf"/>
              <w:spacing w:before="0" w:after="0"/>
              <w:ind w:firstLine="0"/>
              <w:jc w:val="center"/>
              <w:rPr>
                <w:i/>
                <w:sz w:val="28"/>
                <w:szCs w:val="28"/>
              </w:rPr>
            </w:pP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5.2. speciālais budžets</w:t>
            </w:r>
          </w:p>
        </w:tc>
        <w:tc>
          <w:tcPr>
            <w:tcW w:w="683" w:type="pct"/>
            <w:vMerge/>
            <w:vAlign w:val="center"/>
          </w:tcPr>
          <w:p w:rsidR="00C27AEB" w:rsidRPr="00651B00" w:rsidRDefault="00C27AEB" w:rsidP="00C71066">
            <w:pPr>
              <w:pStyle w:val="naisf"/>
              <w:spacing w:before="0" w:after="0"/>
              <w:ind w:firstLine="0"/>
              <w:jc w:val="center"/>
              <w:rPr>
                <w:i/>
                <w:sz w:val="28"/>
                <w:szCs w:val="28"/>
              </w:rPr>
            </w:pP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C27AEB" w:rsidRPr="00C50BCE" w:rsidTr="00C27AEB">
        <w:trPr>
          <w:jc w:val="center"/>
        </w:trPr>
        <w:tc>
          <w:tcPr>
            <w:tcW w:w="1474" w:type="pct"/>
          </w:tcPr>
          <w:p w:rsidR="00C27AEB" w:rsidRPr="00651B00" w:rsidRDefault="00C27AEB" w:rsidP="00C71066">
            <w:pPr>
              <w:rPr>
                <w:sz w:val="28"/>
                <w:szCs w:val="28"/>
              </w:rPr>
            </w:pPr>
            <w:r w:rsidRPr="00651B00">
              <w:rPr>
                <w:sz w:val="28"/>
                <w:szCs w:val="28"/>
              </w:rPr>
              <w:t xml:space="preserve">5.3. pašvaldību budžets </w:t>
            </w:r>
          </w:p>
        </w:tc>
        <w:tc>
          <w:tcPr>
            <w:tcW w:w="683" w:type="pct"/>
            <w:vMerge/>
            <w:vAlign w:val="center"/>
          </w:tcPr>
          <w:p w:rsidR="00C27AEB" w:rsidRPr="00651B00" w:rsidRDefault="00C27AEB" w:rsidP="00C71066">
            <w:pPr>
              <w:pStyle w:val="naisf"/>
              <w:spacing w:before="0" w:after="0"/>
              <w:ind w:firstLine="0"/>
              <w:jc w:val="center"/>
              <w:rPr>
                <w:i/>
                <w:sz w:val="28"/>
                <w:szCs w:val="28"/>
              </w:rPr>
            </w:pPr>
          </w:p>
        </w:tc>
        <w:tc>
          <w:tcPr>
            <w:tcW w:w="714"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13" w:type="pct"/>
          </w:tcPr>
          <w:p w:rsidR="00C27AEB" w:rsidRPr="00C27AEB" w:rsidRDefault="00C27AEB" w:rsidP="00F053A9">
            <w:pPr>
              <w:pStyle w:val="naisf"/>
              <w:spacing w:before="0" w:after="0"/>
              <w:ind w:firstLine="0"/>
              <w:rPr>
                <w:sz w:val="28"/>
                <w:szCs w:val="28"/>
              </w:rPr>
            </w:pPr>
            <w:r w:rsidRPr="00C27AEB">
              <w:rPr>
                <w:sz w:val="28"/>
                <w:szCs w:val="28"/>
              </w:rPr>
              <w:t>0</w:t>
            </w:r>
          </w:p>
        </w:tc>
        <w:tc>
          <w:tcPr>
            <w:tcW w:w="703" w:type="pct"/>
          </w:tcPr>
          <w:p w:rsidR="00C27AEB" w:rsidRPr="00C27AEB" w:rsidRDefault="00C27AEB" w:rsidP="00F053A9">
            <w:pPr>
              <w:pStyle w:val="naisf"/>
              <w:spacing w:before="0" w:after="0"/>
              <w:ind w:firstLine="0"/>
              <w:rPr>
                <w:sz w:val="28"/>
                <w:szCs w:val="28"/>
              </w:rPr>
            </w:pPr>
            <w:r w:rsidRPr="00C27AEB">
              <w:rPr>
                <w:sz w:val="28"/>
                <w:szCs w:val="28"/>
              </w:rPr>
              <w:t>0</w:t>
            </w:r>
          </w:p>
        </w:tc>
      </w:tr>
      <w:tr w:rsidR="008B6F82" w:rsidRPr="00C50BCE" w:rsidTr="00651B00">
        <w:trPr>
          <w:jc w:val="center"/>
        </w:trPr>
        <w:tc>
          <w:tcPr>
            <w:tcW w:w="1474" w:type="pct"/>
          </w:tcPr>
          <w:p w:rsidR="008B6F82" w:rsidRPr="00651B00" w:rsidRDefault="008B6F82" w:rsidP="00C71066">
            <w:pPr>
              <w:rPr>
                <w:sz w:val="28"/>
                <w:szCs w:val="28"/>
              </w:rPr>
            </w:pPr>
            <w:r w:rsidRPr="00651B00">
              <w:rPr>
                <w:sz w:val="28"/>
                <w:szCs w:val="28"/>
              </w:rPr>
              <w:t>6. Detalizēts ieņēmumu un izdevu</w:t>
            </w:r>
            <w:r w:rsidRPr="00651B00">
              <w:rPr>
                <w:sz w:val="28"/>
                <w:szCs w:val="28"/>
              </w:rPr>
              <w:softHyphen/>
              <w:t>mu aprēķins (ja nepieciešams, detalizētu ieņēmumu un izdevumu aprēķinu var pievienot anotācijas pielikumā):</w:t>
            </w:r>
          </w:p>
        </w:tc>
        <w:tc>
          <w:tcPr>
            <w:tcW w:w="3526" w:type="pct"/>
            <w:gridSpan w:val="5"/>
            <w:vMerge w:val="restart"/>
            <w:vAlign w:val="center"/>
          </w:tcPr>
          <w:p w:rsidR="008B6F82" w:rsidRPr="00651B00" w:rsidRDefault="008B6F82" w:rsidP="00C71066">
            <w:pPr>
              <w:pStyle w:val="naisf"/>
              <w:spacing w:before="0" w:after="0"/>
              <w:ind w:firstLine="0"/>
              <w:rPr>
                <w:b/>
                <w:i/>
                <w:color w:val="FF0000"/>
                <w:sz w:val="28"/>
                <w:szCs w:val="28"/>
              </w:rPr>
            </w:pPr>
          </w:p>
        </w:tc>
      </w:tr>
      <w:tr w:rsidR="008B6F82" w:rsidRPr="00C50BCE" w:rsidTr="00651B00">
        <w:trPr>
          <w:jc w:val="center"/>
        </w:trPr>
        <w:tc>
          <w:tcPr>
            <w:tcW w:w="1474" w:type="pct"/>
          </w:tcPr>
          <w:p w:rsidR="008B6F82" w:rsidRPr="00651B00" w:rsidRDefault="008B6F82" w:rsidP="00C71066">
            <w:pPr>
              <w:jc w:val="both"/>
              <w:rPr>
                <w:sz w:val="28"/>
                <w:szCs w:val="28"/>
              </w:rPr>
            </w:pPr>
            <w:r w:rsidRPr="00651B00">
              <w:rPr>
                <w:sz w:val="28"/>
                <w:szCs w:val="28"/>
              </w:rPr>
              <w:t>6.1. detalizēts ieņēmumu aprēķins</w:t>
            </w:r>
          </w:p>
        </w:tc>
        <w:tc>
          <w:tcPr>
            <w:tcW w:w="3526" w:type="pct"/>
            <w:gridSpan w:val="5"/>
            <w:vMerge/>
          </w:tcPr>
          <w:p w:rsidR="008B6F82" w:rsidRPr="00651B00" w:rsidRDefault="008B6F82" w:rsidP="00C71066">
            <w:pPr>
              <w:pStyle w:val="naisf"/>
              <w:spacing w:before="0" w:after="0"/>
              <w:ind w:firstLine="0"/>
              <w:rPr>
                <w:b/>
                <w:i/>
                <w:sz w:val="28"/>
                <w:szCs w:val="28"/>
              </w:rPr>
            </w:pPr>
          </w:p>
        </w:tc>
      </w:tr>
      <w:tr w:rsidR="008B6F82" w:rsidRPr="00C50BCE" w:rsidTr="00651B00">
        <w:trPr>
          <w:jc w:val="center"/>
        </w:trPr>
        <w:tc>
          <w:tcPr>
            <w:tcW w:w="1474" w:type="pct"/>
          </w:tcPr>
          <w:p w:rsidR="008B6F82" w:rsidRPr="00651B00" w:rsidRDefault="008B6F82" w:rsidP="00C71066">
            <w:pPr>
              <w:jc w:val="both"/>
              <w:rPr>
                <w:sz w:val="28"/>
                <w:szCs w:val="28"/>
              </w:rPr>
            </w:pPr>
            <w:r w:rsidRPr="00651B00">
              <w:rPr>
                <w:sz w:val="28"/>
                <w:szCs w:val="28"/>
              </w:rPr>
              <w:t xml:space="preserve">6.2. detalizēts </w:t>
            </w:r>
            <w:r w:rsidRPr="00651B00">
              <w:rPr>
                <w:sz w:val="28"/>
                <w:szCs w:val="28"/>
              </w:rPr>
              <w:lastRenderedPageBreak/>
              <w:t>izdevumu aprēķins</w:t>
            </w:r>
          </w:p>
        </w:tc>
        <w:tc>
          <w:tcPr>
            <w:tcW w:w="3526" w:type="pct"/>
            <w:gridSpan w:val="5"/>
          </w:tcPr>
          <w:p w:rsidR="008B6F82" w:rsidRPr="00651B00" w:rsidRDefault="008B6F82" w:rsidP="00C71066">
            <w:pPr>
              <w:pStyle w:val="naisf"/>
              <w:tabs>
                <w:tab w:val="left" w:pos="4644"/>
              </w:tabs>
              <w:spacing w:before="0" w:after="0"/>
              <w:ind w:firstLine="357"/>
              <w:rPr>
                <w:sz w:val="28"/>
                <w:szCs w:val="28"/>
              </w:rPr>
            </w:pPr>
            <w:r w:rsidRPr="00651B00">
              <w:rPr>
                <w:sz w:val="28"/>
                <w:szCs w:val="28"/>
              </w:rPr>
              <w:lastRenderedPageBreak/>
              <w:t xml:space="preserve"> </w:t>
            </w:r>
          </w:p>
        </w:tc>
      </w:tr>
      <w:tr w:rsidR="008B6F82" w:rsidRPr="00CB010A" w:rsidTr="00651B00">
        <w:trPr>
          <w:trHeight w:val="473"/>
          <w:jc w:val="center"/>
        </w:trPr>
        <w:tc>
          <w:tcPr>
            <w:tcW w:w="1474" w:type="pct"/>
          </w:tcPr>
          <w:p w:rsidR="008B6F82" w:rsidRPr="00651B00" w:rsidRDefault="008B6F82" w:rsidP="00C71066">
            <w:pPr>
              <w:jc w:val="both"/>
              <w:rPr>
                <w:sz w:val="28"/>
                <w:szCs w:val="28"/>
              </w:rPr>
            </w:pPr>
            <w:r w:rsidRPr="00651B00">
              <w:rPr>
                <w:sz w:val="28"/>
                <w:szCs w:val="28"/>
              </w:rPr>
              <w:lastRenderedPageBreak/>
              <w:t>7. Cita informācija</w:t>
            </w:r>
          </w:p>
        </w:tc>
        <w:tc>
          <w:tcPr>
            <w:tcW w:w="3526" w:type="pct"/>
            <w:gridSpan w:val="5"/>
          </w:tcPr>
          <w:p w:rsidR="008B6F82" w:rsidRPr="00651B00" w:rsidRDefault="00091D19" w:rsidP="00091D19">
            <w:pPr>
              <w:pStyle w:val="naisf"/>
              <w:tabs>
                <w:tab w:val="left" w:pos="4644"/>
              </w:tabs>
              <w:spacing w:before="0" w:after="0"/>
              <w:ind w:firstLine="0"/>
              <w:rPr>
                <w:sz w:val="28"/>
                <w:szCs w:val="28"/>
              </w:rPr>
            </w:pPr>
            <w:r>
              <w:rPr>
                <w:sz w:val="28"/>
                <w:szCs w:val="28"/>
              </w:rPr>
              <w:t>Saskaņā ar likumu „Par valsts budžetu 2014.gadam” un likuma „Par vidēja termiņa budžeta ietvaru 2014., 2015. un 2016.gadam” ir veikta līdzekļu pārdale no 62.resora „Mērķdotācijas pašvaldībām” programmas 02.00.00 „Mērķdotācijas pašvaldību tautas mākslas kolektīvu vadītāju darba samaksai un valsts sociālās apdrošināšanas obligātajām iemaksām” uz Kultūras ministrijas programmu 21.00.00 „Kultūras mantojums” 2014. – 2016.gadam 57 915</w:t>
            </w:r>
            <w:r>
              <w:rPr>
                <w:i/>
                <w:sz w:val="28"/>
                <w:szCs w:val="28"/>
              </w:rPr>
              <w:t xml:space="preserve"> euro</w:t>
            </w:r>
            <w:r>
              <w:rPr>
                <w:sz w:val="28"/>
                <w:szCs w:val="28"/>
              </w:rPr>
              <w:t xml:space="preserve"> apmērā, lai atbilstoši Dziesmu svētku likumā noteiktajam nodrošinātu valsts budžeta mērķdotāciju māksliniecisko kolektīvu, kuru dibinātāji nav pašvaldības, vadītāju darba samaksai un valsts sociālās apdrošināšanas obligātajām iemaksām.</w:t>
            </w:r>
          </w:p>
        </w:tc>
      </w:tr>
    </w:tbl>
    <w:p w:rsidR="008B6F82" w:rsidRDefault="008B6F82" w:rsidP="008B6F82">
      <w:pPr>
        <w:jc w:val="both"/>
        <w:rPr>
          <w:i/>
          <w:color w:val="000000"/>
          <w:sz w:val="28"/>
          <w:szCs w:val="28"/>
        </w:rPr>
      </w:pPr>
    </w:p>
    <w:tbl>
      <w:tblPr>
        <w:tblW w:w="5140"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6"/>
        <w:gridCol w:w="3258"/>
        <w:gridCol w:w="5662"/>
      </w:tblGrid>
      <w:tr w:rsidR="008B6F82" w:rsidRPr="001D0A49" w:rsidTr="002F1AD0">
        <w:trPr>
          <w:trHeight w:val="472"/>
          <w:tblCellSpacing w:w="0" w:type="dxa"/>
        </w:trPr>
        <w:tc>
          <w:tcPr>
            <w:tcW w:w="5000" w:type="pct"/>
            <w:gridSpan w:val="3"/>
            <w:tcBorders>
              <w:top w:val="outset" w:sz="6" w:space="0" w:color="auto"/>
              <w:left w:val="outset" w:sz="2" w:space="0" w:color="auto"/>
              <w:bottom w:val="outset" w:sz="6" w:space="0" w:color="auto"/>
            </w:tcBorders>
            <w:vAlign w:val="center"/>
          </w:tcPr>
          <w:p w:rsidR="008B6F82" w:rsidRPr="001D0A49" w:rsidRDefault="008B6F82" w:rsidP="00C71066">
            <w:pPr>
              <w:pStyle w:val="naisnod"/>
              <w:jc w:val="center"/>
              <w:rPr>
                <w:b/>
                <w:sz w:val="28"/>
                <w:szCs w:val="28"/>
              </w:rPr>
            </w:pPr>
            <w:r w:rsidRPr="001D0A49">
              <w:rPr>
                <w:b/>
                <w:sz w:val="28"/>
                <w:szCs w:val="28"/>
              </w:rPr>
              <w:t>IV. Tiesību akta projekta ietekme uz spēkā esošo tiesību normu sistēm</w:t>
            </w:r>
            <w:r>
              <w:rPr>
                <w:b/>
                <w:sz w:val="28"/>
                <w:szCs w:val="28"/>
              </w:rPr>
              <w:t>u</w:t>
            </w:r>
          </w:p>
        </w:tc>
      </w:tr>
      <w:tr w:rsidR="008B6F82" w:rsidRPr="001D0A49" w:rsidTr="00651B00">
        <w:trPr>
          <w:trHeight w:val="405"/>
          <w:tblCellSpacing w:w="0" w:type="dxa"/>
        </w:trPr>
        <w:tc>
          <w:tcPr>
            <w:tcW w:w="228" w:type="pct"/>
            <w:tcBorders>
              <w:top w:val="outset" w:sz="6" w:space="0" w:color="auto"/>
              <w:left w:val="outset" w:sz="2" w:space="0" w:color="auto"/>
              <w:bottom w:val="outset" w:sz="6" w:space="0" w:color="auto"/>
              <w:right w:val="outset" w:sz="6" w:space="0" w:color="auto"/>
            </w:tcBorders>
          </w:tcPr>
          <w:p w:rsidR="008B6F82" w:rsidRPr="001D0A49" w:rsidRDefault="008B6F82" w:rsidP="00651B00">
            <w:pPr>
              <w:pStyle w:val="naiskr"/>
              <w:jc w:val="center"/>
              <w:rPr>
                <w:sz w:val="28"/>
                <w:szCs w:val="28"/>
              </w:rPr>
            </w:pPr>
            <w:r w:rsidRPr="001D0A49">
              <w:rPr>
                <w:sz w:val="28"/>
                <w:szCs w:val="28"/>
              </w:rPr>
              <w:t>1.</w:t>
            </w:r>
          </w:p>
        </w:tc>
        <w:tc>
          <w:tcPr>
            <w:tcW w:w="1743"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pStyle w:val="naiskr"/>
              <w:ind w:left="117"/>
              <w:rPr>
                <w:sz w:val="28"/>
                <w:szCs w:val="28"/>
              </w:rPr>
            </w:pPr>
            <w:r w:rsidRPr="001D0A49">
              <w:rPr>
                <w:sz w:val="28"/>
                <w:szCs w:val="28"/>
              </w:rPr>
              <w:t>Nepieciešamie saistītie tiesību aktu projekti</w:t>
            </w:r>
          </w:p>
        </w:tc>
        <w:tc>
          <w:tcPr>
            <w:tcW w:w="3029" w:type="pct"/>
            <w:tcBorders>
              <w:top w:val="outset" w:sz="6" w:space="0" w:color="auto"/>
              <w:left w:val="outset" w:sz="6" w:space="0" w:color="auto"/>
              <w:bottom w:val="outset" w:sz="6" w:space="0" w:color="auto"/>
            </w:tcBorders>
          </w:tcPr>
          <w:p w:rsidR="008B6F82" w:rsidRPr="00CB5F72" w:rsidRDefault="002F1AD0" w:rsidP="00CE35B3">
            <w:pPr>
              <w:ind w:right="140"/>
              <w:contextualSpacing/>
              <w:jc w:val="both"/>
              <w:outlineLvl w:val="3"/>
              <w:rPr>
                <w:sz w:val="28"/>
                <w:szCs w:val="28"/>
              </w:rPr>
            </w:pPr>
            <w:r>
              <w:rPr>
                <w:sz w:val="28"/>
                <w:szCs w:val="28"/>
              </w:rPr>
              <w:t>Kultūras ministrija</w:t>
            </w:r>
            <w:r w:rsidR="003E7E7B">
              <w:rPr>
                <w:sz w:val="28"/>
                <w:szCs w:val="28"/>
              </w:rPr>
              <w:t xml:space="preserve"> vienlaikus ar Projektu virz</w:t>
            </w:r>
            <w:r w:rsidR="00CE35B3">
              <w:rPr>
                <w:sz w:val="28"/>
                <w:szCs w:val="28"/>
              </w:rPr>
              <w:t>a izskatīšanai Ministru kabinetā Ministru kabineta noteikumu projektu</w:t>
            </w:r>
            <w:r w:rsidR="003E7E7B">
              <w:rPr>
                <w:sz w:val="28"/>
                <w:szCs w:val="28"/>
              </w:rPr>
              <w:t xml:space="preserve"> </w:t>
            </w:r>
            <w:r w:rsidR="00CE35B3" w:rsidRPr="00CE35B3">
              <w:rPr>
                <w:sz w:val="28"/>
                <w:szCs w:val="28"/>
              </w:rPr>
              <w:t>„Kārtība, k</w:t>
            </w:r>
            <w:r w:rsidR="00CE35B3">
              <w:rPr>
                <w:sz w:val="28"/>
                <w:szCs w:val="28"/>
              </w:rPr>
              <w:t>ādā tiek aprēķināta un sadalīta</w:t>
            </w:r>
            <w:r w:rsidR="00CE35B3" w:rsidRPr="00CE35B3">
              <w:rPr>
                <w:sz w:val="28"/>
                <w:szCs w:val="28"/>
              </w:rPr>
              <w:t xml:space="preserve"> valsts budž</w:t>
            </w:r>
            <w:r w:rsidR="00CE35B3">
              <w:rPr>
                <w:sz w:val="28"/>
                <w:szCs w:val="28"/>
              </w:rPr>
              <w:t xml:space="preserve">eta mērķdotācija māksliniecisko </w:t>
            </w:r>
            <w:r w:rsidR="00CE35B3" w:rsidRPr="00CE35B3">
              <w:rPr>
                <w:sz w:val="28"/>
                <w:szCs w:val="28"/>
              </w:rPr>
              <w:t>kolektīvu, k</w:t>
            </w:r>
            <w:r w:rsidR="00CE35B3">
              <w:rPr>
                <w:sz w:val="28"/>
                <w:szCs w:val="28"/>
              </w:rPr>
              <w:t xml:space="preserve">uru dibinātāji nav pašvaldība, </w:t>
            </w:r>
            <w:r w:rsidR="00CE35B3" w:rsidRPr="00CE35B3">
              <w:rPr>
                <w:sz w:val="28"/>
                <w:szCs w:val="28"/>
              </w:rPr>
              <w:t>vadītāju da</w:t>
            </w:r>
            <w:r w:rsidR="00CE35B3">
              <w:rPr>
                <w:sz w:val="28"/>
                <w:szCs w:val="28"/>
              </w:rPr>
              <w:t xml:space="preserve">rba samaksai un valsts sociālās </w:t>
            </w:r>
            <w:r w:rsidR="00CE35B3" w:rsidRPr="00CE35B3">
              <w:rPr>
                <w:sz w:val="28"/>
                <w:szCs w:val="28"/>
              </w:rPr>
              <w:t>apdrošināšanas obligātajām iemaksām”</w:t>
            </w:r>
            <w:r w:rsidR="00CE35B3">
              <w:rPr>
                <w:sz w:val="28"/>
                <w:szCs w:val="28"/>
              </w:rPr>
              <w:t>.</w:t>
            </w:r>
          </w:p>
        </w:tc>
      </w:tr>
      <w:tr w:rsidR="008B6F82" w:rsidRPr="001D0A49" w:rsidTr="00651B00">
        <w:trPr>
          <w:trHeight w:val="450"/>
          <w:tblCellSpacing w:w="0" w:type="dxa"/>
        </w:trPr>
        <w:tc>
          <w:tcPr>
            <w:tcW w:w="228" w:type="pct"/>
            <w:tcBorders>
              <w:top w:val="outset" w:sz="6" w:space="0" w:color="auto"/>
              <w:left w:val="outset" w:sz="2" w:space="0" w:color="auto"/>
              <w:bottom w:val="outset" w:sz="6" w:space="0" w:color="auto"/>
              <w:right w:val="outset" w:sz="6" w:space="0" w:color="auto"/>
            </w:tcBorders>
          </w:tcPr>
          <w:p w:rsidR="008B6F82" w:rsidRPr="001D0A49" w:rsidRDefault="008B6F82" w:rsidP="00651B00">
            <w:pPr>
              <w:pStyle w:val="naiskr"/>
              <w:jc w:val="center"/>
              <w:rPr>
                <w:sz w:val="28"/>
                <w:szCs w:val="28"/>
              </w:rPr>
            </w:pPr>
            <w:r w:rsidRPr="001D0A49">
              <w:rPr>
                <w:sz w:val="28"/>
                <w:szCs w:val="28"/>
              </w:rPr>
              <w:t>2.</w:t>
            </w:r>
          </w:p>
        </w:tc>
        <w:tc>
          <w:tcPr>
            <w:tcW w:w="1743"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pStyle w:val="naiskr"/>
              <w:ind w:left="117"/>
              <w:rPr>
                <w:sz w:val="28"/>
                <w:szCs w:val="28"/>
              </w:rPr>
            </w:pPr>
            <w:r w:rsidRPr="001D0A49">
              <w:rPr>
                <w:sz w:val="28"/>
                <w:szCs w:val="28"/>
              </w:rPr>
              <w:t>Cita informācija</w:t>
            </w:r>
          </w:p>
        </w:tc>
        <w:tc>
          <w:tcPr>
            <w:tcW w:w="3029" w:type="pct"/>
            <w:tcBorders>
              <w:top w:val="outset" w:sz="6" w:space="0" w:color="auto"/>
              <w:left w:val="outset" w:sz="6" w:space="0" w:color="auto"/>
              <w:bottom w:val="outset" w:sz="6" w:space="0" w:color="auto"/>
            </w:tcBorders>
          </w:tcPr>
          <w:p w:rsidR="008B6F82" w:rsidRPr="001D0A49" w:rsidRDefault="008B6F82" w:rsidP="00C71066">
            <w:pPr>
              <w:pStyle w:val="naiskr"/>
              <w:ind w:firstLine="155"/>
              <w:rPr>
                <w:sz w:val="28"/>
                <w:szCs w:val="28"/>
              </w:rPr>
            </w:pPr>
            <w:r w:rsidRPr="001D0A49">
              <w:rPr>
                <w:sz w:val="28"/>
                <w:szCs w:val="28"/>
              </w:rPr>
              <w:t>Nav</w:t>
            </w:r>
          </w:p>
        </w:tc>
      </w:tr>
    </w:tbl>
    <w:p w:rsidR="008B6F82" w:rsidRDefault="008B6F82" w:rsidP="008B6F82">
      <w:pPr>
        <w:jc w:val="both"/>
        <w:rPr>
          <w:i/>
          <w:color w:val="000000"/>
          <w:sz w:val="28"/>
          <w:szCs w:val="28"/>
        </w:rPr>
      </w:pPr>
    </w:p>
    <w:p w:rsidR="008B6F82" w:rsidRDefault="008B6F82" w:rsidP="008B6F82">
      <w:pPr>
        <w:jc w:val="both"/>
        <w:rPr>
          <w:i/>
          <w:sz w:val="28"/>
          <w:szCs w:val="28"/>
        </w:rPr>
      </w:pPr>
      <w:r w:rsidRPr="001876FD">
        <w:rPr>
          <w:i/>
          <w:color w:val="000000"/>
          <w:sz w:val="28"/>
          <w:szCs w:val="28"/>
        </w:rPr>
        <w:t>Anotācijas</w:t>
      </w:r>
      <w:r>
        <w:rPr>
          <w:i/>
          <w:color w:val="000000"/>
          <w:sz w:val="28"/>
          <w:szCs w:val="28"/>
        </w:rPr>
        <w:t xml:space="preserve"> </w:t>
      </w:r>
      <w:r w:rsidR="00CE35B3">
        <w:rPr>
          <w:i/>
          <w:color w:val="000000"/>
          <w:sz w:val="28"/>
          <w:szCs w:val="28"/>
        </w:rPr>
        <w:t xml:space="preserve">II, V, VI </w:t>
      </w:r>
      <w:r w:rsidRPr="001876FD">
        <w:rPr>
          <w:i/>
          <w:color w:val="000000"/>
          <w:sz w:val="28"/>
          <w:szCs w:val="28"/>
        </w:rPr>
        <w:t xml:space="preserve">sadaļa – </w:t>
      </w:r>
      <w:r w:rsidRPr="001876FD">
        <w:rPr>
          <w:i/>
          <w:sz w:val="28"/>
          <w:szCs w:val="28"/>
        </w:rPr>
        <w:t>projekts šīs jomas neskar.</w:t>
      </w:r>
    </w:p>
    <w:p w:rsidR="008B6F82" w:rsidRDefault="008B6F82" w:rsidP="008B6F82">
      <w:pPr>
        <w:jc w:val="both"/>
        <w:rPr>
          <w:i/>
          <w:sz w:val="28"/>
          <w:szCs w:val="28"/>
        </w:rPr>
      </w:pPr>
    </w:p>
    <w:p w:rsidR="008B6F82" w:rsidRDefault="008B6F82" w:rsidP="008B6F82">
      <w:pPr>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1"/>
        <w:gridCol w:w="3873"/>
        <w:gridCol w:w="4687"/>
      </w:tblGrid>
      <w:tr w:rsidR="008B6F82" w:rsidRPr="001D0A49" w:rsidTr="00391CB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B6F82" w:rsidRPr="001D0A49" w:rsidRDefault="008B6F82" w:rsidP="00C71066">
            <w:pPr>
              <w:jc w:val="center"/>
              <w:rPr>
                <w:sz w:val="28"/>
                <w:szCs w:val="28"/>
              </w:rPr>
            </w:pPr>
            <w:r w:rsidRPr="001D0A49">
              <w:rPr>
                <w:b/>
                <w:bCs/>
                <w:sz w:val="28"/>
                <w:szCs w:val="28"/>
              </w:rPr>
              <w:t>VII. Tiesību akta projekta izpildes nodrošināšana un tās ietekme uz institūcijām</w:t>
            </w:r>
          </w:p>
        </w:tc>
      </w:tr>
      <w:tr w:rsidR="008B6F82" w:rsidRPr="001D0A49" w:rsidTr="00391CB8">
        <w:trPr>
          <w:trHeight w:val="427"/>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1.</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izpildē iesaistītās institūcijas</w:t>
            </w:r>
          </w:p>
        </w:tc>
        <w:tc>
          <w:tcPr>
            <w:tcW w:w="2575" w:type="pct"/>
            <w:tcBorders>
              <w:top w:val="outset" w:sz="6" w:space="0" w:color="auto"/>
              <w:left w:val="outset" w:sz="6" w:space="0" w:color="auto"/>
              <w:bottom w:val="outset" w:sz="6" w:space="0" w:color="auto"/>
              <w:right w:val="outset" w:sz="6" w:space="0" w:color="auto"/>
            </w:tcBorders>
            <w:vAlign w:val="center"/>
          </w:tcPr>
          <w:p w:rsidR="008B6F82" w:rsidRPr="002C144E" w:rsidRDefault="00391CB8" w:rsidP="00391CB8">
            <w:pPr>
              <w:ind w:left="122" w:right="127" w:hanging="141"/>
              <w:jc w:val="both"/>
              <w:rPr>
                <w:sz w:val="28"/>
                <w:szCs w:val="28"/>
              </w:rPr>
            </w:pPr>
            <w:r>
              <w:rPr>
                <w:sz w:val="28"/>
                <w:szCs w:val="28"/>
              </w:rPr>
              <w:t xml:space="preserve">  </w:t>
            </w:r>
            <w:r w:rsidR="008B6F82" w:rsidRPr="002C144E">
              <w:rPr>
                <w:sz w:val="28"/>
                <w:szCs w:val="28"/>
              </w:rPr>
              <w:t xml:space="preserve">Kultūras ministrija, Finanšu ministrija, </w:t>
            </w:r>
            <w:r w:rsidR="00DD3EC5" w:rsidRPr="002C144E">
              <w:rPr>
                <w:sz w:val="28"/>
                <w:szCs w:val="28"/>
              </w:rPr>
              <w:t>Latvijas Nacionālais kultūras</w:t>
            </w:r>
            <w:r w:rsidR="008B6F82" w:rsidRPr="002C144E">
              <w:rPr>
                <w:sz w:val="28"/>
                <w:szCs w:val="28"/>
              </w:rPr>
              <w:t xml:space="preserve"> centrs</w:t>
            </w:r>
            <w:r w:rsidR="00D11823">
              <w:rPr>
                <w:sz w:val="28"/>
                <w:szCs w:val="28"/>
              </w:rPr>
              <w:t>.</w:t>
            </w:r>
          </w:p>
        </w:tc>
      </w:tr>
      <w:tr w:rsidR="008B6F82" w:rsidRPr="001D0A49" w:rsidTr="00391CB8">
        <w:trPr>
          <w:trHeight w:val="463"/>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2.</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funkcijām</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391CB8" w:rsidP="00391CB8">
            <w:pPr>
              <w:ind w:left="-19" w:right="127"/>
              <w:jc w:val="both"/>
              <w:rPr>
                <w:sz w:val="28"/>
                <w:szCs w:val="28"/>
              </w:rPr>
            </w:pPr>
            <w:r>
              <w:rPr>
                <w:sz w:val="28"/>
                <w:szCs w:val="28"/>
              </w:rPr>
              <w:t xml:space="preserve"> </w:t>
            </w:r>
            <w:r w:rsidR="008B6F82">
              <w:rPr>
                <w:sz w:val="28"/>
                <w:szCs w:val="28"/>
              </w:rPr>
              <w:t>Projekts šo jomu neskar.</w:t>
            </w:r>
          </w:p>
        </w:tc>
      </w:tr>
      <w:tr w:rsidR="008B6F82" w:rsidRPr="001D0A49" w:rsidTr="00391CB8">
        <w:trPr>
          <w:trHeight w:val="725"/>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3.</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institucionālo struktūru.</w:t>
            </w:r>
          </w:p>
          <w:p w:rsidR="008B6F82" w:rsidRPr="001D0A49" w:rsidRDefault="008B6F82" w:rsidP="00C71066">
            <w:pPr>
              <w:rPr>
                <w:sz w:val="28"/>
                <w:szCs w:val="28"/>
              </w:rPr>
            </w:pPr>
            <w:r w:rsidRPr="001D0A49">
              <w:rPr>
                <w:sz w:val="28"/>
                <w:szCs w:val="28"/>
              </w:rPr>
              <w:t>Jaunu institūciju izveide</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ind w:left="-19" w:right="57"/>
              <w:rPr>
                <w:sz w:val="28"/>
                <w:szCs w:val="28"/>
              </w:rPr>
            </w:pPr>
            <w:r>
              <w:rPr>
                <w:sz w:val="28"/>
                <w:szCs w:val="28"/>
              </w:rPr>
              <w:t xml:space="preserve"> Projekts šo jomu neskar.</w:t>
            </w:r>
          </w:p>
        </w:tc>
      </w:tr>
      <w:tr w:rsidR="008B6F82" w:rsidRPr="001D0A49" w:rsidTr="00391CB8">
        <w:trPr>
          <w:trHeight w:val="780"/>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4.</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institucionālo struktūru.</w:t>
            </w:r>
          </w:p>
          <w:p w:rsidR="008B6F82" w:rsidRPr="001D0A49" w:rsidRDefault="008B6F82" w:rsidP="00C71066">
            <w:pPr>
              <w:rPr>
                <w:sz w:val="28"/>
                <w:szCs w:val="28"/>
              </w:rPr>
            </w:pPr>
            <w:r w:rsidRPr="001D0A49">
              <w:rPr>
                <w:sz w:val="28"/>
                <w:szCs w:val="28"/>
              </w:rPr>
              <w:lastRenderedPageBreak/>
              <w:t>Esošu institūciju likvidācija</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ind w:left="-19" w:right="57"/>
              <w:rPr>
                <w:sz w:val="28"/>
                <w:szCs w:val="28"/>
              </w:rPr>
            </w:pPr>
            <w:r>
              <w:rPr>
                <w:sz w:val="28"/>
                <w:szCs w:val="28"/>
              </w:rPr>
              <w:lastRenderedPageBreak/>
              <w:t xml:space="preserve"> Projekts šo jomu neskar.</w:t>
            </w:r>
          </w:p>
        </w:tc>
      </w:tr>
      <w:tr w:rsidR="008B6F82" w:rsidRPr="001D0A49" w:rsidTr="00391CB8">
        <w:trPr>
          <w:trHeight w:val="703"/>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lastRenderedPageBreak/>
              <w:t> 5.</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Projekta izpildes ietekme uz pārvaldes institucionālo struktūru.</w:t>
            </w:r>
          </w:p>
          <w:p w:rsidR="008B6F82" w:rsidRPr="001D0A49" w:rsidRDefault="008B6F82" w:rsidP="00C71066">
            <w:pPr>
              <w:rPr>
                <w:sz w:val="28"/>
                <w:szCs w:val="28"/>
              </w:rPr>
            </w:pPr>
            <w:r w:rsidRPr="001D0A49">
              <w:rPr>
                <w:sz w:val="28"/>
                <w:szCs w:val="28"/>
              </w:rPr>
              <w:t>Esošu institūciju reorganizācija</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8B6F82" w:rsidP="00391CB8">
            <w:pPr>
              <w:ind w:left="-19" w:right="57"/>
              <w:rPr>
                <w:sz w:val="28"/>
                <w:szCs w:val="28"/>
              </w:rPr>
            </w:pPr>
            <w:r>
              <w:rPr>
                <w:sz w:val="28"/>
                <w:szCs w:val="28"/>
              </w:rPr>
              <w:t xml:space="preserve"> Projekts šo jomu neskar.</w:t>
            </w:r>
          </w:p>
        </w:tc>
      </w:tr>
      <w:tr w:rsidR="008B6F82" w:rsidRPr="001D0A49" w:rsidTr="00391CB8">
        <w:trPr>
          <w:trHeight w:val="476"/>
          <w:tblCellSpacing w:w="0" w:type="dxa"/>
        </w:trPr>
        <w:tc>
          <w:tcPr>
            <w:tcW w:w="297"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6.</w:t>
            </w:r>
          </w:p>
        </w:tc>
        <w:tc>
          <w:tcPr>
            <w:tcW w:w="2128" w:type="pct"/>
            <w:tcBorders>
              <w:top w:val="outset" w:sz="6" w:space="0" w:color="auto"/>
              <w:left w:val="outset" w:sz="6" w:space="0" w:color="auto"/>
              <w:bottom w:val="outset" w:sz="6" w:space="0" w:color="auto"/>
              <w:right w:val="outset" w:sz="6" w:space="0" w:color="auto"/>
            </w:tcBorders>
          </w:tcPr>
          <w:p w:rsidR="008B6F82" w:rsidRPr="001D0A49" w:rsidRDefault="008B6F82" w:rsidP="00C71066">
            <w:pPr>
              <w:rPr>
                <w:sz w:val="28"/>
                <w:szCs w:val="28"/>
              </w:rPr>
            </w:pPr>
            <w:r w:rsidRPr="001D0A49">
              <w:rPr>
                <w:sz w:val="28"/>
                <w:szCs w:val="28"/>
              </w:rPr>
              <w:t> Cita informācija</w:t>
            </w:r>
          </w:p>
        </w:tc>
        <w:tc>
          <w:tcPr>
            <w:tcW w:w="2575" w:type="pct"/>
            <w:tcBorders>
              <w:top w:val="outset" w:sz="6" w:space="0" w:color="auto"/>
              <w:left w:val="outset" w:sz="6" w:space="0" w:color="auto"/>
              <w:bottom w:val="outset" w:sz="6" w:space="0" w:color="auto"/>
              <w:right w:val="outset" w:sz="6" w:space="0" w:color="auto"/>
            </w:tcBorders>
          </w:tcPr>
          <w:p w:rsidR="008B6F82" w:rsidRPr="001D0A49" w:rsidRDefault="00391CB8" w:rsidP="00391CB8">
            <w:pPr>
              <w:ind w:left="-19"/>
              <w:rPr>
                <w:sz w:val="28"/>
                <w:szCs w:val="28"/>
              </w:rPr>
            </w:pPr>
            <w:r>
              <w:rPr>
                <w:sz w:val="28"/>
                <w:szCs w:val="28"/>
              </w:rPr>
              <w:t xml:space="preserve"> </w:t>
            </w:r>
            <w:r w:rsidR="008B6F82" w:rsidRPr="001D0A49">
              <w:rPr>
                <w:sz w:val="28"/>
                <w:szCs w:val="28"/>
              </w:rPr>
              <w:t>Nav</w:t>
            </w:r>
          </w:p>
        </w:tc>
      </w:tr>
      <w:bookmarkEnd w:id="3"/>
      <w:bookmarkEnd w:id="4"/>
      <w:bookmarkEnd w:id="5"/>
      <w:bookmarkEnd w:id="6"/>
    </w:tbl>
    <w:p w:rsidR="008B6F82" w:rsidRDefault="008B6F82" w:rsidP="008B6F82">
      <w:pPr>
        <w:jc w:val="both"/>
        <w:rPr>
          <w:color w:val="000000"/>
          <w:sz w:val="28"/>
          <w:szCs w:val="28"/>
        </w:rPr>
      </w:pPr>
    </w:p>
    <w:p w:rsidR="008B6F82" w:rsidRDefault="008B6F82" w:rsidP="008B6F82">
      <w:pPr>
        <w:rPr>
          <w:sz w:val="28"/>
          <w:szCs w:val="28"/>
        </w:rPr>
      </w:pPr>
      <w:r w:rsidRPr="00E52880">
        <w:rPr>
          <w:sz w:val="28"/>
          <w:szCs w:val="28"/>
        </w:rPr>
        <w:t xml:space="preserve">Kultūras </w:t>
      </w:r>
      <w:r w:rsidR="001D5FA5">
        <w:rPr>
          <w:sz w:val="28"/>
          <w:szCs w:val="28"/>
        </w:rPr>
        <w:t>ministre</w:t>
      </w:r>
      <w:r>
        <w:rPr>
          <w:sz w:val="28"/>
          <w:szCs w:val="28"/>
        </w:rPr>
        <w:tab/>
      </w:r>
      <w:r>
        <w:rPr>
          <w:sz w:val="28"/>
          <w:szCs w:val="28"/>
        </w:rPr>
        <w:tab/>
      </w:r>
      <w:r w:rsidR="001D5FA5">
        <w:rPr>
          <w:sz w:val="28"/>
          <w:szCs w:val="28"/>
        </w:rPr>
        <w:tab/>
      </w:r>
      <w:r w:rsidR="001D5FA5">
        <w:rPr>
          <w:sz w:val="28"/>
          <w:szCs w:val="28"/>
        </w:rPr>
        <w:tab/>
      </w:r>
      <w:r w:rsidR="001D5FA5">
        <w:rPr>
          <w:sz w:val="28"/>
          <w:szCs w:val="28"/>
        </w:rPr>
        <w:tab/>
      </w:r>
      <w:r w:rsidR="001D5FA5">
        <w:rPr>
          <w:sz w:val="28"/>
          <w:szCs w:val="28"/>
        </w:rPr>
        <w:tab/>
      </w:r>
      <w:r w:rsidR="001D5FA5">
        <w:rPr>
          <w:sz w:val="28"/>
          <w:szCs w:val="28"/>
        </w:rPr>
        <w:tab/>
        <w:t>D.Melbārde</w:t>
      </w:r>
    </w:p>
    <w:p w:rsidR="001D5FA5" w:rsidRDefault="001D5FA5" w:rsidP="008B6F82">
      <w:pPr>
        <w:rPr>
          <w:sz w:val="28"/>
          <w:szCs w:val="28"/>
        </w:rPr>
      </w:pPr>
    </w:p>
    <w:p w:rsidR="008B6F82" w:rsidRDefault="008B6F82" w:rsidP="008B6F82">
      <w:pPr>
        <w:rPr>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52880">
        <w:rPr>
          <w:sz w:val="28"/>
          <w:szCs w:val="28"/>
        </w:rPr>
        <w:t>G.Puķītis</w:t>
      </w:r>
    </w:p>
    <w:p w:rsidR="008B6F82" w:rsidRDefault="008B6F82" w:rsidP="008B6F82">
      <w:pPr>
        <w:rPr>
          <w:sz w:val="28"/>
          <w:szCs w:val="28"/>
        </w:rPr>
      </w:pPr>
    </w:p>
    <w:p w:rsidR="00F24000" w:rsidRDefault="00F24000" w:rsidP="008B6F82">
      <w:pPr>
        <w:rPr>
          <w:sz w:val="28"/>
          <w:szCs w:val="28"/>
        </w:rPr>
      </w:pPr>
    </w:p>
    <w:p w:rsidR="00F24000" w:rsidRDefault="00F24000" w:rsidP="008B6F82">
      <w:pPr>
        <w:rPr>
          <w:sz w:val="28"/>
          <w:szCs w:val="28"/>
        </w:rPr>
      </w:pPr>
    </w:p>
    <w:p w:rsidR="00F24000" w:rsidRDefault="00F24000" w:rsidP="008B6F82">
      <w:pPr>
        <w:rPr>
          <w:sz w:val="28"/>
          <w:szCs w:val="28"/>
        </w:rPr>
      </w:pPr>
    </w:p>
    <w:p w:rsidR="001D5FA5" w:rsidRPr="001D5FA5" w:rsidRDefault="00F24000" w:rsidP="001D5FA5">
      <w:pPr>
        <w:suppressAutoHyphens w:val="0"/>
        <w:rPr>
          <w:rFonts w:eastAsia="Calibri"/>
          <w:sz w:val="22"/>
          <w:szCs w:val="22"/>
          <w:lang w:eastAsia="en-US"/>
        </w:rPr>
      </w:pPr>
      <w:r>
        <w:rPr>
          <w:rFonts w:eastAsia="Calibri"/>
          <w:sz w:val="22"/>
          <w:szCs w:val="22"/>
          <w:lang w:eastAsia="en-US"/>
        </w:rPr>
        <w:t>22</w:t>
      </w:r>
      <w:r w:rsidR="00091D19">
        <w:rPr>
          <w:rFonts w:eastAsia="Calibri"/>
          <w:sz w:val="22"/>
          <w:szCs w:val="22"/>
          <w:lang w:eastAsia="en-US"/>
        </w:rPr>
        <w:t>.01.2014.</w:t>
      </w:r>
    </w:p>
    <w:p w:rsidR="001D5FA5" w:rsidRPr="001D5FA5" w:rsidRDefault="008F1EAF" w:rsidP="001D5FA5">
      <w:pPr>
        <w:suppressAutoHyphens w:val="0"/>
        <w:jc w:val="both"/>
        <w:rPr>
          <w:rFonts w:eastAsia="Calibri"/>
          <w:sz w:val="22"/>
          <w:szCs w:val="22"/>
          <w:lang w:eastAsia="en-US"/>
        </w:rPr>
      </w:pPr>
      <w:r>
        <w:rPr>
          <w:rFonts w:eastAsia="Calibri"/>
          <w:sz w:val="22"/>
          <w:szCs w:val="22"/>
          <w:lang w:eastAsia="en-US"/>
        </w:rPr>
        <w:t>997</w:t>
      </w:r>
    </w:p>
    <w:p w:rsidR="001D5FA5" w:rsidRPr="001D5FA5" w:rsidRDefault="001D5FA5" w:rsidP="001D5FA5">
      <w:pPr>
        <w:suppressAutoHyphens w:val="0"/>
        <w:rPr>
          <w:rFonts w:eastAsia="Calibri"/>
          <w:sz w:val="22"/>
          <w:szCs w:val="22"/>
          <w:lang w:eastAsia="en-US"/>
        </w:rPr>
      </w:pPr>
      <w:r w:rsidRPr="001D5FA5">
        <w:rPr>
          <w:rFonts w:eastAsia="Calibri"/>
          <w:sz w:val="22"/>
          <w:szCs w:val="22"/>
          <w:lang w:eastAsia="en-US"/>
        </w:rPr>
        <w:t>S.Pujāte</w:t>
      </w:r>
    </w:p>
    <w:p w:rsidR="001D5FA5" w:rsidRPr="001D5FA5" w:rsidRDefault="00C71066" w:rsidP="001D5FA5">
      <w:pPr>
        <w:tabs>
          <w:tab w:val="center" w:pos="4153"/>
          <w:tab w:val="right" w:pos="8306"/>
        </w:tabs>
        <w:suppressAutoHyphens w:val="0"/>
        <w:rPr>
          <w:rFonts w:eastAsia="Calibri"/>
          <w:color w:val="808080" w:themeColor="background1" w:themeShade="80"/>
          <w:sz w:val="22"/>
          <w:szCs w:val="22"/>
          <w:lang w:eastAsia="en-US"/>
        </w:rPr>
      </w:pPr>
      <w:bookmarkStart w:id="7" w:name="OLE_LINK7"/>
      <w:bookmarkStart w:id="8" w:name="OLE_LINK8"/>
      <w:r>
        <w:rPr>
          <w:rFonts w:eastAsia="Calibri"/>
          <w:sz w:val="22"/>
          <w:szCs w:val="22"/>
          <w:lang w:eastAsia="en-US"/>
        </w:rPr>
        <w:t>Tālr.67228985; f</w:t>
      </w:r>
      <w:r w:rsidR="001D5FA5" w:rsidRPr="001D5FA5">
        <w:rPr>
          <w:rFonts w:eastAsia="Calibri"/>
          <w:sz w:val="22"/>
          <w:szCs w:val="22"/>
          <w:lang w:eastAsia="en-US"/>
        </w:rPr>
        <w:t>akss 67227405</w:t>
      </w:r>
    </w:p>
    <w:p w:rsidR="001D5FA5" w:rsidRPr="001D5FA5" w:rsidRDefault="00C14C19" w:rsidP="001D5FA5">
      <w:pPr>
        <w:suppressAutoHyphens w:val="0"/>
        <w:rPr>
          <w:rFonts w:eastAsia="Calibri"/>
          <w:sz w:val="22"/>
          <w:szCs w:val="22"/>
          <w:lang w:eastAsia="en-US"/>
        </w:rPr>
      </w:pPr>
      <w:hyperlink r:id="rId7" w:history="1">
        <w:r w:rsidR="00C71066" w:rsidRPr="00C77632">
          <w:rPr>
            <w:rStyle w:val="Hipersaite"/>
            <w:rFonts w:eastAsia="Calibri"/>
            <w:sz w:val="22"/>
            <w:szCs w:val="22"/>
            <w:lang w:eastAsia="en-US"/>
          </w:rPr>
          <w:t>Signe.Pujate@lnkc.gov.l</w:t>
        </w:r>
        <w:r w:rsidR="00C71066" w:rsidRPr="00C77632">
          <w:rPr>
            <w:rStyle w:val="Hipersaite"/>
          </w:rPr>
          <w:t>v</w:t>
        </w:r>
      </w:hyperlink>
      <w:r w:rsidR="00C71066">
        <w:t xml:space="preserve">  </w:t>
      </w:r>
    </w:p>
    <w:bookmarkEnd w:id="7"/>
    <w:bookmarkEnd w:id="8"/>
    <w:p w:rsidR="001D5FA5" w:rsidRPr="001D5FA5" w:rsidRDefault="001D5FA5" w:rsidP="001D5FA5">
      <w:pPr>
        <w:suppressAutoHyphens w:val="0"/>
        <w:rPr>
          <w:rFonts w:eastAsia="Calibri"/>
          <w:sz w:val="22"/>
          <w:szCs w:val="22"/>
          <w:lang w:eastAsia="en-US"/>
        </w:rPr>
      </w:pPr>
    </w:p>
    <w:p w:rsidR="00117AF5" w:rsidRDefault="00117AF5"/>
    <w:sectPr w:rsidR="00117AF5" w:rsidSect="00C71066">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3B8" w:rsidRDefault="006663B8" w:rsidP="00DD3EC5">
      <w:r>
        <w:separator/>
      </w:r>
    </w:p>
  </w:endnote>
  <w:endnote w:type="continuationSeparator" w:id="0">
    <w:p w:rsidR="006663B8" w:rsidRDefault="006663B8" w:rsidP="00DD3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D0" w:rsidRPr="003A6A04" w:rsidRDefault="003A6A04" w:rsidP="003A6A04">
    <w:pPr>
      <w:pStyle w:val="Kjene"/>
      <w:tabs>
        <w:tab w:val="clear" w:pos="8306"/>
        <w:tab w:val="right" w:pos="9072"/>
      </w:tabs>
      <w:jc w:val="both"/>
    </w:pPr>
    <w:r w:rsidRPr="00C71066">
      <w:rPr>
        <w:sz w:val="22"/>
        <w:szCs w:val="22"/>
      </w:rPr>
      <w:t>KMAnot_</w:t>
    </w:r>
    <w:r w:rsidR="00F24000">
      <w:rPr>
        <w:sz w:val="22"/>
        <w:szCs w:val="22"/>
      </w:rPr>
      <w:t>22</w:t>
    </w:r>
    <w:r w:rsidR="00091D19">
      <w:rPr>
        <w:sz w:val="22"/>
        <w:szCs w:val="22"/>
      </w:rPr>
      <w:t>0114</w:t>
    </w:r>
    <w:r w:rsidRPr="00C71066">
      <w:rPr>
        <w:sz w:val="22"/>
        <w:szCs w:val="22"/>
      </w:rPr>
      <w:t>_citi_dib_merkdot</w:t>
    </w:r>
    <w:r w:rsidR="001E4A23">
      <w:rPr>
        <w:sz w:val="22"/>
        <w:szCs w:val="22"/>
      </w:rPr>
      <w:t>_sadal</w:t>
    </w:r>
    <w:r w:rsidRPr="00DD3EC5">
      <w:rPr>
        <w:sz w:val="22"/>
        <w:szCs w:val="22"/>
      </w:rPr>
      <w:t xml:space="preserve">; Ministru kabineta </w:t>
    </w:r>
    <w:r>
      <w:rPr>
        <w:sz w:val="22"/>
        <w:szCs w:val="22"/>
      </w:rPr>
      <w:t>rīkojuma projekta „</w:t>
    </w:r>
    <w:r w:rsidRPr="003A6A04">
      <w:rPr>
        <w:sz w:val="22"/>
        <w:szCs w:val="22"/>
      </w:rPr>
      <w:t>Par mērķdotāciju sadalījumu māksliniecisko kolektīvu, kuru dibinātāji nav pašvaldība, vadītāju darba samaksai un valsts sociālās apdrošināšanas obligātajām iemaksām 2014.gadam</w:t>
    </w:r>
    <w:r>
      <w:rPr>
        <w:sz w:val="22"/>
        <w:szCs w:val="22"/>
      </w:rPr>
      <w:t xml:space="preserve">” </w:t>
    </w:r>
    <w:r w:rsidRPr="00DD3EC5">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AD0" w:rsidRPr="00DD3EC5" w:rsidRDefault="002F1AD0" w:rsidP="00C71066">
    <w:pPr>
      <w:pStyle w:val="Kjene"/>
      <w:tabs>
        <w:tab w:val="clear" w:pos="8306"/>
        <w:tab w:val="right" w:pos="9072"/>
      </w:tabs>
      <w:jc w:val="both"/>
    </w:pPr>
    <w:r w:rsidRPr="00C71066">
      <w:rPr>
        <w:sz w:val="22"/>
        <w:szCs w:val="22"/>
      </w:rPr>
      <w:t>KMAnot_</w:t>
    </w:r>
    <w:r w:rsidR="00F24000">
      <w:rPr>
        <w:sz w:val="22"/>
        <w:szCs w:val="22"/>
      </w:rPr>
      <w:t>22</w:t>
    </w:r>
    <w:r w:rsidR="00091D19">
      <w:rPr>
        <w:sz w:val="22"/>
        <w:szCs w:val="22"/>
      </w:rPr>
      <w:t>0114</w:t>
    </w:r>
    <w:r w:rsidRPr="00C71066">
      <w:rPr>
        <w:sz w:val="22"/>
        <w:szCs w:val="22"/>
      </w:rPr>
      <w:t>_citi_dib_merkdot</w:t>
    </w:r>
    <w:r w:rsidRPr="00DD3EC5">
      <w:rPr>
        <w:sz w:val="22"/>
        <w:szCs w:val="22"/>
      </w:rPr>
      <w:t xml:space="preserve">; Ministru kabineta </w:t>
    </w:r>
    <w:r w:rsidR="003A6A04">
      <w:rPr>
        <w:sz w:val="22"/>
        <w:szCs w:val="22"/>
      </w:rPr>
      <w:t>rīkojuma projekta „</w:t>
    </w:r>
    <w:r w:rsidR="003A6A04" w:rsidRPr="003A6A04">
      <w:rPr>
        <w:sz w:val="22"/>
        <w:szCs w:val="22"/>
      </w:rPr>
      <w:t>Par mērķdotāciju sadalījumu māksliniecisko kolektīvu, kuru dibinātāji nav pašvaldība, vadītāju darba samaksai un valsts sociālās apdrošināšanas obligātajām iemaksām 2014.gadam</w:t>
    </w:r>
    <w:r w:rsidR="003A6A04">
      <w:rPr>
        <w:sz w:val="22"/>
        <w:szCs w:val="22"/>
      </w:rPr>
      <w:t xml:space="preserve">” </w:t>
    </w:r>
    <w:r w:rsidRPr="00DD3EC5">
      <w:rPr>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3B8" w:rsidRDefault="006663B8" w:rsidP="00DD3EC5">
      <w:r>
        <w:separator/>
      </w:r>
    </w:p>
  </w:footnote>
  <w:footnote w:type="continuationSeparator" w:id="0">
    <w:p w:rsidR="006663B8" w:rsidRDefault="006663B8" w:rsidP="00DD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6242"/>
      <w:docPartObj>
        <w:docPartGallery w:val="Page Numbers (Top of Page)"/>
        <w:docPartUnique/>
      </w:docPartObj>
    </w:sdtPr>
    <w:sdtContent>
      <w:p w:rsidR="002F1AD0" w:rsidRDefault="00C14C19">
        <w:pPr>
          <w:pStyle w:val="Galvene"/>
          <w:jc w:val="center"/>
        </w:pPr>
        <w:r w:rsidRPr="00C71066">
          <w:rPr>
            <w:sz w:val="22"/>
            <w:szCs w:val="22"/>
          </w:rPr>
          <w:fldChar w:fldCharType="begin"/>
        </w:r>
        <w:r w:rsidR="002F1AD0" w:rsidRPr="00C71066">
          <w:rPr>
            <w:sz w:val="22"/>
            <w:szCs w:val="22"/>
          </w:rPr>
          <w:instrText xml:space="preserve"> PAGE   \* MERGEFORMAT </w:instrText>
        </w:r>
        <w:r w:rsidRPr="00C71066">
          <w:rPr>
            <w:sz w:val="22"/>
            <w:szCs w:val="22"/>
          </w:rPr>
          <w:fldChar w:fldCharType="separate"/>
        </w:r>
        <w:r w:rsidR="00271C2C">
          <w:rPr>
            <w:noProof/>
            <w:sz w:val="22"/>
            <w:szCs w:val="22"/>
          </w:rPr>
          <w:t>6</w:t>
        </w:r>
        <w:r w:rsidRPr="00C71066">
          <w:rPr>
            <w:noProof/>
            <w:sz w:val="22"/>
            <w:szCs w:val="22"/>
          </w:rPr>
          <w:fldChar w:fldCharType="end"/>
        </w:r>
      </w:p>
    </w:sdtContent>
  </w:sdt>
  <w:p w:rsidR="002F1AD0" w:rsidRDefault="002F1AD0">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B6F82"/>
    <w:rsid w:val="00044018"/>
    <w:rsid w:val="00061C57"/>
    <w:rsid w:val="000645FA"/>
    <w:rsid w:val="00091D19"/>
    <w:rsid w:val="00117AF5"/>
    <w:rsid w:val="001D5FA5"/>
    <w:rsid w:val="001E4A23"/>
    <w:rsid w:val="00271C2C"/>
    <w:rsid w:val="002C144E"/>
    <w:rsid w:val="002F1AD0"/>
    <w:rsid w:val="00391CB8"/>
    <w:rsid w:val="003A6A04"/>
    <w:rsid w:val="003E7E7B"/>
    <w:rsid w:val="00474CE4"/>
    <w:rsid w:val="004920B1"/>
    <w:rsid w:val="004D35D0"/>
    <w:rsid w:val="00651B00"/>
    <w:rsid w:val="006663B8"/>
    <w:rsid w:val="00772300"/>
    <w:rsid w:val="008A4E68"/>
    <w:rsid w:val="008B6F82"/>
    <w:rsid w:val="008D4760"/>
    <w:rsid w:val="008E0D6B"/>
    <w:rsid w:val="008F1EAF"/>
    <w:rsid w:val="00BC4F52"/>
    <w:rsid w:val="00C14C19"/>
    <w:rsid w:val="00C17D03"/>
    <w:rsid w:val="00C27AEB"/>
    <w:rsid w:val="00C50BCE"/>
    <w:rsid w:val="00C71066"/>
    <w:rsid w:val="00CE35B3"/>
    <w:rsid w:val="00D04A0E"/>
    <w:rsid w:val="00D11823"/>
    <w:rsid w:val="00D9004F"/>
    <w:rsid w:val="00DD3EC5"/>
    <w:rsid w:val="00F1007D"/>
    <w:rsid w:val="00F2400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8B6F82"/>
    <w:pPr>
      <w:tabs>
        <w:tab w:val="center" w:pos="4153"/>
        <w:tab w:val="right" w:pos="8306"/>
      </w:tabs>
    </w:pPr>
  </w:style>
  <w:style w:type="character" w:customStyle="1" w:styleId="KjeneRakstz">
    <w:name w:val="Kājene Rakstz."/>
    <w:basedOn w:val="Noklusjumarindkopasfonts"/>
    <w:link w:val="Kjene"/>
    <w:rsid w:val="008B6F82"/>
    <w:rPr>
      <w:rFonts w:ascii="Times New Roman" w:eastAsia="Times New Roman" w:hAnsi="Times New Roman" w:cs="Times New Roman"/>
      <w:sz w:val="24"/>
      <w:szCs w:val="24"/>
      <w:lang w:eastAsia="ar-SA"/>
    </w:rPr>
  </w:style>
  <w:style w:type="paragraph" w:styleId="Galvene">
    <w:name w:val="header"/>
    <w:basedOn w:val="Parastais"/>
    <w:link w:val="GalveneRakstz"/>
    <w:uiPriority w:val="99"/>
    <w:rsid w:val="008B6F82"/>
    <w:pPr>
      <w:tabs>
        <w:tab w:val="center" w:pos="4153"/>
        <w:tab w:val="right" w:pos="8306"/>
      </w:tabs>
      <w:suppressAutoHyphens w:val="0"/>
    </w:pPr>
    <w:rPr>
      <w:lang w:eastAsia="lv-LV"/>
    </w:rPr>
  </w:style>
  <w:style w:type="character" w:customStyle="1" w:styleId="GalveneRakstz">
    <w:name w:val="Galvene Rakstz."/>
    <w:basedOn w:val="Noklusjumarindkopasfonts"/>
    <w:link w:val="Galvene"/>
    <w:uiPriority w:val="99"/>
    <w:rsid w:val="008B6F82"/>
    <w:rPr>
      <w:rFonts w:ascii="Times New Roman" w:eastAsia="Times New Roman" w:hAnsi="Times New Roman" w:cs="Times New Roman"/>
      <w:sz w:val="24"/>
      <w:szCs w:val="24"/>
      <w:lang w:eastAsia="lv-LV"/>
    </w:rPr>
  </w:style>
  <w:style w:type="paragraph" w:customStyle="1" w:styleId="naisnod">
    <w:name w:val="naisnod"/>
    <w:basedOn w:val="Parastais"/>
    <w:rsid w:val="008B6F82"/>
    <w:pPr>
      <w:suppressAutoHyphens w:val="0"/>
      <w:spacing w:before="100" w:beforeAutospacing="1" w:after="100" w:afterAutospacing="1"/>
    </w:pPr>
    <w:rPr>
      <w:lang w:eastAsia="lv-LV"/>
    </w:rPr>
  </w:style>
  <w:style w:type="paragraph" w:customStyle="1" w:styleId="naiskr">
    <w:name w:val="naiskr"/>
    <w:basedOn w:val="Parastais"/>
    <w:rsid w:val="008B6F82"/>
    <w:pPr>
      <w:suppressAutoHyphens w:val="0"/>
      <w:spacing w:before="100" w:beforeAutospacing="1" w:after="100" w:afterAutospacing="1"/>
    </w:pPr>
    <w:rPr>
      <w:lang w:eastAsia="lv-LV"/>
    </w:rPr>
  </w:style>
  <w:style w:type="paragraph" w:customStyle="1" w:styleId="naisf">
    <w:name w:val="naisf"/>
    <w:basedOn w:val="Parastais"/>
    <w:rsid w:val="008B6F82"/>
    <w:pPr>
      <w:suppressAutoHyphens w:val="0"/>
      <w:spacing w:before="75" w:after="75"/>
      <w:ind w:firstLine="375"/>
      <w:jc w:val="both"/>
    </w:pPr>
    <w:rPr>
      <w:lang w:eastAsia="lv-LV"/>
    </w:rPr>
  </w:style>
  <w:style w:type="paragraph" w:styleId="Pamatteksts">
    <w:name w:val="Body Text"/>
    <w:basedOn w:val="Parastais"/>
    <w:link w:val="PamattekstsRakstz"/>
    <w:rsid w:val="008B6F82"/>
    <w:pPr>
      <w:suppressAutoHyphens w:val="0"/>
      <w:spacing w:before="100" w:beforeAutospacing="1" w:after="100" w:afterAutospacing="1"/>
    </w:pPr>
    <w:rPr>
      <w:lang w:eastAsia="lv-LV"/>
    </w:rPr>
  </w:style>
  <w:style w:type="character" w:customStyle="1" w:styleId="PamattekstsRakstz">
    <w:name w:val="Pamatteksts Rakstz."/>
    <w:basedOn w:val="Noklusjumarindkopasfonts"/>
    <w:link w:val="Pamatteksts"/>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B6F82"/>
  </w:style>
  <w:style w:type="paragraph" w:styleId="Pamatteksts2">
    <w:name w:val="Body Text 2"/>
    <w:basedOn w:val="Parastais"/>
    <w:link w:val="Pamatteksts2Rakstz"/>
    <w:uiPriority w:val="99"/>
    <w:semiHidden/>
    <w:unhideWhenUsed/>
    <w:rsid w:val="00DD3EC5"/>
    <w:pPr>
      <w:spacing w:after="120" w:line="480" w:lineRule="auto"/>
    </w:pPr>
  </w:style>
  <w:style w:type="character" w:customStyle="1" w:styleId="Pamatteksts2Rakstz">
    <w:name w:val="Pamatteksts 2 Rakstz."/>
    <w:basedOn w:val="Noklusjumarindkopasfonts"/>
    <w:link w:val="Pamatteksts2"/>
    <w:uiPriority w:val="99"/>
    <w:semiHidden/>
    <w:rsid w:val="00DD3EC5"/>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C71066"/>
    <w:rPr>
      <w:color w:val="0000FF" w:themeColor="hyperlink"/>
      <w:u w:val="single"/>
    </w:rPr>
  </w:style>
  <w:style w:type="paragraph" w:styleId="Balonteksts">
    <w:name w:val="Balloon Text"/>
    <w:basedOn w:val="Parastais"/>
    <w:link w:val="BalontekstsRakstz"/>
    <w:uiPriority w:val="99"/>
    <w:semiHidden/>
    <w:unhideWhenUsed/>
    <w:rsid w:val="00651B0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51B00"/>
    <w:rPr>
      <w:rFonts w:ascii="Tahoma" w:eastAsia="Times New Roman" w:hAnsi="Tahoma" w:cs="Tahoma"/>
      <w:sz w:val="16"/>
      <w:szCs w:val="16"/>
      <w:lang w:eastAsia="ar-SA"/>
    </w:rPr>
  </w:style>
  <w:style w:type="character" w:styleId="Komentraatsauce">
    <w:name w:val="annotation reference"/>
    <w:basedOn w:val="Noklusjumarindkopasfonts"/>
    <w:uiPriority w:val="99"/>
    <w:semiHidden/>
    <w:unhideWhenUsed/>
    <w:rsid w:val="00651B00"/>
    <w:rPr>
      <w:sz w:val="16"/>
      <w:szCs w:val="16"/>
    </w:rPr>
  </w:style>
  <w:style w:type="paragraph" w:styleId="Komentrateksts">
    <w:name w:val="annotation text"/>
    <w:basedOn w:val="Parastais"/>
    <w:link w:val="KomentratekstsRakstz"/>
    <w:uiPriority w:val="99"/>
    <w:semiHidden/>
    <w:unhideWhenUsed/>
    <w:rsid w:val="00651B00"/>
    <w:rPr>
      <w:sz w:val="20"/>
      <w:szCs w:val="20"/>
    </w:rPr>
  </w:style>
  <w:style w:type="character" w:customStyle="1" w:styleId="KomentratekstsRakstz">
    <w:name w:val="Komentāra teksts Rakstz."/>
    <w:basedOn w:val="Noklusjumarindkopasfonts"/>
    <w:link w:val="Komentrateksts"/>
    <w:uiPriority w:val="99"/>
    <w:semiHidden/>
    <w:rsid w:val="00651B0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651B00"/>
    <w:rPr>
      <w:b/>
      <w:bCs/>
    </w:rPr>
  </w:style>
  <w:style w:type="character" w:customStyle="1" w:styleId="KomentratmaRakstz">
    <w:name w:val="Komentāra tēma Rakstz."/>
    <w:basedOn w:val="KomentratekstsRakstz"/>
    <w:link w:val="Komentratma"/>
    <w:uiPriority w:val="99"/>
    <w:semiHidden/>
    <w:rsid w:val="00651B00"/>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6F82"/>
    <w:pPr>
      <w:tabs>
        <w:tab w:val="center" w:pos="4153"/>
        <w:tab w:val="right" w:pos="8306"/>
      </w:tabs>
    </w:pPr>
  </w:style>
  <w:style w:type="character" w:customStyle="1" w:styleId="FooterChar">
    <w:name w:val="Footer Char"/>
    <w:basedOn w:val="DefaultParagraphFont"/>
    <w:link w:val="Footer"/>
    <w:rsid w:val="008B6F82"/>
    <w:rPr>
      <w:rFonts w:ascii="Times New Roman" w:eastAsia="Times New Roman" w:hAnsi="Times New Roman" w:cs="Times New Roman"/>
      <w:sz w:val="24"/>
      <w:szCs w:val="24"/>
      <w:lang w:eastAsia="ar-SA"/>
    </w:rPr>
  </w:style>
  <w:style w:type="paragraph" w:styleId="Header">
    <w:name w:val="header"/>
    <w:basedOn w:val="Normal"/>
    <w:link w:val="HeaderChar"/>
    <w:uiPriority w:val="99"/>
    <w:rsid w:val="008B6F82"/>
    <w:pPr>
      <w:tabs>
        <w:tab w:val="center" w:pos="4153"/>
        <w:tab w:val="right" w:pos="8306"/>
      </w:tabs>
      <w:suppressAutoHyphens w:val="0"/>
    </w:pPr>
    <w:rPr>
      <w:lang w:eastAsia="lv-LV"/>
    </w:rPr>
  </w:style>
  <w:style w:type="character" w:customStyle="1" w:styleId="HeaderChar">
    <w:name w:val="Header Char"/>
    <w:basedOn w:val="DefaultParagraphFont"/>
    <w:link w:val="Header"/>
    <w:uiPriority w:val="99"/>
    <w:rsid w:val="008B6F82"/>
    <w:rPr>
      <w:rFonts w:ascii="Times New Roman" w:eastAsia="Times New Roman" w:hAnsi="Times New Roman" w:cs="Times New Roman"/>
      <w:sz w:val="24"/>
      <w:szCs w:val="24"/>
      <w:lang w:eastAsia="lv-LV"/>
    </w:rPr>
  </w:style>
  <w:style w:type="paragraph" w:customStyle="1" w:styleId="naisnod">
    <w:name w:val="naisnod"/>
    <w:basedOn w:val="Normal"/>
    <w:rsid w:val="008B6F82"/>
    <w:pPr>
      <w:suppressAutoHyphens w:val="0"/>
      <w:spacing w:before="100" w:beforeAutospacing="1" w:after="100" w:afterAutospacing="1"/>
    </w:pPr>
    <w:rPr>
      <w:lang w:eastAsia="lv-LV"/>
    </w:rPr>
  </w:style>
  <w:style w:type="paragraph" w:customStyle="1" w:styleId="naiskr">
    <w:name w:val="naiskr"/>
    <w:basedOn w:val="Normal"/>
    <w:rsid w:val="008B6F82"/>
    <w:pPr>
      <w:suppressAutoHyphens w:val="0"/>
      <w:spacing w:before="100" w:beforeAutospacing="1" w:after="100" w:afterAutospacing="1"/>
    </w:pPr>
    <w:rPr>
      <w:lang w:eastAsia="lv-LV"/>
    </w:rPr>
  </w:style>
  <w:style w:type="paragraph" w:customStyle="1" w:styleId="naisf">
    <w:name w:val="naisf"/>
    <w:basedOn w:val="Normal"/>
    <w:rsid w:val="008B6F82"/>
    <w:pPr>
      <w:suppressAutoHyphens w:val="0"/>
      <w:spacing w:before="75" w:after="75"/>
      <w:ind w:firstLine="375"/>
      <w:jc w:val="both"/>
    </w:pPr>
    <w:rPr>
      <w:lang w:eastAsia="lv-LV"/>
    </w:rPr>
  </w:style>
  <w:style w:type="paragraph" w:styleId="BodyText">
    <w:name w:val="Body Text"/>
    <w:basedOn w:val="Normal"/>
    <w:link w:val="BodyTextChar"/>
    <w:rsid w:val="008B6F82"/>
    <w:pPr>
      <w:suppressAutoHyphens w:val="0"/>
      <w:spacing w:before="100" w:beforeAutospacing="1" w:after="100" w:afterAutospacing="1"/>
    </w:pPr>
    <w:rPr>
      <w:lang w:eastAsia="lv-LV"/>
    </w:rPr>
  </w:style>
  <w:style w:type="character" w:customStyle="1" w:styleId="BodyTextChar">
    <w:name w:val="Body Text Char"/>
    <w:basedOn w:val="DefaultParagraphFont"/>
    <w:link w:val="BodyText"/>
    <w:rsid w:val="008B6F82"/>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B6F82"/>
  </w:style>
  <w:style w:type="paragraph" w:styleId="BodyText2">
    <w:name w:val="Body Text 2"/>
    <w:basedOn w:val="Normal"/>
    <w:link w:val="BodyText2Char"/>
    <w:uiPriority w:val="99"/>
    <w:semiHidden/>
    <w:unhideWhenUsed/>
    <w:rsid w:val="00DD3EC5"/>
    <w:pPr>
      <w:spacing w:after="120" w:line="480" w:lineRule="auto"/>
    </w:pPr>
  </w:style>
  <w:style w:type="character" w:customStyle="1" w:styleId="BodyText2Char">
    <w:name w:val="Body Text 2 Char"/>
    <w:basedOn w:val="DefaultParagraphFont"/>
    <w:link w:val="BodyText2"/>
    <w:uiPriority w:val="99"/>
    <w:semiHidden/>
    <w:rsid w:val="00DD3EC5"/>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C71066"/>
    <w:rPr>
      <w:color w:val="0000FF" w:themeColor="hyperlink"/>
      <w:u w:val="single"/>
    </w:rPr>
  </w:style>
  <w:style w:type="paragraph" w:styleId="BalloonText">
    <w:name w:val="Balloon Text"/>
    <w:basedOn w:val="Normal"/>
    <w:link w:val="BalloonTextChar"/>
    <w:uiPriority w:val="99"/>
    <w:semiHidden/>
    <w:unhideWhenUsed/>
    <w:rsid w:val="00651B00"/>
    <w:rPr>
      <w:rFonts w:ascii="Tahoma" w:hAnsi="Tahoma" w:cs="Tahoma"/>
      <w:sz w:val="16"/>
      <w:szCs w:val="16"/>
    </w:rPr>
  </w:style>
  <w:style w:type="character" w:customStyle="1" w:styleId="BalloonTextChar">
    <w:name w:val="Balloon Text Char"/>
    <w:basedOn w:val="DefaultParagraphFont"/>
    <w:link w:val="BalloonText"/>
    <w:uiPriority w:val="99"/>
    <w:semiHidden/>
    <w:rsid w:val="00651B00"/>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651B00"/>
    <w:rPr>
      <w:sz w:val="16"/>
      <w:szCs w:val="16"/>
    </w:rPr>
  </w:style>
  <w:style w:type="paragraph" w:styleId="CommentText">
    <w:name w:val="annotation text"/>
    <w:basedOn w:val="Normal"/>
    <w:link w:val="CommentTextChar"/>
    <w:uiPriority w:val="99"/>
    <w:semiHidden/>
    <w:unhideWhenUsed/>
    <w:rsid w:val="00651B00"/>
    <w:rPr>
      <w:sz w:val="20"/>
      <w:szCs w:val="20"/>
    </w:rPr>
  </w:style>
  <w:style w:type="character" w:customStyle="1" w:styleId="CommentTextChar">
    <w:name w:val="Comment Text Char"/>
    <w:basedOn w:val="DefaultParagraphFont"/>
    <w:link w:val="CommentText"/>
    <w:uiPriority w:val="99"/>
    <w:semiHidden/>
    <w:rsid w:val="00651B0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651B00"/>
    <w:rPr>
      <w:b/>
      <w:bCs/>
    </w:rPr>
  </w:style>
  <w:style w:type="character" w:customStyle="1" w:styleId="CommentSubjectChar">
    <w:name w:val="Comment Subject Char"/>
    <w:basedOn w:val="CommentTextChar"/>
    <w:link w:val="CommentSubject"/>
    <w:uiPriority w:val="99"/>
    <w:semiHidden/>
    <w:rsid w:val="00651B00"/>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igne.Pujat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0DE7-7C93-4131-96C4-CE12C102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5089</Words>
  <Characters>2902</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Birojs</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mērķdotāciju sadalījumu māksliniecisko kolektīvu, kuru dibinātāji nav pašvaldība, vadītāju darba samaksai un valsts sociālās apdrošināšanas obligātajām iemaksām 2014.gadam” sākotnējās ietekmes novērtējuma ziņojums (anotācija)</dc:title>
  <dc:subject>anotācija</dc:subject>
  <dc:creator>S.Pujāte</dc:creator>
  <dc:description>Tālr.67228985; fakss 67227405
Signe.Pujate@lnkc.gov.lv  </dc:description>
  <cp:lastModifiedBy>Dzintra Rozīte</cp:lastModifiedBy>
  <cp:revision>3</cp:revision>
  <cp:lastPrinted>2014-01-23T14:40:00Z</cp:lastPrinted>
  <dcterms:created xsi:type="dcterms:W3CDTF">2014-01-23T14:41:00Z</dcterms:created>
  <dcterms:modified xsi:type="dcterms:W3CDTF">2014-01-24T06:53:00Z</dcterms:modified>
</cp:coreProperties>
</file>