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7" w:rsidRPr="00FB1052" w:rsidRDefault="00643B07" w:rsidP="001F3419">
      <w:pPr>
        <w:pStyle w:val="Kjene"/>
        <w:jc w:val="center"/>
        <w:outlineLvl w:val="0"/>
        <w:rPr>
          <w:b/>
        </w:rPr>
      </w:pPr>
      <w:bookmarkStart w:id="0" w:name="OLE_LINK6"/>
      <w:bookmarkStart w:id="1" w:name="OLE_LINK7"/>
      <w:r w:rsidRPr="00FB1052">
        <w:rPr>
          <w:b/>
        </w:rPr>
        <w:t>Ministru kabineta rīkojuma projekta „Par pretendentu un ierēdņu vērtēšanas komisiju”</w:t>
      </w:r>
      <w:r w:rsidRPr="00FB1052">
        <w:rPr>
          <w:b/>
          <w:bCs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B1052">
          <w:rPr>
            <w:b/>
            <w:bCs/>
          </w:rPr>
          <w:t>ziņojums</w:t>
        </w:r>
      </w:smartTag>
    </w:p>
    <w:p w:rsidR="00643B07" w:rsidRPr="00FB1052" w:rsidRDefault="00643B07" w:rsidP="001F3419">
      <w:pPr>
        <w:pStyle w:val="naisc"/>
        <w:spacing w:before="0" w:beforeAutospacing="0" w:after="0" w:afterAutospacing="0"/>
        <w:jc w:val="center"/>
        <w:outlineLvl w:val="0"/>
        <w:rPr>
          <w:b/>
          <w:bCs/>
        </w:rPr>
      </w:pPr>
      <w:r w:rsidRPr="00FB1052">
        <w:rPr>
          <w:b/>
          <w:bCs/>
        </w:rPr>
        <w:t>(anotācija</w:t>
      </w:r>
      <w:bookmarkEnd w:id="0"/>
      <w:bookmarkEnd w:id="1"/>
      <w:r w:rsidRPr="00FB1052">
        <w:rPr>
          <w:b/>
          <w:bCs/>
        </w:rPr>
        <w:t>)</w:t>
      </w:r>
    </w:p>
    <w:p w:rsidR="00643B07" w:rsidRPr="00FB1052" w:rsidRDefault="00643B07" w:rsidP="001F3419">
      <w:pPr>
        <w:pStyle w:val="naisc"/>
        <w:spacing w:before="0" w:beforeAutospacing="0" w:after="0" w:afterAutospacing="0"/>
        <w:jc w:val="center"/>
      </w:pPr>
    </w:p>
    <w:tbl>
      <w:tblPr>
        <w:tblW w:w="47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2607"/>
        <w:gridCol w:w="5624"/>
      </w:tblGrid>
      <w:tr w:rsidR="00643B07" w:rsidRPr="00FB1052" w:rsidTr="00342AAD">
        <w:tc>
          <w:tcPr>
            <w:tcW w:w="5000" w:type="pct"/>
            <w:gridSpan w:val="3"/>
          </w:tcPr>
          <w:p w:rsidR="00643B07" w:rsidRPr="00FB1052" w:rsidRDefault="00CD78A2" w:rsidP="00342AAD">
            <w:pPr>
              <w:pStyle w:val="naisnod"/>
              <w:spacing w:before="0" w:beforeAutospacing="0" w:after="0" w:afterAutospacing="0"/>
              <w:jc w:val="center"/>
            </w:pPr>
            <w:r w:rsidRPr="00FB1052">
              <w:rPr>
                <w:b/>
                <w:bCs/>
              </w:rPr>
              <w:t>I. Tiesību akta projekta izstrādes nepieciešamība</w:t>
            </w:r>
          </w:p>
        </w:tc>
      </w:tr>
      <w:tr w:rsidR="00643B07" w:rsidRPr="00FB1052" w:rsidTr="00414B7A">
        <w:tc>
          <w:tcPr>
            <w:tcW w:w="305" w:type="pct"/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pct"/>
          </w:tcPr>
          <w:p w:rsidR="00643B07" w:rsidRPr="00FB1052" w:rsidRDefault="00643B07" w:rsidP="00342AAD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FB1052">
              <w:t>Pamatojums</w:t>
            </w:r>
            <w:r w:rsidRPr="00FB1052" w:rsidDel="00C91D1E">
              <w:t xml:space="preserve"> </w:t>
            </w:r>
          </w:p>
        </w:tc>
        <w:tc>
          <w:tcPr>
            <w:tcW w:w="3208" w:type="pct"/>
          </w:tcPr>
          <w:p w:rsidR="00643B07" w:rsidRPr="00FB1052" w:rsidRDefault="00F96E72" w:rsidP="00F96E72">
            <w:pPr>
              <w:jc w:val="both"/>
            </w:pPr>
            <w:r>
              <w:t xml:space="preserve">Ministru kabineta rīkojuma projekts </w:t>
            </w:r>
            <w:r w:rsidRPr="00414B7A">
              <w:t>„Par pretendentu un ierēdņu vērtēšanas komisiju”</w:t>
            </w:r>
            <w:r>
              <w:t xml:space="preserve"> (turpmāk – rīkojuma projekts)</w:t>
            </w:r>
            <w:r w:rsidR="004641BD">
              <w:t xml:space="preserve"> </w:t>
            </w:r>
            <w:r>
              <w:t>sagatavots</w:t>
            </w:r>
            <w:r w:rsidR="00643B07" w:rsidRPr="00FB1052">
              <w:t xml:space="preserve">, lai nodrošinātu Valsts civildienesta likuma 9.panta pirmās daļas 1.punkta </w:t>
            </w:r>
            <w:r w:rsidR="00FB1052" w:rsidRPr="00FB1052">
              <w:t xml:space="preserve">un 35.panta otrās daļas </w:t>
            </w:r>
            <w:r w:rsidR="00643B07" w:rsidRPr="00FB1052">
              <w:t>prasību izpildi.</w:t>
            </w:r>
          </w:p>
        </w:tc>
      </w:tr>
      <w:tr w:rsidR="00643B07" w:rsidRPr="00FB1052" w:rsidTr="00414B7A">
        <w:tc>
          <w:tcPr>
            <w:tcW w:w="305" w:type="pct"/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7" w:type="pct"/>
          </w:tcPr>
          <w:p w:rsidR="00643B07" w:rsidRPr="00FB1052" w:rsidRDefault="00643B07" w:rsidP="00342AAD">
            <w:pPr>
              <w:pStyle w:val="Pamatteksts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B1052">
              <w:rPr>
                <w:b w:val="0"/>
                <w:sz w:val="24"/>
                <w:szCs w:val="24"/>
              </w:rPr>
              <w:t>Pašreizējā situācija un problēmas</w:t>
            </w:r>
          </w:p>
        </w:tc>
        <w:tc>
          <w:tcPr>
            <w:tcW w:w="3208" w:type="pct"/>
            <w:tcBorders>
              <w:bottom w:val="single" w:sz="4" w:space="0" w:color="auto"/>
            </w:tcBorders>
          </w:tcPr>
          <w:p w:rsidR="00FB1052" w:rsidRPr="00FB1052" w:rsidRDefault="00643B07" w:rsidP="003C6FBB">
            <w:pPr>
              <w:jc w:val="both"/>
            </w:pPr>
            <w:r w:rsidRPr="00FB1052">
              <w:t xml:space="preserve">Rīkojuma projekts nepieciešams, jo Ministru kabineta </w:t>
            </w:r>
            <w:r w:rsidR="00637859" w:rsidRPr="00FB1052">
              <w:t>20</w:t>
            </w:r>
            <w:r w:rsidR="00FB1052" w:rsidRPr="00FB1052">
              <w:t>11</w:t>
            </w:r>
            <w:r w:rsidR="00637859" w:rsidRPr="00FB1052">
              <w:t xml:space="preserve">.gada </w:t>
            </w:r>
            <w:r w:rsidR="00FB1052" w:rsidRPr="00FB1052">
              <w:t>23.februāra</w:t>
            </w:r>
            <w:r w:rsidR="00637859" w:rsidRPr="00FB1052">
              <w:t xml:space="preserve"> </w:t>
            </w:r>
            <w:r w:rsidRPr="00FB1052">
              <w:t>rīkojumā Nr.</w:t>
            </w:r>
            <w:r w:rsidR="00FB1052" w:rsidRPr="00FB1052">
              <w:t>73</w:t>
            </w:r>
            <w:r w:rsidR="00F96E72">
              <w:t xml:space="preserve"> „</w:t>
            </w:r>
            <w:r w:rsidRPr="00FB1052">
              <w:t>Par pretendentu un ierēdņu vērtēšanas komisiju” apstiprināto amatpersonu dienesta gaitā notikušas būtiskas izmaiņas</w:t>
            </w:r>
            <w:r w:rsidR="00FB1052" w:rsidRPr="00FB1052">
              <w:t xml:space="preserve"> - ir iekļauti pārstāvji, kuri amata pienākumus vairs nepilda un konstatētas izmaiņas atsevišķu pārstāvju amatos, tād</w:t>
            </w:r>
            <w:r w:rsidR="003C6FBB">
              <w:t>e</w:t>
            </w:r>
            <w:r w:rsidR="00FB1052" w:rsidRPr="00FB1052">
              <w:t>jādi Kultūras ministrijai ir ierobežota iespēja izveidot amatu konkursu pretendentu vērtēšanas komisijas.</w:t>
            </w:r>
          </w:p>
        </w:tc>
      </w:tr>
      <w:tr w:rsidR="00643B07" w:rsidRPr="00FB1052" w:rsidTr="00414B7A">
        <w:tc>
          <w:tcPr>
            <w:tcW w:w="305" w:type="pct"/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7" w:type="pct"/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b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Saistītie politikas ietekmes novērtējumi un pētījumi</w:t>
            </w:r>
          </w:p>
        </w:tc>
        <w:tc>
          <w:tcPr>
            <w:tcW w:w="3208" w:type="pct"/>
            <w:tcBorders>
              <w:bottom w:val="single" w:sz="4" w:space="0" w:color="auto"/>
            </w:tcBorders>
          </w:tcPr>
          <w:p w:rsidR="00643B07" w:rsidRPr="00FB1052" w:rsidRDefault="00643B07" w:rsidP="00FB1052">
            <w:pPr>
              <w:jc w:val="both"/>
            </w:pPr>
            <w:r w:rsidRPr="00FB1052">
              <w:t>Projekts šo jomu neskar.</w:t>
            </w:r>
          </w:p>
        </w:tc>
      </w:tr>
      <w:tr w:rsidR="00643B07" w:rsidRPr="00FB1052" w:rsidTr="00414B7A">
        <w:tc>
          <w:tcPr>
            <w:tcW w:w="305" w:type="pct"/>
            <w:tcBorders>
              <w:right w:val="single" w:sz="4" w:space="0" w:color="auto"/>
            </w:tcBorders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right w:val="single" w:sz="4" w:space="0" w:color="auto"/>
            </w:tcBorders>
          </w:tcPr>
          <w:p w:rsidR="00643B07" w:rsidRPr="00FB105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FB1052">
              <w:t>Tiesiskā regulējuma mērķis un būtība</w:t>
            </w:r>
            <w:r w:rsidRPr="00FB1052" w:rsidDel="00C91D1E">
              <w:t xml:space="preserve">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FB1052" w:rsidRDefault="00643B07" w:rsidP="00FB1052">
            <w:pPr>
              <w:jc w:val="both"/>
              <w:rPr>
                <w:highlight w:val="yellow"/>
              </w:rPr>
            </w:pPr>
            <w:r w:rsidRPr="00FB1052">
              <w:rPr>
                <w:color w:val="000000"/>
              </w:rPr>
              <w:t xml:space="preserve">Nodrošināt ierēdņu un pretendentu vērtēšanas komisiju, lai izvērtētu pretendentu atbilstību </w:t>
            </w:r>
            <w:r w:rsidR="00FB1052" w:rsidRPr="00FB1052">
              <w:rPr>
                <w:color w:val="000000"/>
              </w:rPr>
              <w:t>Kultūras</w:t>
            </w:r>
            <w:r w:rsidRPr="00FB1052">
              <w:rPr>
                <w:color w:val="000000"/>
              </w:rPr>
              <w:t xml:space="preserve"> ministrijas valsts sekretāra amatam, kā arī </w:t>
            </w:r>
            <w:r w:rsidR="00FB1052" w:rsidRPr="00FB1052">
              <w:rPr>
                <w:color w:val="000000"/>
              </w:rPr>
              <w:t xml:space="preserve">Kultūras ministrijas pakļautībā un pārraudzībā esošo iestāžu vadītāju amatiem </w:t>
            </w:r>
            <w:r w:rsidRPr="00FB1052">
              <w:rPr>
                <w:color w:val="000000"/>
              </w:rPr>
              <w:t xml:space="preserve">un izvērtētu </w:t>
            </w:r>
            <w:r w:rsidR="00FB1052" w:rsidRPr="00FB1052">
              <w:rPr>
                <w:color w:val="000000"/>
              </w:rPr>
              <w:t>Kultūras</w:t>
            </w:r>
            <w:r w:rsidRPr="00FB1052">
              <w:rPr>
                <w:color w:val="000000"/>
              </w:rPr>
              <w:t xml:space="preserve"> ministrijas valsts sekretāra darbību un tās rezultātus.</w:t>
            </w:r>
          </w:p>
        </w:tc>
      </w:tr>
      <w:tr w:rsidR="00643B07" w:rsidRPr="00FB1052" w:rsidTr="00414B7A">
        <w:tc>
          <w:tcPr>
            <w:tcW w:w="305" w:type="pct"/>
            <w:tcBorders>
              <w:right w:val="single" w:sz="4" w:space="0" w:color="auto"/>
            </w:tcBorders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right w:val="single" w:sz="4" w:space="0" w:color="auto"/>
            </w:tcBorders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FB1052" w:rsidRDefault="00F96E72" w:rsidP="00ED48F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E72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3B07" w:rsidRPr="00FB1052" w:rsidTr="00414B7A">
        <w:tc>
          <w:tcPr>
            <w:tcW w:w="305" w:type="pct"/>
            <w:tcBorders>
              <w:right w:val="single" w:sz="4" w:space="0" w:color="auto"/>
            </w:tcBorders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right w:val="single" w:sz="4" w:space="0" w:color="auto"/>
            </w:tcBorders>
          </w:tcPr>
          <w:p w:rsidR="00643B07" w:rsidRPr="00FB105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FB1052">
              <w:rPr>
                <w:rFonts w:ascii="Times New Roman" w:hAnsi="Times New Roman"/>
                <w:sz w:val="24"/>
                <w:szCs w:val="24"/>
              </w:rPr>
              <w:t>Iemesli, kādēļ netika nodrošināta sabiedrības līdzdalība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FB1052" w:rsidRDefault="00FB1052" w:rsidP="00FB1052">
            <w:pPr>
              <w:jc w:val="both"/>
              <w:rPr>
                <w:color w:val="000000"/>
              </w:rPr>
            </w:pPr>
            <w:r w:rsidRPr="00FB1052">
              <w:rPr>
                <w:color w:val="000000"/>
              </w:rPr>
              <w:t xml:space="preserve">Sabiedrības līdzdalība netika nodrošināta, jo </w:t>
            </w:r>
            <w:r w:rsidR="00F96E72">
              <w:rPr>
                <w:color w:val="000000"/>
              </w:rPr>
              <w:t xml:space="preserve">rīkojuma </w:t>
            </w:r>
            <w:r w:rsidRPr="00FB1052">
              <w:rPr>
                <w:color w:val="000000"/>
              </w:rPr>
              <w:t>projektam nav tiešas ietekmes uz sabiedrību.</w:t>
            </w:r>
          </w:p>
          <w:p w:rsidR="00643B07" w:rsidRPr="00FB1052" w:rsidRDefault="00643B07" w:rsidP="00FB1052">
            <w:pPr>
              <w:jc w:val="both"/>
              <w:rPr>
                <w:color w:val="000000"/>
              </w:rPr>
            </w:pPr>
          </w:p>
        </w:tc>
      </w:tr>
      <w:tr w:rsidR="00643B07" w:rsidRPr="00FB1052" w:rsidTr="00414B7A">
        <w:trPr>
          <w:trHeight w:val="232"/>
        </w:trPr>
        <w:tc>
          <w:tcPr>
            <w:tcW w:w="305" w:type="pct"/>
          </w:tcPr>
          <w:p w:rsidR="00643B07" w:rsidRPr="00FB105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FB1052">
              <w:t>7.</w:t>
            </w:r>
          </w:p>
        </w:tc>
        <w:tc>
          <w:tcPr>
            <w:tcW w:w="1487" w:type="pct"/>
          </w:tcPr>
          <w:p w:rsidR="00643B07" w:rsidRPr="00FB105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FB1052">
              <w:t>Cita informācija</w:t>
            </w:r>
          </w:p>
        </w:tc>
        <w:tc>
          <w:tcPr>
            <w:tcW w:w="3208" w:type="pct"/>
            <w:tcBorders>
              <w:top w:val="single" w:sz="4" w:space="0" w:color="auto"/>
            </w:tcBorders>
          </w:tcPr>
          <w:p w:rsidR="00643B07" w:rsidRPr="00FB105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FB1052">
              <w:t>Nav</w:t>
            </w:r>
            <w:r w:rsidR="00414B7A" w:rsidRPr="00FB1052">
              <w:t>.</w:t>
            </w:r>
          </w:p>
        </w:tc>
      </w:tr>
    </w:tbl>
    <w:p w:rsidR="00414B7A" w:rsidRPr="00FB1052" w:rsidRDefault="00414B7A" w:rsidP="001F3419"/>
    <w:p w:rsidR="00414B7A" w:rsidRPr="00F96E72" w:rsidRDefault="00414B7A" w:rsidP="001F3419">
      <w:pPr>
        <w:rPr>
          <w:i/>
        </w:rPr>
      </w:pPr>
    </w:p>
    <w:p w:rsidR="00643B07" w:rsidRPr="00F96E72" w:rsidRDefault="00FB1052" w:rsidP="001F3419">
      <w:pPr>
        <w:rPr>
          <w:i/>
        </w:rPr>
      </w:pPr>
      <w:r w:rsidRPr="00F96E72">
        <w:rPr>
          <w:i/>
        </w:rPr>
        <w:t>II, III, IV, V,</w:t>
      </w:r>
      <w:r w:rsidR="00643B07" w:rsidRPr="00F96E72">
        <w:rPr>
          <w:i/>
        </w:rPr>
        <w:t>VI</w:t>
      </w:r>
      <w:r w:rsidRPr="00F96E72">
        <w:rPr>
          <w:i/>
        </w:rPr>
        <w:t xml:space="preserve"> un VII</w:t>
      </w:r>
      <w:r w:rsidR="00643B07" w:rsidRPr="00F96E72">
        <w:rPr>
          <w:i/>
        </w:rPr>
        <w:t xml:space="preserve"> sadaļa – projekts šīs jomas neskar.</w:t>
      </w:r>
    </w:p>
    <w:p w:rsidR="00414B7A" w:rsidRDefault="00414B7A" w:rsidP="001F3419">
      <w:pPr>
        <w:rPr>
          <w:b/>
        </w:rPr>
      </w:pPr>
    </w:p>
    <w:p w:rsidR="00FB1052" w:rsidRPr="00FB1052" w:rsidRDefault="00FB1052" w:rsidP="001F3419">
      <w:pPr>
        <w:rPr>
          <w:b/>
        </w:rPr>
      </w:pPr>
    </w:p>
    <w:p w:rsidR="00FB1052" w:rsidRPr="00FB1052" w:rsidRDefault="00FB1052" w:rsidP="00FB1052">
      <w:r w:rsidRPr="00FB1052">
        <w:t>Kultūras ministre</w:t>
      </w:r>
      <w:r w:rsidRPr="00FB1052">
        <w:tab/>
      </w:r>
      <w:r w:rsidRPr="00FB1052">
        <w:tab/>
      </w:r>
      <w:r w:rsidRPr="00FB1052">
        <w:tab/>
      </w:r>
      <w:r w:rsidRPr="00FB1052">
        <w:tab/>
      </w:r>
      <w:r w:rsidRPr="00FB1052">
        <w:tab/>
      </w:r>
      <w:r w:rsidRPr="00FB1052">
        <w:tab/>
      </w:r>
      <w:r w:rsidRPr="00FB1052">
        <w:tab/>
        <w:t>Ž. Jaunzeme - Grende</w:t>
      </w:r>
      <w:r w:rsidRPr="00FB1052">
        <w:tab/>
      </w:r>
      <w:r w:rsidRPr="00FB1052">
        <w:tab/>
        <w:t xml:space="preserve">   </w:t>
      </w:r>
    </w:p>
    <w:p w:rsidR="00FB1052" w:rsidRPr="00FB1052" w:rsidRDefault="00FB1052" w:rsidP="00FB1052">
      <w:r w:rsidRPr="00FB1052">
        <w:t>Vīz</w:t>
      </w:r>
      <w:r w:rsidR="0055192F">
        <w:t>a: Valsts sekretārs</w:t>
      </w:r>
      <w:r w:rsidR="0055192F">
        <w:tab/>
      </w:r>
      <w:r w:rsidR="0055192F">
        <w:tab/>
      </w:r>
      <w:r w:rsidR="0055192F">
        <w:tab/>
      </w:r>
      <w:r w:rsidR="0055192F">
        <w:tab/>
      </w:r>
      <w:r w:rsidR="0055192F">
        <w:tab/>
      </w:r>
      <w:r w:rsidR="0055192F">
        <w:tab/>
      </w:r>
      <w:r w:rsidR="0055192F">
        <w:tab/>
        <w:t>G. Puķītis</w:t>
      </w:r>
    </w:p>
    <w:p w:rsidR="00FB1052" w:rsidRDefault="00FB1052" w:rsidP="00FB1052">
      <w:pPr>
        <w:rPr>
          <w:i/>
        </w:rPr>
      </w:pPr>
    </w:p>
    <w:p w:rsidR="00F96E72" w:rsidRDefault="00F96E72" w:rsidP="00FB1052">
      <w:pPr>
        <w:rPr>
          <w:i/>
        </w:rPr>
      </w:pPr>
    </w:p>
    <w:p w:rsidR="00F96E72" w:rsidRPr="0029656E" w:rsidRDefault="0055192F" w:rsidP="00F96E72">
      <w:pPr>
        <w:pStyle w:val="nais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22</w:t>
      </w:r>
      <w:r w:rsidR="00F96E72" w:rsidRPr="0029656E">
        <w:rPr>
          <w:sz w:val="22"/>
          <w:szCs w:val="22"/>
        </w:rPr>
        <w:t>.06</w:t>
      </w:r>
      <w:r w:rsidR="00F96E72">
        <w:rPr>
          <w:sz w:val="22"/>
          <w:szCs w:val="22"/>
        </w:rPr>
        <w:t>.2012</w:t>
      </w:r>
      <w:r w:rsidR="00F96E72" w:rsidRPr="0029656E">
        <w:rPr>
          <w:sz w:val="22"/>
          <w:szCs w:val="22"/>
        </w:rPr>
        <w:t>.</w:t>
      </w:r>
      <w:r w:rsidR="00F96E72" w:rsidRPr="0029656E">
        <w:rPr>
          <w:sz w:val="22"/>
          <w:szCs w:val="22"/>
        </w:rPr>
        <w:tab/>
      </w:r>
    </w:p>
    <w:p w:rsidR="00F96E72" w:rsidRPr="0029656E" w:rsidRDefault="00F96E72" w:rsidP="00F96E72">
      <w:pPr>
        <w:pStyle w:val="naisf"/>
        <w:spacing w:before="0" w:beforeAutospacing="0" w:after="0" w:afterAutospacing="0"/>
        <w:rPr>
          <w:sz w:val="22"/>
          <w:szCs w:val="22"/>
        </w:rPr>
      </w:pPr>
      <w:r w:rsidRPr="0029656E">
        <w:rPr>
          <w:sz w:val="22"/>
          <w:szCs w:val="22"/>
        </w:rPr>
        <w:t>2</w:t>
      </w:r>
      <w:r w:rsidR="003C6FBB">
        <w:rPr>
          <w:sz w:val="22"/>
          <w:szCs w:val="22"/>
        </w:rPr>
        <w:t>25</w:t>
      </w:r>
    </w:p>
    <w:p w:rsidR="00F96E72" w:rsidRPr="0029656E" w:rsidRDefault="00F96E72" w:rsidP="00F96E72">
      <w:pPr>
        <w:pStyle w:val="naisf"/>
        <w:spacing w:before="0" w:beforeAutospacing="0" w:after="0" w:afterAutospacing="0"/>
        <w:rPr>
          <w:sz w:val="22"/>
          <w:szCs w:val="22"/>
        </w:rPr>
      </w:pPr>
      <w:r w:rsidRPr="0029656E">
        <w:rPr>
          <w:sz w:val="22"/>
          <w:szCs w:val="22"/>
        </w:rPr>
        <w:t>K. Lesiņa - Rāviņa</w:t>
      </w:r>
    </w:p>
    <w:p w:rsidR="00F96E72" w:rsidRPr="0029656E" w:rsidRDefault="00F96E72" w:rsidP="00F96E72">
      <w:pPr>
        <w:pStyle w:val="nais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Tālr. 67330</w:t>
      </w:r>
      <w:r w:rsidRPr="0029656E">
        <w:rPr>
          <w:sz w:val="22"/>
          <w:szCs w:val="22"/>
        </w:rPr>
        <w:t>217</w:t>
      </w:r>
      <w:r>
        <w:rPr>
          <w:sz w:val="22"/>
          <w:szCs w:val="22"/>
        </w:rPr>
        <w:t xml:space="preserve">; </w:t>
      </w:r>
      <w:r w:rsidRPr="004B5A18">
        <w:rPr>
          <w:sz w:val="22"/>
          <w:szCs w:val="22"/>
        </w:rPr>
        <w:t>fakss 67330293</w:t>
      </w:r>
    </w:p>
    <w:p w:rsidR="00F96E72" w:rsidRPr="0029656E" w:rsidRDefault="00D85054" w:rsidP="00F96E72">
      <w:pPr>
        <w:pStyle w:val="naisf"/>
        <w:spacing w:before="0" w:beforeAutospacing="0" w:after="0" w:afterAutospacing="0"/>
        <w:rPr>
          <w:sz w:val="22"/>
          <w:szCs w:val="22"/>
        </w:rPr>
      </w:pPr>
      <w:hyperlink r:id="rId7" w:history="1">
        <w:r w:rsidR="00F96E72" w:rsidRPr="009C193A">
          <w:rPr>
            <w:rStyle w:val="Hipersaite"/>
            <w:sz w:val="22"/>
            <w:szCs w:val="22"/>
          </w:rPr>
          <w:t>Kristine.Lesina@km.gov.lv</w:t>
        </w:r>
      </w:hyperlink>
      <w:r w:rsidR="00F96E72" w:rsidRPr="0029656E">
        <w:rPr>
          <w:sz w:val="22"/>
          <w:szCs w:val="22"/>
        </w:rPr>
        <w:t xml:space="preserve"> </w:t>
      </w:r>
    </w:p>
    <w:p w:rsidR="00643B07" w:rsidRPr="00FB1052" w:rsidRDefault="00643B07" w:rsidP="00FA7CCB">
      <w:pPr>
        <w:pStyle w:val="naisf"/>
        <w:spacing w:before="0" w:beforeAutospacing="0" w:after="0" w:afterAutospacing="0"/>
      </w:pPr>
    </w:p>
    <w:sectPr w:rsidR="00643B07" w:rsidRPr="00FB1052" w:rsidSect="00414B7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6D" w:rsidRDefault="004F626D" w:rsidP="001F3419">
      <w:r>
        <w:separator/>
      </w:r>
    </w:p>
  </w:endnote>
  <w:endnote w:type="continuationSeparator" w:id="0">
    <w:p w:rsidR="004F626D" w:rsidRDefault="004F626D" w:rsidP="001F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07" w:rsidRPr="00414B7A" w:rsidRDefault="00414B7A" w:rsidP="00414B7A">
    <w:pPr>
      <w:pStyle w:val="Kjene"/>
      <w:jc w:val="both"/>
    </w:pPr>
    <w:r w:rsidRPr="00414B7A">
      <w:t>EMAnot_</w:t>
    </w:r>
    <w:r>
      <w:t>1604</w:t>
    </w:r>
    <w:r w:rsidRPr="00414B7A">
      <w:t>12</w:t>
    </w:r>
    <w:r>
      <w:t>_ieredni</w:t>
    </w:r>
    <w:r w:rsidRPr="00414B7A">
      <w:t xml:space="preserve">; </w:t>
    </w:r>
    <w:bookmarkStart w:id="2" w:name="OLE_LINK5"/>
    <w:bookmarkStart w:id="3" w:name="OLE_LINK8"/>
    <w:bookmarkStart w:id="4" w:name="_Hlk322339958"/>
    <w:r>
      <w:t xml:space="preserve">Ministru kabineta rīkojuma projekta anotācija </w:t>
    </w:r>
    <w:r w:rsidRPr="00414B7A">
      <w:t>„Par pretendentu un ierēdņu vērtēšanas komisiju”</w:t>
    </w:r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2" w:rsidRPr="00F96E72" w:rsidRDefault="00AA5E89" w:rsidP="00F96E72">
    <w:pPr>
      <w:pStyle w:val="Kjene"/>
      <w:jc w:val="both"/>
      <w:outlineLvl w:val="0"/>
      <w:rPr>
        <w:sz w:val="22"/>
        <w:szCs w:val="22"/>
      </w:rPr>
    </w:pPr>
    <w:r w:rsidRPr="00F96E72">
      <w:rPr>
        <w:sz w:val="22"/>
        <w:szCs w:val="22"/>
      </w:rPr>
      <w:t>KM</w:t>
    </w:r>
    <w:r w:rsidR="00643B07" w:rsidRPr="00F96E72">
      <w:rPr>
        <w:sz w:val="22"/>
        <w:szCs w:val="22"/>
      </w:rPr>
      <w:t>Anot_</w:t>
    </w:r>
    <w:r w:rsidR="0055192F">
      <w:rPr>
        <w:sz w:val="22"/>
        <w:szCs w:val="22"/>
      </w:rPr>
      <w:t>22</w:t>
    </w:r>
    <w:r w:rsidR="00FB1052" w:rsidRPr="00F96E72">
      <w:rPr>
        <w:sz w:val="22"/>
        <w:szCs w:val="22"/>
      </w:rPr>
      <w:t>06</w:t>
    </w:r>
    <w:r w:rsidR="00643B07" w:rsidRPr="00F96E72">
      <w:rPr>
        <w:sz w:val="22"/>
        <w:szCs w:val="22"/>
      </w:rPr>
      <w:t>12</w:t>
    </w:r>
    <w:r w:rsidR="00414B7A" w:rsidRPr="00F96E72">
      <w:rPr>
        <w:sz w:val="22"/>
        <w:szCs w:val="22"/>
      </w:rPr>
      <w:t>_</w:t>
    </w:r>
    <w:r w:rsidR="00FB1052" w:rsidRPr="00F96E72">
      <w:rPr>
        <w:sz w:val="22"/>
        <w:szCs w:val="22"/>
      </w:rPr>
      <w:t>v</w:t>
    </w:r>
    <w:r w:rsidRPr="00F96E72">
      <w:rPr>
        <w:sz w:val="22"/>
        <w:szCs w:val="22"/>
      </w:rPr>
      <w:t>ertkom</w:t>
    </w:r>
    <w:r w:rsidR="00643B07" w:rsidRPr="00F96E72">
      <w:rPr>
        <w:sz w:val="22"/>
        <w:szCs w:val="22"/>
      </w:rPr>
      <w:t xml:space="preserve">; </w:t>
    </w:r>
    <w:r w:rsidR="00414B7A" w:rsidRPr="00F96E72">
      <w:rPr>
        <w:sz w:val="22"/>
        <w:szCs w:val="22"/>
      </w:rPr>
      <w:t xml:space="preserve">Ministru kabineta rīkojuma projekta </w:t>
    </w:r>
    <w:r w:rsidR="00643B07" w:rsidRPr="00F96E72">
      <w:rPr>
        <w:sz w:val="22"/>
        <w:szCs w:val="22"/>
      </w:rPr>
      <w:t>„Par pretendentu un ierēdņu vērtēšanas komisiju”</w:t>
    </w:r>
    <w:r w:rsidR="00F96E72" w:rsidRPr="00F96E72">
      <w:rPr>
        <w:sz w:val="22"/>
        <w:szCs w:val="22"/>
      </w:rPr>
      <w:t xml:space="preserve"> </w:t>
    </w:r>
    <w:r w:rsidR="00F96E72" w:rsidRPr="00F96E72">
      <w:rPr>
        <w:bCs/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F96E72" w:rsidRPr="00F96E72">
        <w:rPr>
          <w:bCs/>
          <w:sz w:val="22"/>
          <w:szCs w:val="22"/>
        </w:rPr>
        <w:t>ziņojums</w:t>
      </w:r>
      <w:r w:rsidR="00F96E72">
        <w:rPr>
          <w:bCs/>
          <w:sz w:val="22"/>
          <w:szCs w:val="22"/>
        </w:rPr>
        <w:t xml:space="preserve"> </w:t>
      </w:r>
    </w:smartTag>
    <w:r w:rsidR="00F96E72" w:rsidRPr="00F96E72">
      <w:rPr>
        <w:bCs/>
        <w:sz w:val="22"/>
        <w:szCs w:val="22"/>
      </w:rPr>
      <w:t>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6D" w:rsidRDefault="004F626D" w:rsidP="001F3419">
      <w:r>
        <w:separator/>
      </w:r>
    </w:p>
  </w:footnote>
  <w:footnote w:type="continuationSeparator" w:id="0">
    <w:p w:rsidR="004F626D" w:rsidRDefault="004F626D" w:rsidP="001F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07" w:rsidRDefault="00D850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43B0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43B07" w:rsidRDefault="00643B0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07" w:rsidRDefault="00D850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43B07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96E7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43B07" w:rsidRDefault="00643B07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19"/>
    <w:rsid w:val="0002499C"/>
    <w:rsid w:val="00034FF0"/>
    <w:rsid w:val="00050D06"/>
    <w:rsid w:val="000B5983"/>
    <w:rsid w:val="000F5E05"/>
    <w:rsid w:val="00101B76"/>
    <w:rsid w:val="00110DF0"/>
    <w:rsid w:val="00111E0E"/>
    <w:rsid w:val="001A0C42"/>
    <w:rsid w:val="001B284E"/>
    <w:rsid w:val="001B35E1"/>
    <w:rsid w:val="001F3419"/>
    <w:rsid w:val="00230EEC"/>
    <w:rsid w:val="00252CDC"/>
    <w:rsid w:val="00255CD7"/>
    <w:rsid w:val="002B3C6D"/>
    <w:rsid w:val="00306C99"/>
    <w:rsid w:val="00330F5A"/>
    <w:rsid w:val="00342AAD"/>
    <w:rsid w:val="003B2EAE"/>
    <w:rsid w:val="003C6FBB"/>
    <w:rsid w:val="003F02EB"/>
    <w:rsid w:val="00414B7A"/>
    <w:rsid w:val="0044622A"/>
    <w:rsid w:val="004641BD"/>
    <w:rsid w:val="00474D96"/>
    <w:rsid w:val="00485DE8"/>
    <w:rsid w:val="004A53A6"/>
    <w:rsid w:val="004A72D2"/>
    <w:rsid w:val="004F1BFF"/>
    <w:rsid w:val="004F626D"/>
    <w:rsid w:val="005143D0"/>
    <w:rsid w:val="0055192F"/>
    <w:rsid w:val="00553759"/>
    <w:rsid w:val="00580256"/>
    <w:rsid w:val="005D583C"/>
    <w:rsid w:val="0062227F"/>
    <w:rsid w:val="00637859"/>
    <w:rsid w:val="00643B07"/>
    <w:rsid w:val="006525FD"/>
    <w:rsid w:val="00660A93"/>
    <w:rsid w:val="006824B0"/>
    <w:rsid w:val="006D556F"/>
    <w:rsid w:val="00787D30"/>
    <w:rsid w:val="00791268"/>
    <w:rsid w:val="007A33DF"/>
    <w:rsid w:val="00820069"/>
    <w:rsid w:val="00826FDE"/>
    <w:rsid w:val="008A2459"/>
    <w:rsid w:val="008D60FD"/>
    <w:rsid w:val="008E385A"/>
    <w:rsid w:val="008E7E59"/>
    <w:rsid w:val="00906B31"/>
    <w:rsid w:val="00913FEC"/>
    <w:rsid w:val="009510D9"/>
    <w:rsid w:val="00961E78"/>
    <w:rsid w:val="009A378E"/>
    <w:rsid w:val="00A05A64"/>
    <w:rsid w:val="00A43A1B"/>
    <w:rsid w:val="00A52066"/>
    <w:rsid w:val="00AA03D8"/>
    <w:rsid w:val="00AA5E89"/>
    <w:rsid w:val="00B004CE"/>
    <w:rsid w:val="00B066E3"/>
    <w:rsid w:val="00B53E4F"/>
    <w:rsid w:val="00B66699"/>
    <w:rsid w:val="00B66DEC"/>
    <w:rsid w:val="00B92886"/>
    <w:rsid w:val="00BA0457"/>
    <w:rsid w:val="00BE1CF8"/>
    <w:rsid w:val="00C034CB"/>
    <w:rsid w:val="00C57A7E"/>
    <w:rsid w:val="00C62045"/>
    <w:rsid w:val="00C71085"/>
    <w:rsid w:val="00C7176C"/>
    <w:rsid w:val="00C91D1E"/>
    <w:rsid w:val="00C9624F"/>
    <w:rsid w:val="00CB6249"/>
    <w:rsid w:val="00CD78A2"/>
    <w:rsid w:val="00D67270"/>
    <w:rsid w:val="00D85054"/>
    <w:rsid w:val="00DC67EA"/>
    <w:rsid w:val="00DF2923"/>
    <w:rsid w:val="00DF3721"/>
    <w:rsid w:val="00E10022"/>
    <w:rsid w:val="00E232DE"/>
    <w:rsid w:val="00E42DD4"/>
    <w:rsid w:val="00E55E76"/>
    <w:rsid w:val="00E567E6"/>
    <w:rsid w:val="00E57390"/>
    <w:rsid w:val="00E6125A"/>
    <w:rsid w:val="00EC35CA"/>
    <w:rsid w:val="00ED48FE"/>
    <w:rsid w:val="00EE3697"/>
    <w:rsid w:val="00F731D9"/>
    <w:rsid w:val="00F96E72"/>
    <w:rsid w:val="00FA7CCB"/>
    <w:rsid w:val="00FB1052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F341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Parastais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Parastais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1F3419"/>
    <w:pPr>
      <w:spacing w:before="100" w:beforeAutospacing="1" w:after="100" w:afterAutospacing="1"/>
    </w:pPr>
  </w:style>
  <w:style w:type="paragraph" w:styleId="Pamatteksts">
    <w:name w:val="Body Text"/>
    <w:basedOn w:val="Parastais"/>
    <w:link w:val="PamattekstsRakstz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F3419"/>
    <w:rPr>
      <w:rFonts w:cs="Times New Roman"/>
      <w:b/>
      <w:sz w:val="28"/>
      <w:lang w:eastAsia="en-US"/>
    </w:rPr>
  </w:style>
  <w:style w:type="paragraph" w:styleId="Galvene">
    <w:name w:val="header"/>
    <w:basedOn w:val="Parastais"/>
    <w:link w:val="GalveneRakstz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F3419"/>
    <w:rPr>
      <w:rFonts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1F3419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Parastais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onteksts">
    <w:name w:val="Balloon Text"/>
    <w:basedOn w:val="Parastais"/>
    <w:link w:val="BalontekstsRakstz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F1BFF"/>
    <w:rPr>
      <w:rFonts w:cs="Times New Roman"/>
      <w:sz w:val="2"/>
    </w:rPr>
  </w:style>
  <w:style w:type="character" w:styleId="Hipersaite">
    <w:name w:val="Hyperlink"/>
    <w:basedOn w:val="Noklusjumarindkopasfonts"/>
    <w:uiPriority w:val="99"/>
    <w:unhideWhenUsed/>
    <w:rsid w:val="00FB1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ne.Lesin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79AD0-E715-4276-998C-092B0113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1675</Characters>
  <Application>Microsoft Office Word</Application>
  <DocSecurity>0</DocSecurity>
  <Lines>72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anotācija „Par pretendentu un ierēdņu vērtēšanas komisiju”</vt:lpstr>
      <vt:lpstr/>
    </vt:vector>
  </TitlesOfParts>
  <Manager>G.Puķitis</Manager>
  <Company>Kultūras ministrija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anotācija „Par pretendentu un ierēdņu vērtēšanas komisiju”</dc:title>
  <dc:subject>Anotācija</dc:subject>
  <dc:creator>K. Lesiņa - Rāviņa</dc:creator>
  <dc:description>K. Lesiņa - Rāviņa_x000d_
Tālr. 67330217; fakss 67330293_x000d_
Kristine.Lesina@km.gov.lv</dc:description>
  <cp:lastModifiedBy>KristineL</cp:lastModifiedBy>
  <cp:revision>2</cp:revision>
  <cp:lastPrinted>2012-06-22T07:14:00Z</cp:lastPrinted>
  <dcterms:created xsi:type="dcterms:W3CDTF">2012-06-22T07:21:00Z</dcterms:created>
  <dcterms:modified xsi:type="dcterms:W3CDTF">2012-06-22T07:21:00Z</dcterms:modified>
</cp:coreProperties>
</file>