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22" w:rsidRPr="00AE216E" w:rsidRDefault="00FB1322" w:rsidP="00FB1322">
      <w:pPr>
        <w:jc w:val="center"/>
        <w:rPr>
          <w:b/>
        </w:rPr>
      </w:pPr>
      <w:r w:rsidRPr="00AE216E">
        <w:rPr>
          <w:b/>
        </w:rPr>
        <w:t xml:space="preserve">Ministru kabineta noteikumu projekta </w:t>
      </w:r>
    </w:p>
    <w:p w:rsidR="00FB1322" w:rsidRPr="00AE216E" w:rsidRDefault="00FB1322" w:rsidP="00FB1322">
      <w:pPr>
        <w:jc w:val="center"/>
      </w:pPr>
      <w:r w:rsidRPr="00AE216E">
        <w:rPr>
          <w:b/>
        </w:rPr>
        <w:t>„</w:t>
      </w:r>
      <w:r w:rsidRPr="00AE216E">
        <w:rPr>
          <w:b/>
          <w:bCs/>
        </w:rPr>
        <w:t>Grozījum</w:t>
      </w:r>
      <w:r w:rsidR="00370230">
        <w:rPr>
          <w:b/>
          <w:bCs/>
        </w:rPr>
        <w:t>s</w:t>
      </w:r>
      <w:r w:rsidRPr="00AE216E">
        <w:rPr>
          <w:b/>
          <w:bCs/>
        </w:rPr>
        <w:t xml:space="preserve"> </w:t>
      </w:r>
      <w:r w:rsidRPr="00AE216E">
        <w:rPr>
          <w:b/>
        </w:rPr>
        <w:t xml:space="preserve">Ministru kabineta </w:t>
      </w:r>
      <w:smartTag w:uri="schemas-tilde-lv/tildestengine" w:element="date">
        <w:smartTagPr>
          <w:attr w:name="Year" w:val="2003"/>
          <w:attr w:name="Month" w:val="4"/>
          <w:attr w:name="Day" w:val="29"/>
        </w:smartTagPr>
        <w:r w:rsidRPr="00AE216E">
          <w:rPr>
            <w:b/>
          </w:rPr>
          <w:t>2003.gada 29.aprīļa</w:t>
        </w:r>
      </w:smartTag>
      <w:r w:rsidRPr="00AE216E">
        <w:rPr>
          <w:b/>
        </w:rPr>
        <w:t xml:space="preserve"> noteikumos Nr.241 „Kultūras ministrijas nolikums”” sākotnējās ietekmes novērtējuma ziņojums (anotācija</w:t>
      </w:r>
      <w:r w:rsidRPr="00AE216E">
        <w:t>)</w:t>
      </w:r>
    </w:p>
    <w:p w:rsidR="00FB1322" w:rsidRPr="00AE216E" w:rsidRDefault="00FB1322" w:rsidP="00FB1322">
      <w:pPr>
        <w:jc w:val="center"/>
        <w:rPr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0"/>
        <w:gridCol w:w="1925"/>
        <w:gridCol w:w="6906"/>
      </w:tblGrid>
      <w:tr w:rsidR="00FB1322" w:rsidRPr="00AE216E" w:rsidTr="00053B38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1322" w:rsidRPr="00AE216E" w:rsidRDefault="00FB1322" w:rsidP="006A0EAF">
            <w:pPr>
              <w:pStyle w:val="naisc"/>
            </w:pPr>
            <w:r w:rsidRPr="00AE216E">
              <w:rPr>
                <w:b/>
                <w:bCs/>
              </w:rPr>
              <w:t> I. Tiesību akta projekta izstrādes nepieciešamība</w:t>
            </w:r>
          </w:p>
        </w:tc>
      </w:tr>
      <w:tr w:rsidR="00FB1322" w:rsidRPr="00AE216E" w:rsidTr="00053B38">
        <w:trPr>
          <w:trHeight w:val="63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322" w:rsidRPr="00AE216E" w:rsidRDefault="00FB1322" w:rsidP="006A0EAF">
            <w:pPr>
              <w:pStyle w:val="naiskr"/>
            </w:pPr>
            <w:r w:rsidRPr="00AE216E">
              <w:t> 1.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322" w:rsidRPr="00AE216E" w:rsidRDefault="00FB1322" w:rsidP="0094709E">
            <w:pPr>
              <w:pStyle w:val="naislab"/>
              <w:jc w:val="left"/>
            </w:pPr>
            <w:r w:rsidRPr="00AE216E">
              <w:t> Pamatojums</w:t>
            </w:r>
          </w:p>
        </w:tc>
        <w:tc>
          <w:tcPr>
            <w:tcW w:w="6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5DD" w:rsidRPr="0018562C" w:rsidRDefault="00370230" w:rsidP="00053B38">
            <w:pPr>
              <w:pStyle w:val="naisf"/>
              <w:ind w:left="110" w:right="71" w:firstLine="0"/>
            </w:pPr>
            <w:r>
              <w:t>Ministru prezidenta 2011.gada 18.janvāra rezolūcija Nr.90/SAN-41.</w:t>
            </w:r>
            <w:r w:rsidR="007F453A">
              <w:t xml:space="preserve"> Ministru kabineta 2011.gada 22.februāra sēdes</w:t>
            </w:r>
            <w:r w:rsidR="00053B38">
              <w:t xml:space="preserve"> </w:t>
            </w:r>
            <w:proofErr w:type="spellStart"/>
            <w:r w:rsidR="00053B38">
              <w:t>protokollēmuma</w:t>
            </w:r>
            <w:proofErr w:type="spellEnd"/>
            <w:r w:rsidR="00053B38">
              <w:t xml:space="preserve"> Nr.11 41.§ 12.punkts, kurā Kultūras ministrijai uzdots sagatavot </w:t>
            </w:r>
            <w:r w:rsidR="003D05DD" w:rsidRPr="003D05DD">
              <w:t xml:space="preserve">un noteiktā kārtībā līdz 2011.gada 1.martam iesniegt Ministru kabinetā grozījumu </w:t>
            </w:r>
            <w:r w:rsidR="00053B38">
              <w:t>projektu</w:t>
            </w:r>
            <w:r w:rsidR="003D05DD" w:rsidRPr="003D05DD">
              <w:t xml:space="preserve"> Ministru kabineta 2003.gada 29.aprīļa noteikumos Nr.241 "Kultūras ministrijas nolikums".</w:t>
            </w:r>
          </w:p>
        </w:tc>
      </w:tr>
      <w:tr w:rsidR="00FB1322" w:rsidRPr="00AE216E" w:rsidTr="00053B38">
        <w:trPr>
          <w:trHeight w:val="472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322" w:rsidRPr="00AE216E" w:rsidRDefault="00FB1322" w:rsidP="006A0EAF">
            <w:pPr>
              <w:pStyle w:val="naiskr"/>
            </w:pPr>
            <w:r w:rsidRPr="00AE216E">
              <w:t> 2.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322" w:rsidRPr="00AE216E" w:rsidRDefault="00FB1322" w:rsidP="006A0EAF">
            <w:pPr>
              <w:pStyle w:val="naiskr"/>
            </w:pPr>
            <w:r w:rsidRPr="00AE216E">
              <w:t> Pašreizējā situācija un problēmas</w:t>
            </w:r>
          </w:p>
        </w:tc>
        <w:tc>
          <w:tcPr>
            <w:tcW w:w="6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5DD" w:rsidRDefault="00BA7208" w:rsidP="003D05DD">
            <w:pPr>
              <w:pStyle w:val="naisf"/>
              <w:numPr>
                <w:ilvl w:val="0"/>
                <w:numId w:val="3"/>
              </w:numPr>
              <w:spacing w:before="0" w:after="0"/>
              <w:ind w:left="805" w:right="91" w:hanging="357"/>
            </w:pPr>
            <w:r w:rsidRPr="00AA4DDF">
              <w:t xml:space="preserve">Ministru kabineta 2010.gada 7.decembra sēdē tika izskatīta Tieslietu ministrijas sagatavotā informācija par sabiedrības integrācijas funkciju nodošanu Kultūras ministrijai un Iekšlietu ministrijai, Ministru kabineta sēdes </w:t>
            </w:r>
            <w:proofErr w:type="spellStart"/>
            <w:r w:rsidRPr="00AA4DDF">
              <w:t>protokollēmuma</w:t>
            </w:r>
            <w:proofErr w:type="spellEnd"/>
            <w:r w:rsidRPr="00AA4DDF">
              <w:t xml:space="preserve"> Nr.71</w:t>
            </w:r>
            <w:proofErr w:type="gramStart"/>
            <w:r w:rsidRPr="00AA4DDF">
              <w:t xml:space="preserve">  </w:t>
            </w:r>
            <w:proofErr w:type="gramEnd"/>
            <w:r w:rsidRPr="00AA4DDF">
              <w:t xml:space="preserve">44.§ 2.punkts paredz Tieslietu ministrijai nodot un Kultūras ministrijai pārņemt no 2011.gada 1.janvāra </w:t>
            </w:r>
            <w:r w:rsidRPr="00AA4DDF">
              <w:rPr>
                <w:color w:val="2A2A2A"/>
              </w:rPr>
              <w:t xml:space="preserve">valsts politikas izstrādi sabiedrības integrācijas jomā, kā arī tās īstenošanas organizēšanu un koordinēšanu – sekmēt pilsoniskās sabiedrības attīstību, starpkultūru dialogu, kā arī </w:t>
            </w:r>
            <w:r w:rsidRPr="00AA4DDF">
              <w:rPr>
                <w:color w:val="2A2A2A"/>
                <w:szCs w:val="14"/>
              </w:rPr>
              <w:t>ārējos normatīvajos aktos noteikto uzdevumu izpildi saistībā ar Sabiedrības integrācijas fondu</w:t>
            </w:r>
            <w:r w:rsidR="00ED295F" w:rsidRPr="00AA4DDF">
              <w:rPr>
                <w:color w:val="2A2A2A"/>
                <w:szCs w:val="14"/>
              </w:rPr>
              <w:t>.</w:t>
            </w:r>
            <w:r w:rsidR="00ED295F">
              <w:rPr>
                <w:color w:val="2A2A2A"/>
                <w:szCs w:val="14"/>
              </w:rPr>
              <w:t xml:space="preserve"> </w:t>
            </w:r>
            <w:r w:rsidR="00956851">
              <w:rPr>
                <w:color w:val="2A2A2A"/>
                <w:szCs w:val="14"/>
              </w:rPr>
              <w:t xml:space="preserve">Tāpat, saskaņā ar </w:t>
            </w:r>
            <w:proofErr w:type="spellStart"/>
            <w:r w:rsidR="00956851">
              <w:rPr>
                <w:color w:val="2A2A2A"/>
                <w:szCs w:val="14"/>
              </w:rPr>
              <w:t>protokollēmumu</w:t>
            </w:r>
            <w:proofErr w:type="spellEnd"/>
            <w:r w:rsidR="00956851">
              <w:rPr>
                <w:color w:val="2A2A2A"/>
                <w:szCs w:val="14"/>
              </w:rPr>
              <w:t xml:space="preserve"> Iekšlietu ministrijai no 2011.gada 1.jūnija bija paredzēts nodot </w:t>
            </w:r>
            <w:r w:rsidR="00AB4055">
              <w:t>imigrantu integrācijas politikas izstrādi un īstenošanu</w:t>
            </w:r>
            <w:r w:rsidR="00AB4055">
              <w:rPr>
                <w:color w:val="2A2A2A"/>
                <w:szCs w:val="14"/>
              </w:rPr>
              <w:t xml:space="preserve"> un </w:t>
            </w:r>
            <w:r w:rsidR="00AB4055">
              <w:t xml:space="preserve">Eiropas Trešo valstu </w:t>
            </w:r>
            <w:proofErr w:type="spellStart"/>
            <w:r w:rsidR="00AB4055">
              <w:t>valstspiederīgo</w:t>
            </w:r>
            <w:proofErr w:type="spellEnd"/>
            <w:r w:rsidR="00AB4055">
              <w:t xml:space="preserve"> integrācijas fonda pārraudzības funkcijas īstenošanu.</w:t>
            </w:r>
          </w:p>
          <w:p w:rsidR="003D05DD" w:rsidRDefault="009C2F3E" w:rsidP="003D05DD">
            <w:pPr>
              <w:pStyle w:val="naisf"/>
              <w:numPr>
                <w:ilvl w:val="0"/>
                <w:numId w:val="3"/>
              </w:numPr>
              <w:spacing w:before="0" w:after="0"/>
              <w:ind w:left="805" w:right="91" w:hanging="357"/>
            </w:pPr>
            <w:r>
              <w:t>Izvērtējot ministru prezidenta 2011.gada 18.janvāra</w:t>
            </w:r>
            <w:proofErr w:type="gramStart"/>
            <w:r>
              <w:t xml:space="preserve">  </w:t>
            </w:r>
            <w:proofErr w:type="gramEnd"/>
            <w:r>
              <w:t>rezolūciju Nr.90/SAN-41</w:t>
            </w:r>
            <w:r w:rsidR="003D05DD">
              <w:t xml:space="preserve">, Ministru kabineta 2011.gada 22.februāra sēdes </w:t>
            </w:r>
            <w:proofErr w:type="spellStart"/>
            <w:r w:rsidR="003D05DD">
              <w:t>protokollēmuma</w:t>
            </w:r>
            <w:proofErr w:type="spellEnd"/>
            <w:r w:rsidR="003D05DD">
              <w:t xml:space="preserve"> Nr.11 41.§  2. un 3.punktā noteikts </w:t>
            </w:r>
            <w:r w:rsidR="003D05DD" w:rsidRPr="003D05DD">
              <w:t>Tieslietu ministrijai nodot un Kultūras ministrijai no 2011.gada 1.aprīļa pārņemt šādas sabiedrības integr</w:t>
            </w:r>
            <w:r w:rsidR="003D05DD">
              <w:t>ācijas funkcijas kompetences:</w:t>
            </w:r>
          </w:p>
          <w:p w:rsidR="00053B38" w:rsidRDefault="00053B38" w:rsidP="00053B38">
            <w:pPr>
              <w:pStyle w:val="naisf"/>
              <w:spacing w:before="0" w:after="0"/>
              <w:ind w:left="108" w:right="74" w:firstLine="0"/>
              <w:jc w:val="left"/>
            </w:pPr>
            <w:r>
              <w:t xml:space="preserve">           2.1. </w:t>
            </w:r>
            <w:r w:rsidR="003D05DD" w:rsidRPr="003D05DD">
              <w:t>imigrantu integrācijas poli</w:t>
            </w:r>
            <w:r>
              <w:t>tikas izstrāde un īstenošana;</w:t>
            </w:r>
            <w:r>
              <w:br/>
            </w:r>
            <w:proofErr w:type="gramStart"/>
            <w:r>
              <w:t xml:space="preserve">           </w:t>
            </w:r>
            <w:proofErr w:type="gramEnd"/>
            <w:r>
              <w:t xml:space="preserve">2.2. </w:t>
            </w:r>
            <w:r w:rsidR="003D05DD" w:rsidRPr="003D05DD">
              <w:t xml:space="preserve">Eiropas trešo valstu </w:t>
            </w:r>
            <w:proofErr w:type="spellStart"/>
            <w:r w:rsidR="003D05DD" w:rsidRPr="003D05DD">
              <w:t>valstspiederīgo</w:t>
            </w:r>
            <w:proofErr w:type="spellEnd"/>
            <w:r w:rsidR="003D05DD" w:rsidRPr="003D05DD">
              <w:t xml:space="preserve"> integrācijas fonda</w:t>
            </w:r>
          </w:p>
          <w:p w:rsidR="00053B38" w:rsidRDefault="00053B38" w:rsidP="00053B38">
            <w:pPr>
              <w:pStyle w:val="naisf"/>
              <w:spacing w:before="0" w:after="0"/>
              <w:ind w:left="108" w:right="74" w:firstLine="0"/>
              <w:jc w:val="left"/>
            </w:pPr>
            <w:r>
              <w:t xml:space="preserve">           </w:t>
            </w:r>
            <w:r w:rsidR="003D05DD" w:rsidRPr="003D05DD">
              <w:t xml:space="preserve">vadošās iestādes funkcijas īstenošana. </w:t>
            </w:r>
            <w:r w:rsidR="003D05DD" w:rsidRPr="003D05DD">
              <w:br/>
            </w:r>
            <w:proofErr w:type="gramStart"/>
            <w:r>
              <w:t xml:space="preserve">           </w:t>
            </w:r>
            <w:proofErr w:type="gramEnd"/>
            <w:r w:rsidR="00EC4BDF">
              <w:t>Līdz ar minēto noteikumu stāšanos spēkā tiks nodrošināta</w:t>
            </w:r>
          </w:p>
          <w:p w:rsidR="00E0052B" w:rsidRPr="0018562C" w:rsidRDefault="00053B38" w:rsidP="00053B38">
            <w:pPr>
              <w:pStyle w:val="naisf"/>
              <w:spacing w:before="0" w:after="0"/>
              <w:ind w:left="108" w:right="74" w:firstLine="0"/>
              <w:jc w:val="left"/>
            </w:pPr>
            <w:r>
              <w:t xml:space="preserve">          </w:t>
            </w:r>
            <w:r w:rsidR="00EC4BDF">
              <w:t>vienota pieeja integrācijas politikas jautājumu risināšanai.</w:t>
            </w:r>
          </w:p>
        </w:tc>
      </w:tr>
      <w:tr w:rsidR="00FB1322" w:rsidRPr="00AE216E" w:rsidTr="00053B38">
        <w:trPr>
          <w:trHeight w:val="1071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322" w:rsidRPr="00AE216E" w:rsidRDefault="00FB1322" w:rsidP="006A0EAF">
            <w:pPr>
              <w:pStyle w:val="naiskr"/>
            </w:pPr>
            <w:r w:rsidRPr="00AE216E">
              <w:t> 3.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322" w:rsidRPr="00AE216E" w:rsidRDefault="00FB1322" w:rsidP="006A0EAF">
            <w:pPr>
              <w:pStyle w:val="naiskr"/>
            </w:pPr>
            <w:r w:rsidRPr="00AE216E">
              <w:t> Saistītie politikas ietekmes novērtējumi un pētījumi</w:t>
            </w:r>
          </w:p>
        </w:tc>
        <w:tc>
          <w:tcPr>
            <w:tcW w:w="6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322" w:rsidRPr="00AE216E" w:rsidRDefault="00A13A1D" w:rsidP="00A13A1D">
            <w:pPr>
              <w:pStyle w:val="naiskr"/>
              <w:ind w:firstLine="110"/>
            </w:pPr>
            <w:r w:rsidRPr="00AE216E">
              <w:t>Nav attiecināms</w:t>
            </w:r>
          </w:p>
        </w:tc>
      </w:tr>
      <w:tr w:rsidR="00FB1322" w:rsidRPr="00AE216E" w:rsidTr="00053B38">
        <w:trPr>
          <w:trHeight w:val="384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322" w:rsidRPr="00AE216E" w:rsidRDefault="00FB1322" w:rsidP="006A0EAF">
            <w:pPr>
              <w:pStyle w:val="naiskr"/>
            </w:pPr>
            <w:r w:rsidRPr="00AE216E">
              <w:t> 4.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322" w:rsidRPr="00AE216E" w:rsidRDefault="00FB1322" w:rsidP="006A0EAF">
            <w:pPr>
              <w:pStyle w:val="naiskr"/>
            </w:pPr>
            <w:r w:rsidRPr="00AE216E">
              <w:t> Tiesiskā regulējuma mērķis un būtība</w:t>
            </w:r>
          </w:p>
        </w:tc>
        <w:tc>
          <w:tcPr>
            <w:tcW w:w="6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322" w:rsidRPr="00AE216E" w:rsidRDefault="00945E15" w:rsidP="00370230">
            <w:pPr>
              <w:pStyle w:val="naisf"/>
              <w:ind w:left="90" w:right="91" w:firstLine="0"/>
            </w:pPr>
            <w:r w:rsidRPr="00AE216E">
              <w:t xml:space="preserve">Projekts paredz izdarīt grozījumus Ministru kabineta </w:t>
            </w:r>
            <w:smartTag w:uri="schemas-tilde-lv/tildestengine" w:element="date">
              <w:smartTagPr>
                <w:attr w:name="Year" w:val="2003"/>
                <w:attr w:name="Month" w:val="4"/>
                <w:attr w:name="Day" w:val="29"/>
              </w:smartTagPr>
              <w:r w:rsidRPr="00AE216E">
                <w:t>2003.gada 29.aprīļa</w:t>
              </w:r>
            </w:smartTag>
            <w:r w:rsidRPr="00AE216E">
              <w:t xml:space="preserve"> noteikumos Nr.241 „Kultūras ministrijas nolikums”</w:t>
            </w:r>
            <w:r w:rsidR="005B1FC2" w:rsidRPr="00AE216E">
              <w:t xml:space="preserve">, </w:t>
            </w:r>
            <w:r w:rsidR="00BA7208">
              <w:t>par</w:t>
            </w:r>
            <w:r w:rsidR="00370230">
              <w:t>edzot Kultūras ministrijai jaunus uzdevumus, kas saistīti ar</w:t>
            </w:r>
            <w:proofErr w:type="gramStart"/>
            <w:r w:rsidR="00370230">
              <w:t xml:space="preserve"> </w:t>
            </w:r>
            <w:r w:rsidR="00BA7208">
              <w:t xml:space="preserve"> </w:t>
            </w:r>
            <w:proofErr w:type="gramEnd"/>
            <w:r w:rsidR="00BA7208">
              <w:t>– sabiedrības integrācija</w:t>
            </w:r>
            <w:r w:rsidR="00370230">
              <w:t>s funkcijas īstenošanu</w:t>
            </w:r>
            <w:r w:rsidR="00BA7208">
              <w:t>.</w:t>
            </w:r>
            <w:r w:rsidR="002F320F">
              <w:t xml:space="preserve"> </w:t>
            </w:r>
          </w:p>
        </w:tc>
      </w:tr>
      <w:tr w:rsidR="00FB1322" w:rsidRPr="00AE216E" w:rsidTr="00053B38">
        <w:trPr>
          <w:trHeight w:val="476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322" w:rsidRPr="00AE216E" w:rsidRDefault="00FB1322" w:rsidP="006A0EAF">
            <w:pPr>
              <w:pStyle w:val="naiskr"/>
            </w:pPr>
            <w:r w:rsidRPr="00AE216E">
              <w:t> 5.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322" w:rsidRPr="00AE216E" w:rsidRDefault="00FB1322" w:rsidP="006A0EAF">
            <w:pPr>
              <w:pStyle w:val="naiskr"/>
            </w:pPr>
            <w:r w:rsidRPr="00AE216E">
              <w:t> Projekta izstrādē iesaistītās institūcijas</w:t>
            </w:r>
          </w:p>
        </w:tc>
        <w:tc>
          <w:tcPr>
            <w:tcW w:w="6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322" w:rsidRPr="00AE216E" w:rsidRDefault="00BA7208" w:rsidP="00BA7208">
            <w:pPr>
              <w:pStyle w:val="naiskr"/>
            </w:pPr>
            <w:r>
              <w:t>Kultūras ministrija.</w:t>
            </w:r>
          </w:p>
        </w:tc>
      </w:tr>
      <w:tr w:rsidR="00FB1322" w:rsidRPr="00AE216E" w:rsidTr="00053B38">
        <w:trPr>
          <w:trHeight w:val="899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322" w:rsidRPr="00AE216E" w:rsidRDefault="00FB1322" w:rsidP="006A0EAF">
            <w:pPr>
              <w:pStyle w:val="naiskr"/>
            </w:pPr>
            <w:r w:rsidRPr="00AE216E">
              <w:lastRenderedPageBreak/>
              <w:t> 6.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322" w:rsidRPr="00AE216E" w:rsidRDefault="00FB1322" w:rsidP="006A0EAF">
            <w:pPr>
              <w:pStyle w:val="naiskr"/>
            </w:pPr>
            <w:r w:rsidRPr="00AE216E">
              <w:t> Iemesli, kādēļ netika nodrošināta sabiedrības līdzdalība</w:t>
            </w:r>
          </w:p>
        </w:tc>
        <w:tc>
          <w:tcPr>
            <w:tcW w:w="6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322" w:rsidRPr="00AE216E" w:rsidRDefault="007C006C" w:rsidP="007C006C">
            <w:pPr>
              <w:pStyle w:val="naiskr"/>
              <w:ind w:firstLine="110"/>
            </w:pPr>
            <w:r>
              <w:t xml:space="preserve">Regulējums nosaka funkciju sadalījumu starp ministrijām un tiešā veidā neskar sabiedrību. </w:t>
            </w:r>
          </w:p>
        </w:tc>
      </w:tr>
      <w:tr w:rsidR="00FB1322" w:rsidRPr="00AE216E" w:rsidTr="00053B38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322" w:rsidRPr="00AE216E" w:rsidRDefault="00FB1322" w:rsidP="006A0EAF">
            <w:pPr>
              <w:pStyle w:val="naiskr"/>
            </w:pPr>
            <w:r w:rsidRPr="00AE216E">
              <w:t> 7.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322" w:rsidRPr="00AE216E" w:rsidRDefault="00FB1322" w:rsidP="006A0EAF">
            <w:pPr>
              <w:pStyle w:val="naiskr"/>
            </w:pPr>
            <w:r w:rsidRPr="00AE216E">
              <w:t> Cita informācija</w:t>
            </w:r>
          </w:p>
        </w:tc>
        <w:tc>
          <w:tcPr>
            <w:tcW w:w="6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322" w:rsidRPr="00AE216E" w:rsidRDefault="00FB1322" w:rsidP="006A0EAF">
            <w:pPr>
              <w:pStyle w:val="naiskr"/>
            </w:pPr>
            <w:r w:rsidRPr="00AE216E">
              <w:t> </w:t>
            </w:r>
            <w:r w:rsidR="0034159B" w:rsidRPr="00AE216E">
              <w:t>Nav</w:t>
            </w:r>
          </w:p>
        </w:tc>
      </w:tr>
    </w:tbl>
    <w:p w:rsidR="008A4683" w:rsidRDefault="00792DA8" w:rsidP="008A4683">
      <w:r>
        <w:t>Anotācijas II</w:t>
      </w:r>
      <w:r w:rsidR="003905B8">
        <w:t>. -VII</w:t>
      </w:r>
      <w:r w:rsidR="008A4683">
        <w:t xml:space="preserve"> sadaļa – nav attiecināms.</w:t>
      </w:r>
    </w:p>
    <w:p w:rsidR="008A4683" w:rsidRPr="00331D93" w:rsidRDefault="008A4683" w:rsidP="008A4683">
      <w:pPr>
        <w:rPr>
          <w:b/>
        </w:rPr>
      </w:pPr>
    </w:p>
    <w:p w:rsidR="00B92B74" w:rsidRPr="00AE216E" w:rsidRDefault="00B92B74" w:rsidP="0058736E">
      <w:pPr>
        <w:pStyle w:val="naisf"/>
        <w:ind w:firstLine="720"/>
      </w:pPr>
      <w:r w:rsidRPr="00AE216E">
        <w:t>Kultūras ministr</w:t>
      </w:r>
      <w:r w:rsidR="00792DA8">
        <w:t>e</w:t>
      </w:r>
      <w:r w:rsidRPr="00AE216E">
        <w:tab/>
      </w:r>
      <w:r w:rsidRPr="00AE216E">
        <w:tab/>
      </w:r>
      <w:r w:rsidRPr="00AE216E">
        <w:tab/>
      </w:r>
      <w:r w:rsidRPr="00AE216E">
        <w:tab/>
      </w:r>
      <w:r w:rsidRPr="00AE216E">
        <w:tab/>
      </w:r>
      <w:r w:rsidR="00792DA8">
        <w:t>S.Ēlerte</w:t>
      </w:r>
    </w:p>
    <w:p w:rsidR="00B92B74" w:rsidRPr="00AE216E" w:rsidRDefault="00B92B74" w:rsidP="00B92B74"/>
    <w:p w:rsidR="00DD5945" w:rsidRPr="00AE216E" w:rsidRDefault="00B92B74" w:rsidP="0058736E">
      <w:pPr>
        <w:ind w:firstLine="720"/>
      </w:pPr>
      <w:r w:rsidRPr="00AE216E">
        <w:t xml:space="preserve">Vīza: Valsts </w:t>
      </w:r>
      <w:r w:rsidR="008F6006">
        <w:t>sekretāre</w:t>
      </w:r>
      <w:r w:rsidRPr="00AE216E">
        <w:tab/>
      </w:r>
      <w:r w:rsidRPr="00AE216E">
        <w:tab/>
      </w:r>
      <w:r w:rsidRPr="00AE216E">
        <w:tab/>
      </w:r>
      <w:r w:rsidRPr="00AE216E">
        <w:tab/>
      </w:r>
      <w:r w:rsidR="008F6006">
        <w:tab/>
        <w:t>S.Zvidriņa</w:t>
      </w:r>
    </w:p>
    <w:p w:rsidR="00D7030E" w:rsidRDefault="00D7030E" w:rsidP="007C5082"/>
    <w:p w:rsidR="00E636D7" w:rsidRDefault="00E636D7" w:rsidP="007C5082"/>
    <w:p w:rsidR="00E636D7" w:rsidRDefault="00E636D7" w:rsidP="007C5082"/>
    <w:p w:rsidR="00E636D7" w:rsidRDefault="00E636D7" w:rsidP="007C5082"/>
    <w:p w:rsidR="00B92B74" w:rsidRPr="0058736E" w:rsidRDefault="00873D14" w:rsidP="00B92B74">
      <w:pPr>
        <w:rPr>
          <w:sz w:val="20"/>
          <w:szCs w:val="20"/>
        </w:rPr>
      </w:pPr>
      <w:r>
        <w:rPr>
          <w:sz w:val="20"/>
          <w:szCs w:val="20"/>
        </w:rPr>
        <w:t>23.03</w:t>
      </w:r>
      <w:r w:rsidR="0090094D">
        <w:rPr>
          <w:sz w:val="20"/>
          <w:szCs w:val="20"/>
        </w:rPr>
        <w:t>.</w:t>
      </w:r>
      <w:r w:rsidR="00370230">
        <w:rPr>
          <w:sz w:val="20"/>
          <w:szCs w:val="20"/>
        </w:rPr>
        <w:t>2011.</w:t>
      </w:r>
    </w:p>
    <w:p w:rsidR="00B92B74" w:rsidRPr="0058736E" w:rsidRDefault="00BB1B78" w:rsidP="00B92B74">
      <w:pPr>
        <w:rPr>
          <w:sz w:val="20"/>
          <w:szCs w:val="20"/>
        </w:rPr>
      </w:pPr>
      <w:r>
        <w:rPr>
          <w:sz w:val="20"/>
          <w:szCs w:val="20"/>
        </w:rPr>
        <w:t>325</w:t>
      </w:r>
    </w:p>
    <w:p w:rsidR="00B92B74" w:rsidRPr="0058736E" w:rsidRDefault="00792DA8" w:rsidP="00B92B74">
      <w:pPr>
        <w:rPr>
          <w:sz w:val="20"/>
          <w:szCs w:val="20"/>
        </w:rPr>
      </w:pPr>
      <w:r>
        <w:rPr>
          <w:sz w:val="20"/>
          <w:szCs w:val="20"/>
        </w:rPr>
        <w:t>D.Āboliņa</w:t>
      </w:r>
    </w:p>
    <w:p w:rsidR="00B92B74" w:rsidRPr="0058736E" w:rsidRDefault="0090094D" w:rsidP="00B92B74">
      <w:pPr>
        <w:pStyle w:val="Galvene"/>
        <w:rPr>
          <w:sz w:val="20"/>
          <w:szCs w:val="20"/>
        </w:rPr>
      </w:pPr>
      <w:r>
        <w:rPr>
          <w:sz w:val="20"/>
          <w:szCs w:val="20"/>
        </w:rPr>
        <w:t>67330267</w:t>
      </w:r>
      <w:r w:rsidR="00792DA8">
        <w:rPr>
          <w:sz w:val="20"/>
          <w:szCs w:val="20"/>
        </w:rPr>
        <w:t>Daina.Abolina@km.gov.lv</w:t>
      </w:r>
    </w:p>
    <w:sectPr w:rsidR="00B92B74" w:rsidRPr="0058736E" w:rsidSect="0037023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709" w:right="1134" w:bottom="1134" w:left="1701" w:header="709" w:footer="4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94D" w:rsidRDefault="0090094D">
      <w:r>
        <w:separator/>
      </w:r>
    </w:p>
  </w:endnote>
  <w:endnote w:type="continuationSeparator" w:id="0">
    <w:p w:rsidR="0090094D" w:rsidRDefault="00900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4D" w:rsidRDefault="004C0398" w:rsidP="0075178C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90094D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0094D" w:rsidRDefault="0090094D" w:rsidP="0075178C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4D" w:rsidRDefault="0090094D" w:rsidP="0075178C">
    <w:pPr>
      <w:pStyle w:val="Kjene"/>
      <w:framePr w:wrap="around" w:vAnchor="text" w:hAnchor="margin" w:xAlign="right" w:y="1"/>
      <w:rPr>
        <w:rStyle w:val="Lappusesnumurs"/>
      </w:rPr>
    </w:pPr>
  </w:p>
  <w:p w:rsidR="0090094D" w:rsidRPr="001D56DF" w:rsidRDefault="0090094D" w:rsidP="001D56DF">
    <w:pPr>
      <w:jc w:val="both"/>
      <w:rPr>
        <w:sz w:val="20"/>
        <w:szCs w:val="20"/>
      </w:rPr>
    </w:pPr>
    <w:r w:rsidRPr="001D56DF">
      <w:rPr>
        <w:sz w:val="20"/>
        <w:szCs w:val="20"/>
      </w:rPr>
      <w:t>KMAnot_</w:t>
    </w:r>
    <w:r w:rsidR="008C1F05">
      <w:rPr>
        <w:sz w:val="20"/>
        <w:szCs w:val="20"/>
      </w:rPr>
      <w:t>230311</w:t>
    </w:r>
    <w:r>
      <w:rPr>
        <w:sz w:val="20"/>
        <w:szCs w:val="20"/>
      </w:rPr>
      <w:t>_</w:t>
    </w:r>
    <w:r w:rsidR="00483BD5">
      <w:rPr>
        <w:sz w:val="20"/>
        <w:szCs w:val="20"/>
      </w:rPr>
      <w:t>VSS_230</w:t>
    </w:r>
    <w:r w:rsidRPr="001D56DF">
      <w:rPr>
        <w:sz w:val="20"/>
        <w:szCs w:val="20"/>
      </w:rPr>
      <w:t>; Ministru kabineta noteikumu projekta „</w:t>
    </w:r>
    <w:r w:rsidRPr="001D56DF">
      <w:rPr>
        <w:bCs/>
        <w:sz w:val="20"/>
        <w:szCs w:val="20"/>
      </w:rPr>
      <w:t>Grozījum</w:t>
    </w:r>
    <w:r>
      <w:rPr>
        <w:bCs/>
        <w:sz w:val="20"/>
        <w:szCs w:val="20"/>
      </w:rPr>
      <w:t>s</w:t>
    </w:r>
    <w:r w:rsidRPr="001D56DF">
      <w:rPr>
        <w:bCs/>
        <w:sz w:val="20"/>
        <w:szCs w:val="20"/>
      </w:rPr>
      <w:t xml:space="preserve"> </w:t>
    </w:r>
    <w:r w:rsidRPr="001D56DF">
      <w:rPr>
        <w:sz w:val="20"/>
        <w:szCs w:val="20"/>
      </w:rPr>
      <w:t xml:space="preserve">Ministru kabineta </w:t>
    </w:r>
    <w:smartTag w:uri="schemas-tilde-lv/tildestengine" w:element="date">
      <w:smartTagPr>
        <w:attr w:name="Day" w:val="29"/>
        <w:attr w:name="Month" w:val="4"/>
        <w:attr w:name="Year" w:val="2003"/>
      </w:smartTagPr>
      <w:r w:rsidRPr="001D56DF">
        <w:rPr>
          <w:sz w:val="20"/>
          <w:szCs w:val="20"/>
        </w:rPr>
        <w:t>2003.gada 29.aprīļa</w:t>
      </w:r>
    </w:smartTag>
    <w:r w:rsidRPr="001D56DF">
      <w:rPr>
        <w:sz w:val="20"/>
        <w:szCs w:val="20"/>
      </w:rPr>
      <w:t xml:space="preserve"> noteikumos Nr.241 „Kultūras ministrijas nolikums”” sākotnējās ietekmes novērtējuma ziņojums (anotācija)</w:t>
    </w:r>
  </w:p>
  <w:p w:rsidR="0090094D" w:rsidRDefault="0090094D" w:rsidP="0075178C">
    <w:pPr>
      <w:pStyle w:val="Kjen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4D" w:rsidRPr="001D56DF" w:rsidRDefault="0090094D" w:rsidP="00D7030E">
    <w:pPr>
      <w:jc w:val="both"/>
      <w:rPr>
        <w:sz w:val="20"/>
        <w:szCs w:val="20"/>
      </w:rPr>
    </w:pPr>
    <w:r w:rsidRPr="001D56DF">
      <w:rPr>
        <w:sz w:val="20"/>
        <w:szCs w:val="20"/>
      </w:rPr>
      <w:t>KMAnot_</w:t>
    </w:r>
    <w:r w:rsidR="001F36A2">
      <w:rPr>
        <w:sz w:val="20"/>
        <w:szCs w:val="20"/>
      </w:rPr>
      <w:t>230311</w:t>
    </w:r>
    <w:r>
      <w:rPr>
        <w:sz w:val="20"/>
        <w:szCs w:val="20"/>
      </w:rPr>
      <w:t>_</w:t>
    </w:r>
    <w:r w:rsidR="00483BD5">
      <w:rPr>
        <w:sz w:val="20"/>
        <w:szCs w:val="20"/>
      </w:rPr>
      <w:t>VSS_230</w:t>
    </w:r>
    <w:r w:rsidRPr="001D56DF">
      <w:rPr>
        <w:sz w:val="20"/>
        <w:szCs w:val="20"/>
      </w:rPr>
      <w:t>; Ministru kabineta noteikumu projekta „</w:t>
    </w:r>
    <w:r w:rsidRPr="001D56DF">
      <w:rPr>
        <w:bCs/>
        <w:sz w:val="20"/>
        <w:szCs w:val="20"/>
      </w:rPr>
      <w:t xml:space="preserve">Grozījumi </w:t>
    </w:r>
    <w:r w:rsidRPr="001D56DF">
      <w:rPr>
        <w:sz w:val="20"/>
        <w:szCs w:val="20"/>
      </w:rPr>
      <w:t xml:space="preserve">Ministru kabineta </w:t>
    </w:r>
    <w:smartTag w:uri="schemas-tilde-lv/tildestengine" w:element="date">
      <w:smartTagPr>
        <w:attr w:name="Day" w:val="29"/>
        <w:attr w:name="Month" w:val="4"/>
        <w:attr w:name="Year" w:val="2003"/>
      </w:smartTagPr>
      <w:r w:rsidRPr="001D56DF">
        <w:rPr>
          <w:sz w:val="20"/>
          <w:szCs w:val="20"/>
        </w:rPr>
        <w:t>2003.gada 29.aprīļa</w:t>
      </w:r>
    </w:smartTag>
    <w:r w:rsidRPr="001D56DF">
      <w:rPr>
        <w:sz w:val="20"/>
        <w:szCs w:val="20"/>
      </w:rPr>
      <w:t xml:space="preserve"> noteikumos Nr.241 „Kultūras ministrijas nolikums”” sākotnējās ietekmes novērtējuma ziņojums (anotācija)</w:t>
    </w:r>
  </w:p>
  <w:p w:rsidR="0090094D" w:rsidRPr="003F238C" w:rsidRDefault="0090094D" w:rsidP="007C5082">
    <w:pPr>
      <w:jc w:val="both"/>
      <w:rPr>
        <w:b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94D" w:rsidRDefault="0090094D">
      <w:r>
        <w:separator/>
      </w:r>
    </w:p>
  </w:footnote>
  <w:footnote w:type="continuationSeparator" w:id="0">
    <w:p w:rsidR="0090094D" w:rsidRDefault="00900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4D" w:rsidRDefault="004C0398" w:rsidP="007517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0094D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0094D" w:rsidRDefault="0090094D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4D" w:rsidRDefault="004C0398" w:rsidP="007517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0094D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83BD5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90094D" w:rsidRDefault="0090094D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3601"/>
    <w:multiLevelType w:val="hybridMultilevel"/>
    <w:tmpl w:val="71AAF0BA"/>
    <w:lvl w:ilvl="0" w:tplc="08D2C2F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8372233"/>
    <w:multiLevelType w:val="hybridMultilevel"/>
    <w:tmpl w:val="467EA1E0"/>
    <w:lvl w:ilvl="0" w:tplc="A95CBD7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59350B8C"/>
    <w:multiLevelType w:val="hybridMultilevel"/>
    <w:tmpl w:val="D14ABBF4"/>
    <w:lvl w:ilvl="0" w:tplc="0BCAA72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70" w:hanging="360"/>
      </w:pPr>
    </w:lvl>
    <w:lvl w:ilvl="2" w:tplc="0426001B" w:tentative="1">
      <w:start w:val="1"/>
      <w:numFmt w:val="lowerRoman"/>
      <w:lvlText w:val="%3."/>
      <w:lvlJc w:val="right"/>
      <w:pPr>
        <w:ind w:left="1890" w:hanging="180"/>
      </w:pPr>
    </w:lvl>
    <w:lvl w:ilvl="3" w:tplc="0426000F" w:tentative="1">
      <w:start w:val="1"/>
      <w:numFmt w:val="decimal"/>
      <w:lvlText w:val="%4."/>
      <w:lvlJc w:val="left"/>
      <w:pPr>
        <w:ind w:left="2610" w:hanging="360"/>
      </w:pPr>
    </w:lvl>
    <w:lvl w:ilvl="4" w:tplc="04260019" w:tentative="1">
      <w:start w:val="1"/>
      <w:numFmt w:val="lowerLetter"/>
      <w:lvlText w:val="%5."/>
      <w:lvlJc w:val="left"/>
      <w:pPr>
        <w:ind w:left="3330" w:hanging="360"/>
      </w:pPr>
    </w:lvl>
    <w:lvl w:ilvl="5" w:tplc="0426001B" w:tentative="1">
      <w:start w:val="1"/>
      <w:numFmt w:val="lowerRoman"/>
      <w:lvlText w:val="%6."/>
      <w:lvlJc w:val="right"/>
      <w:pPr>
        <w:ind w:left="4050" w:hanging="180"/>
      </w:pPr>
    </w:lvl>
    <w:lvl w:ilvl="6" w:tplc="0426000F" w:tentative="1">
      <w:start w:val="1"/>
      <w:numFmt w:val="decimal"/>
      <w:lvlText w:val="%7."/>
      <w:lvlJc w:val="left"/>
      <w:pPr>
        <w:ind w:left="4770" w:hanging="360"/>
      </w:pPr>
    </w:lvl>
    <w:lvl w:ilvl="7" w:tplc="04260019" w:tentative="1">
      <w:start w:val="1"/>
      <w:numFmt w:val="lowerLetter"/>
      <w:lvlText w:val="%8."/>
      <w:lvlJc w:val="left"/>
      <w:pPr>
        <w:ind w:left="5490" w:hanging="360"/>
      </w:pPr>
    </w:lvl>
    <w:lvl w:ilvl="8" w:tplc="042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755463F8"/>
    <w:multiLevelType w:val="hybridMultilevel"/>
    <w:tmpl w:val="9C0E6FC0"/>
    <w:lvl w:ilvl="0" w:tplc="72CEA460">
      <w:start w:val="1"/>
      <w:numFmt w:val="decimal"/>
      <w:lvlText w:val="%1."/>
      <w:lvlJc w:val="left"/>
      <w:pPr>
        <w:ind w:left="720" w:hanging="360"/>
      </w:pPr>
      <w:rPr>
        <w:rFonts w:hint="default"/>
        <w:color w:val="2A2A2A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082"/>
    <w:rsid w:val="00004A09"/>
    <w:rsid w:val="00006710"/>
    <w:rsid w:val="000072A8"/>
    <w:rsid w:val="00032E0F"/>
    <w:rsid w:val="00045B69"/>
    <w:rsid w:val="000466CB"/>
    <w:rsid w:val="00046AA5"/>
    <w:rsid w:val="00053B38"/>
    <w:rsid w:val="00060E9B"/>
    <w:rsid w:val="00070D29"/>
    <w:rsid w:val="0007344B"/>
    <w:rsid w:val="0007765A"/>
    <w:rsid w:val="00086A10"/>
    <w:rsid w:val="00096B98"/>
    <w:rsid w:val="000B161F"/>
    <w:rsid w:val="000B3D9C"/>
    <w:rsid w:val="000B6556"/>
    <w:rsid w:val="000C249B"/>
    <w:rsid w:val="000C5486"/>
    <w:rsid w:val="000E2B71"/>
    <w:rsid w:val="000F1F3E"/>
    <w:rsid w:val="000F435D"/>
    <w:rsid w:val="00100111"/>
    <w:rsid w:val="00106D8A"/>
    <w:rsid w:val="00107DC1"/>
    <w:rsid w:val="00110A56"/>
    <w:rsid w:val="00112EC8"/>
    <w:rsid w:val="001217D9"/>
    <w:rsid w:val="0013230C"/>
    <w:rsid w:val="00135164"/>
    <w:rsid w:val="00156152"/>
    <w:rsid w:val="00156FB8"/>
    <w:rsid w:val="00162B7E"/>
    <w:rsid w:val="001808E9"/>
    <w:rsid w:val="00184EFF"/>
    <w:rsid w:val="0018562C"/>
    <w:rsid w:val="00185D3D"/>
    <w:rsid w:val="001879E3"/>
    <w:rsid w:val="00192B71"/>
    <w:rsid w:val="001A7BF1"/>
    <w:rsid w:val="001B3423"/>
    <w:rsid w:val="001C148A"/>
    <w:rsid w:val="001C22B0"/>
    <w:rsid w:val="001C504F"/>
    <w:rsid w:val="001D0476"/>
    <w:rsid w:val="001D1A6E"/>
    <w:rsid w:val="001D56DF"/>
    <w:rsid w:val="001D5E83"/>
    <w:rsid w:val="001D6D98"/>
    <w:rsid w:val="001F36A2"/>
    <w:rsid w:val="002006D0"/>
    <w:rsid w:val="00246A0B"/>
    <w:rsid w:val="00262E4E"/>
    <w:rsid w:val="00275771"/>
    <w:rsid w:val="00285F00"/>
    <w:rsid w:val="0029050F"/>
    <w:rsid w:val="002923D2"/>
    <w:rsid w:val="00296586"/>
    <w:rsid w:val="002965B8"/>
    <w:rsid w:val="002A0D31"/>
    <w:rsid w:val="002A7CD4"/>
    <w:rsid w:val="002B5202"/>
    <w:rsid w:val="002D015E"/>
    <w:rsid w:val="002D554B"/>
    <w:rsid w:val="002E25C0"/>
    <w:rsid w:val="002E4829"/>
    <w:rsid w:val="002F320F"/>
    <w:rsid w:val="002F5908"/>
    <w:rsid w:val="002F5CD0"/>
    <w:rsid w:val="00330499"/>
    <w:rsid w:val="00334451"/>
    <w:rsid w:val="00337E1E"/>
    <w:rsid w:val="0034159B"/>
    <w:rsid w:val="00341ADB"/>
    <w:rsid w:val="003537C5"/>
    <w:rsid w:val="00361292"/>
    <w:rsid w:val="00363CE3"/>
    <w:rsid w:val="0036498B"/>
    <w:rsid w:val="00366278"/>
    <w:rsid w:val="00370230"/>
    <w:rsid w:val="00383E2F"/>
    <w:rsid w:val="003905B8"/>
    <w:rsid w:val="003941E9"/>
    <w:rsid w:val="003969C4"/>
    <w:rsid w:val="003A04C9"/>
    <w:rsid w:val="003A22AF"/>
    <w:rsid w:val="003B164F"/>
    <w:rsid w:val="003B465B"/>
    <w:rsid w:val="003B50D5"/>
    <w:rsid w:val="003B63CE"/>
    <w:rsid w:val="003C1953"/>
    <w:rsid w:val="003D05DD"/>
    <w:rsid w:val="003D477B"/>
    <w:rsid w:val="003D70F6"/>
    <w:rsid w:val="003E33A2"/>
    <w:rsid w:val="003E6972"/>
    <w:rsid w:val="003F084F"/>
    <w:rsid w:val="003F1947"/>
    <w:rsid w:val="003F238C"/>
    <w:rsid w:val="00423E6B"/>
    <w:rsid w:val="00430600"/>
    <w:rsid w:val="004428D4"/>
    <w:rsid w:val="00455E90"/>
    <w:rsid w:val="004564DF"/>
    <w:rsid w:val="0046384A"/>
    <w:rsid w:val="00464D96"/>
    <w:rsid w:val="0046783B"/>
    <w:rsid w:val="00471B0C"/>
    <w:rsid w:val="004803E1"/>
    <w:rsid w:val="00483BD5"/>
    <w:rsid w:val="00484171"/>
    <w:rsid w:val="00496908"/>
    <w:rsid w:val="004A7339"/>
    <w:rsid w:val="004B0BC5"/>
    <w:rsid w:val="004B14B9"/>
    <w:rsid w:val="004B49F9"/>
    <w:rsid w:val="004C0398"/>
    <w:rsid w:val="004C1D6F"/>
    <w:rsid w:val="004C23C0"/>
    <w:rsid w:val="004F4357"/>
    <w:rsid w:val="00503151"/>
    <w:rsid w:val="00506EDA"/>
    <w:rsid w:val="00511ADB"/>
    <w:rsid w:val="005205A0"/>
    <w:rsid w:val="00527A73"/>
    <w:rsid w:val="0053490A"/>
    <w:rsid w:val="00550A7D"/>
    <w:rsid w:val="00552372"/>
    <w:rsid w:val="0057525F"/>
    <w:rsid w:val="005772BD"/>
    <w:rsid w:val="00582BB0"/>
    <w:rsid w:val="0058736E"/>
    <w:rsid w:val="005957D4"/>
    <w:rsid w:val="0059714C"/>
    <w:rsid w:val="005A28BC"/>
    <w:rsid w:val="005B02E0"/>
    <w:rsid w:val="005B1FC2"/>
    <w:rsid w:val="005C2036"/>
    <w:rsid w:val="005C437B"/>
    <w:rsid w:val="005E1932"/>
    <w:rsid w:val="005F40D9"/>
    <w:rsid w:val="00602D42"/>
    <w:rsid w:val="00613BF1"/>
    <w:rsid w:val="00625B35"/>
    <w:rsid w:val="00632740"/>
    <w:rsid w:val="00640C77"/>
    <w:rsid w:val="00642C41"/>
    <w:rsid w:val="00681E1C"/>
    <w:rsid w:val="006937CC"/>
    <w:rsid w:val="006965A5"/>
    <w:rsid w:val="00696C9C"/>
    <w:rsid w:val="006A0EAF"/>
    <w:rsid w:val="006A5F55"/>
    <w:rsid w:val="006A6978"/>
    <w:rsid w:val="006B1FC4"/>
    <w:rsid w:val="006C448D"/>
    <w:rsid w:val="006D630D"/>
    <w:rsid w:val="006E64FC"/>
    <w:rsid w:val="007303FC"/>
    <w:rsid w:val="007456B5"/>
    <w:rsid w:val="007470CA"/>
    <w:rsid w:val="0075178C"/>
    <w:rsid w:val="00753214"/>
    <w:rsid w:val="00753E08"/>
    <w:rsid w:val="00770522"/>
    <w:rsid w:val="00772A45"/>
    <w:rsid w:val="00785645"/>
    <w:rsid w:val="00787352"/>
    <w:rsid w:val="00792DA8"/>
    <w:rsid w:val="007976A5"/>
    <w:rsid w:val="007A490A"/>
    <w:rsid w:val="007C006C"/>
    <w:rsid w:val="007C5082"/>
    <w:rsid w:val="007D222F"/>
    <w:rsid w:val="007D318F"/>
    <w:rsid w:val="007D563B"/>
    <w:rsid w:val="007E25A7"/>
    <w:rsid w:val="007E25F2"/>
    <w:rsid w:val="007F0D82"/>
    <w:rsid w:val="007F453A"/>
    <w:rsid w:val="0080350C"/>
    <w:rsid w:val="008054C6"/>
    <w:rsid w:val="00806CD5"/>
    <w:rsid w:val="008078CE"/>
    <w:rsid w:val="008110B8"/>
    <w:rsid w:val="00814C37"/>
    <w:rsid w:val="00816ABE"/>
    <w:rsid w:val="00821926"/>
    <w:rsid w:val="00823F02"/>
    <w:rsid w:val="00831DEE"/>
    <w:rsid w:val="00833634"/>
    <w:rsid w:val="00833D06"/>
    <w:rsid w:val="00852126"/>
    <w:rsid w:val="00853DE3"/>
    <w:rsid w:val="00867C2E"/>
    <w:rsid w:val="00867DE1"/>
    <w:rsid w:val="008739D1"/>
    <w:rsid w:val="00873D14"/>
    <w:rsid w:val="0089696E"/>
    <w:rsid w:val="008A0FFA"/>
    <w:rsid w:val="008A202F"/>
    <w:rsid w:val="008A4683"/>
    <w:rsid w:val="008B4D8E"/>
    <w:rsid w:val="008C1F05"/>
    <w:rsid w:val="008D40A0"/>
    <w:rsid w:val="008D54B5"/>
    <w:rsid w:val="008D5B7B"/>
    <w:rsid w:val="008E41C8"/>
    <w:rsid w:val="008E7519"/>
    <w:rsid w:val="008F108F"/>
    <w:rsid w:val="008F6006"/>
    <w:rsid w:val="009006B7"/>
    <w:rsid w:val="0090094D"/>
    <w:rsid w:val="0090399B"/>
    <w:rsid w:val="00905AE3"/>
    <w:rsid w:val="0091069C"/>
    <w:rsid w:val="00920B3B"/>
    <w:rsid w:val="00924AD0"/>
    <w:rsid w:val="00935A78"/>
    <w:rsid w:val="00936C03"/>
    <w:rsid w:val="00945E15"/>
    <w:rsid w:val="0094709E"/>
    <w:rsid w:val="009539BF"/>
    <w:rsid w:val="00956851"/>
    <w:rsid w:val="00970870"/>
    <w:rsid w:val="00970C2C"/>
    <w:rsid w:val="009718E9"/>
    <w:rsid w:val="00972773"/>
    <w:rsid w:val="009B0486"/>
    <w:rsid w:val="009C2F3E"/>
    <w:rsid w:val="009C5727"/>
    <w:rsid w:val="009E2AE6"/>
    <w:rsid w:val="009E5A85"/>
    <w:rsid w:val="009E6D40"/>
    <w:rsid w:val="00A1156B"/>
    <w:rsid w:val="00A13A1D"/>
    <w:rsid w:val="00A25AC1"/>
    <w:rsid w:val="00A26446"/>
    <w:rsid w:val="00A30045"/>
    <w:rsid w:val="00A46F7B"/>
    <w:rsid w:val="00A47A72"/>
    <w:rsid w:val="00A500C6"/>
    <w:rsid w:val="00A50E2B"/>
    <w:rsid w:val="00A5427C"/>
    <w:rsid w:val="00A80496"/>
    <w:rsid w:val="00A83601"/>
    <w:rsid w:val="00A86B33"/>
    <w:rsid w:val="00AA4DDF"/>
    <w:rsid w:val="00AB4055"/>
    <w:rsid w:val="00AC6CFC"/>
    <w:rsid w:val="00AC7501"/>
    <w:rsid w:val="00AD3FE5"/>
    <w:rsid w:val="00AE216E"/>
    <w:rsid w:val="00B1106A"/>
    <w:rsid w:val="00B16243"/>
    <w:rsid w:val="00B23209"/>
    <w:rsid w:val="00B245FA"/>
    <w:rsid w:val="00B31F6B"/>
    <w:rsid w:val="00B36F8B"/>
    <w:rsid w:val="00B54629"/>
    <w:rsid w:val="00B72CA1"/>
    <w:rsid w:val="00B7387E"/>
    <w:rsid w:val="00B73EA4"/>
    <w:rsid w:val="00B84542"/>
    <w:rsid w:val="00B8530F"/>
    <w:rsid w:val="00B87AD4"/>
    <w:rsid w:val="00B918C6"/>
    <w:rsid w:val="00B92B74"/>
    <w:rsid w:val="00BA1841"/>
    <w:rsid w:val="00BA1A82"/>
    <w:rsid w:val="00BA4AF3"/>
    <w:rsid w:val="00BA5AF6"/>
    <w:rsid w:val="00BA7208"/>
    <w:rsid w:val="00BB19FC"/>
    <w:rsid w:val="00BB1B78"/>
    <w:rsid w:val="00BC35DE"/>
    <w:rsid w:val="00BC6D04"/>
    <w:rsid w:val="00BD5C48"/>
    <w:rsid w:val="00BE3ACA"/>
    <w:rsid w:val="00BF26BB"/>
    <w:rsid w:val="00C06A47"/>
    <w:rsid w:val="00C20EC6"/>
    <w:rsid w:val="00C23DB3"/>
    <w:rsid w:val="00C33CB0"/>
    <w:rsid w:val="00C357DB"/>
    <w:rsid w:val="00C44F77"/>
    <w:rsid w:val="00C47075"/>
    <w:rsid w:val="00C5694A"/>
    <w:rsid w:val="00C62EA4"/>
    <w:rsid w:val="00C711BA"/>
    <w:rsid w:val="00C73107"/>
    <w:rsid w:val="00C87D1B"/>
    <w:rsid w:val="00C91980"/>
    <w:rsid w:val="00CA040B"/>
    <w:rsid w:val="00CA05F7"/>
    <w:rsid w:val="00CA54C2"/>
    <w:rsid w:val="00CA68EC"/>
    <w:rsid w:val="00CB24F9"/>
    <w:rsid w:val="00CB7123"/>
    <w:rsid w:val="00CC54A2"/>
    <w:rsid w:val="00CE2C41"/>
    <w:rsid w:val="00CE4AE6"/>
    <w:rsid w:val="00CE5779"/>
    <w:rsid w:val="00CF33EE"/>
    <w:rsid w:val="00D06F77"/>
    <w:rsid w:val="00D12AD2"/>
    <w:rsid w:val="00D1429E"/>
    <w:rsid w:val="00D20207"/>
    <w:rsid w:val="00D23595"/>
    <w:rsid w:val="00D27771"/>
    <w:rsid w:val="00D34775"/>
    <w:rsid w:val="00D44252"/>
    <w:rsid w:val="00D47552"/>
    <w:rsid w:val="00D55DD4"/>
    <w:rsid w:val="00D7030E"/>
    <w:rsid w:val="00D8051C"/>
    <w:rsid w:val="00D86AD1"/>
    <w:rsid w:val="00DB651B"/>
    <w:rsid w:val="00DC1317"/>
    <w:rsid w:val="00DC795A"/>
    <w:rsid w:val="00DD2EB0"/>
    <w:rsid w:val="00DD5945"/>
    <w:rsid w:val="00DD66AB"/>
    <w:rsid w:val="00E0052B"/>
    <w:rsid w:val="00E06435"/>
    <w:rsid w:val="00E10540"/>
    <w:rsid w:val="00E155F2"/>
    <w:rsid w:val="00E206BE"/>
    <w:rsid w:val="00E21DA1"/>
    <w:rsid w:val="00E21FD0"/>
    <w:rsid w:val="00E247C8"/>
    <w:rsid w:val="00E2774F"/>
    <w:rsid w:val="00E332CD"/>
    <w:rsid w:val="00E44181"/>
    <w:rsid w:val="00E5221F"/>
    <w:rsid w:val="00E56D7D"/>
    <w:rsid w:val="00E5707F"/>
    <w:rsid w:val="00E636D7"/>
    <w:rsid w:val="00E67CE8"/>
    <w:rsid w:val="00E728E9"/>
    <w:rsid w:val="00E772ED"/>
    <w:rsid w:val="00E816C3"/>
    <w:rsid w:val="00E87AE5"/>
    <w:rsid w:val="00EA1BEE"/>
    <w:rsid w:val="00EB6FB0"/>
    <w:rsid w:val="00EB6FF5"/>
    <w:rsid w:val="00EB7B9B"/>
    <w:rsid w:val="00EC4BDF"/>
    <w:rsid w:val="00EC672B"/>
    <w:rsid w:val="00ED295F"/>
    <w:rsid w:val="00ED2BF2"/>
    <w:rsid w:val="00EF1BF5"/>
    <w:rsid w:val="00F01B02"/>
    <w:rsid w:val="00F034A4"/>
    <w:rsid w:val="00F14B42"/>
    <w:rsid w:val="00F242BB"/>
    <w:rsid w:val="00F45AD5"/>
    <w:rsid w:val="00F47197"/>
    <w:rsid w:val="00F54A76"/>
    <w:rsid w:val="00F55018"/>
    <w:rsid w:val="00F60924"/>
    <w:rsid w:val="00F74011"/>
    <w:rsid w:val="00F83531"/>
    <w:rsid w:val="00F83978"/>
    <w:rsid w:val="00F8500E"/>
    <w:rsid w:val="00F90E07"/>
    <w:rsid w:val="00F95730"/>
    <w:rsid w:val="00F96661"/>
    <w:rsid w:val="00FA2D1B"/>
    <w:rsid w:val="00FA48A1"/>
    <w:rsid w:val="00FB1322"/>
    <w:rsid w:val="00FD24DB"/>
    <w:rsid w:val="00FD30AD"/>
    <w:rsid w:val="00FD3B22"/>
    <w:rsid w:val="00FE0F1D"/>
    <w:rsid w:val="00FE59CD"/>
    <w:rsid w:val="00FF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7C5082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ais"/>
    <w:rsid w:val="007C5082"/>
    <w:pPr>
      <w:spacing w:before="75" w:after="75"/>
      <w:ind w:firstLine="375"/>
      <w:jc w:val="both"/>
    </w:pPr>
  </w:style>
  <w:style w:type="paragraph" w:customStyle="1" w:styleId="naisnod">
    <w:name w:val="naisnod"/>
    <w:basedOn w:val="Parastais"/>
    <w:rsid w:val="007C5082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Parastais"/>
    <w:rsid w:val="007C5082"/>
    <w:pPr>
      <w:spacing w:before="75" w:after="75"/>
    </w:pPr>
  </w:style>
  <w:style w:type="paragraph" w:customStyle="1" w:styleId="naisc">
    <w:name w:val="naisc"/>
    <w:basedOn w:val="Parastais"/>
    <w:rsid w:val="007C5082"/>
    <w:pPr>
      <w:spacing w:before="75" w:after="75"/>
      <w:jc w:val="center"/>
    </w:pPr>
  </w:style>
  <w:style w:type="paragraph" w:styleId="Galvene">
    <w:name w:val="header"/>
    <w:basedOn w:val="Parastais"/>
    <w:rsid w:val="007C5082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7C5082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7C5082"/>
  </w:style>
  <w:style w:type="paragraph" w:customStyle="1" w:styleId="naisvisr">
    <w:name w:val="naisvisr"/>
    <w:basedOn w:val="Parastais"/>
    <w:rsid w:val="007C5082"/>
    <w:pPr>
      <w:spacing w:before="130" w:after="130"/>
      <w:jc w:val="center"/>
    </w:pPr>
    <w:rPr>
      <w:b/>
      <w:bCs/>
      <w:sz w:val="28"/>
      <w:szCs w:val="28"/>
    </w:rPr>
  </w:style>
  <w:style w:type="character" w:styleId="Hipersaite">
    <w:name w:val="Hyperlink"/>
    <w:basedOn w:val="Noklusjumarindkopasfonts"/>
    <w:rsid w:val="007C5082"/>
    <w:rPr>
      <w:color w:val="0000FF"/>
      <w:u w:val="single"/>
    </w:rPr>
  </w:style>
  <w:style w:type="paragraph" w:customStyle="1" w:styleId="naislab">
    <w:name w:val="naislab"/>
    <w:basedOn w:val="Parastais"/>
    <w:rsid w:val="00FB1322"/>
    <w:pPr>
      <w:spacing w:before="75" w:after="75"/>
      <w:jc w:val="right"/>
    </w:pPr>
  </w:style>
  <w:style w:type="character" w:customStyle="1" w:styleId="body1">
    <w:name w:val="body1"/>
    <w:basedOn w:val="Noklusjumarindkopasfonts"/>
    <w:rsid w:val="002D015E"/>
    <w:rPr>
      <w:rFonts w:ascii="Verdana" w:hAnsi="Verdana" w:hint="default"/>
      <w:sz w:val="15"/>
      <w:szCs w:val="15"/>
    </w:rPr>
  </w:style>
  <w:style w:type="paragraph" w:styleId="Balonteksts">
    <w:name w:val="Balloon Text"/>
    <w:basedOn w:val="Parastais"/>
    <w:semiHidden/>
    <w:rsid w:val="00E44181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ais"/>
    <w:uiPriority w:val="34"/>
    <w:qFormat/>
    <w:rsid w:val="002D554B"/>
    <w:pPr>
      <w:ind w:left="720"/>
      <w:contextualSpacing/>
    </w:pPr>
  </w:style>
  <w:style w:type="paragraph" w:styleId="Vienkrsteksts">
    <w:name w:val="Plain Text"/>
    <w:basedOn w:val="Parastais"/>
    <w:link w:val="VienkrstekstsRakstz"/>
    <w:uiPriority w:val="99"/>
    <w:unhideWhenUsed/>
    <w:rsid w:val="0095685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95685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C1C1E-ECEA-4AAB-89A2-A27AA3BB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2655</Characters>
  <Application>Microsoft Office Word</Application>
  <DocSecurity>0</DocSecurity>
  <Lines>22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Anotācija</vt:lpstr>
      <vt:lpstr>Anotācija</vt:lpstr>
    </vt:vector>
  </TitlesOfParts>
  <Manager>U.Lielpēters</Manager>
  <Company>Kultūras ministrija</Company>
  <LinksUpToDate>false</LinksUpToDate>
  <CharactersWithSpaces>2975</CharactersWithSpaces>
  <SharedDoc>false</SharedDoc>
  <HLinks>
    <vt:vector size="6" baseType="variant">
      <vt:variant>
        <vt:i4>852024</vt:i4>
      </vt:variant>
      <vt:variant>
        <vt:i4>3</vt:i4>
      </vt:variant>
      <vt:variant>
        <vt:i4>0</vt:i4>
      </vt:variant>
      <vt:variant>
        <vt:i4>5</vt:i4>
      </vt:variant>
      <vt:variant>
        <vt:lpwstr>mailto:Sandis.Voldins@km.gov.lv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</dc:title>
  <dc:subject>Ministru kabineta noteikumu projekta „Grozījums Ministru kabineta 2009.gada 2.jūnija noteikumos Nr.505 "Valsts aģentūras "Rakstniecības muzejs un rakstniecības, teātra un mūzikas kolekciju krātuve" nolikums” anotācija</dc:subject>
  <dc:creator>D.Āboliņa</dc:creator>
  <dc:description>67330267; fakss: 67330293
Daina.Abolina@km.gov.lv</dc:description>
  <cp:lastModifiedBy>Dainaa</cp:lastModifiedBy>
  <cp:revision>3</cp:revision>
  <cp:lastPrinted>2011-03-23T17:00:00Z</cp:lastPrinted>
  <dcterms:created xsi:type="dcterms:W3CDTF">2011-03-23T17:34:00Z</dcterms:created>
  <dcterms:modified xsi:type="dcterms:W3CDTF">2011-03-23T17:35:00Z</dcterms:modified>
</cp:coreProperties>
</file>