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80" w:rsidRDefault="009B5680" w:rsidP="009B5680">
      <w:pPr>
        <w:pStyle w:val="Pamatteksts"/>
        <w:rPr>
          <w:sz w:val="24"/>
          <w:szCs w:val="24"/>
        </w:rPr>
      </w:pPr>
      <w:r w:rsidRPr="0048110F">
        <w:rPr>
          <w:sz w:val="24"/>
          <w:szCs w:val="24"/>
        </w:rPr>
        <w:t>Ministru kabineta noteikumu</w:t>
      </w:r>
      <w:r>
        <w:rPr>
          <w:sz w:val="24"/>
          <w:szCs w:val="24"/>
        </w:rPr>
        <w:t xml:space="preserve"> </w:t>
      </w:r>
      <w:r w:rsidRPr="0048110F">
        <w:rPr>
          <w:sz w:val="24"/>
          <w:szCs w:val="24"/>
        </w:rPr>
        <w:t>„Par pretendentu un</w:t>
      </w:r>
      <w:r>
        <w:rPr>
          <w:sz w:val="24"/>
          <w:szCs w:val="24"/>
        </w:rPr>
        <w:t xml:space="preserve"> ierēdņu vērtēšanas komisiju” </w:t>
      </w:r>
    </w:p>
    <w:p w:rsidR="009B5680" w:rsidRPr="0048110F" w:rsidRDefault="009B5680" w:rsidP="009B5680">
      <w:pPr>
        <w:pStyle w:val="Pamatteksts"/>
        <w:rPr>
          <w:sz w:val="24"/>
          <w:szCs w:val="24"/>
        </w:rPr>
      </w:pPr>
      <w:r w:rsidRPr="0048110F">
        <w:rPr>
          <w:sz w:val="24"/>
          <w:szCs w:val="24"/>
        </w:rPr>
        <w:t xml:space="preserve">projekta </w:t>
      </w:r>
      <w:r w:rsidR="00E85F09" w:rsidRPr="00E85F09">
        <w:rPr>
          <w:sz w:val="24"/>
          <w:szCs w:val="24"/>
        </w:rPr>
        <w:t>sākotnējās ietekmes novērtējuma ziņojums (anotācija)</w:t>
      </w:r>
    </w:p>
    <w:tbl>
      <w:tblPr>
        <w:tblW w:w="963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5953"/>
      </w:tblGrid>
      <w:tr w:rsidR="009B5680" w:rsidTr="007731AF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680" w:rsidRDefault="009B5680">
            <w:pPr>
              <w:pStyle w:val="naisc"/>
            </w:pPr>
            <w:r>
              <w:t> </w:t>
            </w:r>
            <w:r>
              <w:rPr>
                <w:b/>
                <w:bCs/>
              </w:rPr>
              <w:t> I. Tiesību akta projekta izstrādes nepieciešamība</w:t>
            </w:r>
          </w:p>
        </w:tc>
      </w:tr>
      <w:tr w:rsidR="009B5680" w:rsidTr="007731AF">
        <w:trPr>
          <w:trHeight w:val="15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 w:rsidP="009B5680">
            <w:pPr>
              <w:pStyle w:val="naislab"/>
              <w:jc w:val="left"/>
            </w:pPr>
            <w:r>
              <w:t> Pamatojums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F62BF3" w:rsidP="0074639E">
            <w:pPr>
              <w:pStyle w:val="naiskr"/>
              <w:ind w:left="57"/>
              <w:jc w:val="both"/>
            </w:pPr>
            <w:r>
              <w:t>Tiesību akta projekts izstrādāts, pamatojoties uz Valsts civildienesta likuma 9.panta pirmās daļas 1.punktu</w:t>
            </w:r>
            <w:r w:rsidR="0074639E">
              <w:t>, kā arī ievērojot Ministru kabineta 2001.gada 13.februāra instrukcijā Nr.2 „</w:t>
            </w:r>
            <w:r w:rsidR="0074639E" w:rsidRPr="0074639E">
              <w:rPr>
                <w:bCs/>
              </w:rPr>
              <w:t>Ierēdņa darbības un tās rezultātu novērtēšanas kārtība</w:t>
            </w:r>
            <w:r w:rsidR="0074639E">
              <w:rPr>
                <w:bCs/>
              </w:rPr>
              <w:t>” noteikto.</w:t>
            </w:r>
          </w:p>
        </w:tc>
      </w:tr>
      <w:tr w:rsidR="009B5680" w:rsidTr="007731AF">
        <w:trPr>
          <w:trHeight w:val="4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Pašreizējā situācija un problēmas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Pr="0048110F" w:rsidRDefault="009B5680" w:rsidP="001C5AA5">
            <w:pPr>
              <w:pStyle w:val="Galvene"/>
              <w:tabs>
                <w:tab w:val="clear" w:pos="4320"/>
              </w:tabs>
              <w:ind w:left="57"/>
              <w:jc w:val="both"/>
            </w:pPr>
            <w:r w:rsidRPr="0048110F">
              <w:t>Spēkā esošajā Ministru kabineta 2004.gada 12.jūlija rīkojumā Nr.473 „Par pretendentu un ierēdņu vērtēšanas komisiju” ir iekļaut</w:t>
            </w:r>
            <w:r w:rsidR="006605B5">
              <w:t>i</w:t>
            </w:r>
            <w:r w:rsidRPr="0048110F">
              <w:t xml:space="preserve"> </w:t>
            </w:r>
            <w:r w:rsidR="006605B5">
              <w:t>pārstāvji</w:t>
            </w:r>
            <w:r w:rsidRPr="0048110F">
              <w:t>, kur</w:t>
            </w:r>
            <w:r w:rsidR="006605B5">
              <w:t>i</w:t>
            </w:r>
            <w:r w:rsidRPr="0048110F">
              <w:t xml:space="preserve"> amata pienākumus vairs nepilda</w:t>
            </w:r>
            <w:r>
              <w:t xml:space="preserve"> un </w:t>
            </w:r>
            <w:r w:rsidRPr="0048110F">
              <w:t>konstatēta</w:t>
            </w:r>
            <w:r>
              <w:t>s</w:t>
            </w:r>
            <w:r w:rsidRPr="0048110F">
              <w:t xml:space="preserve"> </w:t>
            </w:r>
            <w:r>
              <w:t xml:space="preserve">izmaiņas atsevišķu </w:t>
            </w:r>
            <w:r w:rsidR="006605B5">
              <w:t>pārstāvju</w:t>
            </w:r>
            <w:r>
              <w:t xml:space="preserve"> amatos</w:t>
            </w:r>
            <w:r w:rsidRPr="0048110F">
              <w:t xml:space="preserve">, </w:t>
            </w:r>
            <w:r>
              <w:t xml:space="preserve">tādējādi, Kultūras ministrijai ir ierobežota iespēja izveidot </w:t>
            </w:r>
            <w:r w:rsidRPr="0048110F">
              <w:t>iestāžu vadītāju darbības izvērtēšanas</w:t>
            </w:r>
            <w:r>
              <w:t xml:space="preserve"> un amatu konkursu pretendentu</w:t>
            </w:r>
            <w:r w:rsidRPr="0048110F">
              <w:t xml:space="preserve"> </w:t>
            </w:r>
            <w:r>
              <w:t xml:space="preserve">vērtēšanas </w:t>
            </w:r>
            <w:r w:rsidRPr="0048110F">
              <w:t>ko</w:t>
            </w:r>
            <w:r>
              <w:t>misijas</w:t>
            </w:r>
            <w:r w:rsidRPr="0048110F">
              <w:t xml:space="preserve">. </w:t>
            </w:r>
          </w:p>
        </w:tc>
      </w:tr>
      <w:tr w:rsidR="009B5680" w:rsidTr="007731AF">
        <w:trPr>
          <w:trHeight w:val="69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Saistītie politikas ietekmes novērtējumi un pētījumi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Pr="0048110F" w:rsidRDefault="009B5680" w:rsidP="00E85F09">
            <w:pPr>
              <w:jc w:val="both"/>
            </w:pPr>
            <w:r>
              <w:t>Nav attiecināms.</w:t>
            </w:r>
          </w:p>
        </w:tc>
      </w:tr>
      <w:tr w:rsidR="009B5680" w:rsidTr="007731AF">
        <w:trPr>
          <w:trHeight w:val="38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Tiesiskā regulējuma mērķis un būtība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Pr="0048110F" w:rsidRDefault="009B5680" w:rsidP="001C5AA5">
            <w:pPr>
              <w:jc w:val="both"/>
            </w:pPr>
            <w:r w:rsidRPr="0048110F">
              <w:t>Iz</w:t>
            </w:r>
            <w:r>
              <w:t xml:space="preserve">strādājot Ministru kabineta rīkojuma projektu, paredzēts to papildināt ar amatpersonām, kuras uzsākušas amata pienākumu izpildi un precizēt amatpersonu amatu nosaukumus. </w:t>
            </w:r>
          </w:p>
        </w:tc>
      </w:tr>
      <w:tr w:rsidR="009B5680" w:rsidTr="007731AF">
        <w:trPr>
          <w:trHeight w:val="4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Projekta izstrādē iesaistītās institūcijas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Pr="0048110F" w:rsidRDefault="009B5680" w:rsidP="00E85F09">
            <w:pPr>
              <w:jc w:val="both"/>
            </w:pPr>
            <w:r>
              <w:t>Nav attiecināms.</w:t>
            </w:r>
          </w:p>
        </w:tc>
      </w:tr>
      <w:tr w:rsidR="009B5680" w:rsidTr="007731AF">
        <w:trPr>
          <w:trHeight w:val="7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Iemesli, kādēļ netika nodrošināta sabiedrības līdzdalība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Pr="0048110F" w:rsidRDefault="009B5680" w:rsidP="00E85F09">
            <w:pPr>
              <w:jc w:val="both"/>
            </w:pPr>
            <w:r>
              <w:t>Nav attiecināms.</w:t>
            </w:r>
          </w:p>
        </w:tc>
      </w:tr>
      <w:tr w:rsidR="009B5680" w:rsidTr="007731A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9B5680">
            <w:pPr>
              <w:pStyle w:val="naiskr"/>
            </w:pPr>
            <w:r>
              <w:t> Cita informācija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5680" w:rsidRDefault="00EB699D" w:rsidP="007731AF">
            <w:pPr>
              <w:pStyle w:val="naiskr"/>
              <w:jc w:val="both"/>
            </w:pPr>
            <w:r>
              <w:t>Tiesību akta projektam pievienotas Latvijas Mākslas ak</w:t>
            </w:r>
            <w:r w:rsidR="007731AF">
              <w:t xml:space="preserve">adēmijas rektora </w:t>
            </w:r>
            <w:proofErr w:type="spellStart"/>
            <w:r w:rsidR="007731AF">
              <w:t>A.Naumova</w:t>
            </w:r>
            <w:proofErr w:type="spellEnd"/>
            <w:r w:rsidR="007731AF">
              <w:t xml:space="preserve"> un Jāzepa </w:t>
            </w:r>
            <w:r>
              <w:t>Vītola Latvijas Mūzikas akadēmijas rektora A.</w:t>
            </w:r>
            <w:r w:rsidR="00A16E9B">
              <w:t>Sīmaņa</w:t>
            </w:r>
            <w:r>
              <w:t xml:space="preserve"> piekrišanas</w:t>
            </w:r>
            <w:r w:rsidR="00A16E9B">
              <w:t xml:space="preserve"> iekļaušanai pretendentu un ierēdņu vērtēšanas komisijas sastāvā. Pārējo amatpersonu piekrišanas netika pieprasītas ievērojot to, ka, izņemot atsevišķas Kultūras ministrijas amatpersonas, pārējās personas jau </w:t>
            </w:r>
            <w:r w:rsidR="003D5006">
              <w:t xml:space="preserve">šobrīd </w:t>
            </w:r>
            <w:r w:rsidR="007731AF">
              <w:t xml:space="preserve">ir </w:t>
            </w:r>
            <w:r w:rsidR="003D5006" w:rsidRPr="003D5006">
              <w:t xml:space="preserve">iekļautas </w:t>
            </w:r>
            <w:r w:rsidR="003D5006" w:rsidRPr="0048110F">
              <w:t>Ministru kabineta 2004.gada 12.jūlija rīkojum</w:t>
            </w:r>
            <w:r w:rsidR="007731AF">
              <w:t>a</w:t>
            </w:r>
            <w:r w:rsidR="003D5006" w:rsidRPr="0048110F">
              <w:t xml:space="preserve"> Nr.473 „Par pretendentu un ierēdņu vērtēšanas komisiju”</w:t>
            </w:r>
            <w:r w:rsidR="007731AF">
              <w:t xml:space="preserve"> sarakstā</w:t>
            </w:r>
            <w:r w:rsidR="003D5006">
              <w:t>.</w:t>
            </w:r>
          </w:p>
        </w:tc>
      </w:tr>
      <w:tr w:rsidR="009B5680" w:rsidTr="007731AF">
        <w:trPr>
          <w:tblCellSpacing w:w="0" w:type="dxa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680" w:rsidRPr="006605B5" w:rsidRDefault="006605B5" w:rsidP="006605B5">
            <w:pPr>
              <w:pStyle w:val="naisnod"/>
              <w:jc w:val="both"/>
              <w:rPr>
                <w:b w:val="0"/>
              </w:rPr>
            </w:pPr>
            <w:r w:rsidRPr="006605B5">
              <w:rPr>
                <w:rFonts w:eastAsia="Times New Roman"/>
                <w:b w:val="0"/>
              </w:rPr>
              <w:t>  </w:t>
            </w:r>
            <w:r w:rsidRPr="006605B5">
              <w:rPr>
                <w:rFonts w:eastAsia="Calibri"/>
                <w:b w:val="0"/>
              </w:rPr>
              <w:t>Anotācijas II, III, IV, V, VI un VII sadaļa – nav attiecināms</w:t>
            </w:r>
            <w:r w:rsidRPr="006605B5">
              <w:rPr>
                <w:rFonts w:eastAsia="Times New Roman"/>
                <w:b w:val="0"/>
              </w:rPr>
              <w:t>.</w:t>
            </w:r>
          </w:p>
        </w:tc>
      </w:tr>
    </w:tbl>
    <w:p w:rsidR="007731AF" w:rsidRDefault="007731AF" w:rsidP="007731AF">
      <w:pPr>
        <w:pStyle w:val="naisf"/>
      </w:pPr>
    </w:p>
    <w:p w:rsidR="009B6FE7" w:rsidRPr="0048110F" w:rsidRDefault="009B5680" w:rsidP="007731AF">
      <w:pPr>
        <w:pStyle w:val="naisf"/>
      </w:pPr>
      <w:r>
        <w:t> </w:t>
      </w:r>
      <w:r w:rsidR="009B6FE7" w:rsidRPr="0048110F">
        <w:t>Kultūras ministr</w:t>
      </w:r>
      <w:r w:rsidR="009B6FE7">
        <w:t>e</w:t>
      </w:r>
      <w:r w:rsidR="009B6FE7" w:rsidRPr="0048110F">
        <w:tab/>
      </w:r>
      <w:r w:rsidR="009B6FE7" w:rsidRPr="0048110F">
        <w:tab/>
      </w:r>
      <w:r w:rsidR="009B6FE7" w:rsidRPr="0048110F">
        <w:tab/>
      </w:r>
      <w:r w:rsidR="009B6FE7" w:rsidRPr="0048110F">
        <w:tab/>
      </w:r>
      <w:r w:rsidR="009B6FE7" w:rsidRPr="0048110F">
        <w:tab/>
      </w:r>
      <w:r w:rsidR="009B6FE7" w:rsidRPr="0048110F">
        <w:tab/>
      </w:r>
      <w:proofErr w:type="gramStart"/>
      <w:r w:rsidR="009B6FE7">
        <w:t xml:space="preserve">                              </w:t>
      </w:r>
      <w:proofErr w:type="gramEnd"/>
      <w:r w:rsidR="009B6FE7">
        <w:t>S.Ēlerte</w:t>
      </w:r>
    </w:p>
    <w:p w:rsidR="009B6FE7" w:rsidRPr="0048110F" w:rsidRDefault="009B6FE7" w:rsidP="009B6FE7"/>
    <w:p w:rsidR="009B6FE7" w:rsidRPr="0048110F" w:rsidRDefault="009B6FE7" w:rsidP="009B6FE7">
      <w:r w:rsidRPr="0048110F">
        <w:t>Vīza: Valsts sekretār</w:t>
      </w:r>
      <w:r>
        <w:t xml:space="preserve">a </w:t>
      </w:r>
      <w:proofErr w:type="spellStart"/>
      <w:r>
        <w:t>p.i</w:t>
      </w:r>
      <w:proofErr w:type="spellEnd"/>
      <w:r>
        <w:t>.</w:t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 w:rsidRPr="0048110F">
        <w:tab/>
      </w:r>
      <w:r>
        <w:t>U.Lielpēters</w:t>
      </w:r>
    </w:p>
    <w:p w:rsidR="001C5AA5" w:rsidRDefault="001C5AA5" w:rsidP="009B6FE7">
      <w:pPr>
        <w:jc w:val="both"/>
        <w:rPr>
          <w:i/>
          <w:sz w:val="22"/>
          <w:szCs w:val="22"/>
        </w:rPr>
      </w:pPr>
    </w:p>
    <w:p w:rsidR="009B6FE7" w:rsidRPr="009B6FE7" w:rsidRDefault="003648D9" w:rsidP="009B6FE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26.01.2011</w:t>
      </w:r>
      <w:r w:rsidR="009B6FE7" w:rsidRPr="009B6FE7">
        <w:rPr>
          <w:i/>
          <w:sz w:val="22"/>
          <w:szCs w:val="22"/>
        </w:rPr>
        <w:t>.</w:t>
      </w:r>
      <w:r w:rsidR="007731AF">
        <w:rPr>
          <w:i/>
          <w:sz w:val="22"/>
          <w:szCs w:val="22"/>
        </w:rPr>
        <w:t xml:space="preserve"> </w:t>
      </w:r>
      <w:r w:rsidR="002A4D90">
        <w:rPr>
          <w:i/>
          <w:sz w:val="22"/>
          <w:szCs w:val="22"/>
        </w:rPr>
        <w:t>238</w:t>
      </w:r>
    </w:p>
    <w:p w:rsidR="009B6FE7" w:rsidRPr="009B6FE7" w:rsidRDefault="009B6FE7" w:rsidP="009B6FE7">
      <w:pPr>
        <w:jc w:val="both"/>
        <w:rPr>
          <w:i/>
          <w:sz w:val="22"/>
          <w:szCs w:val="22"/>
        </w:rPr>
      </w:pPr>
      <w:r w:rsidRPr="009B6FE7">
        <w:rPr>
          <w:i/>
          <w:sz w:val="22"/>
          <w:szCs w:val="22"/>
        </w:rPr>
        <w:t>Z.Fogelsone-Klodāne</w:t>
      </w:r>
    </w:p>
    <w:p w:rsidR="009B6FE7" w:rsidRPr="009B6FE7" w:rsidRDefault="009B6FE7" w:rsidP="009B6FE7">
      <w:pPr>
        <w:jc w:val="both"/>
        <w:rPr>
          <w:i/>
          <w:sz w:val="22"/>
          <w:szCs w:val="22"/>
        </w:rPr>
      </w:pPr>
      <w:r w:rsidRPr="009B6FE7">
        <w:rPr>
          <w:i/>
          <w:sz w:val="22"/>
          <w:szCs w:val="22"/>
        </w:rPr>
        <w:t>67330217</w:t>
      </w:r>
    </w:p>
    <w:p w:rsidR="009B6FE7" w:rsidRPr="009B6FE7" w:rsidRDefault="006672EF" w:rsidP="009B6FE7">
      <w:pPr>
        <w:jc w:val="both"/>
        <w:rPr>
          <w:i/>
          <w:sz w:val="22"/>
          <w:szCs w:val="22"/>
        </w:rPr>
      </w:pPr>
      <w:hyperlink r:id="rId7" w:history="1">
        <w:r w:rsidR="009B6FE7" w:rsidRPr="00B16E2F">
          <w:rPr>
            <w:rStyle w:val="Hipersaite"/>
            <w:i/>
            <w:sz w:val="22"/>
            <w:szCs w:val="22"/>
          </w:rPr>
          <w:t>zane.fogelsone@km.gov.lv</w:t>
        </w:r>
      </w:hyperlink>
      <w:r w:rsidR="009B6FE7">
        <w:rPr>
          <w:i/>
          <w:sz w:val="22"/>
          <w:szCs w:val="22"/>
        </w:rPr>
        <w:t xml:space="preserve"> </w:t>
      </w:r>
    </w:p>
    <w:sectPr w:rsidR="009B6FE7" w:rsidRPr="009B6FE7" w:rsidSect="0074639E">
      <w:footerReference w:type="default" r:id="rId8"/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06" w:rsidRDefault="003D5006" w:rsidP="009B6FE7">
      <w:r>
        <w:separator/>
      </w:r>
    </w:p>
  </w:endnote>
  <w:endnote w:type="continuationSeparator" w:id="0">
    <w:p w:rsidR="003D5006" w:rsidRDefault="003D5006" w:rsidP="009B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06" w:rsidRPr="009A378E" w:rsidRDefault="003D5006" w:rsidP="009B6FE7">
    <w:pPr>
      <w:pStyle w:val="Pamatteksts"/>
      <w:jc w:val="both"/>
      <w:rPr>
        <w:szCs w:val="28"/>
      </w:rPr>
    </w:pPr>
    <w:r w:rsidRPr="00275CD2">
      <w:rPr>
        <w:sz w:val="24"/>
        <w:szCs w:val="24"/>
      </w:rPr>
      <w:t>KM</w:t>
    </w:r>
    <w:r>
      <w:rPr>
        <w:sz w:val="24"/>
        <w:szCs w:val="24"/>
      </w:rPr>
      <w:t>Anot</w:t>
    </w:r>
    <w:r w:rsidRPr="00275CD2">
      <w:rPr>
        <w:sz w:val="24"/>
        <w:szCs w:val="24"/>
      </w:rPr>
      <w:t>_</w:t>
    </w:r>
    <w:r>
      <w:rPr>
        <w:sz w:val="24"/>
        <w:szCs w:val="24"/>
      </w:rPr>
      <w:t>26012011_vertkom</w:t>
    </w:r>
  </w:p>
  <w:p w:rsidR="003D5006" w:rsidRDefault="003D5006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06" w:rsidRDefault="003D5006" w:rsidP="009B6FE7">
      <w:r>
        <w:separator/>
      </w:r>
    </w:p>
  </w:footnote>
  <w:footnote w:type="continuationSeparator" w:id="0">
    <w:p w:rsidR="003D5006" w:rsidRDefault="003D5006" w:rsidP="009B6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80"/>
    <w:rsid w:val="001C5AA5"/>
    <w:rsid w:val="00242582"/>
    <w:rsid w:val="002A4D90"/>
    <w:rsid w:val="003648D9"/>
    <w:rsid w:val="003D5006"/>
    <w:rsid w:val="00475F49"/>
    <w:rsid w:val="006605B5"/>
    <w:rsid w:val="006672EF"/>
    <w:rsid w:val="0074639E"/>
    <w:rsid w:val="007731AF"/>
    <w:rsid w:val="0084715D"/>
    <w:rsid w:val="008B3B40"/>
    <w:rsid w:val="009B5680"/>
    <w:rsid w:val="009B6FE7"/>
    <w:rsid w:val="00A07106"/>
    <w:rsid w:val="00A16E9B"/>
    <w:rsid w:val="00A36E30"/>
    <w:rsid w:val="00B03650"/>
    <w:rsid w:val="00B94CC8"/>
    <w:rsid w:val="00C86CC9"/>
    <w:rsid w:val="00D92444"/>
    <w:rsid w:val="00E85F09"/>
    <w:rsid w:val="00E9400A"/>
    <w:rsid w:val="00EB699D"/>
    <w:rsid w:val="00F6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B5680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9B5680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uiPriority w:val="99"/>
    <w:rsid w:val="009B568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uiPriority w:val="99"/>
    <w:rsid w:val="009B5680"/>
    <w:pPr>
      <w:spacing w:before="75" w:after="75"/>
      <w:jc w:val="right"/>
    </w:pPr>
  </w:style>
  <w:style w:type="paragraph" w:customStyle="1" w:styleId="naiskr">
    <w:name w:val="naiskr"/>
    <w:basedOn w:val="Parastais"/>
    <w:uiPriority w:val="99"/>
    <w:rsid w:val="009B5680"/>
    <w:pPr>
      <w:spacing w:before="75" w:after="75"/>
    </w:pPr>
  </w:style>
  <w:style w:type="paragraph" w:customStyle="1" w:styleId="naisc">
    <w:name w:val="naisc"/>
    <w:basedOn w:val="Parastais"/>
    <w:uiPriority w:val="99"/>
    <w:rsid w:val="009B5680"/>
    <w:pPr>
      <w:spacing w:before="75" w:after="75"/>
      <w:jc w:val="center"/>
    </w:pPr>
  </w:style>
  <w:style w:type="paragraph" w:styleId="Pamatteksts">
    <w:name w:val="Body Text"/>
    <w:basedOn w:val="Parastais"/>
    <w:link w:val="PamattekstsRakstz"/>
    <w:rsid w:val="009B5680"/>
    <w:pPr>
      <w:jc w:val="center"/>
    </w:pPr>
    <w:rPr>
      <w:rFonts w:eastAsia="Times New Roman"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5680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ais"/>
    <w:link w:val="GalveneRakstz"/>
    <w:rsid w:val="009B56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GalveneRakstz">
    <w:name w:val="Galvene Rakstz."/>
    <w:basedOn w:val="Noklusjumarindkopasfonts"/>
    <w:link w:val="Galvene"/>
    <w:rsid w:val="009B56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9B6FE7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semiHidden/>
    <w:unhideWhenUsed/>
    <w:rsid w:val="009B6F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B6FE7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87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3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18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5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ne.fogelsone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905D-4017-4D61-B065-2E1F02C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KMAnot_26012011_vertkom</dc:title>
  <dc:subject>Anotācija</dc:subject>
  <dc:creator>Zane Fogelsone-Klodāne</dc:creator>
  <dc:description>67330217, fakss 67078106
zane.fogelsone@km.gov.lv</dc:description>
  <cp:lastModifiedBy>Dzintra Rozīte</cp:lastModifiedBy>
  <cp:revision>10</cp:revision>
  <cp:lastPrinted>2011-01-26T10:29:00Z</cp:lastPrinted>
  <dcterms:created xsi:type="dcterms:W3CDTF">2010-11-13T08:33:00Z</dcterms:created>
  <dcterms:modified xsi:type="dcterms:W3CDTF">2011-01-28T11:09:00Z</dcterms:modified>
</cp:coreProperties>
</file>