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FE" w:rsidRPr="00DC04D5" w:rsidRDefault="00A616FE" w:rsidP="002A4EB9">
      <w:pPr>
        <w:jc w:val="center"/>
        <w:rPr>
          <w:b/>
        </w:rPr>
      </w:pPr>
      <w:r w:rsidRPr="00DC04D5">
        <w:rPr>
          <w:b/>
        </w:rPr>
        <w:t>Ministru kabineta noteikumu projekta</w:t>
      </w:r>
    </w:p>
    <w:p w:rsidR="00A616FE" w:rsidRPr="00DC04D5" w:rsidRDefault="00A616FE" w:rsidP="00DC04D5">
      <w:pPr>
        <w:spacing w:before="120" w:after="120"/>
        <w:jc w:val="center"/>
        <w:rPr>
          <w:b/>
        </w:rPr>
      </w:pPr>
      <w:r w:rsidRPr="00DC04D5">
        <w:rPr>
          <w:b/>
        </w:rPr>
        <w:t>„</w:t>
      </w:r>
      <w:r w:rsidR="00DC04D5" w:rsidRPr="00DC04D5">
        <w:rPr>
          <w:b/>
        </w:rPr>
        <w:t>Noteikumi par Latvijas sabiedrībai īpaši svarīgiem notikumiem audiovizuālajos elektroniskajos plašsaziņas līdzekļos</w:t>
      </w:r>
      <w:r w:rsidRPr="00DC04D5">
        <w:rPr>
          <w:b/>
        </w:rPr>
        <w:t xml:space="preserve">” </w:t>
      </w:r>
    </w:p>
    <w:p w:rsidR="00A616FE" w:rsidRPr="00DC04D5" w:rsidRDefault="00A616FE" w:rsidP="002A4EB9">
      <w:pPr>
        <w:jc w:val="center"/>
        <w:rPr>
          <w:b/>
        </w:rPr>
      </w:pPr>
      <w:r w:rsidRPr="00DC04D5">
        <w:rPr>
          <w:b/>
        </w:rPr>
        <w:t>sākotnējās ietekmes novērtējuma ziņojums</w:t>
      </w:r>
    </w:p>
    <w:p w:rsidR="00A616FE" w:rsidRPr="00DC04D5" w:rsidRDefault="00A616FE" w:rsidP="002A4EB9">
      <w:pPr>
        <w:jc w:val="center"/>
        <w:rPr>
          <w:b/>
        </w:rPr>
      </w:pPr>
      <w:r w:rsidRPr="00DC04D5">
        <w:rPr>
          <w:b/>
        </w:rPr>
        <w:t>(anotācija)</w:t>
      </w:r>
    </w:p>
    <w:p w:rsidR="00A616FE" w:rsidRPr="00900796" w:rsidRDefault="00A616FE" w:rsidP="002A4EB9">
      <w:pPr>
        <w:pStyle w:val="naisc"/>
        <w:spacing w:before="0" w:after="0"/>
      </w:pPr>
      <w:r w:rsidRPr="00900796">
        <w:rPr>
          <w:b/>
          <w:bCs/>
        </w:rPr>
        <w:t> </w:t>
      </w:r>
    </w:p>
    <w:tbl>
      <w:tblPr>
        <w:tblW w:w="85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7"/>
        <w:gridCol w:w="2398"/>
        <w:gridCol w:w="5625"/>
      </w:tblGrid>
      <w:tr w:rsidR="00A616FE" w:rsidRPr="00900796" w:rsidTr="002A4EB9">
        <w:trPr>
          <w:tblCellSpacing w:w="0" w:type="dxa"/>
        </w:trPr>
        <w:tc>
          <w:tcPr>
            <w:tcW w:w="8520" w:type="dxa"/>
            <w:gridSpan w:val="3"/>
            <w:tcBorders>
              <w:top w:val="outset" w:sz="6" w:space="0" w:color="auto"/>
              <w:left w:val="outset" w:sz="6" w:space="0" w:color="auto"/>
              <w:bottom w:val="outset" w:sz="6" w:space="0" w:color="auto"/>
              <w:right w:val="outset" w:sz="6" w:space="0" w:color="auto"/>
            </w:tcBorders>
            <w:vAlign w:val="center"/>
          </w:tcPr>
          <w:p w:rsidR="00A616FE" w:rsidRPr="00900796" w:rsidRDefault="00A616FE" w:rsidP="002A4EB9">
            <w:pPr>
              <w:pStyle w:val="naisc"/>
              <w:spacing w:before="0" w:after="0"/>
            </w:pPr>
            <w:r w:rsidRPr="00900796">
              <w:rPr>
                <w:b/>
                <w:bCs/>
              </w:rPr>
              <w:t> I. Tiesību akta projekta izstrādes nepieciešamība</w:t>
            </w:r>
          </w:p>
        </w:tc>
      </w:tr>
      <w:tr w:rsidR="00A616FE" w:rsidRPr="00900796" w:rsidTr="002A4EB9">
        <w:trPr>
          <w:trHeight w:val="630"/>
          <w:tblCellSpacing w:w="0" w:type="dxa"/>
        </w:trPr>
        <w:tc>
          <w:tcPr>
            <w:tcW w:w="497"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1.</w:t>
            </w:r>
          </w:p>
        </w:tc>
        <w:tc>
          <w:tcPr>
            <w:tcW w:w="2398"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lab"/>
              <w:spacing w:before="0" w:after="0"/>
              <w:jc w:val="left"/>
            </w:pPr>
            <w:r w:rsidRPr="00900796">
              <w:t>Pamatojums</w:t>
            </w:r>
          </w:p>
        </w:tc>
        <w:tc>
          <w:tcPr>
            <w:tcW w:w="5625" w:type="dxa"/>
            <w:tcBorders>
              <w:top w:val="outset" w:sz="6" w:space="0" w:color="auto"/>
              <w:left w:val="outset" w:sz="6" w:space="0" w:color="auto"/>
              <w:bottom w:val="outset" w:sz="6" w:space="0" w:color="auto"/>
              <w:right w:val="outset" w:sz="6" w:space="0" w:color="auto"/>
            </w:tcBorders>
          </w:tcPr>
          <w:p w:rsidR="00A616FE" w:rsidRPr="00900796" w:rsidRDefault="00A616FE" w:rsidP="003E5048">
            <w:pPr>
              <w:pStyle w:val="naiskr"/>
              <w:spacing w:before="0" w:after="0"/>
              <w:ind w:right="165"/>
              <w:jc w:val="both"/>
            </w:pPr>
            <w:r w:rsidRPr="008C6D2B">
              <w:t>Ministru kabineta noteikumu projekts „</w:t>
            </w:r>
            <w:r w:rsidR="008C6D2B" w:rsidRPr="008C6D2B">
              <w:t>Noteikumi par Latvijas sabiedrībai īpaši svarīgiem notikumiem audiovizuālajos elektroniskajos plašsaziņas līdzekļos</w:t>
            </w:r>
            <w:r w:rsidRPr="008C6D2B">
              <w:t>”</w:t>
            </w:r>
            <w:r w:rsidR="00547AAA">
              <w:t xml:space="preserve"> (turpmāk – noteikumu p</w:t>
            </w:r>
            <w:r w:rsidRPr="00900796">
              <w:t>rojekts) izstrādāts, pamatojoties uz Saeim</w:t>
            </w:r>
            <w:r w:rsidR="008C6D2B">
              <w:t>ā 2010.gada 12</w:t>
            </w:r>
            <w:r w:rsidR="001A6448">
              <w:t>.</w:t>
            </w:r>
            <w:r w:rsidR="008C6D2B">
              <w:t>jūlijā</w:t>
            </w:r>
            <w:r w:rsidR="001A6448">
              <w:t xml:space="preserve"> pieņemtā</w:t>
            </w:r>
            <w:r w:rsidRPr="00900796">
              <w:t xml:space="preserve"> </w:t>
            </w:r>
            <w:r w:rsidR="008C6D2B">
              <w:t>Elektronisko plašsaziņas līdzekļu</w:t>
            </w:r>
            <w:r w:rsidRPr="00900796">
              <w:t xml:space="preserve"> likuma</w:t>
            </w:r>
            <w:r w:rsidR="008C6D2B">
              <w:t>, kas stājies spēkā 2010</w:t>
            </w:r>
            <w:r w:rsidRPr="00900796">
              <w:t>.gada 1</w:t>
            </w:r>
            <w:r w:rsidR="008C6D2B">
              <w:t>1</w:t>
            </w:r>
            <w:r w:rsidRPr="00900796">
              <w:t>.</w:t>
            </w:r>
            <w:r w:rsidR="008C6D2B">
              <w:t>augustā, 27</w:t>
            </w:r>
            <w:r w:rsidRPr="00900796">
              <w:t xml:space="preserve">.panta </w:t>
            </w:r>
            <w:r w:rsidR="008C6D2B">
              <w:t>pirmo</w:t>
            </w:r>
            <w:r w:rsidRPr="00900796">
              <w:t xml:space="preserve"> daļu</w:t>
            </w:r>
            <w:r w:rsidR="001A6448">
              <w:t xml:space="preserve">. </w:t>
            </w:r>
          </w:p>
        </w:tc>
      </w:tr>
      <w:tr w:rsidR="00A616FE" w:rsidRPr="00900796" w:rsidTr="002A4EB9">
        <w:trPr>
          <w:trHeight w:val="472"/>
          <w:tblCellSpacing w:w="0" w:type="dxa"/>
        </w:trPr>
        <w:tc>
          <w:tcPr>
            <w:tcW w:w="497"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2.</w:t>
            </w:r>
          </w:p>
        </w:tc>
        <w:tc>
          <w:tcPr>
            <w:tcW w:w="2398"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Pašreizējā situācija un problēmas</w:t>
            </w:r>
          </w:p>
        </w:tc>
        <w:tc>
          <w:tcPr>
            <w:tcW w:w="5625" w:type="dxa"/>
            <w:tcBorders>
              <w:top w:val="outset" w:sz="6" w:space="0" w:color="auto"/>
              <w:left w:val="outset" w:sz="6" w:space="0" w:color="auto"/>
              <w:bottom w:val="outset" w:sz="6" w:space="0" w:color="auto"/>
              <w:right w:val="outset" w:sz="6" w:space="0" w:color="auto"/>
            </w:tcBorders>
          </w:tcPr>
          <w:p w:rsidR="003E5048" w:rsidRDefault="00746036" w:rsidP="00370D25">
            <w:pPr>
              <w:jc w:val="both"/>
            </w:pPr>
            <w:r w:rsidRPr="00C26660">
              <w:t>L</w:t>
            </w:r>
            <w:r w:rsidRPr="001D5F19">
              <w:t>īdz 2010.gada 11.augustam bija spēkā Ministru kabineta 2004.gada 30.marta noteikumi nr.185 „Noteikumi par Latvijas sabiedrībai īpaši svarīgiem notikumiem un to raidīšanas kārtību televīzijas raidorganizācijās”</w:t>
            </w:r>
            <w:r>
              <w:t>.</w:t>
            </w:r>
            <w:r w:rsidR="004279CF">
              <w:t xml:space="preserve"> </w:t>
            </w:r>
            <w:r w:rsidR="003E5048">
              <w:t>Tomēr tie zaudēja spēku līdz ar 2010.gada 12.jūlijā pieņemtā Elektronisko plašsaziņas līdzekļu likuma spēkā stāšanās brīdi</w:t>
            </w:r>
            <w:r w:rsidR="004279CF">
              <w:t xml:space="preserve"> (2010.gada 11.augusts)</w:t>
            </w:r>
            <w:r w:rsidR="003E5048">
              <w:t>.</w:t>
            </w:r>
          </w:p>
          <w:p w:rsidR="00370D25" w:rsidRDefault="00370D25" w:rsidP="00370D25">
            <w:pPr>
              <w:jc w:val="both"/>
            </w:pPr>
          </w:p>
          <w:p w:rsidR="00370D25" w:rsidRPr="00900796" w:rsidRDefault="00370D25" w:rsidP="005879AD">
            <w:pPr>
              <w:pStyle w:val="naiskr"/>
              <w:spacing w:before="0" w:after="0"/>
              <w:ind w:right="165"/>
              <w:jc w:val="both"/>
            </w:pPr>
            <w:r>
              <w:t>Attiecīgi, saskaņā ar Elektronisko plašsaziņas līdzekļu likuma 27.panta pirmo un otro daļu, Ministru kabinet</w:t>
            </w:r>
            <w:r w:rsidR="00257140">
              <w:t>am ir</w:t>
            </w:r>
            <w:r>
              <w:t xml:space="preserve"> </w:t>
            </w:r>
            <w:r w:rsidR="00257140">
              <w:t>jā</w:t>
            </w:r>
            <w:r>
              <w:t>apstiprina Latvijas sabiedrībai īpaši svarīgu notikumu sarakst</w:t>
            </w:r>
            <w:r w:rsidR="00257140">
              <w:t>s</w:t>
            </w:r>
            <w:r>
              <w:t>, turklāt katram notikumam jāatbilst vismaz diviem likumā noteiktiem kritērijiem:</w:t>
            </w:r>
          </w:p>
          <w:p w:rsidR="00370D25" w:rsidRPr="008C7911" w:rsidRDefault="00370D25" w:rsidP="005879AD">
            <w:pPr>
              <w:spacing w:before="100" w:beforeAutospacing="1" w:after="100" w:afterAutospacing="1"/>
              <w:jc w:val="both"/>
            </w:pPr>
            <w:r w:rsidRPr="00A5775A">
              <w:rPr>
                <w:sz w:val="21"/>
                <w:szCs w:val="21"/>
              </w:rPr>
              <w:t>1</w:t>
            </w:r>
            <w:r w:rsidRPr="008C7911">
              <w:t>) tas ir Latvijas iedzīvotājiem īpaši nozīmīgs valstisks vai kultūras pasākums;</w:t>
            </w:r>
          </w:p>
          <w:p w:rsidR="00370D25" w:rsidRPr="008C7911" w:rsidRDefault="00370D25" w:rsidP="005879AD">
            <w:pPr>
              <w:spacing w:before="100" w:beforeAutospacing="1" w:after="100" w:afterAutospacing="1"/>
              <w:jc w:val="both"/>
            </w:pPr>
            <w:r w:rsidRPr="008C7911">
              <w:t>2) tas ir starptautiska mēroga sporta pasākums vai sacensības, kurās piedalās Latvijas nacionālā komanda;</w:t>
            </w:r>
          </w:p>
          <w:p w:rsidR="00370D25" w:rsidRPr="008C7911" w:rsidRDefault="00370D25" w:rsidP="005879AD">
            <w:pPr>
              <w:spacing w:before="100" w:beforeAutospacing="1" w:after="100" w:afterAutospacing="1"/>
              <w:jc w:val="both"/>
            </w:pPr>
            <w:r w:rsidRPr="008C7911">
              <w:t>3) pasākums tradicionāli ir atspoguļots ar bezmaksas televīzijas starpniecību un piesaistījis ievērojamas Latvijas iedzīvotāju daļas uzmanību.</w:t>
            </w:r>
          </w:p>
          <w:p w:rsidR="00370D25" w:rsidRPr="00900796" w:rsidRDefault="00370D25" w:rsidP="00370D25">
            <w:pPr>
              <w:jc w:val="both"/>
            </w:pPr>
            <w:r w:rsidRPr="008C7911">
              <w:t>Likums nosaka, ka elektroniskie plašsaziņas līdzekļi, izmantojot savas ekskluzīvās tiesības raidīt Ministru kabinetā apstiprinātos Latvijas sabiedrībai īpaši svarīgos notikumus, nodrošina, lai vismaz 95 procenti Latvijas teritorijas iedzīvotāji varētu tiem sekot ar bezmaksas televīzijas starpniecību tiešraidē vai ierakstā.</w:t>
            </w:r>
          </w:p>
        </w:tc>
      </w:tr>
      <w:tr w:rsidR="00A616FE" w:rsidRPr="00900796" w:rsidTr="002A4EB9">
        <w:trPr>
          <w:trHeight w:val="1071"/>
          <w:tblCellSpacing w:w="0" w:type="dxa"/>
        </w:trPr>
        <w:tc>
          <w:tcPr>
            <w:tcW w:w="497"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3.</w:t>
            </w:r>
          </w:p>
        </w:tc>
        <w:tc>
          <w:tcPr>
            <w:tcW w:w="2398"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Saistītie politikas ietekmes novērtējumi un pētījumi</w:t>
            </w:r>
          </w:p>
        </w:tc>
        <w:tc>
          <w:tcPr>
            <w:tcW w:w="5625"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ind w:right="165"/>
              <w:jc w:val="both"/>
            </w:pPr>
            <w:r w:rsidRPr="00900796">
              <w:t>Nav attiecināms</w:t>
            </w:r>
          </w:p>
        </w:tc>
      </w:tr>
      <w:tr w:rsidR="00A616FE" w:rsidRPr="00900796" w:rsidTr="002A4EB9">
        <w:trPr>
          <w:trHeight w:val="384"/>
          <w:tblCellSpacing w:w="0" w:type="dxa"/>
        </w:trPr>
        <w:tc>
          <w:tcPr>
            <w:tcW w:w="497"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4.</w:t>
            </w:r>
          </w:p>
        </w:tc>
        <w:tc>
          <w:tcPr>
            <w:tcW w:w="2398" w:type="dxa"/>
            <w:tcBorders>
              <w:top w:val="outset" w:sz="6" w:space="0" w:color="auto"/>
              <w:left w:val="outset" w:sz="6" w:space="0" w:color="auto"/>
              <w:bottom w:val="outset" w:sz="6" w:space="0" w:color="auto"/>
              <w:right w:val="outset" w:sz="6" w:space="0" w:color="auto"/>
            </w:tcBorders>
          </w:tcPr>
          <w:p w:rsidR="00A616FE" w:rsidRPr="00900796" w:rsidRDefault="00A616FE" w:rsidP="00046834">
            <w:pPr>
              <w:pStyle w:val="naiskr"/>
              <w:spacing w:before="0" w:after="0"/>
            </w:pPr>
            <w:r w:rsidRPr="00900796">
              <w:t xml:space="preserve"> Tiesiskā regulējuma </w:t>
            </w:r>
            <w:r w:rsidRPr="00900796">
              <w:lastRenderedPageBreak/>
              <w:t>mērķis un būtība</w:t>
            </w:r>
          </w:p>
        </w:tc>
        <w:tc>
          <w:tcPr>
            <w:tcW w:w="5625" w:type="dxa"/>
            <w:tcBorders>
              <w:top w:val="outset" w:sz="6" w:space="0" w:color="auto"/>
              <w:left w:val="outset" w:sz="6" w:space="0" w:color="auto"/>
              <w:bottom w:val="outset" w:sz="6" w:space="0" w:color="auto"/>
              <w:right w:val="outset" w:sz="6" w:space="0" w:color="auto"/>
            </w:tcBorders>
          </w:tcPr>
          <w:p w:rsidR="008C7911" w:rsidRPr="00370D25" w:rsidRDefault="00547AAA" w:rsidP="00046834">
            <w:pPr>
              <w:pStyle w:val="naiskr"/>
              <w:spacing w:before="0" w:after="0"/>
              <w:ind w:right="165"/>
              <w:jc w:val="both"/>
            </w:pPr>
            <w:r w:rsidRPr="00370D25">
              <w:lastRenderedPageBreak/>
              <w:t>N</w:t>
            </w:r>
            <w:r w:rsidR="00D51EA0" w:rsidRPr="00370D25">
              <w:t>oteikumu projekta mēr</w:t>
            </w:r>
            <w:r w:rsidR="00F338ED" w:rsidRPr="00370D25">
              <w:t>ķis ir</w:t>
            </w:r>
            <w:r w:rsidR="001C3B63" w:rsidRPr="00370D25">
              <w:t xml:space="preserve"> noteikt Latvijas </w:t>
            </w:r>
            <w:r w:rsidR="001C3B63" w:rsidRPr="00370D25">
              <w:lastRenderedPageBreak/>
              <w:t>sabiedrībai īpaši svarīgus notikumus</w:t>
            </w:r>
            <w:r w:rsidR="008C7911" w:rsidRPr="00370D25">
              <w:t xml:space="preserve"> audiovizuālajos elektroniskajos plašsaziņas līdzekļos (televīzijas raidorganizācijās). </w:t>
            </w:r>
          </w:p>
          <w:p w:rsidR="008C7911" w:rsidRPr="00370D25" w:rsidRDefault="008C7911" w:rsidP="00046834">
            <w:pPr>
              <w:pStyle w:val="naiskr"/>
              <w:spacing w:before="0" w:after="0"/>
              <w:ind w:right="165"/>
              <w:jc w:val="both"/>
            </w:pPr>
          </w:p>
          <w:p w:rsidR="00370D25" w:rsidRPr="00370D25" w:rsidRDefault="00370D25" w:rsidP="00046834">
            <w:pPr>
              <w:pStyle w:val="naiskr"/>
              <w:spacing w:before="0" w:after="0"/>
              <w:ind w:right="165"/>
              <w:jc w:val="both"/>
            </w:pPr>
            <w:r w:rsidRPr="00370D25">
              <w:t>Noteikumu projekts paredz šādus Latvijas sabiedrībai īpaši svarīgus notikumus:</w:t>
            </w:r>
          </w:p>
          <w:p w:rsidR="00A86136" w:rsidRPr="00A86136" w:rsidRDefault="00A86136" w:rsidP="00A86136">
            <w:pPr>
              <w:pStyle w:val="Sarakstarindkopa"/>
              <w:numPr>
                <w:ilvl w:val="0"/>
                <w:numId w:val="17"/>
              </w:numPr>
              <w:jc w:val="both"/>
            </w:pPr>
            <w:r w:rsidRPr="00A86136">
              <w:t xml:space="preserve">Vispārējie latviešu dziesmu un deju svētki; </w:t>
            </w:r>
          </w:p>
          <w:p w:rsidR="00A86136" w:rsidRPr="00A86136" w:rsidRDefault="00A86136" w:rsidP="00A86136">
            <w:pPr>
              <w:pStyle w:val="Sarakstarindkopa"/>
              <w:numPr>
                <w:ilvl w:val="0"/>
                <w:numId w:val="17"/>
              </w:numPr>
              <w:jc w:val="both"/>
            </w:pPr>
            <w:r w:rsidRPr="00A86136">
              <w:t xml:space="preserve">Latvijas Skolu jaunatnes dziesmu un deju svētki; </w:t>
            </w:r>
          </w:p>
          <w:p w:rsidR="00A86136" w:rsidRPr="00A86136" w:rsidRDefault="00A86136" w:rsidP="00A86136">
            <w:pPr>
              <w:pStyle w:val="Sarakstarindkopa"/>
              <w:numPr>
                <w:ilvl w:val="0"/>
                <w:numId w:val="17"/>
              </w:numPr>
              <w:jc w:val="both"/>
            </w:pPr>
            <w:r w:rsidRPr="00A86136">
              <w:t xml:space="preserve">starptautiskais folkloras festivāls “Baltica”; </w:t>
            </w:r>
          </w:p>
          <w:p w:rsidR="00A86136" w:rsidRPr="00A86136" w:rsidRDefault="00A86136" w:rsidP="00A86136">
            <w:pPr>
              <w:pStyle w:val="Sarakstarindkopa"/>
              <w:numPr>
                <w:ilvl w:val="0"/>
                <w:numId w:val="17"/>
              </w:numPr>
              <w:jc w:val="both"/>
            </w:pPr>
            <w:r w:rsidRPr="00A86136">
              <w:t>Latvijas Olimpiādes ziemas un vasaras sporta veidos atklāšanas ceremonijas;</w:t>
            </w:r>
          </w:p>
          <w:p w:rsidR="00A86136" w:rsidRPr="00A86136" w:rsidRDefault="00A86136" w:rsidP="00A86136">
            <w:pPr>
              <w:pStyle w:val="Sarakstarindkopa"/>
              <w:numPr>
                <w:ilvl w:val="0"/>
                <w:numId w:val="17"/>
              </w:numPr>
              <w:jc w:val="both"/>
            </w:pPr>
            <w:r w:rsidRPr="00A86136">
              <w:t>Rīgas garnizona militārā parāde;</w:t>
            </w:r>
          </w:p>
          <w:p w:rsidR="00A86136" w:rsidRPr="00A86136" w:rsidRDefault="00A86136" w:rsidP="00A86136">
            <w:pPr>
              <w:pStyle w:val="Sarakstarindkopa"/>
              <w:numPr>
                <w:ilvl w:val="0"/>
                <w:numId w:val="17"/>
              </w:numPr>
              <w:jc w:val="both"/>
            </w:pPr>
            <w:r w:rsidRPr="00A86136">
              <w:t>Nacionālo bruņoto spēku Militārā parāde;</w:t>
            </w:r>
          </w:p>
          <w:p w:rsidR="00A86136" w:rsidRPr="00A86136" w:rsidRDefault="00A86136" w:rsidP="00A86136">
            <w:pPr>
              <w:pStyle w:val="Sarakstarindkopa"/>
              <w:numPr>
                <w:ilvl w:val="0"/>
                <w:numId w:val="17"/>
              </w:numPr>
              <w:jc w:val="both"/>
            </w:pPr>
            <w:r w:rsidRPr="00A86136">
              <w:t xml:space="preserve">ziemas un vasaras olimpiskās spēles; </w:t>
            </w:r>
          </w:p>
          <w:p w:rsidR="00A86136" w:rsidRPr="00A86136" w:rsidRDefault="00A86136" w:rsidP="00A86136">
            <w:pPr>
              <w:pStyle w:val="Sarakstarindkopa"/>
              <w:numPr>
                <w:ilvl w:val="0"/>
                <w:numId w:val="17"/>
              </w:numPr>
              <w:jc w:val="both"/>
            </w:pPr>
            <w:r w:rsidRPr="00A86136">
              <w:t xml:space="preserve">pasaules hokeja čempionāta finālsacensības; </w:t>
            </w:r>
          </w:p>
          <w:p w:rsidR="00A86136" w:rsidRPr="00A86136" w:rsidRDefault="00A86136" w:rsidP="00A86136">
            <w:pPr>
              <w:pStyle w:val="Sarakstarindkopa"/>
              <w:numPr>
                <w:ilvl w:val="0"/>
                <w:numId w:val="17"/>
              </w:numPr>
              <w:jc w:val="both"/>
            </w:pPr>
            <w:r w:rsidRPr="00A86136">
              <w:t xml:space="preserve">pasaules kausa izcīņa futbolā un Eiropas futbola čempionāta finālsacensības; </w:t>
            </w:r>
          </w:p>
          <w:p w:rsidR="00DF0864" w:rsidRDefault="00A86136" w:rsidP="00A86136">
            <w:pPr>
              <w:pStyle w:val="Sarakstarindkopa"/>
              <w:numPr>
                <w:ilvl w:val="0"/>
                <w:numId w:val="17"/>
              </w:numPr>
              <w:jc w:val="both"/>
            </w:pPr>
            <w:r w:rsidRPr="00A86136">
              <w:t>pasaules un Eiropas čempionāti olimpiskajos sporta veidos, kas notiek Latvijā.</w:t>
            </w:r>
          </w:p>
        </w:tc>
      </w:tr>
      <w:tr w:rsidR="00A616FE" w:rsidRPr="00900796" w:rsidTr="002A4EB9">
        <w:trPr>
          <w:trHeight w:val="476"/>
          <w:tblCellSpacing w:w="0" w:type="dxa"/>
        </w:trPr>
        <w:tc>
          <w:tcPr>
            <w:tcW w:w="497"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lastRenderedPageBreak/>
              <w:t> 5.</w:t>
            </w:r>
          </w:p>
        </w:tc>
        <w:tc>
          <w:tcPr>
            <w:tcW w:w="2398"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Projekta izstrādē iesaistītās institūcijas</w:t>
            </w:r>
          </w:p>
        </w:tc>
        <w:tc>
          <w:tcPr>
            <w:tcW w:w="5625" w:type="dxa"/>
            <w:tcBorders>
              <w:top w:val="outset" w:sz="6" w:space="0" w:color="auto"/>
              <w:left w:val="outset" w:sz="6" w:space="0" w:color="auto"/>
              <w:bottom w:val="outset" w:sz="6" w:space="0" w:color="auto"/>
              <w:right w:val="outset" w:sz="6" w:space="0" w:color="auto"/>
            </w:tcBorders>
          </w:tcPr>
          <w:p w:rsidR="00A616FE" w:rsidRPr="00900796" w:rsidRDefault="008C7911" w:rsidP="00F70133">
            <w:pPr>
              <w:pStyle w:val="naiskr"/>
              <w:spacing w:before="0" w:after="0"/>
            </w:pPr>
            <w:r>
              <w:t>Kultūras ministrija</w:t>
            </w:r>
          </w:p>
        </w:tc>
      </w:tr>
      <w:tr w:rsidR="00A616FE" w:rsidRPr="00900796" w:rsidTr="002A4EB9">
        <w:trPr>
          <w:trHeight w:val="968"/>
          <w:tblCellSpacing w:w="0" w:type="dxa"/>
        </w:trPr>
        <w:tc>
          <w:tcPr>
            <w:tcW w:w="497" w:type="dxa"/>
            <w:tcBorders>
              <w:top w:val="outset" w:sz="6" w:space="0" w:color="auto"/>
              <w:left w:val="outset" w:sz="6" w:space="0" w:color="auto"/>
              <w:bottom w:val="outset" w:sz="6" w:space="0" w:color="auto"/>
              <w:right w:val="outset" w:sz="6" w:space="0" w:color="auto"/>
            </w:tcBorders>
          </w:tcPr>
          <w:p w:rsidR="00A616FE" w:rsidRPr="007F08D8" w:rsidRDefault="00A616FE" w:rsidP="002A4EB9">
            <w:pPr>
              <w:pStyle w:val="naiskr"/>
              <w:spacing w:before="0" w:after="0"/>
            </w:pPr>
            <w:r w:rsidRPr="007F08D8">
              <w:t> 6.</w:t>
            </w:r>
          </w:p>
        </w:tc>
        <w:tc>
          <w:tcPr>
            <w:tcW w:w="2398" w:type="dxa"/>
            <w:tcBorders>
              <w:top w:val="outset" w:sz="6" w:space="0" w:color="auto"/>
              <w:left w:val="outset" w:sz="6" w:space="0" w:color="auto"/>
              <w:bottom w:val="outset" w:sz="6" w:space="0" w:color="auto"/>
              <w:right w:val="outset" w:sz="6" w:space="0" w:color="auto"/>
            </w:tcBorders>
          </w:tcPr>
          <w:p w:rsidR="00A616FE" w:rsidRPr="007F08D8" w:rsidRDefault="00A616FE" w:rsidP="002A4EB9">
            <w:pPr>
              <w:pStyle w:val="naiskr"/>
              <w:spacing w:before="0" w:after="0"/>
            </w:pPr>
            <w:r w:rsidRPr="007F08D8">
              <w:t> Iemesli, kādēļ netika nodrošināta sabiedrības līdzdalība</w:t>
            </w:r>
          </w:p>
        </w:tc>
        <w:tc>
          <w:tcPr>
            <w:tcW w:w="5625" w:type="dxa"/>
            <w:tcBorders>
              <w:top w:val="outset" w:sz="6" w:space="0" w:color="auto"/>
              <w:left w:val="outset" w:sz="6" w:space="0" w:color="auto"/>
              <w:bottom w:val="outset" w:sz="6" w:space="0" w:color="auto"/>
              <w:right w:val="outset" w:sz="6" w:space="0" w:color="auto"/>
            </w:tcBorders>
          </w:tcPr>
          <w:p w:rsidR="008D12CD" w:rsidRDefault="008D12CD" w:rsidP="008D12CD">
            <w:pPr>
              <w:jc w:val="both"/>
            </w:pPr>
            <w:r w:rsidRPr="000E0E49">
              <w:t xml:space="preserve">Noteikuma projekta saturs būtiski neatšķiras no iepriekš spēkā esošo </w:t>
            </w:r>
            <w:r>
              <w:t xml:space="preserve">2004. gada 30. marta </w:t>
            </w:r>
            <w:r w:rsidRPr="000E0E49">
              <w:t>Ministru kabi</w:t>
            </w:r>
            <w:r w:rsidRPr="00DD7CB2">
              <w:t>n</w:t>
            </w:r>
            <w:r w:rsidRPr="000E0E49">
              <w:t xml:space="preserve">eta noteikumu Nr.185 </w:t>
            </w:r>
            <w:r>
              <w:t>„</w:t>
            </w:r>
            <w:r w:rsidRPr="000E0E49">
              <w:t>Noteikumi par Latvijas sabiedrībai īpaši svarīgiem notikumiem un to raidīšanas kārtību televīzijas raidorganizācijās.</w:t>
            </w:r>
            <w:r>
              <w:t xml:space="preserve">” </w:t>
            </w:r>
          </w:p>
          <w:p w:rsidR="00A616FE" w:rsidRPr="00900796" w:rsidRDefault="008D12CD" w:rsidP="008D12CD">
            <w:pPr>
              <w:pStyle w:val="naiskr"/>
              <w:spacing w:before="0" w:after="0"/>
              <w:jc w:val="both"/>
            </w:pPr>
            <w:r>
              <w:t>Noteikumu projekts tiek izstrādāts sakarā ar jaunā Elektronisko plašsaziņas līdzekļu likuma spēkā stāšanos, kas paredz jaunu terminoloģiju, uz ko attiecas arī šis noteikumu projekts.</w:t>
            </w:r>
          </w:p>
        </w:tc>
      </w:tr>
      <w:tr w:rsidR="00A616FE" w:rsidRPr="00900796" w:rsidTr="002A4EB9">
        <w:trPr>
          <w:tblCellSpacing w:w="0" w:type="dxa"/>
        </w:trPr>
        <w:tc>
          <w:tcPr>
            <w:tcW w:w="497"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7.</w:t>
            </w:r>
          </w:p>
        </w:tc>
        <w:tc>
          <w:tcPr>
            <w:tcW w:w="2398"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Cita informācija</w:t>
            </w:r>
          </w:p>
        </w:tc>
        <w:tc>
          <w:tcPr>
            <w:tcW w:w="5625"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Nav</w:t>
            </w:r>
          </w:p>
        </w:tc>
      </w:tr>
    </w:tbl>
    <w:p w:rsidR="00A616FE" w:rsidRPr="00900796" w:rsidRDefault="00A616FE" w:rsidP="002A4EB9">
      <w:pPr>
        <w:pStyle w:val="naisf"/>
        <w:spacing w:before="0" w:after="0"/>
        <w:ind w:right="-766" w:firstLine="0"/>
      </w:pPr>
    </w:p>
    <w:tbl>
      <w:tblPr>
        <w:tblW w:w="0" w:type="auto"/>
        <w:tblCellSpacing w:w="0" w:type="dxa"/>
        <w:tblCellMar>
          <w:left w:w="0" w:type="dxa"/>
          <w:right w:w="0" w:type="dxa"/>
        </w:tblCellMar>
        <w:tblLook w:val="04A0"/>
      </w:tblPr>
      <w:tblGrid>
        <w:gridCol w:w="9071"/>
      </w:tblGrid>
      <w:tr w:rsidR="00334A99" w:rsidRPr="008B4511" w:rsidTr="00334A99">
        <w:trPr>
          <w:tblCellSpacing w:w="0" w:type="dxa"/>
        </w:trPr>
        <w:tc>
          <w:tcPr>
            <w:tcW w:w="9101" w:type="dxa"/>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9"/>
              <w:gridCol w:w="2953"/>
              <w:gridCol w:w="5583"/>
            </w:tblGrid>
            <w:tr w:rsidR="00334A99" w:rsidRPr="008B4511" w:rsidTr="00334A99">
              <w:trPr>
                <w:trHeight w:val="284"/>
                <w:tblCellSpacing w:w="0" w:type="dxa"/>
              </w:trPr>
              <w:tc>
                <w:tcPr>
                  <w:tcW w:w="9055" w:type="dxa"/>
                  <w:gridSpan w:val="3"/>
                  <w:tcBorders>
                    <w:top w:val="outset" w:sz="6" w:space="0" w:color="auto"/>
                    <w:left w:val="outset" w:sz="6" w:space="0" w:color="auto"/>
                    <w:bottom w:val="outset" w:sz="6" w:space="0" w:color="auto"/>
                    <w:right w:val="outset" w:sz="6" w:space="0" w:color="auto"/>
                  </w:tcBorders>
                  <w:vAlign w:val="center"/>
                </w:tcPr>
                <w:p w:rsidR="00334A99" w:rsidRPr="00334A99" w:rsidRDefault="00334A99" w:rsidP="00334A99">
                  <w:pPr>
                    <w:pStyle w:val="naisnod"/>
                  </w:pPr>
                  <w:r w:rsidRPr="00334A99">
                    <w:t>II. Tiesību akta projekta ietekme uz sabiedrību</w:t>
                  </w:r>
                </w:p>
              </w:tc>
            </w:tr>
            <w:tr w:rsidR="008C7911" w:rsidRPr="008B4511" w:rsidTr="00334A99">
              <w:trPr>
                <w:trHeight w:val="467"/>
                <w:tblCellSpacing w:w="0" w:type="dxa"/>
              </w:trPr>
              <w:tc>
                <w:tcPr>
                  <w:tcW w:w="519" w:type="dxa"/>
                  <w:tcBorders>
                    <w:top w:val="outset" w:sz="6" w:space="0" w:color="auto"/>
                    <w:left w:val="outset" w:sz="6" w:space="0" w:color="auto"/>
                    <w:bottom w:val="outset" w:sz="6" w:space="0" w:color="auto"/>
                    <w:right w:val="outset" w:sz="6" w:space="0" w:color="auto"/>
                  </w:tcBorders>
                </w:tcPr>
                <w:p w:rsidR="00334A99" w:rsidRPr="008B4511" w:rsidRDefault="00334A99" w:rsidP="00334A99">
                  <w:pPr>
                    <w:pStyle w:val="naiskr"/>
                  </w:pPr>
                  <w:r w:rsidRPr="008B4511">
                    <w:t> 1.</w:t>
                  </w:r>
                </w:p>
              </w:tc>
              <w:tc>
                <w:tcPr>
                  <w:tcW w:w="2953" w:type="dxa"/>
                  <w:tcBorders>
                    <w:top w:val="outset" w:sz="6" w:space="0" w:color="auto"/>
                    <w:left w:val="outset" w:sz="6" w:space="0" w:color="auto"/>
                    <w:bottom w:val="outset" w:sz="6" w:space="0" w:color="auto"/>
                    <w:right w:val="outset" w:sz="6" w:space="0" w:color="auto"/>
                  </w:tcBorders>
                </w:tcPr>
                <w:p w:rsidR="00334A99" w:rsidRPr="00F626F6" w:rsidRDefault="00334A99" w:rsidP="00334A99">
                  <w:pPr>
                    <w:pStyle w:val="naiskr"/>
                  </w:pPr>
                  <w:r w:rsidRPr="00F626F6">
                    <w:t> Sabiedrības mērķgrupa</w:t>
                  </w:r>
                </w:p>
              </w:tc>
              <w:tc>
                <w:tcPr>
                  <w:tcW w:w="5583" w:type="dxa"/>
                  <w:tcBorders>
                    <w:top w:val="outset" w:sz="6" w:space="0" w:color="auto"/>
                    <w:left w:val="outset" w:sz="6" w:space="0" w:color="auto"/>
                    <w:bottom w:val="outset" w:sz="6" w:space="0" w:color="auto"/>
                    <w:right w:val="outset" w:sz="6" w:space="0" w:color="auto"/>
                  </w:tcBorders>
                </w:tcPr>
                <w:p w:rsidR="007A38CB" w:rsidRDefault="007A38CB" w:rsidP="007A38CB">
                  <w:pPr>
                    <w:pStyle w:val="naiskr"/>
                    <w:spacing w:before="0" w:after="0"/>
                    <w:jc w:val="both"/>
                  </w:pPr>
                  <w:r w:rsidRPr="007F08D8">
                    <w:t>Audiovizuālie elektroniskie plašsaziņas līdzekļi un ikviens sabiedrības loceklis</w:t>
                  </w:r>
                </w:p>
                <w:p w:rsidR="008C7911" w:rsidRPr="00F626F6" w:rsidRDefault="008C7911" w:rsidP="007A38CB">
                  <w:pPr>
                    <w:pStyle w:val="naiskr"/>
                    <w:spacing w:before="0" w:after="0"/>
                    <w:ind w:right="57"/>
                    <w:jc w:val="both"/>
                  </w:pPr>
                </w:p>
              </w:tc>
            </w:tr>
            <w:tr w:rsidR="008C7911" w:rsidRPr="008B4511" w:rsidTr="00334A99">
              <w:trPr>
                <w:trHeight w:val="523"/>
                <w:tblCellSpacing w:w="0" w:type="dxa"/>
              </w:trPr>
              <w:tc>
                <w:tcPr>
                  <w:tcW w:w="519" w:type="dxa"/>
                  <w:tcBorders>
                    <w:top w:val="outset" w:sz="6" w:space="0" w:color="auto"/>
                    <w:left w:val="outset" w:sz="6" w:space="0" w:color="auto"/>
                    <w:bottom w:val="outset" w:sz="6" w:space="0" w:color="auto"/>
                    <w:right w:val="outset" w:sz="6" w:space="0" w:color="auto"/>
                  </w:tcBorders>
                </w:tcPr>
                <w:p w:rsidR="00334A99" w:rsidRPr="008B4511" w:rsidRDefault="00334A99" w:rsidP="00334A99">
                  <w:pPr>
                    <w:pStyle w:val="naiskr"/>
                  </w:pPr>
                  <w:r w:rsidRPr="008B4511">
                    <w:t> 2.</w:t>
                  </w:r>
                </w:p>
              </w:tc>
              <w:tc>
                <w:tcPr>
                  <w:tcW w:w="2953" w:type="dxa"/>
                  <w:tcBorders>
                    <w:top w:val="outset" w:sz="6" w:space="0" w:color="auto"/>
                    <w:left w:val="outset" w:sz="6" w:space="0" w:color="auto"/>
                    <w:bottom w:val="outset" w:sz="6" w:space="0" w:color="auto"/>
                    <w:right w:val="outset" w:sz="6" w:space="0" w:color="auto"/>
                  </w:tcBorders>
                </w:tcPr>
                <w:p w:rsidR="00334A99" w:rsidRPr="008B4511" w:rsidRDefault="00334A99" w:rsidP="008C7911">
                  <w:pPr>
                    <w:pStyle w:val="naiskr"/>
                  </w:pPr>
                  <w:r w:rsidRPr="008B4511">
                    <w:t xml:space="preserve"> Citas sabiedrības grupas (bez mērķgrupas), kuras tiesiskais regulējums arī </w:t>
                  </w:r>
                  <w:r w:rsidR="008C7911">
                    <w:t>varētu ietekm</w:t>
                  </w:r>
                  <w:r w:rsidRPr="008B4511">
                    <w:t>ēt</w:t>
                  </w:r>
                </w:p>
              </w:tc>
              <w:tc>
                <w:tcPr>
                  <w:tcW w:w="5583" w:type="dxa"/>
                  <w:tcBorders>
                    <w:top w:val="outset" w:sz="6" w:space="0" w:color="auto"/>
                    <w:left w:val="outset" w:sz="6" w:space="0" w:color="auto"/>
                    <w:bottom w:val="outset" w:sz="6" w:space="0" w:color="auto"/>
                    <w:right w:val="outset" w:sz="6" w:space="0" w:color="auto"/>
                  </w:tcBorders>
                </w:tcPr>
                <w:p w:rsidR="0025374E" w:rsidRDefault="0025374E" w:rsidP="008C7911">
                  <w:pPr>
                    <w:pStyle w:val="naiskr"/>
                    <w:spacing w:before="0" w:after="0"/>
                    <w:ind w:right="57"/>
                    <w:jc w:val="both"/>
                    <w:rPr>
                      <w:highlight w:val="yellow"/>
                    </w:rPr>
                  </w:pPr>
                  <w:r w:rsidRPr="008B4511">
                    <w:t>Nav attiecināms</w:t>
                  </w:r>
                </w:p>
                <w:p w:rsidR="00334A99" w:rsidRPr="008B4511" w:rsidRDefault="00334A99" w:rsidP="00370D25">
                  <w:pPr>
                    <w:pStyle w:val="naiskr"/>
                    <w:spacing w:before="0" w:after="0"/>
                    <w:ind w:right="57"/>
                    <w:jc w:val="both"/>
                  </w:pPr>
                </w:p>
              </w:tc>
            </w:tr>
            <w:tr w:rsidR="008C7911" w:rsidRPr="008B4511" w:rsidTr="00334A99">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334A99" w:rsidRPr="008B4511" w:rsidRDefault="00334A99" w:rsidP="00334A99">
                  <w:pPr>
                    <w:pStyle w:val="naiskr"/>
                  </w:pPr>
                  <w:r w:rsidRPr="008B4511">
                    <w:t> 3.</w:t>
                  </w:r>
                </w:p>
              </w:tc>
              <w:tc>
                <w:tcPr>
                  <w:tcW w:w="2953" w:type="dxa"/>
                  <w:tcBorders>
                    <w:top w:val="outset" w:sz="6" w:space="0" w:color="auto"/>
                    <w:left w:val="outset" w:sz="6" w:space="0" w:color="auto"/>
                    <w:bottom w:val="outset" w:sz="6" w:space="0" w:color="auto"/>
                    <w:right w:val="outset" w:sz="6" w:space="0" w:color="auto"/>
                  </w:tcBorders>
                </w:tcPr>
                <w:p w:rsidR="00334A99" w:rsidRPr="008B4511" w:rsidRDefault="00334A99" w:rsidP="00334A99">
                  <w:pPr>
                    <w:pStyle w:val="naiskr"/>
                  </w:pPr>
                  <w:r w:rsidRPr="008B4511">
                    <w:t> Tiesiskā regulējuma finansiālā ietekme</w:t>
                  </w:r>
                </w:p>
              </w:tc>
              <w:tc>
                <w:tcPr>
                  <w:tcW w:w="5583" w:type="dxa"/>
                  <w:tcBorders>
                    <w:top w:val="outset" w:sz="6" w:space="0" w:color="auto"/>
                    <w:left w:val="outset" w:sz="6" w:space="0" w:color="auto"/>
                    <w:bottom w:val="outset" w:sz="6" w:space="0" w:color="auto"/>
                    <w:right w:val="outset" w:sz="6" w:space="0" w:color="auto"/>
                  </w:tcBorders>
                </w:tcPr>
                <w:p w:rsidR="00334A99" w:rsidRPr="008B4511" w:rsidRDefault="00334A99" w:rsidP="00370D25">
                  <w:pPr>
                    <w:pStyle w:val="naiskr"/>
                    <w:spacing w:before="0" w:after="0"/>
                    <w:ind w:right="57"/>
                    <w:jc w:val="both"/>
                  </w:pPr>
                  <w:r w:rsidRPr="008B4511">
                    <w:t>Nav attiecināms</w:t>
                  </w:r>
                </w:p>
              </w:tc>
            </w:tr>
            <w:tr w:rsidR="008C7911" w:rsidRPr="008B4511" w:rsidTr="00334A99">
              <w:trPr>
                <w:trHeight w:val="517"/>
                <w:tblCellSpacing w:w="0" w:type="dxa"/>
              </w:trPr>
              <w:tc>
                <w:tcPr>
                  <w:tcW w:w="519" w:type="dxa"/>
                  <w:tcBorders>
                    <w:top w:val="outset" w:sz="6" w:space="0" w:color="auto"/>
                    <w:left w:val="outset" w:sz="6" w:space="0" w:color="auto"/>
                    <w:bottom w:val="outset" w:sz="6" w:space="0" w:color="auto"/>
                    <w:right w:val="outset" w:sz="6" w:space="0" w:color="auto"/>
                  </w:tcBorders>
                </w:tcPr>
                <w:p w:rsidR="00334A99" w:rsidRPr="008B4511" w:rsidRDefault="00334A99" w:rsidP="00334A99">
                  <w:pPr>
                    <w:pStyle w:val="naiskr"/>
                  </w:pPr>
                  <w:r w:rsidRPr="008B4511">
                    <w:t> 4.</w:t>
                  </w:r>
                </w:p>
              </w:tc>
              <w:tc>
                <w:tcPr>
                  <w:tcW w:w="2953" w:type="dxa"/>
                  <w:tcBorders>
                    <w:top w:val="outset" w:sz="6" w:space="0" w:color="auto"/>
                    <w:left w:val="outset" w:sz="6" w:space="0" w:color="auto"/>
                    <w:bottom w:val="outset" w:sz="6" w:space="0" w:color="auto"/>
                    <w:right w:val="outset" w:sz="6" w:space="0" w:color="auto"/>
                  </w:tcBorders>
                </w:tcPr>
                <w:p w:rsidR="00334A99" w:rsidRPr="008B4511" w:rsidRDefault="00334A99" w:rsidP="00334A99">
                  <w:pPr>
                    <w:pStyle w:val="naiskr"/>
                  </w:pPr>
                  <w:r w:rsidRPr="008B4511">
                    <w:t> Tiesiskā regulējuma nefinansiālā ietekme</w:t>
                  </w:r>
                </w:p>
              </w:tc>
              <w:tc>
                <w:tcPr>
                  <w:tcW w:w="5583" w:type="dxa"/>
                  <w:tcBorders>
                    <w:top w:val="outset" w:sz="6" w:space="0" w:color="auto"/>
                    <w:left w:val="outset" w:sz="6" w:space="0" w:color="auto"/>
                    <w:bottom w:val="outset" w:sz="6" w:space="0" w:color="auto"/>
                    <w:right w:val="outset" w:sz="6" w:space="0" w:color="auto"/>
                  </w:tcBorders>
                </w:tcPr>
                <w:p w:rsidR="00334A99" w:rsidRPr="008B4511" w:rsidRDefault="00334A99" w:rsidP="00370D25">
                  <w:pPr>
                    <w:pStyle w:val="naiskr"/>
                    <w:spacing w:before="0" w:after="0"/>
                    <w:ind w:right="57"/>
                  </w:pPr>
                  <w:r w:rsidRPr="008B4511">
                    <w:t>Nav attiecināms</w:t>
                  </w:r>
                </w:p>
              </w:tc>
            </w:tr>
            <w:tr w:rsidR="008C7911" w:rsidRPr="008B4511" w:rsidTr="00334A99">
              <w:trPr>
                <w:trHeight w:val="531"/>
                <w:tblCellSpacing w:w="0" w:type="dxa"/>
              </w:trPr>
              <w:tc>
                <w:tcPr>
                  <w:tcW w:w="519" w:type="dxa"/>
                  <w:tcBorders>
                    <w:top w:val="outset" w:sz="6" w:space="0" w:color="auto"/>
                    <w:left w:val="outset" w:sz="6" w:space="0" w:color="auto"/>
                    <w:bottom w:val="outset" w:sz="6" w:space="0" w:color="auto"/>
                    <w:right w:val="outset" w:sz="6" w:space="0" w:color="auto"/>
                  </w:tcBorders>
                </w:tcPr>
                <w:p w:rsidR="00334A99" w:rsidRPr="008B4511" w:rsidRDefault="00334A99" w:rsidP="00334A99">
                  <w:pPr>
                    <w:pStyle w:val="naiskr"/>
                  </w:pPr>
                  <w:r w:rsidRPr="008B4511">
                    <w:t> 5.</w:t>
                  </w:r>
                </w:p>
              </w:tc>
              <w:tc>
                <w:tcPr>
                  <w:tcW w:w="2953" w:type="dxa"/>
                  <w:tcBorders>
                    <w:top w:val="outset" w:sz="6" w:space="0" w:color="auto"/>
                    <w:left w:val="outset" w:sz="6" w:space="0" w:color="auto"/>
                    <w:bottom w:val="outset" w:sz="6" w:space="0" w:color="auto"/>
                    <w:right w:val="outset" w:sz="6" w:space="0" w:color="auto"/>
                  </w:tcBorders>
                </w:tcPr>
                <w:p w:rsidR="00334A99" w:rsidRPr="008B4511" w:rsidRDefault="00334A99" w:rsidP="00334A99">
                  <w:pPr>
                    <w:pStyle w:val="naiskr"/>
                  </w:pPr>
                  <w:r w:rsidRPr="008B4511">
                    <w:t> Administratīvās procedūras raksturojums</w:t>
                  </w:r>
                </w:p>
              </w:tc>
              <w:tc>
                <w:tcPr>
                  <w:tcW w:w="5583" w:type="dxa"/>
                  <w:tcBorders>
                    <w:top w:val="outset" w:sz="6" w:space="0" w:color="auto"/>
                    <w:left w:val="outset" w:sz="6" w:space="0" w:color="auto"/>
                    <w:bottom w:val="outset" w:sz="6" w:space="0" w:color="auto"/>
                    <w:right w:val="outset" w:sz="6" w:space="0" w:color="auto"/>
                  </w:tcBorders>
                </w:tcPr>
                <w:p w:rsidR="00334A99" w:rsidRPr="008B4511" w:rsidRDefault="00334A99" w:rsidP="00370D25">
                  <w:pPr>
                    <w:pStyle w:val="naiskr"/>
                    <w:spacing w:before="0" w:after="0"/>
                    <w:ind w:right="57"/>
                    <w:jc w:val="both"/>
                  </w:pPr>
                  <w:r w:rsidRPr="008B4511">
                    <w:t xml:space="preserve">Nav attiecināms </w:t>
                  </w:r>
                </w:p>
              </w:tc>
            </w:tr>
            <w:tr w:rsidR="008C7911" w:rsidRPr="008B4511" w:rsidTr="00334A99">
              <w:trPr>
                <w:trHeight w:val="357"/>
                <w:tblCellSpacing w:w="0" w:type="dxa"/>
              </w:trPr>
              <w:tc>
                <w:tcPr>
                  <w:tcW w:w="519" w:type="dxa"/>
                  <w:tcBorders>
                    <w:top w:val="outset" w:sz="6" w:space="0" w:color="auto"/>
                    <w:left w:val="outset" w:sz="6" w:space="0" w:color="auto"/>
                    <w:bottom w:val="outset" w:sz="6" w:space="0" w:color="auto"/>
                    <w:right w:val="outset" w:sz="6" w:space="0" w:color="auto"/>
                  </w:tcBorders>
                </w:tcPr>
                <w:p w:rsidR="00334A99" w:rsidRPr="008B4511" w:rsidRDefault="00334A99" w:rsidP="00334A99">
                  <w:pPr>
                    <w:pStyle w:val="naiskr"/>
                  </w:pPr>
                  <w:r w:rsidRPr="008B4511">
                    <w:lastRenderedPageBreak/>
                    <w:t> 6.</w:t>
                  </w:r>
                </w:p>
              </w:tc>
              <w:tc>
                <w:tcPr>
                  <w:tcW w:w="2953" w:type="dxa"/>
                  <w:tcBorders>
                    <w:top w:val="outset" w:sz="6" w:space="0" w:color="auto"/>
                    <w:left w:val="outset" w:sz="6" w:space="0" w:color="auto"/>
                    <w:bottom w:val="outset" w:sz="6" w:space="0" w:color="auto"/>
                    <w:right w:val="outset" w:sz="6" w:space="0" w:color="auto"/>
                  </w:tcBorders>
                </w:tcPr>
                <w:p w:rsidR="00334A99" w:rsidRPr="008B4511" w:rsidRDefault="00334A99" w:rsidP="00334A99">
                  <w:pPr>
                    <w:pStyle w:val="naiskr"/>
                  </w:pPr>
                  <w:r w:rsidRPr="008B4511">
                    <w:t> Administratīvo izmaksu monetārs novērtējums</w:t>
                  </w:r>
                </w:p>
              </w:tc>
              <w:tc>
                <w:tcPr>
                  <w:tcW w:w="5583" w:type="dxa"/>
                  <w:tcBorders>
                    <w:top w:val="outset" w:sz="6" w:space="0" w:color="auto"/>
                    <w:left w:val="outset" w:sz="6" w:space="0" w:color="auto"/>
                    <w:bottom w:val="outset" w:sz="6" w:space="0" w:color="auto"/>
                    <w:right w:val="outset" w:sz="6" w:space="0" w:color="auto"/>
                  </w:tcBorders>
                </w:tcPr>
                <w:p w:rsidR="00334A99" w:rsidRDefault="00334A99" w:rsidP="00370D25">
                  <w:pPr>
                    <w:pStyle w:val="naiskr"/>
                    <w:spacing w:before="0" w:after="0"/>
                    <w:ind w:right="57"/>
                    <w:jc w:val="both"/>
                  </w:pPr>
                  <w:r w:rsidRPr="008B4511">
                    <w:t>Nav attiecināms</w:t>
                  </w:r>
                </w:p>
                <w:p w:rsidR="0025374E" w:rsidRPr="008B4511" w:rsidRDefault="0025374E" w:rsidP="008420CD">
                  <w:pPr>
                    <w:pStyle w:val="naiskr"/>
                    <w:spacing w:before="0" w:after="0"/>
                    <w:ind w:left="57" w:right="57"/>
                    <w:jc w:val="both"/>
                  </w:pPr>
                </w:p>
              </w:tc>
            </w:tr>
            <w:tr w:rsidR="008C7911" w:rsidRPr="008B4511" w:rsidTr="00334A99">
              <w:trPr>
                <w:tblCellSpacing w:w="0" w:type="dxa"/>
              </w:trPr>
              <w:tc>
                <w:tcPr>
                  <w:tcW w:w="519" w:type="dxa"/>
                  <w:tcBorders>
                    <w:top w:val="outset" w:sz="6" w:space="0" w:color="auto"/>
                    <w:left w:val="outset" w:sz="6" w:space="0" w:color="auto"/>
                    <w:bottom w:val="outset" w:sz="6" w:space="0" w:color="auto"/>
                    <w:right w:val="outset" w:sz="6" w:space="0" w:color="auto"/>
                  </w:tcBorders>
                </w:tcPr>
                <w:p w:rsidR="00334A99" w:rsidRPr="008B4511" w:rsidRDefault="00334A99" w:rsidP="00334A99">
                  <w:pPr>
                    <w:pStyle w:val="naiskr"/>
                  </w:pPr>
                  <w:r w:rsidRPr="008B4511">
                    <w:t> 7.</w:t>
                  </w:r>
                </w:p>
              </w:tc>
              <w:tc>
                <w:tcPr>
                  <w:tcW w:w="2953" w:type="dxa"/>
                  <w:tcBorders>
                    <w:top w:val="outset" w:sz="6" w:space="0" w:color="auto"/>
                    <w:left w:val="outset" w:sz="6" w:space="0" w:color="auto"/>
                    <w:bottom w:val="outset" w:sz="6" w:space="0" w:color="auto"/>
                    <w:right w:val="outset" w:sz="6" w:space="0" w:color="auto"/>
                  </w:tcBorders>
                </w:tcPr>
                <w:p w:rsidR="00334A99" w:rsidRPr="008B4511" w:rsidRDefault="00334A99" w:rsidP="00334A99">
                  <w:pPr>
                    <w:pStyle w:val="naiskr"/>
                  </w:pPr>
                  <w:r w:rsidRPr="008B4511">
                    <w:t> Cita informācija</w:t>
                  </w:r>
                </w:p>
              </w:tc>
              <w:tc>
                <w:tcPr>
                  <w:tcW w:w="5583" w:type="dxa"/>
                  <w:tcBorders>
                    <w:top w:val="outset" w:sz="6" w:space="0" w:color="auto"/>
                    <w:left w:val="outset" w:sz="6" w:space="0" w:color="auto"/>
                    <w:bottom w:val="outset" w:sz="6" w:space="0" w:color="auto"/>
                    <w:right w:val="outset" w:sz="6" w:space="0" w:color="auto"/>
                  </w:tcBorders>
                </w:tcPr>
                <w:p w:rsidR="00334A99" w:rsidRPr="008B4511" w:rsidRDefault="00334A99" w:rsidP="00334A99">
                  <w:pPr>
                    <w:pStyle w:val="naiskr"/>
                    <w:spacing w:before="0" w:after="0"/>
                    <w:ind w:left="57" w:right="57" w:firstLine="284"/>
                  </w:pPr>
                  <w:r w:rsidRPr="008B4511">
                    <w:t>Nav</w:t>
                  </w:r>
                </w:p>
              </w:tc>
            </w:tr>
          </w:tbl>
          <w:p w:rsidR="00334A99" w:rsidRPr="008B4511" w:rsidRDefault="00334A99" w:rsidP="00334A99"/>
        </w:tc>
      </w:tr>
    </w:tbl>
    <w:p w:rsidR="00A616FE" w:rsidRPr="00900796" w:rsidRDefault="00A616FE" w:rsidP="002A4EB9">
      <w:pPr>
        <w:pStyle w:val="naisf"/>
        <w:spacing w:before="0" w:after="0"/>
        <w:ind w:right="-109" w:firstLine="0"/>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7"/>
        <w:gridCol w:w="3916"/>
        <w:gridCol w:w="4678"/>
      </w:tblGrid>
      <w:tr w:rsidR="00A616FE" w:rsidRPr="00900796">
        <w:trPr>
          <w:tblCellSpacing w:w="0" w:type="dxa"/>
        </w:trPr>
        <w:tc>
          <w:tcPr>
            <w:tcW w:w="9101" w:type="dxa"/>
            <w:gridSpan w:val="3"/>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c"/>
              <w:spacing w:before="0" w:after="0"/>
              <w:rPr>
                <w:b/>
              </w:rPr>
            </w:pPr>
            <w:r w:rsidRPr="00900796">
              <w:t> </w:t>
            </w:r>
            <w:r w:rsidRPr="00900796">
              <w:rPr>
                <w:bCs/>
              </w:rPr>
              <w:t> </w:t>
            </w:r>
            <w:r w:rsidRPr="00900796">
              <w:rPr>
                <w:b/>
                <w:bCs/>
              </w:rPr>
              <w:t>VII. Tiesību akta projekta izpildes nodrošināšana un tās ietekme uz institūcijām</w:t>
            </w:r>
          </w:p>
        </w:tc>
      </w:tr>
      <w:tr w:rsidR="00A616FE" w:rsidRPr="00900796">
        <w:trPr>
          <w:trHeight w:val="427"/>
          <w:tblCellSpacing w:w="0" w:type="dxa"/>
        </w:trPr>
        <w:tc>
          <w:tcPr>
            <w:tcW w:w="507"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1.</w:t>
            </w:r>
          </w:p>
        </w:tc>
        <w:tc>
          <w:tcPr>
            <w:tcW w:w="3916" w:type="dxa"/>
            <w:tcBorders>
              <w:top w:val="outset" w:sz="6" w:space="0" w:color="auto"/>
              <w:left w:val="outset" w:sz="6" w:space="0" w:color="auto"/>
              <w:bottom w:val="outset" w:sz="6" w:space="0" w:color="auto"/>
              <w:right w:val="outset" w:sz="6" w:space="0" w:color="auto"/>
            </w:tcBorders>
          </w:tcPr>
          <w:p w:rsidR="00A616FE" w:rsidRPr="00370D25" w:rsidRDefault="00A616FE" w:rsidP="002A4EB9">
            <w:pPr>
              <w:pStyle w:val="naiskr"/>
              <w:spacing w:before="0" w:after="0"/>
            </w:pPr>
            <w:r w:rsidRPr="00370D25">
              <w:t> Projekta izpildē iesaistītās institūcijas</w:t>
            </w:r>
          </w:p>
        </w:tc>
        <w:tc>
          <w:tcPr>
            <w:tcW w:w="4678" w:type="dxa"/>
            <w:tcBorders>
              <w:top w:val="outset" w:sz="6" w:space="0" w:color="auto"/>
              <w:left w:val="outset" w:sz="6" w:space="0" w:color="auto"/>
              <w:bottom w:val="outset" w:sz="6" w:space="0" w:color="auto"/>
              <w:right w:val="outset" w:sz="6" w:space="0" w:color="auto"/>
            </w:tcBorders>
          </w:tcPr>
          <w:p w:rsidR="00A616FE" w:rsidRPr="00370D25" w:rsidRDefault="005543E9" w:rsidP="007569EF">
            <w:pPr>
              <w:pStyle w:val="naiskr"/>
              <w:spacing w:before="0" w:after="0"/>
              <w:jc w:val="both"/>
            </w:pPr>
            <w:r w:rsidRPr="00370D25">
              <w:t>Nacionālā elektronisko plašsaziņas līdzekļu padome</w:t>
            </w:r>
            <w:r w:rsidR="00527D31" w:rsidRPr="00370D25">
              <w:t xml:space="preserve"> </w:t>
            </w:r>
          </w:p>
        </w:tc>
      </w:tr>
      <w:tr w:rsidR="00A616FE" w:rsidRPr="00900796">
        <w:trPr>
          <w:trHeight w:val="463"/>
          <w:tblCellSpacing w:w="0" w:type="dxa"/>
        </w:trPr>
        <w:tc>
          <w:tcPr>
            <w:tcW w:w="507"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2.</w:t>
            </w:r>
          </w:p>
        </w:tc>
        <w:tc>
          <w:tcPr>
            <w:tcW w:w="3916"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Projekta izpildes ietekme uz pārvaldes funkcijām</w:t>
            </w:r>
          </w:p>
        </w:tc>
        <w:tc>
          <w:tcPr>
            <w:tcW w:w="4678"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Virsraksts3"/>
              <w:spacing w:before="0" w:beforeAutospacing="0" w:after="0" w:afterAutospacing="0"/>
              <w:jc w:val="both"/>
              <w:rPr>
                <w:b w:val="0"/>
                <w:sz w:val="24"/>
                <w:szCs w:val="24"/>
              </w:rPr>
            </w:pPr>
            <w:r w:rsidRPr="00900796">
              <w:rPr>
                <w:b w:val="0"/>
                <w:sz w:val="24"/>
                <w:szCs w:val="24"/>
              </w:rPr>
              <w:t>Nav</w:t>
            </w:r>
          </w:p>
        </w:tc>
      </w:tr>
      <w:tr w:rsidR="00A616FE" w:rsidRPr="00900796">
        <w:trPr>
          <w:trHeight w:val="725"/>
          <w:tblCellSpacing w:w="0" w:type="dxa"/>
        </w:trPr>
        <w:tc>
          <w:tcPr>
            <w:tcW w:w="507"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3.</w:t>
            </w:r>
          </w:p>
        </w:tc>
        <w:tc>
          <w:tcPr>
            <w:tcW w:w="3916"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Projekta izpildes ietekme uz pārvaldes institucionālo struktūru.</w:t>
            </w:r>
          </w:p>
          <w:p w:rsidR="00A616FE" w:rsidRPr="00900796" w:rsidRDefault="00A616FE" w:rsidP="002A4EB9">
            <w:pPr>
              <w:pStyle w:val="naiskr"/>
              <w:spacing w:before="0" w:after="0"/>
            </w:pPr>
            <w:r w:rsidRPr="00900796">
              <w:t>Jaunu institūciju izveide</w:t>
            </w:r>
          </w:p>
        </w:tc>
        <w:tc>
          <w:tcPr>
            <w:tcW w:w="4678" w:type="dxa"/>
            <w:tcBorders>
              <w:top w:val="outset" w:sz="6" w:space="0" w:color="auto"/>
              <w:left w:val="outset" w:sz="6" w:space="0" w:color="auto"/>
              <w:bottom w:val="outset" w:sz="6" w:space="0" w:color="auto"/>
              <w:right w:val="outset" w:sz="6" w:space="0" w:color="auto"/>
            </w:tcBorders>
          </w:tcPr>
          <w:p w:rsidR="00A616FE" w:rsidRPr="00900796" w:rsidRDefault="00A616FE" w:rsidP="007569EF">
            <w:pPr>
              <w:pStyle w:val="naiskr"/>
              <w:spacing w:before="0" w:after="0"/>
              <w:jc w:val="both"/>
            </w:pPr>
            <w:r w:rsidRPr="00900796">
              <w:t>Projekts neparedz veidot jaunas valsts institūcijas.</w:t>
            </w:r>
          </w:p>
        </w:tc>
      </w:tr>
      <w:tr w:rsidR="00A616FE" w:rsidRPr="00900796">
        <w:trPr>
          <w:trHeight w:val="780"/>
          <w:tblCellSpacing w:w="0" w:type="dxa"/>
        </w:trPr>
        <w:tc>
          <w:tcPr>
            <w:tcW w:w="507"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4.</w:t>
            </w:r>
          </w:p>
        </w:tc>
        <w:tc>
          <w:tcPr>
            <w:tcW w:w="3916"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Projekta izpildes ietekme uz pārvaldes institucionālo struktūru.</w:t>
            </w:r>
          </w:p>
          <w:p w:rsidR="00A616FE" w:rsidRPr="00900796" w:rsidRDefault="00A616FE" w:rsidP="002A4EB9">
            <w:pPr>
              <w:pStyle w:val="naiskr"/>
              <w:spacing w:before="0" w:after="0"/>
            </w:pPr>
            <w:r w:rsidRPr="00900796">
              <w:t>Esošu institūciju likvidācija</w:t>
            </w:r>
          </w:p>
        </w:tc>
        <w:tc>
          <w:tcPr>
            <w:tcW w:w="4678"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jc w:val="both"/>
            </w:pPr>
            <w:r w:rsidRPr="00900796">
              <w:t>Nav attiecināms</w:t>
            </w:r>
          </w:p>
        </w:tc>
      </w:tr>
      <w:tr w:rsidR="00A616FE" w:rsidRPr="00900796">
        <w:trPr>
          <w:trHeight w:val="703"/>
          <w:tblCellSpacing w:w="0" w:type="dxa"/>
        </w:trPr>
        <w:tc>
          <w:tcPr>
            <w:tcW w:w="507"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5.</w:t>
            </w:r>
          </w:p>
        </w:tc>
        <w:tc>
          <w:tcPr>
            <w:tcW w:w="3916"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Projekta izpildes ietekme uz pārvaldes institucionālo struktūru.</w:t>
            </w:r>
          </w:p>
          <w:p w:rsidR="00A616FE" w:rsidRPr="00900796" w:rsidRDefault="00A616FE" w:rsidP="002A4EB9">
            <w:pPr>
              <w:pStyle w:val="naiskr"/>
              <w:spacing w:before="0" w:after="0"/>
            </w:pPr>
            <w:r w:rsidRPr="00900796">
              <w:t>Esošu institūciju reorganizācija</w:t>
            </w:r>
          </w:p>
        </w:tc>
        <w:tc>
          <w:tcPr>
            <w:tcW w:w="4678"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Nav attiecināms</w:t>
            </w:r>
          </w:p>
        </w:tc>
      </w:tr>
      <w:tr w:rsidR="00A616FE" w:rsidRPr="00900796">
        <w:trPr>
          <w:trHeight w:val="476"/>
          <w:tblCellSpacing w:w="0" w:type="dxa"/>
        </w:trPr>
        <w:tc>
          <w:tcPr>
            <w:tcW w:w="507"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6.</w:t>
            </w:r>
          </w:p>
        </w:tc>
        <w:tc>
          <w:tcPr>
            <w:tcW w:w="3916"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Cita informācija</w:t>
            </w:r>
          </w:p>
        </w:tc>
        <w:tc>
          <w:tcPr>
            <w:tcW w:w="4678" w:type="dxa"/>
            <w:tcBorders>
              <w:top w:val="outset" w:sz="6" w:space="0" w:color="auto"/>
              <w:left w:val="outset" w:sz="6" w:space="0" w:color="auto"/>
              <w:bottom w:val="outset" w:sz="6" w:space="0" w:color="auto"/>
              <w:right w:val="outset" w:sz="6" w:space="0" w:color="auto"/>
            </w:tcBorders>
          </w:tcPr>
          <w:p w:rsidR="00A616FE" w:rsidRPr="00900796" w:rsidRDefault="00A616FE" w:rsidP="002A4EB9">
            <w:pPr>
              <w:pStyle w:val="naiskr"/>
              <w:spacing w:before="0" w:after="0"/>
            </w:pPr>
            <w:r w:rsidRPr="00900796">
              <w:t> Nav</w:t>
            </w:r>
          </w:p>
        </w:tc>
      </w:tr>
    </w:tbl>
    <w:p w:rsidR="00A616FE" w:rsidRDefault="00A616FE" w:rsidP="002A4EB9">
      <w:pPr>
        <w:pStyle w:val="naisf"/>
        <w:spacing w:before="0" w:after="0"/>
        <w:ind w:right="-766" w:firstLine="0"/>
      </w:pPr>
    </w:p>
    <w:p w:rsidR="00334A99" w:rsidRDefault="00105B41" w:rsidP="00334A99">
      <w:pPr>
        <w:pStyle w:val="naisf"/>
        <w:spacing w:before="0" w:after="0"/>
        <w:ind w:right="-109" w:firstLine="0"/>
      </w:pPr>
      <w:r>
        <w:t>A</w:t>
      </w:r>
      <w:r w:rsidR="00334A99">
        <w:t xml:space="preserve">notācijas </w:t>
      </w:r>
      <w:r w:rsidR="00334A99" w:rsidRPr="00900796">
        <w:t>III</w:t>
      </w:r>
      <w:r w:rsidR="000B05A0">
        <w:t>, IV</w:t>
      </w:r>
      <w:r w:rsidR="003E5048">
        <w:t xml:space="preserve">, V </w:t>
      </w:r>
      <w:r w:rsidR="000B05A0">
        <w:t>un VI</w:t>
      </w:r>
      <w:r w:rsidR="00334A99" w:rsidRPr="00900796">
        <w:t xml:space="preserve"> sadaļa</w:t>
      </w:r>
      <w:r w:rsidR="000B05A0">
        <w:t>s</w:t>
      </w:r>
      <w:r w:rsidR="00334A99" w:rsidRPr="00900796">
        <w:t xml:space="preserve"> </w:t>
      </w:r>
      <w:r>
        <w:t>– nav attiecināms.</w:t>
      </w:r>
    </w:p>
    <w:p w:rsidR="002A4EB9" w:rsidRDefault="002A4EB9" w:rsidP="002A4EB9">
      <w:pPr>
        <w:pStyle w:val="naisf"/>
        <w:spacing w:before="0" w:after="0"/>
        <w:ind w:right="-766" w:firstLine="0"/>
      </w:pPr>
    </w:p>
    <w:p w:rsidR="000B05A0" w:rsidRDefault="000B05A0" w:rsidP="002A4EB9">
      <w:pPr>
        <w:pStyle w:val="naisf"/>
        <w:spacing w:before="0" w:after="0"/>
        <w:ind w:right="-766" w:firstLine="0"/>
      </w:pPr>
    </w:p>
    <w:p w:rsidR="007D669E" w:rsidRDefault="007D669E" w:rsidP="002A4EB9">
      <w:pPr>
        <w:pStyle w:val="naisf"/>
        <w:spacing w:before="0" w:after="0"/>
        <w:ind w:right="-766" w:firstLine="0"/>
      </w:pPr>
    </w:p>
    <w:p w:rsidR="007D669E" w:rsidRPr="00900796" w:rsidRDefault="007D669E" w:rsidP="002A4EB9">
      <w:pPr>
        <w:pStyle w:val="naisf"/>
        <w:spacing w:before="0" w:after="0"/>
        <w:ind w:right="-766" w:firstLine="0"/>
      </w:pPr>
    </w:p>
    <w:p w:rsidR="00A616FE" w:rsidRPr="00900796" w:rsidRDefault="00707878" w:rsidP="002A4EB9">
      <w:pPr>
        <w:pStyle w:val="naisf"/>
        <w:spacing w:before="0" w:after="0"/>
        <w:ind w:right="-766" w:firstLine="0"/>
      </w:pPr>
      <w:r>
        <w:t>Kultūras ministre</w:t>
      </w:r>
      <w:r>
        <w:tab/>
      </w:r>
      <w:r>
        <w:tab/>
      </w:r>
      <w:r>
        <w:tab/>
      </w:r>
      <w:r>
        <w:tab/>
      </w:r>
      <w:r>
        <w:tab/>
      </w:r>
      <w:r>
        <w:tab/>
      </w:r>
      <w:r>
        <w:tab/>
      </w:r>
      <w:r>
        <w:tab/>
        <w:t>S.Ēlerte</w:t>
      </w:r>
      <w:r w:rsidR="00A616FE" w:rsidRPr="00900796">
        <w:t xml:space="preserve"> </w:t>
      </w:r>
      <w:r w:rsidR="00A616FE" w:rsidRPr="00900796">
        <w:tab/>
      </w:r>
    </w:p>
    <w:p w:rsidR="00A616FE" w:rsidRPr="00900796" w:rsidRDefault="00A616FE" w:rsidP="002A4EB9">
      <w:pPr>
        <w:pStyle w:val="naisf"/>
        <w:spacing w:before="0" w:after="0"/>
        <w:ind w:right="-766" w:firstLine="0"/>
      </w:pPr>
    </w:p>
    <w:p w:rsidR="007D669E" w:rsidRDefault="007D669E" w:rsidP="002A4EB9">
      <w:pPr>
        <w:pStyle w:val="naisf"/>
        <w:spacing w:before="0" w:after="0"/>
        <w:ind w:right="-766" w:firstLine="0"/>
      </w:pPr>
    </w:p>
    <w:p w:rsidR="007D669E" w:rsidRDefault="007D669E" w:rsidP="002A4EB9">
      <w:pPr>
        <w:pStyle w:val="naisf"/>
        <w:spacing w:before="0" w:after="0"/>
        <w:ind w:right="-766" w:firstLine="0"/>
      </w:pPr>
    </w:p>
    <w:p w:rsidR="00A616FE" w:rsidRPr="00900796" w:rsidRDefault="00A616FE" w:rsidP="002A4EB9">
      <w:pPr>
        <w:pStyle w:val="naisf"/>
        <w:spacing w:before="0" w:after="0"/>
        <w:ind w:right="-766" w:firstLine="0"/>
      </w:pPr>
      <w:r w:rsidRPr="00900796">
        <w:t>Vīza:</w:t>
      </w:r>
      <w:r w:rsidR="00B3272F">
        <w:t xml:space="preserve"> </w:t>
      </w:r>
      <w:r w:rsidR="002A4EB9">
        <w:t>v</w:t>
      </w:r>
      <w:r w:rsidRPr="00900796">
        <w:t xml:space="preserve">alsts sekretāra </w:t>
      </w:r>
      <w:r w:rsidR="00B3272F">
        <w:t>v</w:t>
      </w:r>
      <w:r w:rsidRPr="00900796">
        <w:t>.i.</w:t>
      </w:r>
      <w:r w:rsidRPr="00900796">
        <w:tab/>
      </w:r>
      <w:r w:rsidRPr="00900796">
        <w:tab/>
      </w:r>
      <w:r w:rsidRPr="00900796">
        <w:tab/>
      </w:r>
      <w:r w:rsidRPr="00900796">
        <w:tab/>
      </w:r>
      <w:r w:rsidRPr="00900796">
        <w:tab/>
      </w:r>
      <w:r w:rsidRPr="00900796">
        <w:tab/>
      </w:r>
      <w:r w:rsidRPr="00900796">
        <w:tab/>
        <w:t>U.Lielpēters</w:t>
      </w:r>
    </w:p>
    <w:p w:rsidR="00A616FE" w:rsidRPr="00900796" w:rsidRDefault="00A616FE" w:rsidP="002A4EB9"/>
    <w:p w:rsidR="00A616FE" w:rsidRPr="006703FD" w:rsidRDefault="00A616FE" w:rsidP="002A4EB9">
      <w:pPr>
        <w:rPr>
          <w:sz w:val="20"/>
          <w:szCs w:val="20"/>
        </w:rPr>
      </w:pPr>
    </w:p>
    <w:p w:rsidR="00A616FE" w:rsidRPr="006703FD" w:rsidRDefault="00A616FE" w:rsidP="002A4EB9">
      <w:pPr>
        <w:rPr>
          <w:sz w:val="20"/>
          <w:szCs w:val="20"/>
        </w:rPr>
      </w:pPr>
    </w:p>
    <w:p w:rsidR="006703FD" w:rsidRPr="006703FD" w:rsidRDefault="00CD1C18" w:rsidP="002A4EB9">
      <w:pPr>
        <w:jc w:val="both"/>
        <w:rPr>
          <w:sz w:val="20"/>
          <w:szCs w:val="20"/>
        </w:rPr>
      </w:pPr>
      <w:r>
        <w:rPr>
          <w:sz w:val="20"/>
          <w:szCs w:val="20"/>
        </w:rPr>
        <w:t>27</w:t>
      </w:r>
      <w:r w:rsidR="00907009" w:rsidRPr="00FB753A">
        <w:rPr>
          <w:sz w:val="20"/>
          <w:szCs w:val="20"/>
        </w:rPr>
        <w:t>.12</w:t>
      </w:r>
      <w:r w:rsidR="000D7E24">
        <w:rPr>
          <w:sz w:val="20"/>
          <w:szCs w:val="20"/>
        </w:rPr>
        <w:t>. 2010. 14:10</w:t>
      </w:r>
    </w:p>
    <w:p w:rsidR="00A616FE" w:rsidRPr="006703FD" w:rsidRDefault="00DF7812" w:rsidP="002A4EB9">
      <w:pPr>
        <w:jc w:val="both"/>
        <w:rPr>
          <w:sz w:val="20"/>
          <w:szCs w:val="20"/>
        </w:rPr>
      </w:pPr>
      <w:r>
        <w:rPr>
          <w:sz w:val="20"/>
          <w:szCs w:val="20"/>
        </w:rPr>
        <w:t>5</w:t>
      </w:r>
      <w:r w:rsidR="000D7E24">
        <w:rPr>
          <w:sz w:val="20"/>
          <w:szCs w:val="20"/>
        </w:rPr>
        <w:t>69</w:t>
      </w:r>
    </w:p>
    <w:p w:rsidR="00A616FE" w:rsidRPr="006703FD" w:rsidRDefault="000B05A0" w:rsidP="002A4EB9">
      <w:pPr>
        <w:jc w:val="both"/>
        <w:rPr>
          <w:sz w:val="20"/>
          <w:szCs w:val="20"/>
        </w:rPr>
      </w:pPr>
      <w:r>
        <w:rPr>
          <w:sz w:val="20"/>
          <w:szCs w:val="20"/>
        </w:rPr>
        <w:t>L.Pavļuta</w:t>
      </w:r>
    </w:p>
    <w:p w:rsidR="00A616FE" w:rsidRPr="006703FD" w:rsidRDefault="000B05A0" w:rsidP="002A4EB9">
      <w:pPr>
        <w:jc w:val="both"/>
        <w:rPr>
          <w:sz w:val="20"/>
          <w:szCs w:val="20"/>
        </w:rPr>
      </w:pPr>
      <w:r>
        <w:rPr>
          <w:sz w:val="20"/>
          <w:szCs w:val="20"/>
        </w:rPr>
        <w:t>67330210</w:t>
      </w:r>
      <w:r w:rsidR="00A616FE" w:rsidRPr="006703FD">
        <w:rPr>
          <w:sz w:val="20"/>
          <w:szCs w:val="20"/>
        </w:rPr>
        <w:t xml:space="preserve">, </w:t>
      </w:r>
      <w:r>
        <w:rPr>
          <w:sz w:val="20"/>
          <w:szCs w:val="20"/>
        </w:rPr>
        <w:t>linda.pavluta@km.gov.lv</w:t>
      </w:r>
    </w:p>
    <w:sectPr w:rsidR="00A616FE" w:rsidRPr="006703FD" w:rsidSect="000B05A0">
      <w:headerReference w:type="even" r:id="rId8"/>
      <w:headerReference w:type="default" r:id="rId9"/>
      <w:footerReference w:type="default" r:id="rId10"/>
      <w:footerReference w:type="first" r:id="rId11"/>
      <w:pgSz w:w="11906" w:h="16838"/>
      <w:pgMar w:top="1418" w:right="1134" w:bottom="1134" w:left="1701" w:header="709" w:footer="6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32D" w:rsidRDefault="0096632D">
      <w:r>
        <w:separator/>
      </w:r>
    </w:p>
  </w:endnote>
  <w:endnote w:type="continuationSeparator" w:id="0">
    <w:p w:rsidR="0096632D" w:rsidRDefault="00966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2D" w:rsidRPr="000B05A0" w:rsidRDefault="00CD1C18" w:rsidP="00CD1C18">
    <w:pPr>
      <w:pStyle w:val="Kjene"/>
      <w:jc w:val="both"/>
      <w:rPr>
        <w:sz w:val="20"/>
        <w:szCs w:val="20"/>
      </w:rPr>
    </w:pPr>
    <w:r>
      <w:rPr>
        <w:sz w:val="20"/>
        <w:szCs w:val="20"/>
      </w:rPr>
      <w:t>KMAnot_27</w:t>
    </w:r>
    <w:r w:rsidR="00907009">
      <w:rPr>
        <w:sz w:val="20"/>
        <w:szCs w:val="20"/>
      </w:rPr>
      <w:t>12</w:t>
    </w:r>
    <w:r w:rsidR="0096632D" w:rsidRPr="000B05A0">
      <w:rPr>
        <w:sz w:val="20"/>
        <w:szCs w:val="20"/>
      </w:rPr>
      <w:t>10; Ministru kabineta noteikumu projekta „Noteikumi par Latvijas sabiedrībai īpaši svarīgiem notikumiem audiovizuālajos elektroniskajos plašsaziņas līdzekļos</w:t>
    </w:r>
    <w:r w:rsidR="0096632D">
      <w:rPr>
        <w:sz w:val="20"/>
        <w:szCs w:val="20"/>
      </w:rPr>
      <w:t>”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2D" w:rsidRDefault="0096632D">
    <w:pPr>
      <w:pStyle w:val="Kjene"/>
      <w:tabs>
        <w:tab w:val="clear" w:pos="8306"/>
        <w:tab w:val="right" w:pos="8460"/>
      </w:tabs>
      <w:ind w:right="-694"/>
      <w:rPr>
        <w:sz w:val="18"/>
        <w:szCs w:val="18"/>
      </w:rPr>
    </w:pPr>
  </w:p>
  <w:p w:rsidR="0096632D" w:rsidRPr="000B05A0" w:rsidRDefault="0096632D" w:rsidP="00CD1C18">
    <w:pPr>
      <w:pStyle w:val="Kjene"/>
      <w:jc w:val="both"/>
      <w:rPr>
        <w:sz w:val="20"/>
        <w:szCs w:val="20"/>
      </w:rPr>
    </w:pPr>
    <w:bookmarkStart w:id="0" w:name="OLE_LINK1"/>
    <w:bookmarkStart w:id="1" w:name="OLE_LINK2"/>
    <w:bookmarkStart w:id="2" w:name="_Hlk271274246"/>
    <w:r w:rsidRPr="000B05A0">
      <w:rPr>
        <w:sz w:val="20"/>
        <w:szCs w:val="20"/>
      </w:rPr>
      <w:t>KMAnot_</w:t>
    </w:r>
    <w:r w:rsidR="00CD1C18">
      <w:rPr>
        <w:sz w:val="20"/>
        <w:szCs w:val="20"/>
      </w:rPr>
      <w:t>27</w:t>
    </w:r>
    <w:r w:rsidR="00907009">
      <w:rPr>
        <w:sz w:val="20"/>
        <w:szCs w:val="20"/>
      </w:rPr>
      <w:t>12</w:t>
    </w:r>
    <w:r w:rsidRPr="000B05A0">
      <w:rPr>
        <w:sz w:val="20"/>
        <w:szCs w:val="20"/>
      </w:rPr>
      <w:t>10; Ministru kabineta noteikumu projekta „Noteikumi par Latvijas sabiedrībai īpaši svarīgiem notikumiem audiovizuālajos elektroniskajos plašsaziņas līdzekļos” anotācija</w:t>
    </w:r>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32D" w:rsidRDefault="0096632D">
      <w:r>
        <w:separator/>
      </w:r>
    </w:p>
  </w:footnote>
  <w:footnote w:type="continuationSeparator" w:id="0">
    <w:p w:rsidR="0096632D" w:rsidRDefault="00966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2D" w:rsidRDefault="007C2270">
    <w:pPr>
      <w:pStyle w:val="Galvene"/>
      <w:rPr>
        <w:rStyle w:val="Lappusesnumurs"/>
      </w:rPr>
    </w:pPr>
    <w:r>
      <w:rPr>
        <w:rStyle w:val="Lappusesnumurs"/>
      </w:rPr>
      <w:fldChar w:fldCharType="begin"/>
    </w:r>
    <w:r w:rsidR="0096632D">
      <w:rPr>
        <w:rStyle w:val="Lappusesnumurs"/>
      </w:rPr>
      <w:instrText xml:space="preserve">PAGE  </w:instrText>
    </w:r>
    <w:r>
      <w:rPr>
        <w:rStyle w:val="Lappusesnumurs"/>
      </w:rPr>
      <w:fldChar w:fldCharType="end"/>
    </w:r>
  </w:p>
  <w:p w:rsidR="0096632D" w:rsidRDefault="0096632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32D" w:rsidRDefault="007C2270">
    <w:pPr>
      <w:pStyle w:val="Galvene"/>
      <w:jc w:val="center"/>
      <w:rPr>
        <w:rStyle w:val="Lappusesnumurs"/>
      </w:rPr>
    </w:pPr>
    <w:r>
      <w:rPr>
        <w:rStyle w:val="Lappusesnumurs"/>
      </w:rPr>
      <w:fldChar w:fldCharType="begin"/>
    </w:r>
    <w:r w:rsidR="0096632D">
      <w:rPr>
        <w:rStyle w:val="Lappusesnumurs"/>
      </w:rPr>
      <w:instrText xml:space="preserve">PAGE  </w:instrText>
    </w:r>
    <w:r>
      <w:rPr>
        <w:rStyle w:val="Lappusesnumurs"/>
      </w:rPr>
      <w:fldChar w:fldCharType="separate"/>
    </w:r>
    <w:r w:rsidR="00B84CF6">
      <w:rPr>
        <w:rStyle w:val="Lappusesnumurs"/>
        <w:noProof/>
      </w:rPr>
      <w:t>3</w:t>
    </w:r>
    <w:r>
      <w:rPr>
        <w:rStyle w:val="Lappusesnumurs"/>
      </w:rPr>
      <w:fldChar w:fldCharType="end"/>
    </w:r>
  </w:p>
  <w:p w:rsidR="0096632D" w:rsidRDefault="0096632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C032F0"/>
    <w:lvl w:ilvl="0">
      <w:start w:val="1"/>
      <w:numFmt w:val="decimal"/>
      <w:lvlText w:val="%1."/>
      <w:lvlJc w:val="left"/>
      <w:pPr>
        <w:tabs>
          <w:tab w:val="num" w:pos="1492"/>
        </w:tabs>
        <w:ind w:left="1492" w:hanging="360"/>
      </w:pPr>
    </w:lvl>
  </w:abstractNum>
  <w:abstractNum w:abstractNumId="1">
    <w:nsid w:val="FFFFFF7D"/>
    <w:multiLevelType w:val="singleLevel"/>
    <w:tmpl w:val="D752DE94"/>
    <w:lvl w:ilvl="0">
      <w:start w:val="1"/>
      <w:numFmt w:val="decimal"/>
      <w:lvlText w:val="%1."/>
      <w:lvlJc w:val="left"/>
      <w:pPr>
        <w:tabs>
          <w:tab w:val="num" w:pos="1209"/>
        </w:tabs>
        <w:ind w:left="1209" w:hanging="360"/>
      </w:pPr>
    </w:lvl>
  </w:abstractNum>
  <w:abstractNum w:abstractNumId="2">
    <w:nsid w:val="FFFFFF7E"/>
    <w:multiLevelType w:val="singleLevel"/>
    <w:tmpl w:val="C3984072"/>
    <w:lvl w:ilvl="0">
      <w:start w:val="1"/>
      <w:numFmt w:val="decimal"/>
      <w:lvlText w:val="%1."/>
      <w:lvlJc w:val="left"/>
      <w:pPr>
        <w:tabs>
          <w:tab w:val="num" w:pos="926"/>
        </w:tabs>
        <w:ind w:left="926" w:hanging="360"/>
      </w:pPr>
    </w:lvl>
  </w:abstractNum>
  <w:abstractNum w:abstractNumId="3">
    <w:nsid w:val="FFFFFF7F"/>
    <w:multiLevelType w:val="singleLevel"/>
    <w:tmpl w:val="68585942"/>
    <w:lvl w:ilvl="0">
      <w:start w:val="1"/>
      <w:numFmt w:val="decimal"/>
      <w:lvlText w:val="%1."/>
      <w:lvlJc w:val="left"/>
      <w:pPr>
        <w:tabs>
          <w:tab w:val="num" w:pos="643"/>
        </w:tabs>
        <w:ind w:left="643" w:hanging="360"/>
      </w:pPr>
    </w:lvl>
  </w:abstractNum>
  <w:abstractNum w:abstractNumId="4">
    <w:nsid w:val="FFFFFF80"/>
    <w:multiLevelType w:val="singleLevel"/>
    <w:tmpl w:val="5066D2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E0B5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9CE3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C8B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489B5A"/>
    <w:lvl w:ilvl="0">
      <w:start w:val="1"/>
      <w:numFmt w:val="decimal"/>
      <w:lvlText w:val="%1."/>
      <w:lvlJc w:val="left"/>
      <w:pPr>
        <w:tabs>
          <w:tab w:val="num" w:pos="360"/>
        </w:tabs>
        <w:ind w:left="360" w:hanging="360"/>
      </w:pPr>
    </w:lvl>
  </w:abstractNum>
  <w:abstractNum w:abstractNumId="9">
    <w:nsid w:val="FFFFFF89"/>
    <w:multiLevelType w:val="singleLevel"/>
    <w:tmpl w:val="6A12BE26"/>
    <w:lvl w:ilvl="0">
      <w:start w:val="1"/>
      <w:numFmt w:val="bullet"/>
      <w:lvlText w:val=""/>
      <w:lvlJc w:val="left"/>
      <w:pPr>
        <w:tabs>
          <w:tab w:val="num" w:pos="360"/>
        </w:tabs>
        <w:ind w:left="360" w:hanging="360"/>
      </w:pPr>
      <w:rPr>
        <w:rFonts w:ascii="Symbol" w:hAnsi="Symbol" w:hint="default"/>
      </w:rPr>
    </w:lvl>
  </w:abstractNum>
  <w:abstractNum w:abstractNumId="10">
    <w:nsid w:val="06885064"/>
    <w:multiLevelType w:val="hybridMultilevel"/>
    <w:tmpl w:val="1A34ABC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CAE01B5"/>
    <w:multiLevelType w:val="hybridMultilevel"/>
    <w:tmpl w:val="88000690"/>
    <w:lvl w:ilvl="0" w:tplc="E6D4E06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1BC592B"/>
    <w:multiLevelType w:val="hybridMultilevel"/>
    <w:tmpl w:val="E4B47F1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C8644B4"/>
    <w:multiLevelType w:val="hybridMultilevel"/>
    <w:tmpl w:val="EC3E9A0A"/>
    <w:lvl w:ilvl="0" w:tplc="E466C83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D0C5DA4"/>
    <w:multiLevelType w:val="hybridMultilevel"/>
    <w:tmpl w:val="B52CEC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F5C7F2C"/>
    <w:multiLevelType w:val="hybridMultilevel"/>
    <w:tmpl w:val="911A0E20"/>
    <w:lvl w:ilvl="0" w:tplc="386E49D2">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16">
    <w:nsid w:val="71C13A79"/>
    <w:multiLevelType w:val="hybridMultilevel"/>
    <w:tmpl w:val="A11052C6"/>
    <w:lvl w:ilvl="0" w:tplc="176C0E9A">
      <w:start w:val="1"/>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num w:numId="1">
    <w:abstractNumId w:val="15"/>
  </w:num>
  <w:num w:numId="2">
    <w:abstractNumId w:val="11"/>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B3392"/>
    <w:rsid w:val="00025D3D"/>
    <w:rsid w:val="0004391A"/>
    <w:rsid w:val="00046834"/>
    <w:rsid w:val="00091503"/>
    <w:rsid w:val="000B05A0"/>
    <w:rsid w:val="000B0BCD"/>
    <w:rsid w:val="000D3F18"/>
    <w:rsid w:val="000D7E24"/>
    <w:rsid w:val="000E1CCD"/>
    <w:rsid w:val="00105B41"/>
    <w:rsid w:val="00125B04"/>
    <w:rsid w:val="00140A1F"/>
    <w:rsid w:val="001438CF"/>
    <w:rsid w:val="00191BA5"/>
    <w:rsid w:val="001A6448"/>
    <w:rsid w:val="001C3B63"/>
    <w:rsid w:val="001F22E3"/>
    <w:rsid w:val="001F62C7"/>
    <w:rsid w:val="00226667"/>
    <w:rsid w:val="0025374E"/>
    <w:rsid w:val="00257140"/>
    <w:rsid w:val="002A4EB9"/>
    <w:rsid w:val="002E3FC1"/>
    <w:rsid w:val="002E714F"/>
    <w:rsid w:val="00307BE9"/>
    <w:rsid w:val="00334A99"/>
    <w:rsid w:val="00354A7B"/>
    <w:rsid w:val="003563EC"/>
    <w:rsid w:val="003708AC"/>
    <w:rsid w:val="00370D25"/>
    <w:rsid w:val="00383F1D"/>
    <w:rsid w:val="003970EF"/>
    <w:rsid w:val="003A7BEE"/>
    <w:rsid w:val="003C0CD5"/>
    <w:rsid w:val="003E5048"/>
    <w:rsid w:val="004235B3"/>
    <w:rsid w:val="004279CF"/>
    <w:rsid w:val="004A0E09"/>
    <w:rsid w:val="004E397D"/>
    <w:rsid w:val="004E7A91"/>
    <w:rsid w:val="00527D31"/>
    <w:rsid w:val="00531E8D"/>
    <w:rsid w:val="00547AAA"/>
    <w:rsid w:val="005543E9"/>
    <w:rsid w:val="005637BD"/>
    <w:rsid w:val="005727F1"/>
    <w:rsid w:val="005879AD"/>
    <w:rsid w:val="005A401A"/>
    <w:rsid w:val="005C4E98"/>
    <w:rsid w:val="005D345B"/>
    <w:rsid w:val="005E3E95"/>
    <w:rsid w:val="00643A04"/>
    <w:rsid w:val="00644CCE"/>
    <w:rsid w:val="00646424"/>
    <w:rsid w:val="00663191"/>
    <w:rsid w:val="006703FD"/>
    <w:rsid w:val="006B5543"/>
    <w:rsid w:val="006C19AC"/>
    <w:rsid w:val="006D0B6E"/>
    <w:rsid w:val="006E064E"/>
    <w:rsid w:val="00707878"/>
    <w:rsid w:val="00726D60"/>
    <w:rsid w:val="00746036"/>
    <w:rsid w:val="007473AC"/>
    <w:rsid w:val="0075554A"/>
    <w:rsid w:val="007569EF"/>
    <w:rsid w:val="00763D75"/>
    <w:rsid w:val="00764810"/>
    <w:rsid w:val="00766A94"/>
    <w:rsid w:val="00780687"/>
    <w:rsid w:val="007A38CB"/>
    <w:rsid w:val="007A594B"/>
    <w:rsid w:val="007B3392"/>
    <w:rsid w:val="007C2270"/>
    <w:rsid w:val="007C51FC"/>
    <w:rsid w:val="007D5CC3"/>
    <w:rsid w:val="007D5DFC"/>
    <w:rsid w:val="007D669E"/>
    <w:rsid w:val="007E5B85"/>
    <w:rsid w:val="007F08D8"/>
    <w:rsid w:val="007F2793"/>
    <w:rsid w:val="008420CD"/>
    <w:rsid w:val="00842BA2"/>
    <w:rsid w:val="0087690A"/>
    <w:rsid w:val="00887589"/>
    <w:rsid w:val="008A3BB9"/>
    <w:rsid w:val="008A4297"/>
    <w:rsid w:val="008A4FA3"/>
    <w:rsid w:val="008B6CD6"/>
    <w:rsid w:val="008B7692"/>
    <w:rsid w:val="008C6D2B"/>
    <w:rsid w:val="008C7911"/>
    <w:rsid w:val="008D12CD"/>
    <w:rsid w:val="00900796"/>
    <w:rsid w:val="00907009"/>
    <w:rsid w:val="00923B8A"/>
    <w:rsid w:val="0094251B"/>
    <w:rsid w:val="00945164"/>
    <w:rsid w:val="009645FA"/>
    <w:rsid w:val="0096632D"/>
    <w:rsid w:val="0098039D"/>
    <w:rsid w:val="00983178"/>
    <w:rsid w:val="009E3B43"/>
    <w:rsid w:val="00A01915"/>
    <w:rsid w:val="00A277D5"/>
    <w:rsid w:val="00A347C7"/>
    <w:rsid w:val="00A42431"/>
    <w:rsid w:val="00A4394B"/>
    <w:rsid w:val="00A57944"/>
    <w:rsid w:val="00A616FE"/>
    <w:rsid w:val="00A86136"/>
    <w:rsid w:val="00AD162E"/>
    <w:rsid w:val="00B057C6"/>
    <w:rsid w:val="00B1207C"/>
    <w:rsid w:val="00B24445"/>
    <w:rsid w:val="00B3272F"/>
    <w:rsid w:val="00B43CB0"/>
    <w:rsid w:val="00B7181E"/>
    <w:rsid w:val="00B74310"/>
    <w:rsid w:val="00B84CF6"/>
    <w:rsid w:val="00BA1A2E"/>
    <w:rsid w:val="00BA7B2E"/>
    <w:rsid w:val="00BA7D93"/>
    <w:rsid w:val="00BB6C71"/>
    <w:rsid w:val="00BD6F7E"/>
    <w:rsid w:val="00BF4D64"/>
    <w:rsid w:val="00C0045E"/>
    <w:rsid w:val="00C41717"/>
    <w:rsid w:val="00C446E0"/>
    <w:rsid w:val="00CA6C6B"/>
    <w:rsid w:val="00CD1C18"/>
    <w:rsid w:val="00CE2083"/>
    <w:rsid w:val="00CE27CE"/>
    <w:rsid w:val="00CE44B1"/>
    <w:rsid w:val="00D12B6D"/>
    <w:rsid w:val="00D155D5"/>
    <w:rsid w:val="00D331A6"/>
    <w:rsid w:val="00D46774"/>
    <w:rsid w:val="00D47363"/>
    <w:rsid w:val="00D51EA0"/>
    <w:rsid w:val="00D61546"/>
    <w:rsid w:val="00D6791D"/>
    <w:rsid w:val="00D71408"/>
    <w:rsid w:val="00DA62E2"/>
    <w:rsid w:val="00DB17C8"/>
    <w:rsid w:val="00DC04D5"/>
    <w:rsid w:val="00DC5276"/>
    <w:rsid w:val="00DC559B"/>
    <w:rsid w:val="00DF0864"/>
    <w:rsid w:val="00DF7812"/>
    <w:rsid w:val="00E01172"/>
    <w:rsid w:val="00E12ED1"/>
    <w:rsid w:val="00E2555A"/>
    <w:rsid w:val="00E83074"/>
    <w:rsid w:val="00E87C58"/>
    <w:rsid w:val="00EA0273"/>
    <w:rsid w:val="00EC4FF2"/>
    <w:rsid w:val="00F0578E"/>
    <w:rsid w:val="00F141C5"/>
    <w:rsid w:val="00F17C35"/>
    <w:rsid w:val="00F338ED"/>
    <w:rsid w:val="00F4215D"/>
    <w:rsid w:val="00F51036"/>
    <w:rsid w:val="00F54C4D"/>
    <w:rsid w:val="00F626F6"/>
    <w:rsid w:val="00F6280E"/>
    <w:rsid w:val="00F70133"/>
    <w:rsid w:val="00F70260"/>
    <w:rsid w:val="00FA0A13"/>
    <w:rsid w:val="00FB753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764810"/>
    <w:rPr>
      <w:rFonts w:ascii="Times New Roman" w:eastAsia="Times New Roman" w:hAnsi="Times New Roman"/>
      <w:sz w:val="24"/>
      <w:szCs w:val="24"/>
    </w:rPr>
  </w:style>
  <w:style w:type="paragraph" w:styleId="Virsraksts3">
    <w:name w:val="heading 3"/>
    <w:basedOn w:val="Parastais"/>
    <w:qFormat/>
    <w:rsid w:val="00764810"/>
    <w:pPr>
      <w:spacing w:before="100" w:beforeAutospacing="1" w:after="100" w:afterAutospacing="1"/>
      <w:outlineLvl w:val="2"/>
    </w:pPr>
    <w:rPr>
      <w:b/>
      <w:bCs/>
      <w:sz w:val="27"/>
      <w:szCs w:val="27"/>
    </w:rPr>
  </w:style>
  <w:style w:type="paragraph" w:styleId="Virsraksts4">
    <w:name w:val="heading 4"/>
    <w:basedOn w:val="Parastais"/>
    <w:next w:val="Parastais"/>
    <w:qFormat/>
    <w:rsid w:val="0076481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764810"/>
    <w:pPr>
      <w:spacing w:before="75" w:after="75"/>
      <w:ind w:firstLine="375"/>
      <w:jc w:val="both"/>
    </w:pPr>
  </w:style>
  <w:style w:type="paragraph" w:customStyle="1" w:styleId="naisnod">
    <w:name w:val="naisnod"/>
    <w:basedOn w:val="Parastais"/>
    <w:rsid w:val="00764810"/>
    <w:pPr>
      <w:spacing w:before="150" w:after="150"/>
      <w:jc w:val="center"/>
    </w:pPr>
    <w:rPr>
      <w:b/>
      <w:bCs/>
    </w:rPr>
  </w:style>
  <w:style w:type="paragraph" w:customStyle="1" w:styleId="naislab">
    <w:name w:val="naislab"/>
    <w:basedOn w:val="Parastais"/>
    <w:rsid w:val="00764810"/>
    <w:pPr>
      <w:spacing w:before="75" w:after="75"/>
      <w:jc w:val="right"/>
    </w:pPr>
  </w:style>
  <w:style w:type="paragraph" w:customStyle="1" w:styleId="naiskr">
    <w:name w:val="naiskr"/>
    <w:basedOn w:val="Parastais"/>
    <w:rsid w:val="00764810"/>
    <w:pPr>
      <w:spacing w:before="75" w:after="75"/>
    </w:pPr>
  </w:style>
  <w:style w:type="paragraph" w:customStyle="1" w:styleId="naisc">
    <w:name w:val="naisc"/>
    <w:basedOn w:val="Parastais"/>
    <w:rsid w:val="00764810"/>
    <w:pPr>
      <w:spacing w:before="75" w:after="75"/>
      <w:jc w:val="center"/>
    </w:pPr>
  </w:style>
  <w:style w:type="paragraph" w:styleId="ParastaisWeb">
    <w:name w:val="Normal (Web)"/>
    <w:basedOn w:val="Parastais"/>
    <w:uiPriority w:val="99"/>
    <w:rsid w:val="00764810"/>
    <w:pPr>
      <w:spacing w:before="100" w:beforeAutospacing="1" w:after="100" w:afterAutospacing="1"/>
    </w:pPr>
  </w:style>
  <w:style w:type="paragraph" w:styleId="Kjene">
    <w:name w:val="footer"/>
    <w:basedOn w:val="Parastais"/>
    <w:rsid w:val="00764810"/>
    <w:pPr>
      <w:tabs>
        <w:tab w:val="center" w:pos="4153"/>
        <w:tab w:val="right" w:pos="8306"/>
      </w:tabs>
    </w:pPr>
  </w:style>
  <w:style w:type="character" w:customStyle="1" w:styleId="CharChar3">
    <w:name w:val="Char Char3"/>
    <w:basedOn w:val="Noklusjumarindkopasfonts"/>
    <w:rsid w:val="00764810"/>
    <w:rPr>
      <w:rFonts w:ascii="Times New Roman" w:eastAsia="Times New Roman" w:hAnsi="Times New Roman" w:cs="Times New Roman"/>
      <w:sz w:val="24"/>
      <w:szCs w:val="24"/>
      <w:lang w:eastAsia="lv-LV"/>
    </w:rPr>
  </w:style>
  <w:style w:type="paragraph" w:styleId="Galvene">
    <w:name w:val="header"/>
    <w:basedOn w:val="Parastais"/>
    <w:rsid w:val="00764810"/>
    <w:pPr>
      <w:tabs>
        <w:tab w:val="center" w:pos="4153"/>
        <w:tab w:val="right" w:pos="8306"/>
      </w:tabs>
    </w:pPr>
  </w:style>
  <w:style w:type="character" w:customStyle="1" w:styleId="CharChar2">
    <w:name w:val="Char Char2"/>
    <w:basedOn w:val="Noklusjumarindkopasfonts"/>
    <w:rsid w:val="00764810"/>
    <w:rPr>
      <w:rFonts w:ascii="Times New Roman" w:eastAsia="Times New Roman" w:hAnsi="Times New Roman"/>
      <w:sz w:val="24"/>
      <w:szCs w:val="24"/>
    </w:rPr>
  </w:style>
  <w:style w:type="character" w:styleId="Lappusesnumurs">
    <w:name w:val="page number"/>
    <w:basedOn w:val="Noklusjumarindkopasfonts"/>
    <w:rsid w:val="00764810"/>
  </w:style>
  <w:style w:type="character" w:styleId="Hipersaite">
    <w:name w:val="Hyperlink"/>
    <w:basedOn w:val="Noklusjumarindkopasfonts"/>
    <w:rsid w:val="00764810"/>
    <w:rPr>
      <w:color w:val="0000FF"/>
      <w:u w:val="single"/>
    </w:rPr>
  </w:style>
  <w:style w:type="paragraph" w:styleId="Pamatteksts">
    <w:name w:val="Body Text"/>
    <w:basedOn w:val="Parastais"/>
    <w:unhideWhenUsed/>
    <w:rsid w:val="00764810"/>
    <w:pPr>
      <w:spacing w:before="100" w:beforeAutospacing="1" w:after="100" w:afterAutospacing="1"/>
    </w:pPr>
  </w:style>
  <w:style w:type="character" w:customStyle="1" w:styleId="CharChar1">
    <w:name w:val="Char Char1"/>
    <w:basedOn w:val="Noklusjumarindkopasfonts"/>
    <w:semiHidden/>
    <w:rsid w:val="00764810"/>
    <w:rPr>
      <w:rFonts w:ascii="Times New Roman" w:eastAsia="Times New Roman" w:hAnsi="Times New Roman" w:cs="Times New Roman"/>
      <w:sz w:val="24"/>
      <w:szCs w:val="24"/>
      <w:lang w:eastAsia="lv-LV"/>
    </w:rPr>
  </w:style>
  <w:style w:type="paragraph" w:customStyle="1" w:styleId="Sarakstarindkopa1">
    <w:name w:val="Saraksta rindkopa1"/>
    <w:basedOn w:val="Parastais"/>
    <w:qFormat/>
    <w:rsid w:val="00764810"/>
    <w:pPr>
      <w:ind w:left="720"/>
      <w:contextualSpacing/>
    </w:pPr>
  </w:style>
  <w:style w:type="paragraph" w:styleId="Balonteksts">
    <w:name w:val="Balloon Text"/>
    <w:basedOn w:val="Parastais"/>
    <w:semiHidden/>
    <w:unhideWhenUsed/>
    <w:rsid w:val="00764810"/>
    <w:rPr>
      <w:rFonts w:ascii="Tahoma" w:hAnsi="Tahoma" w:cs="Tahoma"/>
      <w:sz w:val="16"/>
      <w:szCs w:val="16"/>
    </w:rPr>
  </w:style>
  <w:style w:type="character" w:customStyle="1" w:styleId="CharChar">
    <w:name w:val="Char Char"/>
    <w:basedOn w:val="Noklusjumarindkopasfonts"/>
    <w:semiHidden/>
    <w:rsid w:val="00764810"/>
    <w:rPr>
      <w:rFonts w:ascii="Tahoma" w:eastAsia="Times New Roman" w:hAnsi="Tahoma" w:cs="Tahoma"/>
      <w:sz w:val="16"/>
      <w:szCs w:val="16"/>
    </w:rPr>
  </w:style>
  <w:style w:type="character" w:styleId="Izteiksmgs">
    <w:name w:val="Strong"/>
    <w:basedOn w:val="Noklusjumarindkopasfonts"/>
    <w:qFormat/>
    <w:rsid w:val="00764810"/>
    <w:rPr>
      <w:b/>
      <w:bCs/>
    </w:rPr>
  </w:style>
  <w:style w:type="paragraph" w:customStyle="1" w:styleId="naisvisr">
    <w:name w:val="naisvisr"/>
    <w:basedOn w:val="Parastais"/>
    <w:rsid w:val="00764810"/>
    <w:pPr>
      <w:spacing w:before="150" w:after="150"/>
      <w:jc w:val="center"/>
    </w:pPr>
    <w:rPr>
      <w:b/>
      <w:bCs/>
      <w:sz w:val="28"/>
      <w:szCs w:val="28"/>
    </w:rPr>
  </w:style>
  <w:style w:type="character" w:customStyle="1" w:styleId="CharChar4">
    <w:name w:val="Char Char4"/>
    <w:basedOn w:val="Noklusjumarindkopasfonts"/>
    <w:rsid w:val="00764810"/>
    <w:rPr>
      <w:rFonts w:ascii="Times New Roman" w:eastAsia="Times New Roman" w:hAnsi="Times New Roman"/>
      <w:b/>
      <w:bCs/>
      <w:sz w:val="27"/>
      <w:szCs w:val="27"/>
    </w:rPr>
  </w:style>
  <w:style w:type="character" w:styleId="Komentraatsauce">
    <w:name w:val="annotation reference"/>
    <w:basedOn w:val="Noklusjumarindkopasfonts"/>
    <w:semiHidden/>
    <w:rsid w:val="00764810"/>
    <w:rPr>
      <w:sz w:val="16"/>
      <w:szCs w:val="16"/>
    </w:rPr>
  </w:style>
  <w:style w:type="paragraph" w:styleId="Komentrateksts">
    <w:name w:val="annotation text"/>
    <w:basedOn w:val="Parastais"/>
    <w:semiHidden/>
    <w:rsid w:val="00764810"/>
    <w:rPr>
      <w:sz w:val="20"/>
      <w:szCs w:val="20"/>
    </w:rPr>
  </w:style>
  <w:style w:type="paragraph" w:customStyle="1" w:styleId="naispant">
    <w:name w:val="naispant"/>
    <w:basedOn w:val="Parastais"/>
    <w:rsid w:val="00646424"/>
    <w:pPr>
      <w:spacing w:before="300" w:after="150"/>
      <w:ind w:left="375" w:firstLine="375"/>
      <w:jc w:val="both"/>
    </w:pPr>
    <w:rPr>
      <w:b/>
      <w:bCs/>
    </w:rPr>
  </w:style>
  <w:style w:type="paragraph" w:customStyle="1" w:styleId="CharCharRakstzCharCharRakstz">
    <w:name w:val="Char Char Rakstz. Char Char Rakstz."/>
    <w:basedOn w:val="Parastais"/>
    <w:next w:val="Tekstabloks"/>
    <w:rsid w:val="00334A99"/>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ais"/>
    <w:rsid w:val="00334A9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Sarakstarindkopa">
    <w:name w:val="List Paragraph"/>
    <w:basedOn w:val="Parastais"/>
    <w:uiPriority w:val="34"/>
    <w:qFormat/>
    <w:rsid w:val="00A86136"/>
    <w:pPr>
      <w:ind w:left="720"/>
      <w:contextualSpacing/>
    </w:pPr>
  </w:style>
</w:styles>
</file>

<file path=word/webSettings.xml><?xml version="1.0" encoding="utf-8"?>
<w:webSettings xmlns:r="http://schemas.openxmlformats.org/officeDocument/2006/relationships" xmlns:w="http://schemas.openxmlformats.org/wordprocessingml/2006/main">
  <w:divs>
    <w:div w:id="652375392">
      <w:bodyDiv w:val="1"/>
      <w:marLeft w:val="0"/>
      <w:marRight w:val="0"/>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9402-AE46-4C26-A3A6-126B3B59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3</Pages>
  <Words>3103</Words>
  <Characters>1770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KMAnot_020910; Ministru kabineta noteikumu projekta „Noteikumi par Latvijas sabiedrībai īpaši svarīgiem notikumiem audiovizuālajos elektroniskajos plašsaziņas līdzekļos” anotācija</vt:lpstr>
      <vt:lpstr>Ministru kabineta noteikumu projekta „Noteikumi par dokumenta izslēgšanu no nacionālā dokumentārā mantojuma” anotācija</vt:lpstr>
    </vt:vector>
  </TitlesOfParts>
  <Company>LR Kultūras ministrija</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KMAnot_271210; Ministru kabineta noteikumu projekta „Noteikumi par Latvijas sabiedrībai īpaši svarīgiem notikumiem audiovizuālajos elektroniskajos plašsaziņas līdzekļos” anotācija</dc:title>
  <dc:subject>MK noteikumu projekta anotācija</dc:subject>
  <dc:creator>L.Pavļuta</dc:creator>
  <cp:keywords>Kultūras ministrija</cp:keywords>
  <dc:description>Tel.:    67 330 210
Fakss: 67 330 293
E-pasts: Linda.Pavluta@km.gov.lv</dc:description>
  <cp:lastModifiedBy>Anete Zubača</cp:lastModifiedBy>
  <cp:revision>40</cp:revision>
  <cp:lastPrinted>2010-11-22T14:41:00Z</cp:lastPrinted>
  <dcterms:created xsi:type="dcterms:W3CDTF">2010-09-02T09:12:00Z</dcterms:created>
  <dcterms:modified xsi:type="dcterms:W3CDTF">2010-12-27T14:00:00Z</dcterms:modified>
  <cp:category>Starptautiskās sadarbības un Eiropas Savienības politikas nodaļa</cp:category>
</cp:coreProperties>
</file>