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473A33" w:rsidRDefault="00473A33" w:rsidP="004B792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bookmarkStart w:id="3" w:name="OLE_LINK4"/>
      <w:bookmarkStart w:id="4" w:name="OLE_LINK5"/>
      <w:bookmarkStart w:id="5" w:name="OLE_LINK6"/>
      <w:r w:rsidRPr="00E057E8">
        <w:rPr>
          <w:b/>
          <w:bCs/>
          <w:sz w:val="28"/>
          <w:szCs w:val="28"/>
        </w:rPr>
        <w:t>Grozījum</w:t>
      </w:r>
      <w:r w:rsidR="00C203DF">
        <w:rPr>
          <w:b/>
          <w:bCs/>
          <w:sz w:val="28"/>
          <w:szCs w:val="28"/>
        </w:rPr>
        <w:t>i</w:t>
      </w:r>
      <w:r w:rsidRPr="00E057E8">
        <w:rPr>
          <w:b/>
          <w:bCs/>
          <w:sz w:val="28"/>
          <w:szCs w:val="28"/>
        </w:rPr>
        <w:t xml:space="preserve"> Minist</w:t>
      </w:r>
      <w:r w:rsidR="001D340D">
        <w:rPr>
          <w:b/>
          <w:bCs/>
          <w:sz w:val="28"/>
          <w:szCs w:val="28"/>
        </w:rPr>
        <w:t>ru kabineta 201</w:t>
      </w:r>
      <w:r w:rsidR="0071558B">
        <w:rPr>
          <w:b/>
          <w:bCs/>
          <w:sz w:val="28"/>
          <w:szCs w:val="28"/>
        </w:rPr>
        <w:t xml:space="preserve">3.gada </w:t>
      </w:r>
      <w:r w:rsidR="001D340D">
        <w:rPr>
          <w:b/>
          <w:bCs/>
          <w:sz w:val="28"/>
          <w:szCs w:val="28"/>
        </w:rPr>
        <w:t>2</w:t>
      </w:r>
      <w:r w:rsidR="0071558B">
        <w:rPr>
          <w:b/>
          <w:bCs/>
          <w:sz w:val="28"/>
          <w:szCs w:val="28"/>
        </w:rPr>
        <w:t>6</w:t>
      </w:r>
      <w:r w:rsidR="001D340D">
        <w:rPr>
          <w:b/>
          <w:bCs/>
          <w:sz w:val="28"/>
          <w:szCs w:val="28"/>
        </w:rPr>
        <w:t>.</w:t>
      </w:r>
      <w:r w:rsidR="0071558B">
        <w:rPr>
          <w:b/>
          <w:bCs/>
          <w:sz w:val="28"/>
          <w:szCs w:val="28"/>
        </w:rPr>
        <w:t>marta</w:t>
      </w:r>
      <w:r w:rsidRPr="00E057E8">
        <w:rPr>
          <w:b/>
          <w:bCs/>
          <w:sz w:val="28"/>
          <w:szCs w:val="28"/>
        </w:rPr>
        <w:t xml:space="preserve"> noteikumos Nr.</w:t>
      </w:r>
      <w:r w:rsidR="0071558B">
        <w:rPr>
          <w:b/>
          <w:bCs/>
          <w:sz w:val="28"/>
          <w:szCs w:val="28"/>
        </w:rPr>
        <w:t>163</w:t>
      </w:r>
      <w:r w:rsidRPr="00E057E8">
        <w:rPr>
          <w:b/>
          <w:bCs/>
          <w:sz w:val="28"/>
          <w:szCs w:val="28"/>
        </w:rPr>
        <w:t xml:space="preserve"> „</w:t>
      </w:r>
      <w:r w:rsidR="0071558B">
        <w:rPr>
          <w:b/>
          <w:bCs/>
          <w:sz w:val="28"/>
          <w:szCs w:val="28"/>
        </w:rPr>
        <w:t>Valsts budžeta līdzfinansējuma piešķiršanas kārtība ārvalstu filmu uzņemšanai Latvijā</w:t>
      </w:r>
      <w:r w:rsidRPr="00E057E8">
        <w:rPr>
          <w:b/>
          <w:bCs/>
          <w:sz w:val="28"/>
          <w:szCs w:val="28"/>
        </w:rPr>
        <w:t>”</w:t>
      </w:r>
      <w:bookmarkEnd w:id="3"/>
      <w:bookmarkEnd w:id="4"/>
      <w:bookmarkEnd w:id="5"/>
      <w:r>
        <w:rPr>
          <w:b/>
          <w:bCs/>
          <w:sz w:val="28"/>
          <w:szCs w:val="28"/>
        </w:rPr>
        <w:t xml:space="preserve">” </w:t>
      </w:r>
      <w:r w:rsidR="00E37606" w:rsidRPr="00AB2A5C">
        <w:rPr>
          <w:b/>
          <w:sz w:val="28"/>
          <w:szCs w:val="28"/>
        </w:rPr>
        <w:t>sākotnējās ietekmes</w:t>
      </w:r>
    </w:p>
    <w:p w:rsidR="00E37606" w:rsidRPr="00AB2A5C" w:rsidRDefault="00E37606" w:rsidP="004B7922">
      <w:pPr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 xml:space="preserve">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8036F7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8036F7">
              <w:rPr>
                <w:sz w:val="28"/>
                <w:szCs w:val="28"/>
              </w:rPr>
              <w:t xml:space="preserve"> un </w:t>
            </w:r>
            <w:r w:rsidR="008036F7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8036F7" w:rsidRPr="00B417A6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8036F7" w:rsidRPr="00B417A6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8036F7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8036F7" w:rsidRPr="00B417A6">
              <w:rPr>
                <w:sz w:val="28"/>
                <w:szCs w:val="28"/>
              </w:rPr>
              <w:t>J2.2.1</w:t>
            </w:r>
            <w:r w:rsidR="008036F7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71558B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 xml:space="preserve">, </w:t>
            </w:r>
            <w:r w:rsidR="00D51484">
              <w:rPr>
                <w:sz w:val="28"/>
                <w:szCs w:val="28"/>
              </w:rPr>
              <w:t>ir nepieciešams veikt grozījumu</w:t>
            </w:r>
            <w:r w:rsidR="00C203DF">
              <w:rPr>
                <w:sz w:val="28"/>
                <w:szCs w:val="28"/>
              </w:rPr>
              <w:t>s</w:t>
            </w:r>
            <w:r w:rsidR="0071558B">
              <w:rPr>
                <w:sz w:val="28"/>
                <w:szCs w:val="28"/>
              </w:rPr>
              <w:t xml:space="preserve"> Ministru kabineta 2013</w:t>
            </w:r>
            <w:r w:rsidR="00473A33" w:rsidRPr="009167D7">
              <w:rPr>
                <w:sz w:val="28"/>
                <w:szCs w:val="28"/>
              </w:rPr>
              <w:t xml:space="preserve">.gada </w:t>
            </w:r>
            <w:r w:rsidR="00473A33">
              <w:rPr>
                <w:sz w:val="28"/>
                <w:szCs w:val="28"/>
              </w:rPr>
              <w:t>2</w:t>
            </w:r>
            <w:r w:rsidR="0071558B">
              <w:rPr>
                <w:sz w:val="28"/>
                <w:szCs w:val="28"/>
              </w:rPr>
              <w:t>6</w:t>
            </w:r>
            <w:r w:rsidR="00473A33">
              <w:rPr>
                <w:bCs/>
                <w:sz w:val="28"/>
                <w:szCs w:val="28"/>
              </w:rPr>
              <w:t>.</w:t>
            </w:r>
            <w:r w:rsidR="0071558B">
              <w:rPr>
                <w:bCs/>
                <w:sz w:val="28"/>
                <w:szCs w:val="28"/>
              </w:rPr>
              <w:t>marta</w:t>
            </w:r>
            <w:r w:rsidR="00473A33">
              <w:rPr>
                <w:bCs/>
                <w:sz w:val="28"/>
                <w:szCs w:val="28"/>
              </w:rPr>
              <w:t xml:space="preserve"> noteikumos Nr.</w:t>
            </w:r>
            <w:r w:rsidR="0071558B">
              <w:rPr>
                <w:bCs/>
                <w:sz w:val="28"/>
                <w:szCs w:val="28"/>
              </w:rPr>
              <w:t>163</w:t>
            </w:r>
            <w:r w:rsidR="00473A33">
              <w:rPr>
                <w:bCs/>
                <w:sz w:val="28"/>
                <w:szCs w:val="28"/>
              </w:rPr>
              <w:t xml:space="preserve"> </w:t>
            </w:r>
            <w:r w:rsidR="00473A33" w:rsidRPr="00E057E8">
              <w:rPr>
                <w:bCs/>
                <w:sz w:val="28"/>
                <w:szCs w:val="28"/>
              </w:rPr>
              <w:t>„</w:t>
            </w:r>
            <w:r w:rsidR="0071558B">
              <w:rPr>
                <w:bCs/>
                <w:sz w:val="28"/>
                <w:szCs w:val="28"/>
              </w:rPr>
              <w:t>Valsts budžeta līdzfinansējuma piešķiršanas kārtība ārvalstu filmu uzņemšanai Latvijā</w:t>
            </w:r>
            <w:r w:rsidR="00473A33" w:rsidRPr="00E057E8">
              <w:rPr>
                <w:bCs/>
                <w:sz w:val="28"/>
                <w:szCs w:val="28"/>
              </w:rPr>
              <w:t>”</w:t>
            </w:r>
            <w:r w:rsidRPr="001926CC">
              <w:rPr>
                <w:sz w:val="28"/>
                <w:szCs w:val="28"/>
              </w:rPr>
              <w:t>, aizstājot</w:t>
            </w:r>
            <w:r w:rsidRPr="00C345F2">
              <w:rPr>
                <w:sz w:val="28"/>
                <w:szCs w:val="28"/>
              </w:rPr>
              <w:t xml:space="preserve">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C345F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 xml:space="preserve">Ministru kabineta </w:t>
            </w:r>
            <w:r w:rsidR="001926CC" w:rsidRPr="00C345F2">
              <w:rPr>
                <w:bCs/>
                <w:sz w:val="28"/>
                <w:szCs w:val="28"/>
              </w:rPr>
              <w:t>20</w:t>
            </w:r>
            <w:r w:rsidR="0071558B">
              <w:rPr>
                <w:bCs/>
                <w:sz w:val="28"/>
                <w:szCs w:val="28"/>
              </w:rPr>
              <w:t>13</w:t>
            </w:r>
            <w:r w:rsidR="001926CC" w:rsidRPr="00C345F2">
              <w:rPr>
                <w:bCs/>
                <w:sz w:val="28"/>
                <w:szCs w:val="28"/>
              </w:rPr>
              <w:t>.gada</w:t>
            </w:r>
            <w:r w:rsidR="001A1115">
              <w:rPr>
                <w:bCs/>
                <w:sz w:val="28"/>
                <w:szCs w:val="28"/>
              </w:rPr>
              <w:t xml:space="preserve"> </w:t>
            </w:r>
            <w:r w:rsidR="001A1115">
              <w:rPr>
                <w:sz w:val="28"/>
                <w:szCs w:val="28"/>
              </w:rPr>
              <w:t>2</w:t>
            </w:r>
            <w:r w:rsidR="0071558B">
              <w:rPr>
                <w:sz w:val="28"/>
                <w:szCs w:val="28"/>
              </w:rPr>
              <w:t>6</w:t>
            </w:r>
            <w:r w:rsidR="001A1115">
              <w:rPr>
                <w:bCs/>
                <w:sz w:val="28"/>
                <w:szCs w:val="28"/>
              </w:rPr>
              <w:t>.</w:t>
            </w:r>
            <w:r w:rsidR="0071558B">
              <w:rPr>
                <w:bCs/>
                <w:sz w:val="28"/>
                <w:szCs w:val="28"/>
              </w:rPr>
              <w:t>marta</w:t>
            </w:r>
            <w:r w:rsidR="001A1115">
              <w:rPr>
                <w:bCs/>
                <w:sz w:val="28"/>
                <w:szCs w:val="28"/>
              </w:rPr>
              <w:t xml:space="preserve"> noteikumus Nr.</w:t>
            </w:r>
            <w:r w:rsidR="0071558B">
              <w:rPr>
                <w:bCs/>
                <w:sz w:val="28"/>
                <w:szCs w:val="28"/>
              </w:rPr>
              <w:t>163</w:t>
            </w:r>
            <w:r w:rsidR="001A1115">
              <w:rPr>
                <w:bCs/>
                <w:sz w:val="28"/>
                <w:szCs w:val="28"/>
              </w:rPr>
              <w:t xml:space="preserve"> </w:t>
            </w:r>
            <w:r w:rsidR="001A1115" w:rsidRPr="00E057E8">
              <w:rPr>
                <w:bCs/>
                <w:sz w:val="28"/>
                <w:szCs w:val="28"/>
              </w:rPr>
              <w:t>„</w:t>
            </w:r>
            <w:r w:rsidR="0071558B">
              <w:rPr>
                <w:bCs/>
                <w:sz w:val="28"/>
                <w:szCs w:val="28"/>
              </w:rPr>
              <w:t>Valsts budžeta līdzfinansējuma piešķiršanas kārtība ārvalstu filmu uzņemšanai Latvijā</w:t>
            </w:r>
            <w:r w:rsidR="001A1115" w:rsidRPr="00E057E8">
              <w:rPr>
                <w:bCs/>
                <w:sz w:val="28"/>
                <w:szCs w:val="28"/>
              </w:rPr>
              <w:t>”</w:t>
            </w:r>
            <w:r w:rsidR="00C345F2" w:rsidRPr="00C345F2">
              <w:rPr>
                <w:sz w:val="28"/>
                <w:szCs w:val="28"/>
              </w:rPr>
              <w:t xml:space="preserve">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ieviešanai, aizstājot tajā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>.</w:t>
            </w:r>
          </w:p>
          <w:p w:rsidR="002376A5" w:rsidRDefault="000A2E70" w:rsidP="002376A5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C345F2">
              <w:rPr>
                <w:i/>
                <w:sz w:val="28"/>
                <w:szCs w:val="28"/>
              </w:rPr>
              <w:t>euro</w:t>
            </w:r>
            <w:r w:rsidR="00C345F2" w:rsidRPr="00C345F2">
              <w:rPr>
                <w:sz w:val="28"/>
                <w:szCs w:val="28"/>
              </w:rPr>
              <w:t xml:space="preserve"> atbilstoši </w:t>
            </w:r>
            <w:r w:rsidR="00C345F2"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="00C345F2" w:rsidRPr="00C345F2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2A05BB">
              <w:rPr>
                <w:color w:val="000000" w:themeColor="text1"/>
                <w:sz w:val="28"/>
                <w:szCs w:val="28"/>
              </w:rPr>
              <w:t>32</w:t>
            </w:r>
            <w:r w:rsidR="005A725B">
              <w:rPr>
                <w:color w:val="000000" w:themeColor="text1"/>
                <w:sz w:val="28"/>
                <w:szCs w:val="28"/>
              </w:rPr>
              <w:t>.panta</w:t>
            </w:r>
            <w:r w:rsidR="002A05BB">
              <w:rPr>
                <w:color w:val="000000" w:themeColor="text1"/>
                <w:sz w:val="28"/>
                <w:szCs w:val="28"/>
              </w:rPr>
              <w:t xml:space="preserve"> otrās daļas 2.</w:t>
            </w:r>
            <w:r w:rsidR="004F333F">
              <w:rPr>
                <w:color w:val="000000" w:themeColor="text1"/>
                <w:sz w:val="28"/>
                <w:szCs w:val="28"/>
              </w:rPr>
              <w:t>punktā paredzētajiem principiem un budžeta veidošanas principiem,</w:t>
            </w:r>
            <w:r w:rsidR="002A05BB">
              <w:rPr>
                <w:color w:val="000000" w:themeColor="text1"/>
                <w:sz w:val="28"/>
                <w:szCs w:val="28"/>
              </w:rPr>
              <w:t xml:space="preserve"> noapaļojot </w:t>
            </w:r>
            <w:r w:rsidR="002376A5">
              <w:rPr>
                <w:color w:val="000000" w:themeColor="text1"/>
                <w:sz w:val="28"/>
                <w:szCs w:val="28"/>
              </w:rPr>
              <w:t>summas līdz veseliem skaitļiem.</w:t>
            </w:r>
          </w:p>
          <w:p w:rsidR="002376A5" w:rsidRDefault="00C345F2" w:rsidP="002376A5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 w:rsidRPr="00C345F2">
              <w:rPr>
                <w:color w:val="000000" w:themeColor="text1"/>
                <w:sz w:val="28"/>
                <w:szCs w:val="28"/>
              </w:rPr>
              <w:t xml:space="preserve">Grozītās tiesību normas </w:t>
            </w:r>
            <w:proofErr w:type="spellStart"/>
            <w:r w:rsidRPr="00C345F2">
              <w:rPr>
                <w:i/>
                <w:color w:val="000000" w:themeColor="text1"/>
                <w:sz w:val="28"/>
                <w:szCs w:val="28"/>
              </w:rPr>
              <w:t>euro</w:t>
            </w:r>
            <w:proofErr w:type="spellEnd"/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345F2">
              <w:rPr>
                <w:color w:val="000000" w:themeColor="text1"/>
                <w:sz w:val="28"/>
                <w:szCs w:val="28"/>
              </w:rPr>
              <w:t xml:space="preserve">valūtā nav personām nelabvēlīgākas par sākotnējo </w:t>
            </w:r>
            <w:r w:rsidRPr="00C345F2">
              <w:rPr>
                <w:color w:val="000000" w:themeColor="text1"/>
                <w:sz w:val="28"/>
                <w:szCs w:val="28"/>
              </w:rPr>
              <w:lastRenderedPageBreak/>
              <w:t xml:space="preserve">tiesību normu latos un nerada </w:t>
            </w:r>
            <w:bookmarkStart w:id="6" w:name="_GoBack"/>
            <w:bookmarkEnd w:id="6"/>
            <w:r w:rsidRPr="00C345F2">
              <w:rPr>
                <w:color w:val="000000" w:themeColor="text1"/>
                <w:sz w:val="28"/>
                <w:szCs w:val="28"/>
              </w:rPr>
              <w:t>negatīvu ietekmi uz valsts budžetu.</w:t>
            </w:r>
          </w:p>
          <w:p w:rsidR="00885A6E" w:rsidRPr="002376A5" w:rsidRDefault="00885A6E" w:rsidP="00C203DF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Grozītās </w:t>
            </w:r>
            <w:r w:rsidR="002A23DA">
              <w:rPr>
                <w:color w:val="000000" w:themeColor="text1"/>
                <w:sz w:val="28"/>
                <w:szCs w:val="28"/>
              </w:rPr>
              <w:t xml:space="preserve">tiesību normas par latu aizstāšanu uz </w:t>
            </w:r>
            <w:proofErr w:type="spellStart"/>
            <w:r w:rsidR="002A23DA" w:rsidRPr="00085479">
              <w:rPr>
                <w:i/>
                <w:color w:val="000000" w:themeColor="text1"/>
                <w:sz w:val="28"/>
                <w:szCs w:val="28"/>
              </w:rPr>
              <w:t>euro</w:t>
            </w:r>
            <w:proofErr w:type="spellEnd"/>
            <w:r w:rsidR="002A23DA">
              <w:rPr>
                <w:color w:val="000000" w:themeColor="text1"/>
                <w:sz w:val="28"/>
                <w:szCs w:val="28"/>
              </w:rPr>
              <w:t xml:space="preserve"> attiecībā uz </w:t>
            </w:r>
            <w:r w:rsidRPr="00885A6E">
              <w:rPr>
                <w:sz w:val="28"/>
                <w:szCs w:val="28"/>
              </w:rPr>
              <w:t>kopējā</w:t>
            </w:r>
            <w:r w:rsidR="002A23DA">
              <w:rPr>
                <w:sz w:val="28"/>
                <w:szCs w:val="28"/>
              </w:rPr>
              <w:t>m</w:t>
            </w:r>
            <w:r w:rsidRPr="00885A6E">
              <w:rPr>
                <w:sz w:val="28"/>
                <w:szCs w:val="28"/>
              </w:rPr>
              <w:t xml:space="preserve"> filmas projekta izmaks</w:t>
            </w:r>
            <w:r w:rsidR="002A23DA">
              <w:rPr>
                <w:sz w:val="28"/>
                <w:szCs w:val="28"/>
              </w:rPr>
              <w:t>ām</w:t>
            </w:r>
            <w:r w:rsidRPr="00885A6E">
              <w:rPr>
                <w:sz w:val="28"/>
                <w:szCs w:val="28"/>
              </w:rPr>
              <w:t xml:space="preserve"> </w:t>
            </w:r>
            <w:proofErr w:type="spellStart"/>
            <w:r w:rsidRPr="00885A6E">
              <w:rPr>
                <w:sz w:val="28"/>
                <w:szCs w:val="28"/>
              </w:rPr>
              <w:t>spēlfilmām</w:t>
            </w:r>
            <w:proofErr w:type="spellEnd"/>
            <w:r w:rsidRPr="00885A6E">
              <w:rPr>
                <w:sz w:val="28"/>
                <w:szCs w:val="28"/>
              </w:rPr>
              <w:t xml:space="preserve"> un animācijas filmām </w:t>
            </w:r>
            <w:r w:rsidR="002A23DA">
              <w:rPr>
                <w:sz w:val="28"/>
                <w:szCs w:val="28"/>
              </w:rPr>
              <w:t xml:space="preserve">tiek norādītas kā skaitļu intervāli, kuros norādītās summas </w:t>
            </w:r>
            <w:proofErr w:type="spellStart"/>
            <w:r w:rsidR="002A23DA" w:rsidRPr="00085479">
              <w:rPr>
                <w:i/>
                <w:sz w:val="28"/>
                <w:szCs w:val="28"/>
              </w:rPr>
              <w:t>euro</w:t>
            </w:r>
            <w:proofErr w:type="spellEnd"/>
            <w:r w:rsidR="002A23DA">
              <w:rPr>
                <w:sz w:val="28"/>
                <w:szCs w:val="28"/>
              </w:rPr>
              <w:t xml:space="preserve"> apzīmētas ar </w:t>
            </w:r>
            <w:r w:rsidR="002A23DA" w:rsidRPr="00484D36">
              <w:rPr>
                <w:sz w:val="28"/>
                <w:szCs w:val="28"/>
              </w:rPr>
              <w:t xml:space="preserve">vārdiem – „sasniedz vismaz”, tādēļ </w:t>
            </w:r>
            <w:r w:rsidR="00484D36">
              <w:rPr>
                <w:sz w:val="28"/>
                <w:szCs w:val="28"/>
              </w:rPr>
              <w:t xml:space="preserve">norādītās summas </w:t>
            </w:r>
            <w:proofErr w:type="spellStart"/>
            <w:r w:rsidR="00484D36" w:rsidRPr="00C203DF">
              <w:rPr>
                <w:i/>
                <w:sz w:val="28"/>
                <w:szCs w:val="28"/>
              </w:rPr>
              <w:t>euro</w:t>
            </w:r>
            <w:proofErr w:type="spellEnd"/>
            <w:r w:rsidR="002A23DA" w:rsidRPr="00484D36">
              <w:rPr>
                <w:sz w:val="28"/>
                <w:szCs w:val="28"/>
              </w:rPr>
              <w:t xml:space="preserve"> </w:t>
            </w:r>
            <w:r w:rsidR="00C203DF">
              <w:rPr>
                <w:sz w:val="28"/>
                <w:szCs w:val="28"/>
              </w:rPr>
              <w:t>projekta</w:t>
            </w:r>
            <w:r w:rsidR="00484D36" w:rsidRPr="00484D36">
              <w:rPr>
                <w:sz w:val="28"/>
                <w:szCs w:val="28"/>
              </w:rPr>
              <w:t xml:space="preserve"> ietekmi uz valsts budžetu neveido.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1D340D">
              <w:rPr>
                <w:bCs/>
                <w:sz w:val="28"/>
                <w:szCs w:val="28"/>
              </w:rPr>
              <w:t>, Nacionālais kino centrs</w:t>
            </w:r>
            <w:r w:rsidR="0073153C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3609AB" w:rsidRDefault="001570EE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8036F7" w:rsidRDefault="008036F7" w:rsidP="004B7922">
      <w:pPr>
        <w:jc w:val="both"/>
        <w:rPr>
          <w:sz w:val="28"/>
          <w:szCs w:val="28"/>
        </w:rPr>
      </w:pPr>
    </w:p>
    <w:p w:rsidR="008036F7" w:rsidRDefault="008036F7" w:rsidP="008036F7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C923D1"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proofErr w:type="spellStart"/>
      <w:r w:rsidR="00C923D1">
        <w:rPr>
          <w:sz w:val="28"/>
          <w:szCs w:val="28"/>
        </w:rPr>
        <w:t>Ž.Jaunzeme-Grende</w:t>
      </w:r>
      <w:proofErr w:type="spellEnd"/>
    </w:p>
    <w:p w:rsidR="00C923D1" w:rsidRDefault="00E37606" w:rsidP="00C923D1">
      <w:pPr>
        <w:pStyle w:val="naisf"/>
        <w:spacing w:before="0" w:after="0"/>
        <w:ind w:left="142"/>
        <w:rPr>
          <w:sz w:val="28"/>
          <w:szCs w:val="28"/>
        </w:rPr>
      </w:pPr>
      <w:r w:rsidRPr="00BA5E65">
        <w:rPr>
          <w:sz w:val="28"/>
          <w:szCs w:val="28"/>
        </w:rPr>
        <w:tab/>
      </w:r>
    </w:p>
    <w:p w:rsidR="00E37606" w:rsidRPr="00BA5E65" w:rsidRDefault="00FD13DB" w:rsidP="00C923D1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Vīza: V</w:t>
      </w:r>
      <w:r w:rsidR="00E37606">
        <w:rPr>
          <w:sz w:val="28"/>
          <w:szCs w:val="28"/>
        </w:rPr>
        <w:t>alsts sekretārs</w:t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 w:rsidR="00E3760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3D1">
        <w:rPr>
          <w:sz w:val="28"/>
          <w:szCs w:val="28"/>
        </w:rPr>
        <w:tab/>
      </w:r>
      <w:r w:rsidR="00E37606">
        <w:rPr>
          <w:sz w:val="28"/>
          <w:szCs w:val="28"/>
        </w:rPr>
        <w:t>G.Puķītis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Default="00034E00" w:rsidP="004B7922">
      <w:pPr>
        <w:rPr>
          <w:sz w:val="22"/>
          <w:szCs w:val="22"/>
        </w:rPr>
      </w:pPr>
    </w:p>
    <w:p w:rsidR="00C203DF" w:rsidRDefault="00C203DF" w:rsidP="004B7922">
      <w:pPr>
        <w:rPr>
          <w:sz w:val="22"/>
          <w:szCs w:val="22"/>
        </w:rPr>
      </w:pPr>
    </w:p>
    <w:p w:rsidR="00C203DF" w:rsidRPr="00C203DF" w:rsidRDefault="00C203DF" w:rsidP="004B7922">
      <w:pPr>
        <w:rPr>
          <w:sz w:val="22"/>
          <w:szCs w:val="22"/>
        </w:rPr>
      </w:pPr>
    </w:p>
    <w:p w:rsidR="00E37606" w:rsidRPr="00C203DF" w:rsidRDefault="000F423A" w:rsidP="004B7922">
      <w:pPr>
        <w:rPr>
          <w:sz w:val="22"/>
          <w:szCs w:val="22"/>
        </w:rPr>
      </w:pPr>
      <w:r w:rsidRPr="00C203DF">
        <w:rPr>
          <w:sz w:val="22"/>
          <w:szCs w:val="22"/>
        </w:rPr>
        <w:fldChar w:fldCharType="begin"/>
      </w:r>
      <w:r w:rsidR="00E37606" w:rsidRPr="00C203DF">
        <w:rPr>
          <w:sz w:val="22"/>
          <w:szCs w:val="22"/>
        </w:rPr>
        <w:instrText xml:space="preserve"> DATE  \@ "yyyy.MM.dd. H:mm"  \* MERGEFORMAT </w:instrText>
      </w:r>
      <w:r w:rsidRPr="00C203DF">
        <w:rPr>
          <w:sz w:val="22"/>
          <w:szCs w:val="22"/>
        </w:rPr>
        <w:fldChar w:fldCharType="separate"/>
      </w:r>
      <w:r w:rsidR="00C923D1">
        <w:rPr>
          <w:noProof/>
          <w:sz w:val="22"/>
          <w:szCs w:val="22"/>
        </w:rPr>
        <w:t>2013.08.03. 14:18</w:t>
      </w:r>
      <w:r w:rsidRPr="00C203DF">
        <w:rPr>
          <w:sz w:val="22"/>
          <w:szCs w:val="22"/>
        </w:rPr>
        <w:fldChar w:fldCharType="end"/>
      </w:r>
    </w:p>
    <w:p w:rsidR="00E37606" w:rsidRPr="00C203DF" w:rsidRDefault="004F333F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583</w:t>
      </w:r>
    </w:p>
    <w:p w:rsidR="00FD13DB" w:rsidRPr="00C203DF" w:rsidRDefault="001D340D" w:rsidP="00FD13DB">
      <w:pPr>
        <w:pStyle w:val="Galvene"/>
        <w:rPr>
          <w:sz w:val="22"/>
          <w:szCs w:val="22"/>
        </w:rPr>
      </w:pPr>
      <w:r w:rsidRPr="00C203DF">
        <w:rPr>
          <w:sz w:val="22"/>
          <w:szCs w:val="22"/>
        </w:rPr>
        <w:t>L.Ģē</w:t>
      </w:r>
      <w:r w:rsidR="001926CC" w:rsidRPr="00C203DF">
        <w:rPr>
          <w:sz w:val="22"/>
          <w:szCs w:val="22"/>
        </w:rPr>
        <w:t>rmane</w:t>
      </w:r>
    </w:p>
    <w:p w:rsidR="00FD13DB" w:rsidRPr="00C203DF" w:rsidRDefault="00FD13DB" w:rsidP="00FD13DB">
      <w:pPr>
        <w:pStyle w:val="Galvene"/>
        <w:rPr>
          <w:sz w:val="22"/>
          <w:szCs w:val="22"/>
        </w:rPr>
      </w:pPr>
      <w:r w:rsidRPr="00C203DF">
        <w:rPr>
          <w:sz w:val="22"/>
          <w:szCs w:val="22"/>
        </w:rPr>
        <w:t>Tālr.67</w:t>
      </w:r>
      <w:r w:rsidR="001926CC" w:rsidRPr="00C203DF">
        <w:rPr>
          <w:sz w:val="22"/>
          <w:szCs w:val="22"/>
        </w:rPr>
        <w:t>358859</w:t>
      </w:r>
    </w:p>
    <w:p w:rsidR="001926CC" w:rsidRPr="00C203DF" w:rsidRDefault="000F423A" w:rsidP="00FD13DB">
      <w:pPr>
        <w:pStyle w:val="Galvene"/>
        <w:rPr>
          <w:sz w:val="22"/>
          <w:szCs w:val="22"/>
        </w:rPr>
      </w:pPr>
      <w:hyperlink r:id="rId6" w:history="1">
        <w:r w:rsidR="001926CC" w:rsidRPr="00C203DF">
          <w:rPr>
            <w:rStyle w:val="Hipersaite"/>
            <w:sz w:val="22"/>
            <w:szCs w:val="22"/>
          </w:rPr>
          <w:t>Laura.Germane@nfc.gov.lv</w:t>
        </w:r>
      </w:hyperlink>
    </w:p>
    <w:p w:rsidR="00E37606" w:rsidRPr="00FD13DB" w:rsidRDefault="00E37606" w:rsidP="00FD13DB">
      <w:pPr>
        <w:pStyle w:val="Galvene"/>
        <w:rPr>
          <w:sz w:val="22"/>
          <w:szCs w:val="22"/>
        </w:rPr>
      </w:pPr>
    </w:p>
    <w:sectPr w:rsidR="00E37606" w:rsidRPr="00FD13DB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79" w:rsidRDefault="00085479" w:rsidP="00FC6606">
      <w:r>
        <w:separator/>
      </w:r>
    </w:p>
    <w:p w:rsidR="00085479" w:rsidRDefault="00085479"/>
  </w:endnote>
  <w:endnote w:type="continuationSeparator" w:id="0">
    <w:p w:rsidR="00085479" w:rsidRDefault="00085479" w:rsidP="00FC6606">
      <w:r>
        <w:continuationSeparator/>
      </w:r>
    </w:p>
    <w:p w:rsidR="00085479" w:rsidRDefault="000854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79" w:rsidRPr="001A1115" w:rsidRDefault="00085479" w:rsidP="0071558B">
    <w:pPr>
      <w:jc w:val="both"/>
      <w:rPr>
        <w:sz w:val="22"/>
        <w:szCs w:val="22"/>
      </w:rPr>
    </w:pPr>
    <w:r w:rsidRPr="001A1115">
      <w:rPr>
        <w:sz w:val="22"/>
        <w:szCs w:val="22"/>
      </w:rPr>
      <w:t>KMAnot_2</w:t>
    </w:r>
    <w:r w:rsidR="008036F7">
      <w:rPr>
        <w:sz w:val="22"/>
        <w:szCs w:val="22"/>
      </w:rPr>
      <w:t>9</w:t>
    </w:r>
    <w:r w:rsidRPr="001A1115">
      <w:rPr>
        <w:sz w:val="22"/>
        <w:szCs w:val="22"/>
      </w:rPr>
      <w:t>0</w:t>
    </w:r>
    <w:r w:rsidR="008036F7">
      <w:rPr>
        <w:sz w:val="22"/>
        <w:szCs w:val="22"/>
      </w:rPr>
      <w:t>7</w:t>
    </w:r>
    <w:r w:rsidRPr="001A1115">
      <w:rPr>
        <w:sz w:val="22"/>
        <w:szCs w:val="22"/>
      </w:rPr>
      <w:t>13_</w:t>
    </w:r>
    <w:r>
      <w:rPr>
        <w:sz w:val="22"/>
        <w:szCs w:val="22"/>
      </w:rPr>
      <w:t>KArvalstu_filmas</w:t>
    </w:r>
    <w:r w:rsidRPr="001A1115">
      <w:rPr>
        <w:sz w:val="22"/>
        <w:szCs w:val="22"/>
      </w:rPr>
      <w:t>_</w:t>
    </w:r>
    <w:r>
      <w:rPr>
        <w:sz w:val="22"/>
        <w:szCs w:val="22"/>
      </w:rPr>
      <w:t>163</w:t>
    </w:r>
    <w:r w:rsidR="008036F7">
      <w:rPr>
        <w:sz w:val="22"/>
        <w:szCs w:val="22"/>
      </w:rPr>
      <w:t>_VSS-1182</w:t>
    </w:r>
    <w:r w:rsidRPr="001A1115">
      <w:rPr>
        <w:sz w:val="22"/>
        <w:szCs w:val="22"/>
      </w:rPr>
      <w:t>; Ministru kabineta noteikumu projekta „</w:t>
    </w:r>
    <w:r>
      <w:rPr>
        <w:sz w:val="22"/>
        <w:szCs w:val="22"/>
      </w:rPr>
      <w:t>Grozījum</w:t>
    </w:r>
    <w:r w:rsidR="00C203DF">
      <w:rPr>
        <w:sz w:val="22"/>
        <w:szCs w:val="22"/>
      </w:rPr>
      <w:t>i</w:t>
    </w:r>
    <w:r>
      <w:rPr>
        <w:sz w:val="22"/>
        <w:szCs w:val="22"/>
      </w:rPr>
      <w:t xml:space="preserve"> </w:t>
    </w:r>
    <w:r>
      <w:rPr>
        <w:bCs/>
        <w:sz w:val="22"/>
        <w:szCs w:val="22"/>
      </w:rPr>
      <w:t>Ministru kabineta 2013</w:t>
    </w:r>
    <w:r w:rsidRPr="001A1115">
      <w:rPr>
        <w:bCs/>
        <w:sz w:val="22"/>
        <w:szCs w:val="22"/>
      </w:rPr>
      <w:t xml:space="preserve">.gada </w:t>
    </w:r>
    <w:r>
      <w:rPr>
        <w:sz w:val="22"/>
        <w:szCs w:val="22"/>
      </w:rPr>
      <w:t>26</w:t>
    </w:r>
    <w:r w:rsidRPr="001A1115">
      <w:rPr>
        <w:bCs/>
        <w:sz w:val="22"/>
        <w:szCs w:val="22"/>
      </w:rPr>
      <w:t>.</w:t>
    </w:r>
    <w:r>
      <w:rPr>
        <w:bCs/>
        <w:sz w:val="22"/>
        <w:szCs w:val="22"/>
      </w:rPr>
      <w:t>marta</w:t>
    </w:r>
    <w:r w:rsidRPr="001A1115">
      <w:rPr>
        <w:bCs/>
        <w:sz w:val="22"/>
        <w:szCs w:val="22"/>
      </w:rPr>
      <w:t xml:space="preserve"> noteikumos Nr.</w:t>
    </w:r>
    <w:r>
      <w:rPr>
        <w:bCs/>
        <w:sz w:val="22"/>
        <w:szCs w:val="22"/>
      </w:rPr>
      <w:t>163</w:t>
    </w:r>
    <w:r w:rsidRPr="001A1115">
      <w:rPr>
        <w:bCs/>
        <w:sz w:val="22"/>
        <w:szCs w:val="22"/>
      </w:rPr>
      <w:t xml:space="preserve"> „</w:t>
    </w:r>
    <w:r>
      <w:rPr>
        <w:bCs/>
        <w:sz w:val="22"/>
        <w:szCs w:val="22"/>
      </w:rPr>
      <w:t>Valsts budžeta līdzfinansējuma piešķiršanas k</w:t>
    </w:r>
    <w:r w:rsidRPr="001A1115">
      <w:rPr>
        <w:bCs/>
        <w:sz w:val="22"/>
        <w:szCs w:val="22"/>
      </w:rPr>
      <w:t>ārtība</w:t>
    </w:r>
    <w:r>
      <w:rPr>
        <w:bCs/>
        <w:sz w:val="22"/>
        <w:szCs w:val="22"/>
      </w:rPr>
      <w:t xml:space="preserve"> ārvalstu</w:t>
    </w:r>
    <w:r w:rsidRPr="001A1115">
      <w:rPr>
        <w:bCs/>
        <w:sz w:val="22"/>
        <w:szCs w:val="22"/>
      </w:rPr>
      <w:t xml:space="preserve"> filmu </w:t>
    </w:r>
    <w:r>
      <w:rPr>
        <w:bCs/>
        <w:sz w:val="22"/>
        <w:szCs w:val="22"/>
      </w:rPr>
      <w:t>uzņemšanai Latvijā</w:t>
    </w:r>
    <w:r w:rsidRPr="001A1115">
      <w:rPr>
        <w:bCs/>
        <w:sz w:val="22"/>
        <w:szCs w:val="22"/>
      </w:rPr>
      <w:t>”</w:t>
    </w:r>
    <w:r w:rsidRPr="001A1115">
      <w:rPr>
        <w:sz w:val="22"/>
        <w:szCs w:val="22"/>
      </w:rPr>
      <w:t>” sākotnējās ietekmes novērtējuma ziņojums (anotācija)</w:t>
    </w:r>
  </w:p>
  <w:p w:rsidR="00085479" w:rsidRPr="0071558B" w:rsidRDefault="00085479" w:rsidP="0071558B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79" w:rsidRPr="001A1115" w:rsidRDefault="00085479" w:rsidP="0071558B">
    <w:pPr>
      <w:jc w:val="both"/>
      <w:rPr>
        <w:sz w:val="22"/>
        <w:szCs w:val="22"/>
      </w:rPr>
    </w:pPr>
    <w:r w:rsidRPr="001A1115">
      <w:rPr>
        <w:sz w:val="22"/>
        <w:szCs w:val="22"/>
      </w:rPr>
      <w:t>KMAnot_2</w:t>
    </w:r>
    <w:r w:rsidR="008036F7">
      <w:rPr>
        <w:sz w:val="22"/>
        <w:szCs w:val="22"/>
      </w:rPr>
      <w:t>9</w:t>
    </w:r>
    <w:r w:rsidRPr="001A1115">
      <w:rPr>
        <w:sz w:val="22"/>
        <w:szCs w:val="22"/>
      </w:rPr>
      <w:t>0</w:t>
    </w:r>
    <w:r w:rsidR="008036F7">
      <w:rPr>
        <w:sz w:val="22"/>
        <w:szCs w:val="22"/>
      </w:rPr>
      <w:t>7</w:t>
    </w:r>
    <w:r w:rsidRPr="001A1115">
      <w:rPr>
        <w:sz w:val="22"/>
        <w:szCs w:val="22"/>
      </w:rPr>
      <w:t>13_</w:t>
    </w:r>
    <w:r>
      <w:rPr>
        <w:sz w:val="22"/>
        <w:szCs w:val="22"/>
      </w:rPr>
      <w:t>KArvalstu_filmas</w:t>
    </w:r>
    <w:r w:rsidRPr="001A1115">
      <w:rPr>
        <w:sz w:val="22"/>
        <w:szCs w:val="22"/>
      </w:rPr>
      <w:t>_</w:t>
    </w:r>
    <w:r>
      <w:rPr>
        <w:sz w:val="22"/>
        <w:szCs w:val="22"/>
      </w:rPr>
      <w:t>163</w:t>
    </w:r>
    <w:r w:rsidR="008036F7">
      <w:rPr>
        <w:sz w:val="22"/>
        <w:szCs w:val="22"/>
      </w:rPr>
      <w:t>_VSS-1182</w:t>
    </w:r>
    <w:r w:rsidRPr="001A1115">
      <w:rPr>
        <w:sz w:val="22"/>
        <w:szCs w:val="22"/>
      </w:rPr>
      <w:t>; Ministru kabineta noteikumu projekta „</w:t>
    </w:r>
    <w:r>
      <w:rPr>
        <w:sz w:val="22"/>
        <w:szCs w:val="22"/>
      </w:rPr>
      <w:t>Grozījum</w:t>
    </w:r>
    <w:r w:rsidR="00C203DF">
      <w:rPr>
        <w:sz w:val="22"/>
        <w:szCs w:val="22"/>
      </w:rPr>
      <w:t>i</w:t>
    </w:r>
    <w:r>
      <w:rPr>
        <w:sz w:val="22"/>
        <w:szCs w:val="22"/>
      </w:rPr>
      <w:t xml:space="preserve"> </w:t>
    </w:r>
    <w:r>
      <w:rPr>
        <w:bCs/>
        <w:sz w:val="22"/>
        <w:szCs w:val="22"/>
      </w:rPr>
      <w:t>Ministru kabineta 2013</w:t>
    </w:r>
    <w:r w:rsidRPr="001A1115">
      <w:rPr>
        <w:bCs/>
        <w:sz w:val="22"/>
        <w:szCs w:val="22"/>
      </w:rPr>
      <w:t xml:space="preserve">.gada </w:t>
    </w:r>
    <w:r>
      <w:rPr>
        <w:sz w:val="22"/>
        <w:szCs w:val="22"/>
      </w:rPr>
      <w:t>26</w:t>
    </w:r>
    <w:r w:rsidRPr="001A1115">
      <w:rPr>
        <w:bCs/>
        <w:sz w:val="22"/>
        <w:szCs w:val="22"/>
      </w:rPr>
      <w:t>.</w:t>
    </w:r>
    <w:r>
      <w:rPr>
        <w:bCs/>
        <w:sz w:val="22"/>
        <w:szCs w:val="22"/>
      </w:rPr>
      <w:t>marta</w:t>
    </w:r>
    <w:r w:rsidRPr="001A1115">
      <w:rPr>
        <w:bCs/>
        <w:sz w:val="22"/>
        <w:szCs w:val="22"/>
      </w:rPr>
      <w:t xml:space="preserve"> noteikumos Nr.</w:t>
    </w:r>
    <w:r>
      <w:rPr>
        <w:bCs/>
        <w:sz w:val="22"/>
        <w:szCs w:val="22"/>
      </w:rPr>
      <w:t>163</w:t>
    </w:r>
    <w:r w:rsidRPr="001A1115">
      <w:rPr>
        <w:bCs/>
        <w:sz w:val="22"/>
        <w:szCs w:val="22"/>
      </w:rPr>
      <w:t xml:space="preserve"> „</w:t>
    </w:r>
    <w:r>
      <w:rPr>
        <w:bCs/>
        <w:sz w:val="22"/>
        <w:szCs w:val="22"/>
      </w:rPr>
      <w:t>Valsts budžeta līdzfinansējuma piešķiršanas k</w:t>
    </w:r>
    <w:r w:rsidRPr="001A1115">
      <w:rPr>
        <w:bCs/>
        <w:sz w:val="22"/>
        <w:szCs w:val="22"/>
      </w:rPr>
      <w:t>ārtība</w:t>
    </w:r>
    <w:r>
      <w:rPr>
        <w:bCs/>
        <w:sz w:val="22"/>
        <w:szCs w:val="22"/>
      </w:rPr>
      <w:t xml:space="preserve"> ārvalstu</w:t>
    </w:r>
    <w:r w:rsidRPr="001A1115">
      <w:rPr>
        <w:bCs/>
        <w:sz w:val="22"/>
        <w:szCs w:val="22"/>
      </w:rPr>
      <w:t xml:space="preserve"> filmu </w:t>
    </w:r>
    <w:r>
      <w:rPr>
        <w:bCs/>
        <w:sz w:val="22"/>
        <w:szCs w:val="22"/>
      </w:rPr>
      <w:t>uzņemšanai Latvijā</w:t>
    </w:r>
    <w:r w:rsidRPr="001A1115">
      <w:rPr>
        <w:bCs/>
        <w:sz w:val="22"/>
        <w:szCs w:val="22"/>
      </w:rPr>
      <w:t>”</w:t>
    </w:r>
    <w:r w:rsidRPr="001A1115">
      <w:rPr>
        <w:sz w:val="22"/>
        <w:szCs w:val="22"/>
      </w:rPr>
      <w:t>” sākotnējās ietekmes novērtējuma ziņojums (anotācija)</w:t>
    </w:r>
  </w:p>
  <w:p w:rsidR="00085479" w:rsidRPr="0071558B" w:rsidRDefault="00085479" w:rsidP="0071558B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79" w:rsidRDefault="00085479" w:rsidP="00FC6606">
      <w:r>
        <w:separator/>
      </w:r>
    </w:p>
    <w:p w:rsidR="00085479" w:rsidRDefault="00085479"/>
  </w:footnote>
  <w:footnote w:type="continuationSeparator" w:id="0">
    <w:p w:rsidR="00085479" w:rsidRDefault="00085479" w:rsidP="00FC6606">
      <w:r>
        <w:continuationSeparator/>
      </w:r>
    </w:p>
    <w:p w:rsidR="00085479" w:rsidRDefault="000854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79" w:rsidRDefault="000F423A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8547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85479" w:rsidRDefault="00085479">
    <w:pPr>
      <w:pStyle w:val="Galvene"/>
    </w:pPr>
  </w:p>
  <w:p w:rsidR="00085479" w:rsidRDefault="000854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79" w:rsidRPr="000A2E70" w:rsidRDefault="000F423A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085479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C923D1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085479" w:rsidRDefault="00085479">
    <w:pPr>
      <w:pStyle w:val="Galvene"/>
    </w:pPr>
  </w:p>
  <w:p w:rsidR="00085479" w:rsidRDefault="0008547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34E00"/>
    <w:rsid w:val="000518A7"/>
    <w:rsid w:val="0006452D"/>
    <w:rsid w:val="00085479"/>
    <w:rsid w:val="000A2E70"/>
    <w:rsid w:val="000B1C58"/>
    <w:rsid w:val="000F423A"/>
    <w:rsid w:val="0010103D"/>
    <w:rsid w:val="001545D7"/>
    <w:rsid w:val="001570EE"/>
    <w:rsid w:val="0016537D"/>
    <w:rsid w:val="00184436"/>
    <w:rsid w:val="001926CC"/>
    <w:rsid w:val="001A1115"/>
    <w:rsid w:val="001D340D"/>
    <w:rsid w:val="002376A5"/>
    <w:rsid w:val="00273D0E"/>
    <w:rsid w:val="00291EA9"/>
    <w:rsid w:val="002A05BB"/>
    <w:rsid w:val="002A23DA"/>
    <w:rsid w:val="002C382C"/>
    <w:rsid w:val="002C66AF"/>
    <w:rsid w:val="002D41BC"/>
    <w:rsid w:val="002D646B"/>
    <w:rsid w:val="00335545"/>
    <w:rsid w:val="0034303D"/>
    <w:rsid w:val="003609AB"/>
    <w:rsid w:val="00365590"/>
    <w:rsid w:val="00387944"/>
    <w:rsid w:val="003A38AD"/>
    <w:rsid w:val="003A5496"/>
    <w:rsid w:val="003F3AAF"/>
    <w:rsid w:val="004456D6"/>
    <w:rsid w:val="00473A33"/>
    <w:rsid w:val="00484D36"/>
    <w:rsid w:val="0049339F"/>
    <w:rsid w:val="004B5EC7"/>
    <w:rsid w:val="004B7922"/>
    <w:rsid w:val="004F333F"/>
    <w:rsid w:val="0056155C"/>
    <w:rsid w:val="00597D6F"/>
    <w:rsid w:val="005A725B"/>
    <w:rsid w:val="005E066C"/>
    <w:rsid w:val="006530BE"/>
    <w:rsid w:val="006C4928"/>
    <w:rsid w:val="0071558B"/>
    <w:rsid w:val="0073153C"/>
    <w:rsid w:val="0073400C"/>
    <w:rsid w:val="0073549F"/>
    <w:rsid w:val="00745639"/>
    <w:rsid w:val="007650A3"/>
    <w:rsid w:val="00766A2E"/>
    <w:rsid w:val="007A23B5"/>
    <w:rsid w:val="007A4208"/>
    <w:rsid w:val="007F227C"/>
    <w:rsid w:val="008036F7"/>
    <w:rsid w:val="0085051C"/>
    <w:rsid w:val="00876047"/>
    <w:rsid w:val="00885A6E"/>
    <w:rsid w:val="00892410"/>
    <w:rsid w:val="008B45D5"/>
    <w:rsid w:val="008C2B8D"/>
    <w:rsid w:val="008D2867"/>
    <w:rsid w:val="008D6794"/>
    <w:rsid w:val="008D73EE"/>
    <w:rsid w:val="00915BF7"/>
    <w:rsid w:val="009348C0"/>
    <w:rsid w:val="009534CE"/>
    <w:rsid w:val="00981DF6"/>
    <w:rsid w:val="00994670"/>
    <w:rsid w:val="009A0504"/>
    <w:rsid w:val="009A23C6"/>
    <w:rsid w:val="009C7013"/>
    <w:rsid w:val="00A12620"/>
    <w:rsid w:val="00AC5178"/>
    <w:rsid w:val="00B2451B"/>
    <w:rsid w:val="00B31A59"/>
    <w:rsid w:val="00B7461E"/>
    <w:rsid w:val="00B813CF"/>
    <w:rsid w:val="00BC1841"/>
    <w:rsid w:val="00BC1D60"/>
    <w:rsid w:val="00C203DF"/>
    <w:rsid w:val="00C345F2"/>
    <w:rsid w:val="00C3648D"/>
    <w:rsid w:val="00C84009"/>
    <w:rsid w:val="00C923D1"/>
    <w:rsid w:val="00D51484"/>
    <w:rsid w:val="00D70691"/>
    <w:rsid w:val="00DD2B94"/>
    <w:rsid w:val="00E37606"/>
    <w:rsid w:val="00EB6761"/>
    <w:rsid w:val="00ED3BDE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Germane@nfc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26.marta noteikumos Nr.163 „Valsts budžeta līdzfinansējuma piešķiršanas kārtība ārvalstu filmu uzņemšanai Latvijā”” sākotnējās ietekmes novērtējuma ziņojums (anotācija)</vt:lpstr>
    </vt:vector>
  </TitlesOfParts>
  <Manager>G.Puķītis</Manager>
  <Company>LR Kultūras Ministrija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26.marta noteikumos Nr.163 „Valsts budžeta līdzfinansējuma piešķiršanas kārtība ārvalstu filmu uzņemšanai Latvijā”” sākotnējās ietekmes novērtējuma ziņojums (anotācija)</dc:title>
  <dc:subject>KMAnot_290713_Karvalstu_filmas_163_VSS-1182</dc:subject>
  <dc:creator>Laura Ģērmane</dc:creator>
  <dc:description>Laura.Germane@nfc.gov.lv
67358859</dc:description>
  <cp:lastModifiedBy>LeldeP</cp:lastModifiedBy>
  <cp:revision>4</cp:revision>
  <dcterms:created xsi:type="dcterms:W3CDTF">2013-07-29T08:06:00Z</dcterms:created>
  <dcterms:modified xsi:type="dcterms:W3CDTF">2013-08-03T11:20:00Z</dcterms:modified>
</cp:coreProperties>
</file>