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8" w:rsidRPr="008A37A6" w:rsidRDefault="00386360" w:rsidP="007B3518">
      <w:pPr>
        <w:jc w:val="right"/>
        <w:rPr>
          <w:sz w:val="28"/>
          <w:szCs w:val="28"/>
        </w:rPr>
      </w:pPr>
      <w:r w:rsidRPr="008A37A6">
        <w:rPr>
          <w:sz w:val="28"/>
          <w:szCs w:val="28"/>
        </w:rPr>
        <w:t xml:space="preserve">             </w:t>
      </w:r>
      <w:r w:rsidR="00AB3394">
        <w:rPr>
          <w:sz w:val="28"/>
          <w:szCs w:val="28"/>
        </w:rPr>
        <w:t>1.p</w:t>
      </w:r>
      <w:r w:rsidR="007B3518" w:rsidRPr="008A37A6">
        <w:rPr>
          <w:sz w:val="28"/>
          <w:szCs w:val="28"/>
        </w:rPr>
        <w:t xml:space="preserve">ielikums </w:t>
      </w:r>
    </w:p>
    <w:p w:rsidR="007B3518" w:rsidRPr="008A37A6" w:rsidRDefault="007B3518" w:rsidP="007B3518">
      <w:pPr>
        <w:jc w:val="right"/>
        <w:rPr>
          <w:sz w:val="28"/>
          <w:szCs w:val="28"/>
        </w:rPr>
      </w:pPr>
      <w:r w:rsidRPr="008A37A6">
        <w:rPr>
          <w:sz w:val="28"/>
          <w:szCs w:val="28"/>
        </w:rPr>
        <w:t xml:space="preserve">Ministru kabineta </w:t>
      </w:r>
    </w:p>
    <w:p w:rsidR="007B3518" w:rsidRPr="008A37A6" w:rsidRDefault="007B3518" w:rsidP="007B3518">
      <w:pPr>
        <w:jc w:val="right"/>
        <w:rPr>
          <w:sz w:val="28"/>
          <w:szCs w:val="28"/>
        </w:rPr>
      </w:pPr>
      <w:r w:rsidRPr="008A37A6">
        <w:rPr>
          <w:sz w:val="28"/>
          <w:szCs w:val="28"/>
        </w:rPr>
        <w:t>201</w:t>
      </w:r>
      <w:r w:rsidR="008927AA" w:rsidRPr="008A37A6">
        <w:rPr>
          <w:sz w:val="28"/>
          <w:szCs w:val="28"/>
        </w:rPr>
        <w:t>3</w:t>
      </w:r>
      <w:r w:rsidRPr="008A37A6">
        <w:rPr>
          <w:sz w:val="28"/>
          <w:szCs w:val="28"/>
        </w:rPr>
        <w:t>.gada ___.__________</w:t>
      </w:r>
    </w:p>
    <w:p w:rsidR="007B3518" w:rsidRPr="008A37A6" w:rsidRDefault="007B3518" w:rsidP="007B3518">
      <w:pPr>
        <w:jc w:val="right"/>
        <w:rPr>
          <w:sz w:val="28"/>
          <w:szCs w:val="28"/>
        </w:rPr>
      </w:pPr>
      <w:r w:rsidRPr="008A37A6">
        <w:rPr>
          <w:sz w:val="28"/>
          <w:szCs w:val="28"/>
        </w:rPr>
        <w:t>noteikumu Nr. ______</w:t>
      </w:r>
    </w:p>
    <w:p w:rsidR="007B3518" w:rsidRPr="008A37A6" w:rsidRDefault="007B3518" w:rsidP="007B3518">
      <w:pPr>
        <w:jc w:val="right"/>
        <w:rPr>
          <w:sz w:val="28"/>
          <w:szCs w:val="28"/>
        </w:rPr>
      </w:pPr>
      <w:r w:rsidRPr="008A37A6">
        <w:rPr>
          <w:sz w:val="28"/>
          <w:szCs w:val="28"/>
        </w:rPr>
        <w:t>projekta anotācijai</w:t>
      </w:r>
    </w:p>
    <w:p w:rsidR="007B3518" w:rsidRPr="008A37A6" w:rsidRDefault="007B3518" w:rsidP="007B3518">
      <w:pPr>
        <w:rPr>
          <w:sz w:val="28"/>
          <w:szCs w:val="28"/>
        </w:rPr>
      </w:pPr>
    </w:p>
    <w:p w:rsidR="007B3518" w:rsidRPr="008A37A6" w:rsidRDefault="00F75351" w:rsidP="007B3518">
      <w:pPr>
        <w:jc w:val="center"/>
        <w:outlineLvl w:val="0"/>
        <w:rPr>
          <w:b/>
          <w:sz w:val="28"/>
          <w:szCs w:val="28"/>
        </w:rPr>
      </w:pPr>
      <w:r w:rsidRPr="008A37A6">
        <w:rPr>
          <w:b/>
          <w:sz w:val="28"/>
          <w:szCs w:val="28"/>
        </w:rPr>
        <w:t xml:space="preserve">XXV Vispārējo latviešu Dziesmu un XV Deju svētku </w:t>
      </w:r>
      <w:r w:rsidR="0093589B">
        <w:rPr>
          <w:b/>
          <w:sz w:val="28"/>
          <w:szCs w:val="28"/>
        </w:rPr>
        <w:t xml:space="preserve">pasākumu </w:t>
      </w:r>
      <w:r w:rsidRPr="008A37A6">
        <w:rPr>
          <w:b/>
          <w:sz w:val="28"/>
          <w:szCs w:val="28"/>
        </w:rPr>
        <w:t xml:space="preserve">maksas pakalpojumu cenu kalkulācija </w:t>
      </w:r>
    </w:p>
    <w:p w:rsidR="00F75351" w:rsidRPr="00186853" w:rsidRDefault="00F75351" w:rsidP="007B3518">
      <w:pPr>
        <w:jc w:val="center"/>
        <w:outlineLvl w:val="0"/>
        <w:rPr>
          <w:b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77"/>
        <w:gridCol w:w="987"/>
        <w:gridCol w:w="1705"/>
        <w:gridCol w:w="1544"/>
        <w:gridCol w:w="1708"/>
        <w:gridCol w:w="1568"/>
        <w:gridCol w:w="1882"/>
        <w:gridCol w:w="1008"/>
        <w:gridCol w:w="850"/>
        <w:gridCol w:w="727"/>
      </w:tblGrid>
      <w:tr w:rsidR="00686344" w:rsidRPr="00686344" w:rsidTr="00CB1E94">
        <w:trPr>
          <w:trHeight w:val="393"/>
        </w:trPr>
        <w:tc>
          <w:tcPr>
            <w:tcW w:w="235" w:type="pct"/>
            <w:vMerge w:val="restart"/>
            <w:vAlign w:val="center"/>
          </w:tcPr>
          <w:p w:rsidR="003F1DE6" w:rsidRPr="00686344" w:rsidRDefault="003F1DE6" w:rsidP="00686344">
            <w:pPr>
              <w:jc w:val="center"/>
            </w:pPr>
          </w:p>
          <w:p w:rsidR="003F1DE6" w:rsidRPr="00686344" w:rsidRDefault="003F1DE6" w:rsidP="00686344">
            <w:pPr>
              <w:jc w:val="center"/>
            </w:pPr>
            <w:proofErr w:type="spellStart"/>
            <w:r w:rsidRPr="00686344">
              <w:rPr>
                <w:sz w:val="22"/>
                <w:szCs w:val="22"/>
              </w:rPr>
              <w:t>Nr.p.k</w:t>
            </w:r>
            <w:proofErr w:type="spellEnd"/>
            <w:r w:rsidRPr="00686344">
              <w:rPr>
                <w:sz w:val="22"/>
                <w:szCs w:val="22"/>
              </w:rPr>
              <w:t>.</w:t>
            </w:r>
          </w:p>
        </w:tc>
        <w:tc>
          <w:tcPr>
            <w:tcW w:w="761" w:type="pct"/>
            <w:vMerge w:val="restart"/>
            <w:vAlign w:val="center"/>
          </w:tcPr>
          <w:p w:rsidR="003F1DE6" w:rsidRPr="00686344" w:rsidRDefault="003F1DE6" w:rsidP="00686344">
            <w:pPr>
              <w:jc w:val="center"/>
            </w:pPr>
          </w:p>
          <w:p w:rsidR="003F1DE6" w:rsidRPr="007F6595" w:rsidRDefault="003F1DE6" w:rsidP="00BF2693">
            <w:pPr>
              <w:jc w:val="center"/>
              <w:rPr>
                <w:vertAlign w:val="superscript"/>
              </w:rPr>
            </w:pPr>
            <w:r w:rsidRPr="007F6595">
              <w:rPr>
                <w:sz w:val="22"/>
                <w:szCs w:val="22"/>
              </w:rPr>
              <w:t>Pakalpojuma veids</w:t>
            </w:r>
            <w:r w:rsidR="007F6595" w:rsidRPr="007F659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30" w:type="pct"/>
            <w:vMerge w:val="restart"/>
            <w:vAlign w:val="center"/>
          </w:tcPr>
          <w:p w:rsidR="003F1DE6" w:rsidRPr="00686344" w:rsidRDefault="003F1DE6" w:rsidP="00686344">
            <w:pPr>
              <w:jc w:val="center"/>
            </w:pP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Mērvienība</w:t>
            </w:r>
          </w:p>
        </w:tc>
        <w:tc>
          <w:tcPr>
            <w:tcW w:w="1086" w:type="pct"/>
            <w:gridSpan w:val="2"/>
            <w:vAlign w:val="center"/>
          </w:tcPr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Tiešās izmaksas</w:t>
            </w:r>
          </w:p>
        </w:tc>
        <w:tc>
          <w:tcPr>
            <w:tcW w:w="1724" w:type="pct"/>
            <w:gridSpan w:val="3"/>
            <w:vAlign w:val="center"/>
          </w:tcPr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Netiešās izmaksas</w:t>
            </w:r>
          </w:p>
        </w:tc>
        <w:tc>
          <w:tcPr>
            <w:tcW w:w="337" w:type="pct"/>
            <w:vMerge w:val="restart"/>
            <w:vAlign w:val="center"/>
          </w:tcPr>
          <w:p w:rsidR="003F1DE6" w:rsidRPr="00686344" w:rsidRDefault="003F1DE6" w:rsidP="00686344">
            <w:pPr>
              <w:jc w:val="center"/>
            </w:pP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Cena bez PVN (Ls)</w:t>
            </w:r>
          </w:p>
        </w:tc>
        <w:tc>
          <w:tcPr>
            <w:tcW w:w="284" w:type="pct"/>
            <w:vMerge w:val="restart"/>
            <w:vAlign w:val="center"/>
          </w:tcPr>
          <w:p w:rsidR="003F1DE6" w:rsidRPr="00686344" w:rsidRDefault="003F1DE6" w:rsidP="00686344">
            <w:pPr>
              <w:jc w:val="center"/>
            </w:pP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PVN</w:t>
            </w: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(Ls)</w:t>
            </w:r>
          </w:p>
        </w:tc>
        <w:tc>
          <w:tcPr>
            <w:tcW w:w="244" w:type="pct"/>
            <w:vMerge w:val="restart"/>
            <w:vAlign w:val="center"/>
          </w:tcPr>
          <w:p w:rsidR="003F1DE6" w:rsidRPr="00686344" w:rsidRDefault="003F1DE6" w:rsidP="00686344">
            <w:pPr>
              <w:jc w:val="center"/>
            </w:pP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Cena ar</w:t>
            </w: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PVN</w:t>
            </w:r>
          </w:p>
          <w:p w:rsidR="003F1DE6" w:rsidRPr="00686344" w:rsidRDefault="003F1DE6" w:rsidP="00686344">
            <w:pPr>
              <w:jc w:val="center"/>
            </w:pPr>
            <w:r w:rsidRPr="00686344">
              <w:rPr>
                <w:sz w:val="22"/>
                <w:szCs w:val="22"/>
              </w:rPr>
              <w:t>(Ls)</w:t>
            </w:r>
          </w:p>
        </w:tc>
      </w:tr>
      <w:tr w:rsidR="001C55F7" w:rsidRPr="00686344" w:rsidTr="00CB1E94">
        <w:tc>
          <w:tcPr>
            <w:tcW w:w="235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761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570" w:type="pct"/>
            <w:vAlign w:val="center"/>
          </w:tcPr>
          <w:p w:rsidR="00CB1E94" w:rsidRDefault="00916D20" w:rsidP="00686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Atlīdzība</w:t>
            </w:r>
            <w:r w:rsidR="00CB1E94">
              <w:rPr>
                <w:sz w:val="22"/>
                <w:szCs w:val="22"/>
              </w:rPr>
              <w:t xml:space="preserve"> </w:t>
            </w:r>
          </w:p>
          <w:p w:rsidR="00CB1E94" w:rsidRDefault="00CB1E94" w:rsidP="00686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(t.sk.</w:t>
            </w:r>
          </w:p>
          <w:p w:rsidR="00916D20" w:rsidRPr="00686344" w:rsidRDefault="00CB1E94" w:rsidP="00686344">
            <w:pPr>
              <w:jc w:val="center"/>
            </w:pPr>
            <w:r>
              <w:rPr>
                <w:sz w:val="22"/>
                <w:szCs w:val="22"/>
              </w:rPr>
              <w:t>autoratlīdzības)</w:t>
            </w:r>
          </w:p>
          <w:p w:rsidR="00916D20" w:rsidRPr="00686344" w:rsidRDefault="00916D20" w:rsidP="006E6E88">
            <w:pPr>
              <w:jc w:val="center"/>
            </w:pPr>
            <w:r w:rsidRPr="00686344">
              <w:rPr>
                <w:sz w:val="22"/>
                <w:szCs w:val="22"/>
              </w:rPr>
              <w:t>(Ls)</w:t>
            </w:r>
          </w:p>
        </w:tc>
        <w:tc>
          <w:tcPr>
            <w:tcW w:w="516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Materiālu un pakalpojumu izmaksas (Ls)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Administratīvās</w:t>
            </w:r>
            <w:r w:rsidRPr="00686344">
              <w:rPr>
                <w:sz w:val="22"/>
                <w:szCs w:val="22"/>
              </w:rPr>
              <w:t xml:space="preserve"> izmaksas atlīdzība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Mākslinieciskā procesa nodrošināšanas izmaksas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Administratīvās izmaksas pakalpojumi</w:t>
            </w:r>
          </w:p>
        </w:tc>
        <w:tc>
          <w:tcPr>
            <w:tcW w:w="337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284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</w:tr>
      <w:tr w:rsidR="001C55F7" w:rsidRPr="00686344" w:rsidTr="00CB1E94">
        <w:tc>
          <w:tcPr>
            <w:tcW w:w="235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761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570" w:type="pct"/>
            <w:vAlign w:val="center"/>
          </w:tcPr>
          <w:p w:rsidR="00916D20" w:rsidRPr="00686344" w:rsidRDefault="00916D20" w:rsidP="00834419">
            <w:pPr>
              <w:jc w:val="center"/>
            </w:pPr>
            <w:r w:rsidRPr="00686344">
              <w:rPr>
                <w:sz w:val="22"/>
                <w:szCs w:val="22"/>
              </w:rPr>
              <w:t>EKK 1</w:t>
            </w:r>
            <w:r w:rsidR="00834419">
              <w:rPr>
                <w:sz w:val="22"/>
                <w:szCs w:val="22"/>
              </w:rPr>
              <w:t>0</w:t>
            </w:r>
            <w:r w:rsidRPr="00686344">
              <w:rPr>
                <w:sz w:val="22"/>
                <w:szCs w:val="22"/>
              </w:rPr>
              <w:t>00</w:t>
            </w:r>
          </w:p>
        </w:tc>
        <w:tc>
          <w:tcPr>
            <w:tcW w:w="516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ind w:left="72" w:hanging="72"/>
              <w:jc w:val="center"/>
            </w:pPr>
            <w:r w:rsidRPr="00686344">
              <w:rPr>
                <w:sz w:val="22"/>
                <w:szCs w:val="22"/>
              </w:rPr>
              <w:t>EKK 2000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EKK 1000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EKK 1000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EKK 2000</w:t>
            </w:r>
          </w:p>
        </w:tc>
        <w:tc>
          <w:tcPr>
            <w:tcW w:w="337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284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916D20" w:rsidRPr="00686344" w:rsidRDefault="00916D20" w:rsidP="00686344">
            <w:pPr>
              <w:jc w:val="center"/>
            </w:pPr>
          </w:p>
        </w:tc>
      </w:tr>
      <w:tr w:rsidR="00686344" w:rsidRPr="00686344" w:rsidTr="00CB1E94">
        <w:tc>
          <w:tcPr>
            <w:tcW w:w="235" w:type="pct"/>
            <w:shd w:val="pct12" w:color="auto" w:fill="auto"/>
            <w:vAlign w:val="center"/>
          </w:tcPr>
          <w:p w:rsidR="003F1DE6" w:rsidRPr="00686344" w:rsidRDefault="004D175C" w:rsidP="00686344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3F1DE6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pct12" w:color="auto" w:fill="auto"/>
            <w:vAlign w:val="center"/>
          </w:tcPr>
          <w:p w:rsidR="003F1DE6" w:rsidRPr="00686344" w:rsidRDefault="003F1DE6" w:rsidP="00686344">
            <w:pPr>
              <w:jc w:val="center"/>
            </w:pPr>
            <w:r w:rsidRPr="00686344">
              <w:rPr>
                <w:b/>
                <w:sz w:val="22"/>
                <w:szCs w:val="22"/>
              </w:rPr>
              <w:t>XXV Vispārējo latviešu Dziesmu un XV Deju svētku Bērnu folkloras kopu un solistu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Pr="00686344" w:rsidRDefault="00916D20" w:rsidP="00686344">
            <w:r>
              <w:rPr>
                <w:sz w:val="22"/>
                <w:szCs w:val="22"/>
              </w:rPr>
              <w:t>Rīgas Latviešu biedrības nama z</w:t>
            </w:r>
            <w:r w:rsidRPr="00686344">
              <w:rPr>
                <w:sz w:val="22"/>
                <w:szCs w:val="22"/>
              </w:rPr>
              <w:t>āle.</w:t>
            </w:r>
          </w:p>
          <w:p w:rsidR="00916D20" w:rsidRPr="00686344" w:rsidRDefault="00916D20" w:rsidP="00686344">
            <w:r w:rsidRPr="00686344">
              <w:rPr>
                <w:sz w:val="22"/>
                <w:szCs w:val="22"/>
              </w:rPr>
              <w:t>9.līdz 12.rinda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0.65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0.06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  <w:rPr>
                <w:vertAlign w:val="superscript"/>
              </w:rPr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686344">
            <w:r w:rsidRPr="00686344">
              <w:rPr>
                <w:sz w:val="22"/>
                <w:szCs w:val="22"/>
              </w:rPr>
              <w:t>Rīgas Latviešu biedrības nama zāle.</w:t>
            </w:r>
            <w:r>
              <w:t xml:space="preserve"> </w:t>
            </w:r>
          </w:p>
          <w:p w:rsidR="00916D20" w:rsidRPr="00686344" w:rsidRDefault="00916D20" w:rsidP="00686344">
            <w:r w:rsidRPr="00686344">
              <w:rPr>
                <w:sz w:val="22"/>
                <w:szCs w:val="22"/>
              </w:rPr>
              <w:t>5.līdz 8.rinda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686344" w:rsidRPr="00686344" w:rsidTr="00CB1E94">
        <w:trPr>
          <w:trHeight w:val="397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3F1DE6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F1DE6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3F1DE6" w:rsidRPr="00686344" w:rsidRDefault="003F1DE6" w:rsidP="00686344">
            <w:pPr>
              <w:jc w:val="center"/>
            </w:pPr>
            <w:r w:rsidRPr="00686344">
              <w:rPr>
                <w:b/>
                <w:sz w:val="22"/>
                <w:szCs w:val="22"/>
              </w:rPr>
              <w:t>XXV Vispārējo latviešu Dziesmu un XV Deju svētku Tautas tērpu skates ieejas biļete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r>
              <w:rPr>
                <w:sz w:val="22"/>
                <w:szCs w:val="22"/>
              </w:rPr>
              <w:t>Ieejas biļete</w:t>
            </w:r>
            <w:r w:rsidRPr="00686344">
              <w:rPr>
                <w:sz w:val="22"/>
                <w:szCs w:val="22"/>
              </w:rPr>
              <w:t xml:space="preserve"> Starptautiskajā izstāžu centrā Ķīpsalā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916D20">
            <w:pPr>
              <w:jc w:val="center"/>
            </w:pPr>
            <w:r w:rsidRPr="00686344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ind w:left="-5" w:right="-207"/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686344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3F1DE6" w:rsidRPr="004D7150" w:rsidRDefault="004D175C" w:rsidP="00686344">
            <w:pPr>
              <w:jc w:val="center"/>
              <w:rPr>
                <w:b/>
              </w:rPr>
            </w:pPr>
            <w:r w:rsidRPr="004D7150">
              <w:rPr>
                <w:b/>
                <w:sz w:val="22"/>
                <w:szCs w:val="22"/>
              </w:rPr>
              <w:t>3</w:t>
            </w:r>
            <w:r w:rsidR="003F1DE6" w:rsidRPr="004D7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3F1DE6" w:rsidRPr="00686344" w:rsidRDefault="003F1DE6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Garīgās mūzikas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Pr="00C81328" w:rsidRDefault="00916D20" w:rsidP="00C81328">
            <w:r>
              <w:rPr>
                <w:sz w:val="22"/>
                <w:szCs w:val="22"/>
              </w:rPr>
              <w:t>Doma baznīca. Sāni pa labi: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3. rinda 1.līdz 45.vieta</w:t>
            </w:r>
          </w:p>
          <w:p w:rsidR="00916D20" w:rsidRPr="00C81328" w:rsidRDefault="00916D20" w:rsidP="00C81328">
            <w:r>
              <w:rPr>
                <w:sz w:val="22"/>
                <w:szCs w:val="22"/>
              </w:rPr>
              <w:t xml:space="preserve">4.rinda 2.līdz 28., 31.līdz </w:t>
            </w:r>
            <w:r w:rsidRPr="00C81328">
              <w:rPr>
                <w:sz w:val="22"/>
                <w:szCs w:val="22"/>
              </w:rPr>
              <w:t>43.vieta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C81328"/>
          <w:p w:rsidR="00916D20" w:rsidRPr="00C81328" w:rsidRDefault="00916D20" w:rsidP="00C81328">
            <w:r w:rsidRPr="00C81328">
              <w:rPr>
                <w:sz w:val="22"/>
                <w:szCs w:val="22"/>
              </w:rPr>
              <w:t>Sāni pa kreisi</w:t>
            </w:r>
            <w:r>
              <w:rPr>
                <w:sz w:val="22"/>
                <w:szCs w:val="22"/>
              </w:rPr>
              <w:t>:</w:t>
            </w:r>
          </w:p>
          <w:p w:rsidR="00916D20" w:rsidRPr="00C81328" w:rsidRDefault="00916D20" w:rsidP="00C81328">
            <w:r>
              <w:rPr>
                <w:sz w:val="22"/>
                <w:szCs w:val="22"/>
              </w:rPr>
              <w:lastRenderedPageBreak/>
              <w:t>3.rinda 1.līdz 40.v</w:t>
            </w:r>
            <w:r w:rsidRPr="00C81328">
              <w:rPr>
                <w:sz w:val="22"/>
                <w:szCs w:val="22"/>
              </w:rPr>
              <w:t>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4.rinda 2 līdz 40. vieta</w:t>
            </w:r>
          </w:p>
          <w:p w:rsidR="00916D20" w:rsidRPr="00C81328" w:rsidRDefault="00916D20" w:rsidP="00C81328"/>
          <w:p w:rsidR="00916D20" w:rsidRPr="00C81328" w:rsidRDefault="00916D20" w:rsidP="00C81328">
            <w:r>
              <w:rPr>
                <w:sz w:val="22"/>
                <w:szCs w:val="22"/>
              </w:rPr>
              <w:t>Centrs pa labi: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0.līdz 5.rinda 22.līdz 35.vieta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6.līdz 9.rinda 29.līdz 35.vieta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10.līdz 16.rinda 24.līdz 35.vieta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17.līdz 20.rinda 29.līdz 35.vieta</w:t>
            </w:r>
            <w:r>
              <w:rPr>
                <w:sz w:val="22"/>
                <w:szCs w:val="22"/>
              </w:rPr>
              <w:t>,</w:t>
            </w:r>
          </w:p>
          <w:p w:rsidR="00916D20" w:rsidRDefault="00916D20" w:rsidP="00C81328">
            <w:r>
              <w:rPr>
                <w:sz w:val="22"/>
                <w:szCs w:val="22"/>
              </w:rPr>
              <w:t>21.rinda 30.līdz 35.vieta</w:t>
            </w:r>
          </w:p>
          <w:p w:rsidR="00916D20" w:rsidRDefault="00916D20" w:rsidP="00C81328"/>
          <w:p w:rsidR="00916D20" w:rsidRPr="00C81328" w:rsidRDefault="00916D20" w:rsidP="00C81328">
            <w:r w:rsidRPr="00C81328">
              <w:rPr>
                <w:sz w:val="22"/>
                <w:szCs w:val="22"/>
              </w:rPr>
              <w:t>Centrs pa kreisi</w:t>
            </w:r>
            <w:r>
              <w:rPr>
                <w:sz w:val="22"/>
                <w:szCs w:val="22"/>
              </w:rPr>
              <w:t>:</w:t>
            </w:r>
            <w:r w:rsidRPr="00C81328">
              <w:rPr>
                <w:sz w:val="22"/>
                <w:szCs w:val="22"/>
              </w:rPr>
              <w:t xml:space="preserve"> 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0.līdz 5.rinda 1.līdz 9.vieta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6.līdz 9.rinda 1.līdz 3.vieta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10.līdz 16.rinda 1.līdz 9.vieta</w:t>
            </w:r>
            <w:r>
              <w:rPr>
                <w:sz w:val="22"/>
                <w:szCs w:val="22"/>
              </w:rPr>
              <w:t>,</w:t>
            </w:r>
          </w:p>
          <w:p w:rsidR="00916D20" w:rsidRPr="00686344" w:rsidRDefault="00916D20" w:rsidP="00C81328">
            <w:r w:rsidRPr="00C81328">
              <w:rPr>
                <w:sz w:val="22"/>
                <w:szCs w:val="22"/>
              </w:rPr>
              <w:t>17.rinda 1.līdz 4.vieta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Pr="00C81328" w:rsidRDefault="00916D20" w:rsidP="00C81328">
            <w:r>
              <w:rPr>
                <w:sz w:val="22"/>
                <w:szCs w:val="22"/>
              </w:rPr>
              <w:t>Doma baznīca. Centrs pa labi: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0.līdz 7.rinda 16.līdz 21.vieta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C81328"/>
          <w:p w:rsidR="00916D20" w:rsidRPr="00C81328" w:rsidRDefault="00916D20" w:rsidP="00C81328">
            <w:r w:rsidRPr="00C81328">
              <w:rPr>
                <w:sz w:val="22"/>
                <w:szCs w:val="22"/>
              </w:rPr>
              <w:t>Centrs pa kreisi</w:t>
            </w:r>
            <w:r>
              <w:rPr>
                <w:sz w:val="22"/>
                <w:szCs w:val="22"/>
              </w:rPr>
              <w:t>:</w:t>
            </w:r>
            <w:r w:rsidRPr="00C81328">
              <w:rPr>
                <w:sz w:val="22"/>
                <w:szCs w:val="22"/>
              </w:rPr>
              <w:t xml:space="preserve"> 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0.līdz 7.rinda 10.līdz 15.vieta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C81328"/>
          <w:p w:rsidR="00916D20" w:rsidRPr="00C81328" w:rsidRDefault="00916D20" w:rsidP="00C81328">
            <w:r>
              <w:rPr>
                <w:sz w:val="22"/>
                <w:szCs w:val="22"/>
              </w:rPr>
              <w:t>Sāni pa labi: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 xml:space="preserve"> 1. rinda 8.līdz 45.vieta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lastRenderedPageBreak/>
              <w:t xml:space="preserve"> 2.rinda 1.līdz 45.vieta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C81328"/>
          <w:p w:rsidR="00916D20" w:rsidRPr="00C81328" w:rsidRDefault="00916D20" w:rsidP="00C81328">
            <w:r w:rsidRPr="00C81328">
              <w:rPr>
                <w:sz w:val="22"/>
                <w:szCs w:val="22"/>
              </w:rPr>
              <w:t>Sāni pa kreisi</w:t>
            </w:r>
            <w:r>
              <w:rPr>
                <w:sz w:val="22"/>
                <w:szCs w:val="22"/>
              </w:rPr>
              <w:t>: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1.rinda 10.līdz 40.</w:t>
            </w:r>
            <w:r>
              <w:rPr>
                <w:sz w:val="22"/>
                <w:szCs w:val="22"/>
              </w:rPr>
              <w:t>v</w:t>
            </w:r>
            <w:r w:rsidRPr="00C81328">
              <w:rPr>
                <w:sz w:val="22"/>
                <w:szCs w:val="22"/>
              </w:rPr>
              <w:t>ieta</w:t>
            </w:r>
            <w:r>
              <w:rPr>
                <w:sz w:val="22"/>
                <w:szCs w:val="22"/>
              </w:rPr>
              <w:t>,</w:t>
            </w:r>
          </w:p>
          <w:p w:rsidR="00916D20" w:rsidRPr="00686344" w:rsidRDefault="00916D20" w:rsidP="00C81328">
            <w:r w:rsidRPr="00C81328">
              <w:rPr>
                <w:sz w:val="22"/>
                <w:szCs w:val="22"/>
              </w:rPr>
              <w:t>2.rinda 1 līdz 40. vieta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  <w:vAlign w:val="center"/>
          </w:tcPr>
          <w:p w:rsidR="00916D20" w:rsidRPr="00C81328" w:rsidRDefault="00916D20" w:rsidP="00C81328">
            <w:r>
              <w:rPr>
                <w:sz w:val="22"/>
                <w:szCs w:val="22"/>
              </w:rPr>
              <w:t>Doma baznīca. Centrs pa labi: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8.līdz 9.rinda 16.līdz 21.vieta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10.līdz 13.rinda 16.līdz 23.vieta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21.rinda 24. līdz 29.vieta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C81328"/>
          <w:p w:rsidR="00916D20" w:rsidRPr="00C81328" w:rsidRDefault="00916D20" w:rsidP="00C81328">
            <w:r w:rsidRPr="00C81328">
              <w:rPr>
                <w:sz w:val="22"/>
                <w:szCs w:val="22"/>
              </w:rPr>
              <w:t>Centrs pa kreisi</w:t>
            </w:r>
            <w:r>
              <w:rPr>
                <w:sz w:val="22"/>
                <w:szCs w:val="22"/>
              </w:rPr>
              <w:t>:</w:t>
            </w:r>
            <w:r w:rsidRPr="00C81328">
              <w:rPr>
                <w:sz w:val="22"/>
                <w:szCs w:val="22"/>
              </w:rPr>
              <w:t xml:space="preserve"> 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8.līdz 14.rinda 10.līdz 15.vieta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C sektors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>4.rinda 1.līdz 10.vieta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>
              <w:rPr>
                <w:sz w:val="22"/>
                <w:szCs w:val="22"/>
              </w:rPr>
              <w:t>5.,6.r</w:t>
            </w:r>
            <w:r w:rsidRPr="00C81328">
              <w:rPr>
                <w:sz w:val="22"/>
                <w:szCs w:val="22"/>
              </w:rPr>
              <w:t>inda 1.līdz 8.vieta</w:t>
            </w:r>
            <w:r>
              <w:rPr>
                <w:sz w:val="22"/>
                <w:szCs w:val="22"/>
              </w:rPr>
              <w:t>,</w:t>
            </w:r>
          </w:p>
          <w:p w:rsidR="00916D20" w:rsidRPr="00C81328" w:rsidRDefault="00916D20" w:rsidP="00C81328">
            <w:r w:rsidRPr="00C81328">
              <w:rPr>
                <w:sz w:val="22"/>
                <w:szCs w:val="22"/>
              </w:rPr>
              <w:t xml:space="preserve">D sektors </w:t>
            </w:r>
          </w:p>
          <w:p w:rsidR="00916D20" w:rsidRPr="00686344" w:rsidRDefault="00916D20" w:rsidP="00C81328">
            <w:r w:rsidRPr="00C81328">
              <w:rPr>
                <w:sz w:val="22"/>
                <w:szCs w:val="22"/>
              </w:rPr>
              <w:t>4.,5.,6. rinda 1. līdz 8.</w:t>
            </w:r>
            <w:r>
              <w:rPr>
                <w:sz w:val="22"/>
                <w:szCs w:val="22"/>
              </w:rPr>
              <w:t>v</w:t>
            </w:r>
            <w:r w:rsidRPr="00C81328">
              <w:rPr>
                <w:sz w:val="22"/>
                <w:szCs w:val="22"/>
              </w:rPr>
              <w:t>ieta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686344" w:rsidRPr="00686344" w:rsidTr="00CB1E94">
        <w:tc>
          <w:tcPr>
            <w:tcW w:w="235" w:type="pct"/>
            <w:shd w:val="clear" w:color="auto" w:fill="D9D9D9"/>
            <w:vAlign w:val="center"/>
          </w:tcPr>
          <w:p w:rsidR="003F1DE6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65" w:type="pct"/>
            <w:gridSpan w:val="10"/>
            <w:shd w:val="clear" w:color="auto" w:fill="D9D9D9"/>
            <w:vAlign w:val="center"/>
          </w:tcPr>
          <w:p w:rsidR="003F1DE6" w:rsidRPr="00686344" w:rsidRDefault="003F1DE6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Saieta nama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Pr="00686344" w:rsidRDefault="00916D20" w:rsidP="00BF2693">
            <w:r>
              <w:rPr>
                <w:sz w:val="22"/>
                <w:szCs w:val="22"/>
              </w:rPr>
              <w:t>Ieejas biļete Starptautiskajā izstāžu centrā Ķīpsalā.</w:t>
            </w:r>
          </w:p>
        </w:tc>
        <w:tc>
          <w:tcPr>
            <w:tcW w:w="330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0.76</w:t>
            </w:r>
          </w:p>
        </w:tc>
        <w:tc>
          <w:tcPr>
            <w:tcW w:w="516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686344" w:rsidRPr="00686344" w:rsidTr="00CB1E94">
        <w:tc>
          <w:tcPr>
            <w:tcW w:w="235" w:type="pct"/>
            <w:shd w:val="clear" w:color="auto" w:fill="D9D9D9"/>
            <w:vAlign w:val="center"/>
          </w:tcPr>
          <w:p w:rsidR="003F1DE6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F1DE6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/>
            <w:vAlign w:val="center"/>
          </w:tcPr>
          <w:p w:rsidR="003F1DE6" w:rsidRPr="00686344" w:rsidRDefault="003F1DE6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 xml:space="preserve">XXV Vispārējo latviešu Dziesmu un XV Deju svētku J.Vītola 150 </w:t>
            </w:r>
            <w:proofErr w:type="spellStart"/>
            <w:r w:rsidRPr="00686344">
              <w:rPr>
                <w:b/>
                <w:sz w:val="22"/>
                <w:szCs w:val="22"/>
              </w:rPr>
              <w:t>gadei</w:t>
            </w:r>
            <w:proofErr w:type="spellEnd"/>
            <w:r w:rsidRPr="00686344">
              <w:rPr>
                <w:b/>
                <w:sz w:val="22"/>
                <w:szCs w:val="22"/>
              </w:rPr>
              <w:t xml:space="preserve"> veltīta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2660CC">
            <w:r>
              <w:rPr>
                <w:sz w:val="22"/>
                <w:szCs w:val="22"/>
              </w:rPr>
              <w:t>Latvijas Universitātes Lielā aula.</w:t>
            </w:r>
          </w:p>
          <w:p w:rsidR="00916D20" w:rsidRPr="00EE4274" w:rsidRDefault="00916D20" w:rsidP="002660CC">
            <w:r>
              <w:rPr>
                <w:sz w:val="22"/>
                <w:szCs w:val="22"/>
              </w:rPr>
              <w:t>Zāle:</w:t>
            </w:r>
          </w:p>
          <w:p w:rsidR="00916D20" w:rsidRPr="00EE4274" w:rsidRDefault="00916D20" w:rsidP="002660CC">
            <w:r w:rsidRPr="00EE4274">
              <w:rPr>
                <w:sz w:val="22"/>
                <w:szCs w:val="22"/>
              </w:rPr>
              <w:t>13.līdz 15.rinda</w:t>
            </w:r>
            <w:r>
              <w:rPr>
                <w:sz w:val="22"/>
                <w:szCs w:val="22"/>
              </w:rPr>
              <w:t>,</w:t>
            </w:r>
          </w:p>
          <w:p w:rsidR="00916D20" w:rsidRPr="00EE4274" w:rsidRDefault="00916D20" w:rsidP="002660CC">
            <w:r w:rsidRPr="00EE4274">
              <w:rPr>
                <w:sz w:val="22"/>
                <w:szCs w:val="22"/>
              </w:rPr>
              <w:t xml:space="preserve">16.rinda 1.līdz 6., </w:t>
            </w:r>
            <w:r w:rsidRPr="00EE4274">
              <w:rPr>
                <w:sz w:val="22"/>
                <w:szCs w:val="22"/>
              </w:rPr>
              <w:lastRenderedPageBreak/>
              <w:t>11.līdz 14., 18.līdz 24.vieta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2660CC"/>
          <w:p w:rsidR="00916D20" w:rsidRPr="00EE4274" w:rsidRDefault="00916D20" w:rsidP="002660CC">
            <w:r>
              <w:rPr>
                <w:sz w:val="22"/>
                <w:szCs w:val="22"/>
              </w:rPr>
              <w:t>Balkons:</w:t>
            </w:r>
          </w:p>
          <w:p w:rsidR="00916D20" w:rsidRPr="00686344" w:rsidRDefault="00916D20" w:rsidP="002660CC">
            <w:r>
              <w:rPr>
                <w:sz w:val="22"/>
                <w:szCs w:val="22"/>
              </w:rPr>
              <w:t xml:space="preserve">2., 3.rinda </w:t>
            </w:r>
            <w:r w:rsidRPr="00EE4274">
              <w:rPr>
                <w:sz w:val="22"/>
                <w:szCs w:val="22"/>
              </w:rPr>
              <w:t>no 21.līdz 81.vieta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2660CC">
            <w:r>
              <w:rPr>
                <w:sz w:val="22"/>
                <w:szCs w:val="22"/>
              </w:rPr>
              <w:t xml:space="preserve">Latvijas Universitātes Lielā aula. </w:t>
            </w:r>
          </w:p>
          <w:p w:rsidR="00916D20" w:rsidRPr="00EE4274" w:rsidRDefault="00916D20" w:rsidP="002660CC">
            <w:r>
              <w:rPr>
                <w:sz w:val="22"/>
                <w:szCs w:val="22"/>
              </w:rPr>
              <w:t>Zāle:</w:t>
            </w:r>
          </w:p>
          <w:p w:rsidR="00916D20" w:rsidRDefault="00916D20" w:rsidP="002660CC">
            <w:r w:rsidRPr="00EE4274">
              <w:rPr>
                <w:sz w:val="22"/>
                <w:szCs w:val="22"/>
              </w:rPr>
              <w:t>9., 10.rinda</w:t>
            </w:r>
            <w:r>
              <w:rPr>
                <w:sz w:val="22"/>
                <w:szCs w:val="22"/>
              </w:rPr>
              <w:t>.</w:t>
            </w:r>
          </w:p>
          <w:p w:rsidR="00916D20" w:rsidRPr="00EE4274" w:rsidRDefault="00916D20" w:rsidP="002660CC"/>
          <w:p w:rsidR="00916D20" w:rsidRPr="00EE4274" w:rsidRDefault="00916D20" w:rsidP="002660CC">
            <w:r>
              <w:rPr>
                <w:sz w:val="22"/>
                <w:szCs w:val="22"/>
              </w:rPr>
              <w:t>Balkons:</w:t>
            </w:r>
          </w:p>
          <w:p w:rsidR="00916D20" w:rsidRPr="00686344" w:rsidRDefault="00916D20" w:rsidP="00B42ED8">
            <w:r w:rsidRPr="00EE4274">
              <w:rPr>
                <w:sz w:val="22"/>
                <w:szCs w:val="22"/>
              </w:rPr>
              <w:t xml:space="preserve">1.rinda no 21.līdz 81. </w:t>
            </w:r>
            <w:r>
              <w:rPr>
                <w:sz w:val="22"/>
                <w:szCs w:val="22"/>
              </w:rPr>
              <w:t>v</w:t>
            </w:r>
            <w:r w:rsidRPr="00EE4274">
              <w:rPr>
                <w:sz w:val="22"/>
                <w:szCs w:val="22"/>
              </w:rPr>
              <w:t>ieta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686344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3F1DE6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F1DE6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3F1DE6" w:rsidRPr="00686344" w:rsidRDefault="003F1DE6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Vokāli simfoniskās mūzikas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2660CC">
            <w:r>
              <w:rPr>
                <w:sz w:val="22"/>
                <w:szCs w:val="22"/>
              </w:rPr>
              <w:t>Arēna Rīga.</w:t>
            </w:r>
          </w:p>
          <w:p w:rsidR="00916D20" w:rsidRPr="002660CC" w:rsidRDefault="00916D20" w:rsidP="002660CC">
            <w:r>
              <w:rPr>
                <w:sz w:val="22"/>
                <w:szCs w:val="22"/>
              </w:rPr>
              <w:t>Pirmais līmenis: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Sektori Nr.103 līdz Nr.113.</w:t>
            </w:r>
          </w:p>
          <w:p w:rsidR="00916D20" w:rsidRDefault="00916D20" w:rsidP="002660CC">
            <w:r w:rsidRPr="002660CC">
              <w:rPr>
                <w:sz w:val="22"/>
                <w:szCs w:val="22"/>
              </w:rPr>
              <w:t>17.rinda</w:t>
            </w:r>
            <w:r>
              <w:rPr>
                <w:sz w:val="22"/>
                <w:szCs w:val="22"/>
              </w:rPr>
              <w:t>.</w:t>
            </w:r>
          </w:p>
          <w:p w:rsidR="00916D20" w:rsidRPr="002660CC" w:rsidRDefault="00916D20" w:rsidP="002660CC"/>
          <w:p w:rsidR="00916D20" w:rsidRPr="002660CC" w:rsidRDefault="00916D20" w:rsidP="002660CC">
            <w:r w:rsidRPr="002660CC">
              <w:rPr>
                <w:sz w:val="22"/>
                <w:szCs w:val="22"/>
              </w:rPr>
              <w:t>Trešais līmenis</w:t>
            </w:r>
            <w:r>
              <w:rPr>
                <w:sz w:val="22"/>
                <w:szCs w:val="22"/>
              </w:rPr>
              <w:t>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Sektori Nr.303 līdz Nr.</w:t>
            </w:r>
            <w:r>
              <w:rPr>
                <w:sz w:val="22"/>
                <w:szCs w:val="22"/>
              </w:rPr>
              <w:t>3</w:t>
            </w:r>
            <w:r w:rsidRPr="002660CC">
              <w:rPr>
                <w:sz w:val="22"/>
                <w:szCs w:val="22"/>
              </w:rPr>
              <w:t>15.</w:t>
            </w:r>
          </w:p>
          <w:p w:rsidR="00916D20" w:rsidRPr="00686344" w:rsidRDefault="00916D20" w:rsidP="002660CC">
            <w:r w:rsidRPr="002660CC">
              <w:rPr>
                <w:sz w:val="22"/>
                <w:szCs w:val="22"/>
              </w:rPr>
              <w:t>8.līdz 13.rinda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Pr="002660CC" w:rsidRDefault="00916D20" w:rsidP="002660CC">
            <w:r>
              <w:rPr>
                <w:sz w:val="22"/>
                <w:szCs w:val="22"/>
              </w:rPr>
              <w:t>Arēna Rīga. Pirmais līmenis: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Sektori Nr.103 līdz Nr.113.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13.līdz 16.rinda</w:t>
            </w:r>
            <w:r>
              <w:rPr>
                <w:sz w:val="22"/>
                <w:szCs w:val="22"/>
              </w:rPr>
              <w:t>.</w:t>
            </w:r>
          </w:p>
          <w:p w:rsidR="00916D20" w:rsidRPr="002660CC" w:rsidRDefault="00916D20" w:rsidP="002660CC">
            <w:r>
              <w:rPr>
                <w:sz w:val="22"/>
                <w:szCs w:val="22"/>
              </w:rPr>
              <w:t>Trešais līmenis: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Sektori Nr.303 līdz Nr.</w:t>
            </w:r>
            <w:r>
              <w:rPr>
                <w:sz w:val="22"/>
                <w:szCs w:val="22"/>
              </w:rPr>
              <w:t>3</w:t>
            </w:r>
            <w:r w:rsidRPr="002660CC">
              <w:rPr>
                <w:sz w:val="22"/>
                <w:szCs w:val="22"/>
              </w:rPr>
              <w:t>15.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1.līdz 7.rinda</w:t>
            </w:r>
            <w:r>
              <w:rPr>
                <w:sz w:val="22"/>
                <w:szCs w:val="22"/>
              </w:rPr>
              <w:t>.</w:t>
            </w:r>
          </w:p>
          <w:p w:rsidR="00916D20" w:rsidRPr="002660CC" w:rsidRDefault="00916D20" w:rsidP="002660CC">
            <w:proofErr w:type="spellStart"/>
            <w:r>
              <w:rPr>
                <w:sz w:val="22"/>
                <w:szCs w:val="22"/>
              </w:rPr>
              <w:t>Parteris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916D20" w:rsidRPr="00686344" w:rsidRDefault="00916D20" w:rsidP="002660CC">
            <w:r w:rsidRPr="002660CC">
              <w:rPr>
                <w:sz w:val="22"/>
                <w:szCs w:val="22"/>
              </w:rPr>
              <w:lastRenderedPageBreak/>
              <w:t>21. līdz 26.rinda 1.līdz 14. un 29.līdz 42.vietas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  <w:vAlign w:val="center"/>
          </w:tcPr>
          <w:p w:rsidR="00916D20" w:rsidRDefault="00916D20" w:rsidP="00BF2693">
            <w:r>
              <w:rPr>
                <w:sz w:val="22"/>
                <w:szCs w:val="22"/>
              </w:rPr>
              <w:t>Arēna Rīga.</w:t>
            </w:r>
          </w:p>
          <w:p w:rsidR="00916D20" w:rsidRPr="002660CC" w:rsidRDefault="00916D20" w:rsidP="00BF2693">
            <w:r>
              <w:rPr>
                <w:sz w:val="22"/>
                <w:szCs w:val="22"/>
              </w:rPr>
              <w:t>Pirmais līmenis:</w:t>
            </w:r>
          </w:p>
          <w:p w:rsidR="00916D20" w:rsidRPr="002660CC" w:rsidRDefault="00916D20" w:rsidP="00BF2693">
            <w:r w:rsidRPr="002660CC">
              <w:rPr>
                <w:sz w:val="22"/>
                <w:szCs w:val="22"/>
              </w:rPr>
              <w:t>Sektori Nr.103 līdz Nr.113.</w:t>
            </w:r>
          </w:p>
          <w:p w:rsidR="00916D20" w:rsidRDefault="00916D20" w:rsidP="00BF2693">
            <w:r w:rsidRPr="002660CC">
              <w:rPr>
                <w:sz w:val="22"/>
                <w:szCs w:val="22"/>
              </w:rPr>
              <w:t>9.līdz 12.rinda</w:t>
            </w:r>
          </w:p>
          <w:p w:rsidR="00916D20" w:rsidRPr="002660CC" w:rsidRDefault="00916D20" w:rsidP="00BF2693"/>
          <w:p w:rsidR="00916D20" w:rsidRPr="002660CC" w:rsidRDefault="00916D20" w:rsidP="00BF2693">
            <w:proofErr w:type="spellStart"/>
            <w:r>
              <w:rPr>
                <w:sz w:val="22"/>
                <w:szCs w:val="22"/>
              </w:rPr>
              <w:t>Parteris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916D20" w:rsidRPr="002660CC" w:rsidRDefault="00916D20" w:rsidP="00BF2693">
            <w:r w:rsidRPr="002660CC">
              <w:rPr>
                <w:sz w:val="22"/>
                <w:szCs w:val="22"/>
              </w:rPr>
              <w:t>17.līdz 20.rinda</w:t>
            </w:r>
          </w:p>
          <w:p w:rsidR="00916D20" w:rsidRPr="002660CC" w:rsidRDefault="00916D20" w:rsidP="00BF2693">
            <w:r w:rsidRPr="002660CC">
              <w:rPr>
                <w:sz w:val="22"/>
                <w:szCs w:val="22"/>
              </w:rPr>
              <w:t>13. līdz 16.rinda 1.līdz 14. un 29.līdz 42.vietas</w:t>
            </w:r>
          </w:p>
          <w:p w:rsidR="00916D20" w:rsidRPr="00686344" w:rsidRDefault="00916D20" w:rsidP="00BF2693">
            <w:r w:rsidRPr="002660CC">
              <w:rPr>
                <w:sz w:val="22"/>
                <w:szCs w:val="22"/>
              </w:rPr>
              <w:t>21.līdz 26. rinda 15.līdz 28.vietas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.4.</w:t>
            </w:r>
          </w:p>
        </w:tc>
        <w:tc>
          <w:tcPr>
            <w:tcW w:w="761" w:type="pct"/>
            <w:vAlign w:val="center"/>
          </w:tcPr>
          <w:p w:rsidR="00916D20" w:rsidRPr="002660CC" w:rsidRDefault="00916D20" w:rsidP="002660CC">
            <w:r>
              <w:rPr>
                <w:sz w:val="22"/>
                <w:szCs w:val="22"/>
              </w:rPr>
              <w:t>Arēna Rīga. Pirmais līmenis: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Sektori Nr.103 līdz Nr.113.</w:t>
            </w:r>
          </w:p>
          <w:p w:rsidR="00916D20" w:rsidRDefault="00916D20" w:rsidP="002660CC">
            <w:r w:rsidRPr="002660CC">
              <w:rPr>
                <w:sz w:val="22"/>
                <w:szCs w:val="22"/>
              </w:rPr>
              <w:t>6.līdz 8.rinda</w:t>
            </w:r>
            <w:r>
              <w:rPr>
                <w:sz w:val="22"/>
                <w:szCs w:val="22"/>
              </w:rPr>
              <w:t>.</w:t>
            </w:r>
          </w:p>
          <w:p w:rsidR="00916D20" w:rsidRPr="002660CC" w:rsidRDefault="00916D20" w:rsidP="002660CC"/>
          <w:p w:rsidR="00916D20" w:rsidRPr="002660CC" w:rsidRDefault="00916D20" w:rsidP="002660CC">
            <w:proofErr w:type="spellStart"/>
            <w:r>
              <w:rPr>
                <w:sz w:val="22"/>
                <w:szCs w:val="22"/>
              </w:rPr>
              <w:t>Parteris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7.līdz 12.rinda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5.,6.rinda 1.līdz 14. un 29.līdz 42.vietas</w:t>
            </w:r>
          </w:p>
          <w:p w:rsidR="00916D20" w:rsidRPr="00686344" w:rsidRDefault="00916D20" w:rsidP="002660CC">
            <w:r w:rsidRPr="002660CC">
              <w:rPr>
                <w:sz w:val="22"/>
                <w:szCs w:val="22"/>
              </w:rPr>
              <w:t>13.līdz 16. rinda 15.līdz 28.vietas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2.52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6.51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0.63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0.26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10,00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10,00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.5.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2660CC">
            <w:r>
              <w:rPr>
                <w:sz w:val="22"/>
                <w:szCs w:val="22"/>
              </w:rPr>
              <w:t>Arēna Rīga.</w:t>
            </w:r>
          </w:p>
          <w:p w:rsidR="00916D20" w:rsidRPr="002660CC" w:rsidRDefault="00916D20" w:rsidP="002660CC">
            <w:r>
              <w:rPr>
                <w:sz w:val="22"/>
                <w:szCs w:val="22"/>
              </w:rPr>
              <w:t>Pirmais līmenis: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Sektori Nr.103 līdz Nr.113.</w:t>
            </w:r>
          </w:p>
          <w:p w:rsidR="00916D20" w:rsidRDefault="00916D20" w:rsidP="002660CC">
            <w:r w:rsidRPr="002660CC">
              <w:rPr>
                <w:sz w:val="22"/>
                <w:szCs w:val="22"/>
              </w:rPr>
              <w:t>3.līdz 5.rinda</w:t>
            </w:r>
            <w:r>
              <w:rPr>
                <w:sz w:val="22"/>
                <w:szCs w:val="22"/>
              </w:rPr>
              <w:t>.</w:t>
            </w:r>
          </w:p>
          <w:p w:rsidR="00916D20" w:rsidRPr="002660CC" w:rsidRDefault="00916D20" w:rsidP="002660CC"/>
          <w:p w:rsidR="00916D20" w:rsidRPr="002660CC" w:rsidRDefault="00916D20" w:rsidP="002660CC">
            <w:proofErr w:type="spellStart"/>
            <w:r>
              <w:rPr>
                <w:sz w:val="22"/>
                <w:szCs w:val="22"/>
              </w:rPr>
              <w:t>Parteris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1.līdz 4.rinda</w:t>
            </w:r>
          </w:p>
          <w:p w:rsidR="00916D20" w:rsidRPr="00686344" w:rsidRDefault="00916D20" w:rsidP="002660CC">
            <w:r w:rsidRPr="002660CC">
              <w:rPr>
                <w:sz w:val="22"/>
                <w:szCs w:val="22"/>
              </w:rPr>
              <w:lastRenderedPageBreak/>
              <w:t>5.,6.rinda 15.līdz 28.vietas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3.78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9.76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0.97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15,00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15,00</w:t>
            </w:r>
          </w:p>
        </w:tc>
      </w:tr>
      <w:tr w:rsidR="00686344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3F1DE6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3F1DE6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3F1DE6" w:rsidRPr="00686344" w:rsidRDefault="003F1DE6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Kokļu ansambļu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2660CC">
            <w:r>
              <w:rPr>
                <w:sz w:val="22"/>
                <w:szCs w:val="22"/>
              </w:rPr>
              <w:t>Starptautiskais izstāžu centrs Ķīpsalā.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Sektors A, 4.līdz 11.rinda</w:t>
            </w:r>
            <w:r>
              <w:rPr>
                <w:sz w:val="22"/>
                <w:szCs w:val="22"/>
              </w:rPr>
              <w:t>,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Sektors B, 4.līdz 11.rinda</w:t>
            </w:r>
            <w:r>
              <w:rPr>
                <w:sz w:val="22"/>
                <w:szCs w:val="22"/>
              </w:rPr>
              <w:t>,</w:t>
            </w:r>
          </w:p>
          <w:p w:rsidR="00916D20" w:rsidRPr="00686344" w:rsidRDefault="00916D20" w:rsidP="002660CC">
            <w:r w:rsidRPr="002660CC">
              <w:rPr>
                <w:sz w:val="22"/>
                <w:szCs w:val="22"/>
              </w:rPr>
              <w:t>Sektors C, G, 1.līdz 10.rinda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Default="00916D20" w:rsidP="002660CC">
            <w:r>
              <w:rPr>
                <w:sz w:val="22"/>
                <w:szCs w:val="22"/>
              </w:rPr>
              <w:t>Starptautiskais izstāžu centrs Ķīpsalā.</w:t>
            </w:r>
          </w:p>
          <w:p w:rsidR="00916D20" w:rsidRPr="002660CC" w:rsidRDefault="00916D20" w:rsidP="002660CC">
            <w:r>
              <w:rPr>
                <w:sz w:val="22"/>
                <w:szCs w:val="22"/>
              </w:rPr>
              <w:t xml:space="preserve">Sektors A, B, </w:t>
            </w:r>
            <w:r w:rsidRPr="002660CC">
              <w:rPr>
                <w:sz w:val="22"/>
                <w:szCs w:val="22"/>
              </w:rPr>
              <w:t>2.līdz 4.rinda</w:t>
            </w:r>
            <w:r>
              <w:rPr>
                <w:sz w:val="22"/>
                <w:szCs w:val="22"/>
              </w:rPr>
              <w:t>,</w:t>
            </w:r>
          </w:p>
          <w:p w:rsidR="00916D20" w:rsidRPr="002660CC" w:rsidRDefault="00916D20" w:rsidP="002660CC">
            <w:r w:rsidRPr="002660CC">
              <w:rPr>
                <w:sz w:val="22"/>
                <w:szCs w:val="22"/>
              </w:rPr>
              <w:t>Sektors A1, B1, 1.līdz 4.rinda</w:t>
            </w:r>
            <w:r>
              <w:rPr>
                <w:sz w:val="22"/>
                <w:szCs w:val="22"/>
              </w:rPr>
              <w:t>,</w:t>
            </w:r>
          </w:p>
          <w:p w:rsidR="00916D20" w:rsidRPr="00686344" w:rsidRDefault="00916D20" w:rsidP="002660CC">
            <w:r w:rsidRPr="002660CC">
              <w:rPr>
                <w:sz w:val="22"/>
                <w:szCs w:val="22"/>
              </w:rPr>
              <w:t>Sektors D, F, 1.līdz 10.rinda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</w:tcPr>
          <w:p w:rsidR="00916D20" w:rsidRPr="0021203A" w:rsidRDefault="00916D20" w:rsidP="00BF2693">
            <w:r w:rsidRPr="002660CC">
              <w:t>Starptautiskais izstāžu centrs Ķīpsalā.</w:t>
            </w:r>
            <w:r>
              <w:t xml:space="preserve"> Sektors E 1.līdz 10.rinda.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/>
            <w:vAlign w:val="center"/>
          </w:tcPr>
          <w:p w:rsidR="002660CC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660CC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/>
            <w:vAlign w:val="center"/>
          </w:tcPr>
          <w:p w:rsidR="002660CC" w:rsidRPr="00686344" w:rsidRDefault="002660CC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Vokālo ansambļu garīgās mūzikas koncerta „Latviešu psalmu dziedājumi”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EE791F">
            <w:r>
              <w:rPr>
                <w:sz w:val="22"/>
                <w:szCs w:val="22"/>
              </w:rPr>
              <w:t>Rīgas Svētā Jāņa baznīca.</w:t>
            </w:r>
          </w:p>
          <w:p w:rsidR="00916D20" w:rsidRPr="00686344" w:rsidRDefault="00916D20" w:rsidP="00EE791F">
            <w:r>
              <w:rPr>
                <w:sz w:val="22"/>
                <w:szCs w:val="22"/>
              </w:rPr>
              <w:t xml:space="preserve"> </w:t>
            </w:r>
            <w:r w:rsidRPr="00EE791F">
              <w:rPr>
                <w:sz w:val="22"/>
                <w:szCs w:val="22"/>
              </w:rPr>
              <w:t>43. līdz 87.rinda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Default="00916D20" w:rsidP="00EE791F">
            <w:r>
              <w:rPr>
                <w:sz w:val="22"/>
                <w:szCs w:val="22"/>
              </w:rPr>
              <w:t xml:space="preserve">Rīgas Svētā Jāņa baznīca. </w:t>
            </w:r>
          </w:p>
          <w:p w:rsidR="00916D20" w:rsidRPr="00686344" w:rsidRDefault="00916D20" w:rsidP="00777DDF">
            <w:r>
              <w:rPr>
                <w:sz w:val="22"/>
                <w:szCs w:val="22"/>
              </w:rPr>
              <w:t>7. līdz 42.rinda.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/>
            <w:vAlign w:val="center"/>
          </w:tcPr>
          <w:p w:rsidR="002660CC" w:rsidRPr="00686344" w:rsidRDefault="004D175C" w:rsidP="00686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660CC"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1" w:type="pct"/>
            <w:gridSpan w:val="9"/>
            <w:shd w:val="clear" w:color="auto" w:fill="D9D9D9"/>
            <w:vAlign w:val="center"/>
          </w:tcPr>
          <w:p w:rsidR="002660CC" w:rsidRPr="00686344" w:rsidRDefault="002660CC" w:rsidP="00686344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 xml:space="preserve">XXV Vispārējo latviešu Dziesmu un XV Deju svētku Deju </w:t>
            </w:r>
            <w:proofErr w:type="spellStart"/>
            <w:r w:rsidRPr="00686344">
              <w:rPr>
                <w:b/>
                <w:sz w:val="22"/>
                <w:szCs w:val="22"/>
              </w:rPr>
              <w:t>lieluzveduma</w:t>
            </w:r>
            <w:proofErr w:type="spellEnd"/>
            <w:r w:rsidRPr="00686344">
              <w:rPr>
                <w:b/>
                <w:sz w:val="22"/>
                <w:szCs w:val="22"/>
              </w:rPr>
              <w:t xml:space="preserve"> ģenerālmēģinājuma ieejas biļete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2660CC" w:rsidRPr="00686344" w:rsidRDefault="002660CC" w:rsidP="00686344">
            <w:pPr>
              <w:jc w:val="center"/>
            </w:pP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EE791F">
            <w:r>
              <w:rPr>
                <w:sz w:val="22"/>
                <w:szCs w:val="22"/>
              </w:rPr>
              <w:t xml:space="preserve">Daugavas stadions. </w:t>
            </w:r>
          </w:p>
          <w:p w:rsidR="00916D20" w:rsidRPr="00686344" w:rsidRDefault="00916D20" w:rsidP="00EE791F">
            <w:r w:rsidRPr="00EE791F">
              <w:rPr>
                <w:sz w:val="22"/>
                <w:szCs w:val="22"/>
              </w:rPr>
              <w:t>Sektors 1.,3.,5.,7., 7A, 9.,9B, 11.,13.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0.65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0.06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EE791F">
            <w:r>
              <w:rPr>
                <w:sz w:val="22"/>
                <w:szCs w:val="22"/>
              </w:rPr>
              <w:t xml:space="preserve">Daugavas stadions. </w:t>
            </w:r>
          </w:p>
          <w:p w:rsidR="00916D20" w:rsidRPr="00686344" w:rsidRDefault="00916D20" w:rsidP="00EE791F">
            <w:r w:rsidRPr="00EE791F">
              <w:rPr>
                <w:sz w:val="22"/>
                <w:szCs w:val="22"/>
              </w:rPr>
              <w:t>Sektors 2.,4.,6.,8.,10.,12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1</w:t>
            </w:r>
            <w:r w:rsidR="004D175C">
              <w:rPr>
                <w:b/>
                <w:sz w:val="22"/>
                <w:szCs w:val="22"/>
              </w:rPr>
              <w:t>0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2660CC" w:rsidRPr="00686344" w:rsidRDefault="002660CC" w:rsidP="00686344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Vokālo ansambļu laicīgās mūzikas koncerta „Putns ar zīda asti”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0445FD">
            <w:r>
              <w:rPr>
                <w:sz w:val="22"/>
                <w:szCs w:val="22"/>
              </w:rPr>
              <w:t xml:space="preserve">Doma baznīcas dārzs. </w:t>
            </w:r>
          </w:p>
          <w:p w:rsidR="00916D20" w:rsidRPr="00686344" w:rsidRDefault="00916D20" w:rsidP="000445FD">
            <w:r w:rsidRPr="00EE791F">
              <w:rPr>
                <w:sz w:val="22"/>
                <w:szCs w:val="22"/>
              </w:rPr>
              <w:t>11.līdz 15.rinda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Default="00916D20" w:rsidP="000445FD">
            <w:r>
              <w:rPr>
                <w:sz w:val="22"/>
                <w:szCs w:val="22"/>
              </w:rPr>
              <w:t>Doma baznīcas dārzs.</w:t>
            </w:r>
          </w:p>
          <w:p w:rsidR="00916D20" w:rsidRPr="00686344" w:rsidRDefault="00916D20" w:rsidP="000445FD">
            <w:r>
              <w:rPr>
                <w:sz w:val="22"/>
                <w:szCs w:val="22"/>
              </w:rPr>
              <w:t xml:space="preserve"> </w:t>
            </w:r>
            <w:r w:rsidRPr="000445FD">
              <w:rPr>
                <w:sz w:val="22"/>
                <w:szCs w:val="22"/>
              </w:rPr>
              <w:t>5.līdz 10.rinda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0445FD">
            <w:r>
              <w:rPr>
                <w:sz w:val="22"/>
                <w:szCs w:val="22"/>
              </w:rPr>
              <w:t>Doma baznīcas dārzs.</w:t>
            </w:r>
          </w:p>
          <w:p w:rsidR="00916D20" w:rsidRPr="00686344" w:rsidRDefault="00916D20" w:rsidP="000445FD">
            <w:r>
              <w:rPr>
                <w:sz w:val="22"/>
                <w:szCs w:val="22"/>
              </w:rPr>
              <w:t xml:space="preserve"> </w:t>
            </w:r>
            <w:r w:rsidRPr="000445FD">
              <w:rPr>
                <w:sz w:val="22"/>
                <w:szCs w:val="22"/>
              </w:rPr>
              <w:t>1.līdz 4.rinda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1</w:t>
            </w:r>
            <w:r w:rsidR="004D175C">
              <w:rPr>
                <w:b/>
                <w:sz w:val="22"/>
                <w:szCs w:val="22"/>
              </w:rPr>
              <w:t>1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2660CC" w:rsidRPr="00686344" w:rsidRDefault="002660CC" w:rsidP="00686344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 xml:space="preserve">XXV Vispārējo latviešu Dziesmu un XV Deju svētku Deju </w:t>
            </w:r>
            <w:proofErr w:type="spellStart"/>
            <w:r w:rsidRPr="00686344">
              <w:rPr>
                <w:b/>
                <w:sz w:val="22"/>
                <w:szCs w:val="22"/>
              </w:rPr>
              <w:t>lieluzveduma</w:t>
            </w:r>
            <w:proofErr w:type="spellEnd"/>
            <w:r w:rsidRPr="00686344">
              <w:rPr>
                <w:b/>
                <w:sz w:val="22"/>
                <w:szCs w:val="22"/>
              </w:rPr>
              <w:t xml:space="preserve">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5067E3">
            <w:r>
              <w:rPr>
                <w:sz w:val="22"/>
                <w:szCs w:val="22"/>
              </w:rPr>
              <w:t xml:space="preserve">Daugavas stadions. </w:t>
            </w:r>
          </w:p>
          <w:p w:rsidR="00916D20" w:rsidRDefault="00916D20" w:rsidP="005067E3">
            <w:r>
              <w:rPr>
                <w:sz w:val="22"/>
                <w:szCs w:val="22"/>
              </w:rPr>
              <w:t xml:space="preserve">1.dienas koncerts (05.07.2013.), </w:t>
            </w:r>
          </w:p>
          <w:p w:rsidR="00916D20" w:rsidRDefault="00916D20" w:rsidP="005067E3">
            <w:r>
              <w:rPr>
                <w:sz w:val="22"/>
                <w:szCs w:val="22"/>
              </w:rPr>
              <w:t>2.vakara koncerts (05.07.2013),</w:t>
            </w:r>
          </w:p>
          <w:p w:rsidR="00916D20" w:rsidRDefault="00916D20" w:rsidP="005067E3">
            <w:r>
              <w:rPr>
                <w:sz w:val="22"/>
                <w:szCs w:val="22"/>
              </w:rPr>
              <w:t>3.dienas koncerts (06.07.2013.):</w:t>
            </w:r>
          </w:p>
          <w:p w:rsidR="00916D20" w:rsidRPr="003463AB" w:rsidRDefault="00916D20" w:rsidP="005067E3">
            <w:r w:rsidRPr="003463AB">
              <w:rPr>
                <w:sz w:val="22"/>
                <w:szCs w:val="22"/>
              </w:rPr>
              <w:t>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686344" w:rsidRDefault="00916D20" w:rsidP="00777DDF">
            <w:r w:rsidRPr="003463AB">
              <w:rPr>
                <w:sz w:val="22"/>
                <w:szCs w:val="22"/>
              </w:rPr>
              <w:t xml:space="preserve">Sektors 1.,3.,7.,9.,11.,13, 1.-4. </w:t>
            </w:r>
            <w:r>
              <w:rPr>
                <w:sz w:val="22"/>
                <w:szCs w:val="22"/>
              </w:rPr>
              <w:t>r</w:t>
            </w:r>
            <w:r w:rsidRPr="003463AB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34315E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Pr="005067E3" w:rsidRDefault="00916D20" w:rsidP="005067E3">
            <w:r w:rsidRPr="005067E3">
              <w:rPr>
                <w:sz w:val="22"/>
                <w:szCs w:val="22"/>
              </w:rPr>
              <w:t xml:space="preserve">Daugavas stadions. 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 xml:space="preserve">1.dienas koncerts (05.07.2013.) </w:t>
            </w:r>
            <w:r>
              <w:rPr>
                <w:sz w:val="22"/>
                <w:szCs w:val="22"/>
              </w:rPr>
              <w:t>,</w:t>
            </w:r>
          </w:p>
          <w:p w:rsidR="00916D20" w:rsidRPr="005067E3" w:rsidRDefault="00916D20" w:rsidP="005067E3">
            <w:r>
              <w:rPr>
                <w:sz w:val="22"/>
                <w:szCs w:val="22"/>
              </w:rPr>
              <w:t>2.vakara koncerts (05.07.2013),</w:t>
            </w:r>
          </w:p>
          <w:p w:rsidR="00916D20" w:rsidRDefault="00916D20" w:rsidP="005067E3">
            <w:r w:rsidRPr="005067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.dienas koncerts (06.07.2013.):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5067E3" w:rsidRDefault="00916D20" w:rsidP="005067E3">
            <w:r>
              <w:rPr>
                <w:sz w:val="22"/>
                <w:szCs w:val="22"/>
              </w:rPr>
              <w:t>Sektors 1.,3.,11.,13,</w:t>
            </w:r>
            <w:r w:rsidRPr="005067E3">
              <w:rPr>
                <w:sz w:val="22"/>
                <w:szCs w:val="22"/>
              </w:rPr>
              <w:t xml:space="preserve"> 5.-9.</w:t>
            </w:r>
            <w:r>
              <w:rPr>
                <w:sz w:val="22"/>
                <w:szCs w:val="22"/>
              </w:rPr>
              <w:t>r</w:t>
            </w:r>
            <w:r w:rsidRPr="005067E3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Sektors 5., 5. līdz 7.rinda</w:t>
            </w:r>
            <w:r>
              <w:rPr>
                <w:sz w:val="22"/>
                <w:szCs w:val="22"/>
              </w:rPr>
              <w:t>.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 xml:space="preserve">Sektors 7A, 9A, 1.līdz </w:t>
            </w:r>
            <w:r w:rsidRPr="005067E3">
              <w:rPr>
                <w:sz w:val="22"/>
                <w:szCs w:val="22"/>
              </w:rPr>
              <w:lastRenderedPageBreak/>
              <w:t>3.rinda</w:t>
            </w:r>
            <w:r>
              <w:rPr>
                <w:sz w:val="22"/>
                <w:szCs w:val="22"/>
              </w:rPr>
              <w:t>.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Sektors 2.,12, 1.līdz 5.rinda</w:t>
            </w:r>
            <w:r>
              <w:rPr>
                <w:sz w:val="22"/>
                <w:szCs w:val="22"/>
              </w:rPr>
              <w:t>,</w:t>
            </w:r>
          </w:p>
          <w:p w:rsidR="00916D20" w:rsidRDefault="00916D20" w:rsidP="005067E3">
            <w:r w:rsidRPr="005067E3">
              <w:rPr>
                <w:sz w:val="22"/>
                <w:szCs w:val="22"/>
              </w:rPr>
              <w:t>Sektors 4.,6.,8.,10., 1.līdz 3.rinda</w:t>
            </w:r>
            <w:r>
              <w:rPr>
                <w:sz w:val="22"/>
                <w:szCs w:val="22"/>
              </w:rPr>
              <w:t>,</w:t>
            </w:r>
          </w:p>
          <w:p w:rsidR="00916D20" w:rsidRDefault="00916D20" w:rsidP="00931DBA"/>
          <w:p w:rsidR="00916D20" w:rsidRDefault="00916D20" w:rsidP="00931DBA">
            <w:r w:rsidRPr="00931DBA">
              <w:rPr>
                <w:sz w:val="22"/>
                <w:szCs w:val="22"/>
              </w:rPr>
              <w:t>Daugavas stadions. 4.vakara koncerts (06.07.2013.)</w:t>
            </w:r>
            <w:r>
              <w:t xml:space="preserve"> :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 līmenis</w:t>
            </w:r>
          </w:p>
          <w:p w:rsidR="00916D20" w:rsidRPr="00686344" w:rsidRDefault="00916D20" w:rsidP="00777DDF">
            <w:r w:rsidRPr="00931DBA">
              <w:rPr>
                <w:sz w:val="22"/>
                <w:szCs w:val="22"/>
              </w:rPr>
              <w:t xml:space="preserve">Sektors 1.,3.,11.,13, 1.-4. </w:t>
            </w:r>
            <w:r>
              <w:rPr>
                <w:sz w:val="22"/>
                <w:szCs w:val="22"/>
              </w:rPr>
              <w:t>r</w:t>
            </w:r>
            <w:r w:rsidRPr="00931DBA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  <w:vAlign w:val="center"/>
          </w:tcPr>
          <w:p w:rsidR="00916D20" w:rsidRPr="005067E3" w:rsidRDefault="00916D20" w:rsidP="005067E3">
            <w:r w:rsidRPr="005067E3">
              <w:rPr>
                <w:sz w:val="22"/>
                <w:szCs w:val="22"/>
              </w:rPr>
              <w:t xml:space="preserve">Daugavas stadions. 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1.dienas koncerts (05.07.2013.)</w:t>
            </w:r>
            <w:r>
              <w:rPr>
                <w:sz w:val="22"/>
                <w:szCs w:val="22"/>
              </w:rPr>
              <w:t>,</w:t>
            </w:r>
            <w:r w:rsidRPr="005067E3">
              <w:rPr>
                <w:sz w:val="22"/>
                <w:szCs w:val="22"/>
              </w:rPr>
              <w:t xml:space="preserve"> 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2.vakara koncerts (05.</w:t>
            </w:r>
            <w:r>
              <w:rPr>
                <w:sz w:val="22"/>
                <w:szCs w:val="22"/>
              </w:rPr>
              <w:t>07.2013),</w:t>
            </w:r>
          </w:p>
          <w:p w:rsidR="00916D20" w:rsidRDefault="00916D20" w:rsidP="005067E3">
            <w:r w:rsidRPr="005067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.dienas koncerts (06.07.2013.):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Sektors 11.,13., 10.,11.rinda</w:t>
            </w:r>
            <w:r>
              <w:rPr>
                <w:sz w:val="22"/>
                <w:szCs w:val="22"/>
              </w:rPr>
              <w:t>.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II līmenis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Sektors 2.,12., 6.līdz 10.rinda</w:t>
            </w:r>
            <w:r>
              <w:rPr>
                <w:sz w:val="22"/>
                <w:szCs w:val="22"/>
              </w:rPr>
              <w:t>.</w:t>
            </w:r>
          </w:p>
          <w:p w:rsidR="00916D20" w:rsidRPr="005067E3" w:rsidRDefault="00916D20" w:rsidP="005067E3">
            <w:r w:rsidRPr="005067E3">
              <w:rPr>
                <w:sz w:val="22"/>
                <w:szCs w:val="22"/>
              </w:rPr>
              <w:t>Sektors 4.,6., 4.</w:t>
            </w:r>
            <w:r>
              <w:rPr>
                <w:sz w:val="22"/>
                <w:szCs w:val="22"/>
              </w:rPr>
              <w:t>r</w:t>
            </w:r>
            <w:r w:rsidRPr="005067E3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5067E3">
            <w:r w:rsidRPr="005067E3">
              <w:rPr>
                <w:sz w:val="22"/>
                <w:szCs w:val="22"/>
              </w:rPr>
              <w:t>Sektors 8.,10., 4.līdz 7.rinda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5067E3"/>
          <w:p w:rsidR="00916D20" w:rsidRDefault="00916D20" w:rsidP="00931DBA">
            <w:r w:rsidRPr="00931DBA">
              <w:rPr>
                <w:sz w:val="22"/>
                <w:szCs w:val="22"/>
              </w:rPr>
              <w:t xml:space="preserve">Daugavas stadions. </w:t>
            </w:r>
            <w:r>
              <w:rPr>
                <w:sz w:val="22"/>
                <w:szCs w:val="22"/>
              </w:rPr>
              <w:t>4.vakara koncerts (06.07.2013.):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1., 5.-9.</w:t>
            </w:r>
            <w:r>
              <w:rPr>
                <w:sz w:val="22"/>
                <w:szCs w:val="22"/>
              </w:rPr>
              <w:t>r</w:t>
            </w:r>
            <w:r w:rsidRPr="00931DBA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lastRenderedPageBreak/>
              <w:t>Sektors 5.,7.,9., 1. līdz 4.rinda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931DBA">
            <w:r w:rsidRPr="00931DBA">
              <w:rPr>
                <w:sz w:val="22"/>
                <w:szCs w:val="22"/>
              </w:rPr>
              <w:t>Sektors 13., 5.līdz 11.rinda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.4.</w:t>
            </w:r>
          </w:p>
        </w:tc>
        <w:tc>
          <w:tcPr>
            <w:tcW w:w="761" w:type="pct"/>
            <w:vAlign w:val="center"/>
          </w:tcPr>
          <w:p w:rsidR="00916D20" w:rsidRPr="00931DBA" w:rsidRDefault="00916D20" w:rsidP="00931DBA">
            <w:r w:rsidRPr="00931DBA">
              <w:rPr>
                <w:sz w:val="22"/>
                <w:szCs w:val="22"/>
              </w:rPr>
              <w:t xml:space="preserve">Daugavas stadions. </w:t>
            </w:r>
          </w:p>
          <w:p w:rsidR="00916D20" w:rsidRPr="00931DBA" w:rsidRDefault="00916D20" w:rsidP="00931DBA">
            <w:r>
              <w:rPr>
                <w:sz w:val="22"/>
                <w:szCs w:val="22"/>
              </w:rPr>
              <w:t>1.dienas koncerts (05.07.2013.),</w:t>
            </w:r>
          </w:p>
          <w:p w:rsidR="00916D20" w:rsidRPr="00931DBA" w:rsidRDefault="00916D20" w:rsidP="00931DBA">
            <w:r>
              <w:rPr>
                <w:sz w:val="22"/>
                <w:szCs w:val="22"/>
              </w:rPr>
              <w:t>2.vakara koncerts (05.07.2013),</w:t>
            </w:r>
          </w:p>
          <w:p w:rsidR="00916D20" w:rsidRPr="005067E3" w:rsidRDefault="00916D20" w:rsidP="00931DBA">
            <w:r w:rsidRPr="00931DBA">
              <w:rPr>
                <w:sz w:val="22"/>
                <w:szCs w:val="22"/>
              </w:rPr>
              <w:t>3.dienas koncerts (06.07.2013.)</w:t>
            </w:r>
            <w:r>
              <w:rPr>
                <w:sz w:val="22"/>
                <w:szCs w:val="22"/>
              </w:rPr>
              <w:t>:</w:t>
            </w:r>
            <w:r w:rsidRPr="00931DBA">
              <w:rPr>
                <w:sz w:val="22"/>
                <w:szCs w:val="22"/>
              </w:rPr>
              <w:t xml:space="preserve"> </w:t>
            </w:r>
            <w:r w:rsidRPr="005067E3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5067E3" w:rsidRDefault="00916D20" w:rsidP="00931DBA">
            <w:r w:rsidRPr="005067E3">
              <w:rPr>
                <w:sz w:val="22"/>
                <w:szCs w:val="22"/>
              </w:rPr>
              <w:t>Sektors 2.,12., 11.līdz 15.rinda</w:t>
            </w:r>
            <w:r>
              <w:rPr>
                <w:sz w:val="22"/>
                <w:szCs w:val="22"/>
              </w:rPr>
              <w:t>.</w:t>
            </w:r>
          </w:p>
          <w:p w:rsidR="00916D20" w:rsidRPr="005067E3" w:rsidRDefault="00916D20" w:rsidP="00931DBA">
            <w:r w:rsidRPr="005067E3">
              <w:rPr>
                <w:sz w:val="22"/>
                <w:szCs w:val="22"/>
              </w:rPr>
              <w:t>Sektors 4.,6., 11.,12.rinda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931DBA">
            <w:r w:rsidRPr="005067E3">
              <w:rPr>
                <w:sz w:val="22"/>
                <w:szCs w:val="22"/>
              </w:rPr>
              <w:t>Sektors 8.,10., 8.līdz 12.rinda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931DBA"/>
          <w:p w:rsidR="00916D20" w:rsidRDefault="00916D20" w:rsidP="00931DBA">
            <w:r w:rsidRPr="00931DBA">
              <w:rPr>
                <w:sz w:val="22"/>
                <w:szCs w:val="22"/>
              </w:rPr>
              <w:t xml:space="preserve">Daugavas stadions. </w:t>
            </w:r>
            <w:r>
              <w:rPr>
                <w:sz w:val="22"/>
                <w:szCs w:val="22"/>
              </w:rPr>
              <w:t>4.vakara koncerts (06.07.2013.):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3.,11., 5.līdz 9.rinda</w:t>
            </w:r>
            <w:r>
              <w:rPr>
                <w:sz w:val="22"/>
                <w:szCs w:val="22"/>
              </w:rPr>
              <w:t>.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5., 5.līdz 7.rinda</w:t>
            </w:r>
            <w:r>
              <w:rPr>
                <w:sz w:val="22"/>
                <w:szCs w:val="22"/>
              </w:rPr>
              <w:t>.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7A,9B, 1.līdz 3 rinda</w:t>
            </w:r>
            <w:r>
              <w:rPr>
                <w:sz w:val="22"/>
                <w:szCs w:val="22"/>
              </w:rPr>
              <w:t>.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2.,12., 1.līdz 5.rinda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777DDF">
            <w:r w:rsidRPr="00931DBA">
              <w:rPr>
                <w:sz w:val="22"/>
                <w:szCs w:val="22"/>
              </w:rPr>
              <w:t xml:space="preserve">Sektors 4.,6., 8.,10.,1. līdz 3. </w:t>
            </w:r>
            <w:r>
              <w:rPr>
                <w:sz w:val="22"/>
                <w:szCs w:val="22"/>
              </w:rPr>
              <w:t>r</w:t>
            </w:r>
            <w:r w:rsidRPr="00931DBA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2.52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6.51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0.63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0.26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10,00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10,00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.5.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Pr="00931DBA" w:rsidRDefault="00916D20" w:rsidP="00931DBA">
            <w:r w:rsidRPr="00931DBA">
              <w:rPr>
                <w:sz w:val="22"/>
                <w:szCs w:val="22"/>
              </w:rPr>
              <w:t xml:space="preserve">Daugavas stadions. 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lastRenderedPageBreak/>
              <w:t xml:space="preserve">1.dienas koncerts (05.07.2013.) 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>
              <w:rPr>
                <w:sz w:val="22"/>
                <w:szCs w:val="22"/>
              </w:rPr>
              <w:t>2.vakara koncerts (05.07.2013),</w:t>
            </w:r>
          </w:p>
          <w:p w:rsidR="00916D20" w:rsidRDefault="00916D20" w:rsidP="00931DBA">
            <w:r w:rsidRPr="00931DBA">
              <w:rPr>
                <w:sz w:val="22"/>
                <w:szCs w:val="22"/>
              </w:rPr>
              <w:t>3.dienas koncerts (06.0</w:t>
            </w:r>
            <w:r>
              <w:rPr>
                <w:sz w:val="22"/>
                <w:szCs w:val="22"/>
              </w:rPr>
              <w:t>7.2013.):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2.,12., 16.rinda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931DBA">
            <w:r w:rsidRPr="00931DBA">
              <w:rPr>
                <w:sz w:val="22"/>
                <w:szCs w:val="22"/>
              </w:rPr>
              <w:t>Sektors 4.,6.,8.,10., 13.līdz 16.rinda</w:t>
            </w:r>
            <w:r>
              <w:rPr>
                <w:sz w:val="22"/>
                <w:szCs w:val="22"/>
              </w:rPr>
              <w:t>.</w:t>
            </w:r>
          </w:p>
          <w:p w:rsidR="00916D20" w:rsidRDefault="00916D20" w:rsidP="00931DBA"/>
          <w:p w:rsidR="00916D20" w:rsidRDefault="00916D20" w:rsidP="00777DDF">
            <w:r w:rsidRPr="00931DBA">
              <w:rPr>
                <w:sz w:val="22"/>
                <w:szCs w:val="22"/>
              </w:rPr>
              <w:t xml:space="preserve">Daugavas stadions. </w:t>
            </w:r>
            <w:r>
              <w:rPr>
                <w:sz w:val="22"/>
                <w:szCs w:val="22"/>
              </w:rPr>
              <w:t>4.vakara koncerts (06.07.2013.):</w:t>
            </w:r>
          </w:p>
          <w:p w:rsidR="00916D20" w:rsidRPr="00777DDF" w:rsidRDefault="00916D20" w:rsidP="00777DDF">
            <w:r>
              <w:t xml:space="preserve"> </w:t>
            </w:r>
            <w:r w:rsidRPr="00777DDF">
              <w:rPr>
                <w:sz w:val="22"/>
                <w:szCs w:val="22"/>
              </w:rPr>
              <w:t>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777DDF" w:rsidRDefault="00916D20" w:rsidP="00777DDF">
            <w:r w:rsidRPr="00777DDF">
              <w:rPr>
                <w:sz w:val="22"/>
                <w:szCs w:val="22"/>
              </w:rPr>
              <w:t>Sektors 11., 10.,11.rinda</w:t>
            </w:r>
            <w:r>
              <w:rPr>
                <w:sz w:val="22"/>
                <w:szCs w:val="22"/>
              </w:rPr>
              <w:t>.</w:t>
            </w:r>
          </w:p>
          <w:p w:rsidR="00916D20" w:rsidRPr="00777DDF" w:rsidRDefault="00916D20" w:rsidP="00777DDF">
            <w:r w:rsidRPr="00777DDF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777DDF" w:rsidRDefault="00916D20" w:rsidP="00777DDF">
            <w:r w:rsidRPr="00777DDF">
              <w:rPr>
                <w:sz w:val="22"/>
                <w:szCs w:val="22"/>
              </w:rPr>
              <w:t>Sektors 2.,12., 6.līdz 10.rinda</w:t>
            </w:r>
            <w:r>
              <w:rPr>
                <w:sz w:val="22"/>
                <w:szCs w:val="22"/>
              </w:rPr>
              <w:t>.</w:t>
            </w:r>
          </w:p>
          <w:p w:rsidR="00916D20" w:rsidRPr="00777DDF" w:rsidRDefault="00916D20" w:rsidP="00777DDF">
            <w:r w:rsidRPr="00777DDF">
              <w:rPr>
                <w:sz w:val="22"/>
                <w:szCs w:val="22"/>
              </w:rPr>
              <w:t>Sektors 4.,10., 4.līdz 7..rinda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777DDF">
            <w:r w:rsidRPr="00777DDF">
              <w:rPr>
                <w:sz w:val="22"/>
                <w:szCs w:val="22"/>
              </w:rPr>
              <w:t>Sektors 6.,8., 4.rinda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3.78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9.76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0.97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15,00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15,00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.6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931DBA">
            <w:r>
              <w:rPr>
                <w:sz w:val="22"/>
                <w:szCs w:val="22"/>
              </w:rPr>
              <w:t>Daugavas stadions. 4.vakara koncerts (06.07.2013.)</w:t>
            </w:r>
            <w:r>
              <w:t>: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2.,12., 11.līdz 15.rinda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4.,10., 8.līdz 12.rinda</w:t>
            </w:r>
          </w:p>
          <w:p w:rsidR="00916D20" w:rsidRPr="00686344" w:rsidRDefault="00916D20" w:rsidP="00931DBA">
            <w:r w:rsidRPr="00931DBA">
              <w:rPr>
                <w:sz w:val="22"/>
                <w:szCs w:val="22"/>
              </w:rPr>
              <w:t>Sektors 6.,8., 11.,12.rinda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5.04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13.01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1.29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0.51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20.00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20.00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86344">
              <w:rPr>
                <w:sz w:val="22"/>
                <w:szCs w:val="22"/>
              </w:rPr>
              <w:t>.7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931DBA">
            <w:r w:rsidRPr="00931DBA">
              <w:rPr>
                <w:sz w:val="22"/>
                <w:szCs w:val="22"/>
              </w:rPr>
              <w:t xml:space="preserve">Daugavas stadions. </w:t>
            </w:r>
            <w:r w:rsidRPr="00931DBA">
              <w:rPr>
                <w:sz w:val="22"/>
                <w:szCs w:val="22"/>
              </w:rPr>
              <w:lastRenderedPageBreak/>
              <w:t>4.vakara koncerts (06.07.2013.)</w:t>
            </w:r>
            <w:r>
              <w:rPr>
                <w:sz w:val="22"/>
                <w:szCs w:val="22"/>
              </w:rPr>
              <w:t>: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II līmenis</w:t>
            </w:r>
            <w:r>
              <w:rPr>
                <w:sz w:val="22"/>
                <w:szCs w:val="22"/>
              </w:rPr>
              <w:t>,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2., 16.rinda</w:t>
            </w:r>
          </w:p>
          <w:p w:rsidR="00916D20" w:rsidRPr="00931DBA" w:rsidRDefault="00916D20" w:rsidP="00931DBA">
            <w:r w:rsidRPr="00931DBA">
              <w:rPr>
                <w:sz w:val="22"/>
                <w:szCs w:val="22"/>
              </w:rPr>
              <w:t>Sektors 4., 6.,8.,10., 13.līdz 16.rinda</w:t>
            </w:r>
          </w:p>
          <w:p w:rsidR="00916D20" w:rsidRPr="00686344" w:rsidRDefault="00916D20" w:rsidP="00931DBA">
            <w:r w:rsidRPr="00931DBA">
              <w:rPr>
                <w:sz w:val="22"/>
                <w:szCs w:val="22"/>
              </w:rPr>
              <w:t>Sektors 12., 16.rinda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6.29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16.27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1.61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0.64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25.00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25.00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lastRenderedPageBreak/>
              <w:t>1</w:t>
            </w:r>
            <w:r w:rsidR="004D175C">
              <w:rPr>
                <w:b/>
                <w:sz w:val="22"/>
                <w:szCs w:val="22"/>
              </w:rPr>
              <w:t>2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2660CC" w:rsidRPr="00686344" w:rsidRDefault="002660CC" w:rsidP="00686344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Bērnu vokālo ansambļu koncertuzveduma- muzikālas pasakas „Jūriņā” ieejas biļete</w:t>
            </w:r>
          </w:p>
        </w:tc>
      </w:tr>
      <w:tr w:rsidR="001C55F7" w:rsidRPr="00686344" w:rsidTr="00CB1E94">
        <w:trPr>
          <w:trHeight w:val="70"/>
        </w:trPr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Pr="00686344" w:rsidRDefault="00916D20" w:rsidP="00461DB3">
            <w:pPr>
              <w:jc w:val="both"/>
            </w:pPr>
            <w:r>
              <w:rPr>
                <w:sz w:val="22"/>
                <w:szCs w:val="22"/>
              </w:rPr>
              <w:t>Rīgas Latviešu biedrības nama balkons.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0.65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0.06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61DB3">
            <w:pPr>
              <w:jc w:val="both"/>
            </w:pPr>
            <w:r>
              <w:rPr>
                <w:sz w:val="22"/>
                <w:szCs w:val="22"/>
              </w:rPr>
              <w:t>Rīgas Latviešu biedrība nama zāle.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1</w:t>
            </w:r>
            <w:r w:rsidR="004D175C">
              <w:rPr>
                <w:b/>
                <w:sz w:val="22"/>
                <w:szCs w:val="22"/>
              </w:rPr>
              <w:t>3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2660CC" w:rsidRPr="00686344" w:rsidRDefault="002660CC" w:rsidP="00461DB3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Tautas mūzikas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461DB3">
            <w:pPr>
              <w:jc w:val="both"/>
            </w:pPr>
            <w:r w:rsidRPr="00BF2693">
              <w:rPr>
                <w:sz w:val="22"/>
                <w:szCs w:val="22"/>
              </w:rPr>
              <w:t>Starptautisk</w:t>
            </w:r>
            <w:r>
              <w:rPr>
                <w:sz w:val="22"/>
                <w:szCs w:val="22"/>
              </w:rPr>
              <w:t>ais izstāžu centrs</w:t>
            </w:r>
            <w:r w:rsidRPr="00BF2693">
              <w:rPr>
                <w:sz w:val="22"/>
                <w:szCs w:val="22"/>
              </w:rPr>
              <w:t xml:space="preserve"> Ķīpsalā</w:t>
            </w:r>
            <w:r>
              <w:rPr>
                <w:sz w:val="22"/>
                <w:szCs w:val="22"/>
              </w:rPr>
              <w:t>.</w:t>
            </w:r>
            <w:r w:rsidRPr="00BF2693">
              <w:rPr>
                <w:sz w:val="22"/>
                <w:szCs w:val="22"/>
              </w:rPr>
              <w:t xml:space="preserve"> </w:t>
            </w:r>
          </w:p>
          <w:p w:rsidR="00916D20" w:rsidRPr="00686344" w:rsidRDefault="00916D20" w:rsidP="00461DB3">
            <w:pPr>
              <w:jc w:val="both"/>
            </w:pPr>
            <w:r w:rsidRPr="00BF2693">
              <w:rPr>
                <w:sz w:val="22"/>
                <w:szCs w:val="22"/>
              </w:rPr>
              <w:t>Sektors C, D, H, 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vAlign w:val="center"/>
          </w:tcPr>
          <w:p w:rsidR="00916D20" w:rsidRDefault="00916D20" w:rsidP="00461DB3">
            <w:pPr>
              <w:jc w:val="both"/>
            </w:pPr>
            <w:r w:rsidRPr="00BF2693">
              <w:rPr>
                <w:sz w:val="22"/>
                <w:szCs w:val="22"/>
              </w:rPr>
              <w:t>Starptautisk</w:t>
            </w:r>
            <w:r>
              <w:rPr>
                <w:sz w:val="22"/>
                <w:szCs w:val="22"/>
              </w:rPr>
              <w:t>ais izstāžu centrs</w:t>
            </w:r>
            <w:r w:rsidRPr="00BF2693">
              <w:rPr>
                <w:sz w:val="22"/>
                <w:szCs w:val="22"/>
              </w:rPr>
              <w:t xml:space="preserve"> Ķīpsalā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916D20" w:rsidRPr="00686344" w:rsidRDefault="00916D20" w:rsidP="00461DB3">
            <w:pPr>
              <w:jc w:val="both"/>
            </w:pPr>
            <w:r w:rsidRPr="00BF2693">
              <w:rPr>
                <w:sz w:val="22"/>
                <w:szCs w:val="22"/>
              </w:rPr>
              <w:t>Sektors A,A1,B, B1, E, 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3.25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0.32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0.04</w:t>
            </w:r>
          </w:p>
        </w:tc>
        <w:tc>
          <w:tcPr>
            <w:tcW w:w="337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461DB3">
            <w:pPr>
              <w:jc w:val="both"/>
            </w:pPr>
            <w:r w:rsidRPr="00BF2693">
              <w:rPr>
                <w:sz w:val="22"/>
                <w:szCs w:val="22"/>
              </w:rPr>
              <w:t>Starptautisk</w:t>
            </w:r>
            <w:r>
              <w:rPr>
                <w:sz w:val="22"/>
                <w:szCs w:val="22"/>
              </w:rPr>
              <w:t>ais izstāžu centrs</w:t>
            </w:r>
            <w:r w:rsidRPr="00BF2693">
              <w:rPr>
                <w:sz w:val="22"/>
                <w:szCs w:val="22"/>
              </w:rPr>
              <w:t xml:space="preserve"> Ķīpsalā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461DB3">
            <w:pPr>
              <w:jc w:val="both"/>
            </w:pPr>
            <w:r w:rsidRPr="00BF2693">
              <w:rPr>
                <w:sz w:val="22"/>
                <w:szCs w:val="22"/>
              </w:rPr>
              <w:t>Sektors 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1.76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4.55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0.46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7,00</w:t>
            </w:r>
          </w:p>
        </w:tc>
      </w:tr>
      <w:tr w:rsidR="002660CC" w:rsidRPr="00686344" w:rsidTr="00CB1E94">
        <w:tc>
          <w:tcPr>
            <w:tcW w:w="235" w:type="pct"/>
            <w:shd w:val="clear" w:color="auto" w:fill="D9D9D9" w:themeFill="background1" w:themeFillShade="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1</w:t>
            </w:r>
            <w:r w:rsidR="004D175C">
              <w:rPr>
                <w:b/>
                <w:sz w:val="22"/>
                <w:szCs w:val="22"/>
              </w:rPr>
              <w:t>4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 w:themeFill="background1" w:themeFillShade="D9"/>
            <w:vAlign w:val="center"/>
          </w:tcPr>
          <w:p w:rsidR="002660CC" w:rsidRPr="00686344" w:rsidRDefault="002660CC" w:rsidP="00686344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Noslēguma koncerta „Līgo!” ģenerālmēģinājuma- koncerta ieejas biļete</w:t>
            </w:r>
          </w:p>
        </w:tc>
      </w:tr>
      <w:tr w:rsidR="001C55F7" w:rsidRPr="00686344" w:rsidTr="00CB1E94">
        <w:tc>
          <w:tcPr>
            <w:tcW w:w="235" w:type="pct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 xml:space="preserve">Mežaparka lielā estrāde. </w:t>
            </w:r>
          </w:p>
          <w:p w:rsidR="00916D20" w:rsidRPr="00BF2693" w:rsidRDefault="00916D20" w:rsidP="00F635BD">
            <w:r w:rsidRPr="00BF2693">
              <w:rPr>
                <w:sz w:val="22"/>
                <w:szCs w:val="22"/>
              </w:rPr>
              <w:t>2.zona 1.,2.,6.,7.</w:t>
            </w:r>
            <w:r>
              <w:rPr>
                <w:sz w:val="22"/>
                <w:szCs w:val="22"/>
              </w:rPr>
              <w:t>s</w:t>
            </w:r>
            <w:r w:rsidRPr="00BF2693">
              <w:rPr>
                <w:sz w:val="22"/>
                <w:szCs w:val="22"/>
              </w:rPr>
              <w:t>ektors</w:t>
            </w:r>
            <w:r>
              <w:rPr>
                <w:sz w:val="22"/>
                <w:szCs w:val="22"/>
              </w:rPr>
              <w:t>.</w:t>
            </w:r>
          </w:p>
          <w:p w:rsidR="00916D20" w:rsidRPr="00BF2693" w:rsidRDefault="00916D20" w:rsidP="00F635BD">
            <w:r w:rsidRPr="00BF2693">
              <w:rPr>
                <w:sz w:val="22"/>
                <w:szCs w:val="22"/>
              </w:rPr>
              <w:t>3.zona 1.,2.,6.,7,sektors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>
              <w:rPr>
                <w:sz w:val="22"/>
                <w:szCs w:val="22"/>
              </w:rPr>
              <w:t>4.zona 2.,3.,5.,6.sektors.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0.65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0.06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0.03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  <w:tc>
          <w:tcPr>
            <w:tcW w:w="284" w:type="pct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1,00</w:t>
            </w:r>
          </w:p>
        </w:tc>
      </w:tr>
      <w:tr w:rsidR="001C55F7" w:rsidRPr="00686344" w:rsidTr="00CB1E94"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 xml:space="preserve">Mežaparka lielā estrāde. 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lastRenderedPageBreak/>
              <w:t>2.zona 3.,4.,5., sektors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3.,4.,5.sektors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>4.zona 4.sektors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rPr>
                <w:sz w:val="22"/>
                <w:szCs w:val="22"/>
              </w:rPr>
              <w:t>0.76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2660CC" w:rsidRPr="00686344" w:rsidTr="00CB1E94">
        <w:trPr>
          <w:trHeight w:val="311"/>
        </w:trPr>
        <w:tc>
          <w:tcPr>
            <w:tcW w:w="235" w:type="pct"/>
            <w:shd w:val="clear" w:color="auto" w:fill="D9D9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lastRenderedPageBreak/>
              <w:t>1</w:t>
            </w:r>
            <w:r w:rsidR="004D175C">
              <w:rPr>
                <w:b/>
                <w:sz w:val="22"/>
                <w:szCs w:val="22"/>
              </w:rPr>
              <w:t>5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shd w:val="clear" w:color="auto" w:fill="D9D9D9"/>
            <w:vAlign w:val="center"/>
          </w:tcPr>
          <w:p w:rsidR="002660CC" w:rsidRPr="00686344" w:rsidRDefault="002660CC" w:rsidP="00686344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Gājiena ieejas biļete tribīnēs</w:t>
            </w:r>
          </w:p>
        </w:tc>
      </w:tr>
      <w:tr w:rsidR="001C55F7" w:rsidRPr="00686344" w:rsidTr="00CB1E94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F635BD">
            <w:pPr>
              <w:ind w:left="33" w:hanging="33"/>
            </w:pPr>
            <w:r>
              <w:rPr>
                <w:sz w:val="22"/>
                <w:szCs w:val="22"/>
              </w:rPr>
              <w:t>Ieejas biļete tribīnēs.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7.56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19.52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1.93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DD2552">
            <w:pPr>
              <w:ind w:left="-5" w:right="-207"/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30,00</w:t>
            </w:r>
          </w:p>
        </w:tc>
      </w:tr>
      <w:tr w:rsidR="002660CC" w:rsidRPr="00686344" w:rsidTr="00CB1E94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0CC" w:rsidRPr="00686344" w:rsidRDefault="002660CC" w:rsidP="004D175C">
            <w:pPr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1</w:t>
            </w:r>
            <w:r w:rsidR="004D175C">
              <w:rPr>
                <w:b/>
                <w:sz w:val="22"/>
                <w:szCs w:val="22"/>
              </w:rPr>
              <w:t>6</w:t>
            </w:r>
            <w:r w:rsidRPr="006863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0CC" w:rsidRPr="00686344" w:rsidRDefault="002660CC" w:rsidP="00686344">
            <w:pPr>
              <w:spacing w:before="100" w:beforeAutospacing="1" w:after="100" w:afterAutospacing="1" w:line="105" w:lineRule="atLeast"/>
              <w:jc w:val="center"/>
              <w:rPr>
                <w:b/>
              </w:rPr>
            </w:pPr>
            <w:r w:rsidRPr="00686344">
              <w:rPr>
                <w:b/>
                <w:sz w:val="22"/>
                <w:szCs w:val="22"/>
              </w:rPr>
              <w:t>XXV Vispārējo latviešu Dziesmu un XV Deju svētku Noslēguma koncerta „Līgo!” ieejas biļete</w:t>
            </w:r>
          </w:p>
        </w:tc>
      </w:tr>
      <w:tr w:rsidR="001C55F7" w:rsidRPr="00686344" w:rsidTr="00CB1E94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>Mežaparka lielā estrāde.</w:t>
            </w:r>
            <w:r>
              <w:t xml:space="preserve"> 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II sektors</w:t>
            </w:r>
            <w:r>
              <w:rPr>
                <w:sz w:val="22"/>
                <w:szCs w:val="22"/>
              </w:rPr>
              <w:t>,</w:t>
            </w:r>
            <w:r w:rsidRPr="00F635BD">
              <w:rPr>
                <w:sz w:val="22"/>
                <w:szCs w:val="22"/>
              </w:rPr>
              <w:t xml:space="preserve"> 15.līdz 24.rinda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III sektors</w:t>
            </w:r>
            <w:r>
              <w:rPr>
                <w:sz w:val="22"/>
                <w:szCs w:val="22"/>
              </w:rPr>
              <w:t>,</w:t>
            </w:r>
            <w:r w:rsidRPr="00F635BD">
              <w:rPr>
                <w:sz w:val="22"/>
                <w:szCs w:val="22"/>
              </w:rPr>
              <w:t xml:space="preserve"> 32.līdz 36.rinda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V sektors 32.līdz 36.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 xml:space="preserve">4.zona VI sektors 15.līdz 21. 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0.76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tabs>
                <w:tab w:val="left" w:pos="532"/>
              </w:tabs>
              <w:jc w:val="center"/>
            </w:pPr>
            <w:r w:rsidRPr="00686344">
              <w:rPr>
                <w:sz w:val="22"/>
                <w:szCs w:val="22"/>
              </w:rPr>
              <w:t>1.95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3,00</w:t>
            </w:r>
          </w:p>
        </w:tc>
      </w:tr>
      <w:tr w:rsidR="001C55F7" w:rsidRPr="00686344" w:rsidTr="00CB1E94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>Mežaparka lielā estrāde.</w:t>
            </w:r>
            <w:r>
              <w:t xml:space="preserve"> 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 sektors 23.līdz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VII sektors 23.līdz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II sektors 7.līdz 14.rinda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III sektors 21.līdz 31.rinda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IV sektors 25.līdz 34.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V sektors 21.līdz 31.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 xml:space="preserve">4.zona VI sektors 7.līdz 14. 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1.51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3.90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6,00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6,00</w:t>
            </w:r>
          </w:p>
        </w:tc>
      </w:tr>
      <w:tr w:rsidR="001C55F7" w:rsidRPr="00686344" w:rsidTr="00CB1E94"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.3.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F635BD" w:rsidRDefault="00916D20" w:rsidP="00F635BD">
            <w:r>
              <w:rPr>
                <w:sz w:val="22"/>
                <w:szCs w:val="22"/>
              </w:rPr>
              <w:t>Mežaparka lielā estrāde.</w:t>
            </w:r>
            <w:r>
              <w:t xml:space="preserve"> </w:t>
            </w:r>
            <w:r w:rsidRPr="00F635BD">
              <w:rPr>
                <w:sz w:val="22"/>
                <w:szCs w:val="22"/>
              </w:rPr>
              <w:t xml:space="preserve">2.zona I sektors 17.līdz </w:t>
            </w:r>
            <w:r w:rsidRPr="00F635BD">
              <w:rPr>
                <w:sz w:val="22"/>
                <w:szCs w:val="22"/>
              </w:rPr>
              <w:lastRenderedPageBreak/>
              <w:t>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II</w:t>
            </w:r>
            <w:r>
              <w:rPr>
                <w:sz w:val="22"/>
                <w:szCs w:val="22"/>
              </w:rPr>
              <w:t xml:space="preserve"> sektors 25. Līdz </w:t>
            </w:r>
            <w:r w:rsidRPr="00F635BD">
              <w:rPr>
                <w:sz w:val="22"/>
                <w:szCs w:val="22"/>
              </w:rPr>
              <w:t>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>
              <w:rPr>
                <w:sz w:val="22"/>
                <w:szCs w:val="22"/>
              </w:rPr>
              <w:t xml:space="preserve">2.zona VI sektors 25.līdz </w:t>
            </w:r>
            <w:r w:rsidRPr="00F635BD">
              <w:rPr>
                <w:sz w:val="22"/>
                <w:szCs w:val="22"/>
              </w:rPr>
              <w:t>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VII sektors 17.līdz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 sektors 17.līdz 22.rinda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VII sektors 17.līdz 22.rinda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II sektors 1.līdz 6.rinda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III sektors 7.līdz 20.rinda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IV sektors 11.līdz 24.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V sektors 7.līdz 20.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 xml:space="preserve">4.zona VI sektors 1.līdz 6. 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2.27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5.86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0.57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0.23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9,00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9,00</w:t>
            </w:r>
          </w:p>
        </w:tc>
      </w:tr>
      <w:tr w:rsidR="001C55F7" w:rsidRPr="00686344" w:rsidTr="00CB1E94">
        <w:tc>
          <w:tcPr>
            <w:tcW w:w="235" w:type="pct"/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.4.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>Mežaparka lielā estrāde.</w:t>
            </w:r>
            <w:r>
              <w:t xml:space="preserve"> 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I sektors 9.līdz 16.rinda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VII sektors 9.līdz 16.rinda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 sektors 5.līdz 16.rinda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II</w:t>
            </w:r>
            <w:r>
              <w:rPr>
                <w:sz w:val="22"/>
                <w:szCs w:val="22"/>
              </w:rPr>
              <w:t xml:space="preserve"> </w:t>
            </w:r>
            <w:r w:rsidRPr="00F635BD">
              <w:rPr>
                <w:sz w:val="22"/>
                <w:szCs w:val="22"/>
              </w:rPr>
              <w:t>sektors 17. līdz 28.rinda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VI sektors 17. līdz 28.rinda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VII sektors 5.līdz 16.rinda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lastRenderedPageBreak/>
              <w:t>4.zona III sektors 1.līdz 6.rinda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4.zona IV sektors 1.līdz 10. rinda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 xml:space="preserve">4.zona V sektors 1.līdz 6. </w:t>
            </w:r>
            <w:r>
              <w:rPr>
                <w:sz w:val="22"/>
                <w:szCs w:val="22"/>
              </w:rPr>
              <w:t>r</w:t>
            </w:r>
            <w:r w:rsidRPr="00F635BD">
              <w:rPr>
                <w:sz w:val="22"/>
                <w:szCs w:val="22"/>
              </w:rPr>
              <w:t>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3.02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7.81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0.77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0.31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0.09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12,00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12,00</w:t>
            </w:r>
          </w:p>
        </w:tc>
      </w:tr>
      <w:tr w:rsidR="001C55F7" w:rsidRPr="00686344" w:rsidTr="00CB1E94">
        <w:tc>
          <w:tcPr>
            <w:tcW w:w="235" w:type="pct"/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.5.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>Mežaparka lielā estrāde.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I sektors 1.līdz 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>
              <w:rPr>
                <w:sz w:val="22"/>
                <w:szCs w:val="22"/>
              </w:rPr>
              <w:t>2.zona VII sektors 1.līdz</w:t>
            </w:r>
            <w:r w:rsidRPr="00F635BD">
              <w:rPr>
                <w:sz w:val="22"/>
                <w:szCs w:val="22"/>
              </w:rPr>
              <w:t xml:space="preserve"> 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 sektors 1.līdz 4.rinda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II</w:t>
            </w:r>
            <w:r>
              <w:rPr>
                <w:sz w:val="22"/>
                <w:szCs w:val="22"/>
              </w:rPr>
              <w:t xml:space="preserve"> </w:t>
            </w:r>
            <w:r w:rsidRPr="00F635BD">
              <w:rPr>
                <w:sz w:val="22"/>
                <w:szCs w:val="22"/>
              </w:rPr>
              <w:t>sektors 5.līdz 16.rinda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III sektors 17.līdz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IV sektors 21.līdz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V sektors 17.līdz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VI sektors 5.līdz 16.rinda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>3.zona VII sektors 1.līdz 4.rinda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3.78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9.76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0.97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0.38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15,00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15,00</w:t>
            </w:r>
          </w:p>
        </w:tc>
      </w:tr>
      <w:tr w:rsidR="001C55F7" w:rsidRPr="00686344" w:rsidTr="00CB1E94">
        <w:tc>
          <w:tcPr>
            <w:tcW w:w="235" w:type="pct"/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.6.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>Mežaparka lielā estrāde.</w:t>
            </w:r>
            <w:r>
              <w:t xml:space="preserve"> 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II</w:t>
            </w:r>
            <w:r>
              <w:rPr>
                <w:sz w:val="22"/>
                <w:szCs w:val="22"/>
              </w:rPr>
              <w:t xml:space="preserve"> </w:t>
            </w:r>
            <w:r w:rsidRPr="00F635BD">
              <w:rPr>
                <w:sz w:val="22"/>
                <w:szCs w:val="22"/>
              </w:rPr>
              <w:t>sektors 1.līdz 4.rinda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III sektors 5.līdz 16.rinda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IV sektors 7.līdz 20.rinda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 xml:space="preserve">3.zona V sektors 5.līdz </w:t>
            </w:r>
            <w:r w:rsidRPr="00F635BD">
              <w:rPr>
                <w:sz w:val="22"/>
                <w:szCs w:val="22"/>
              </w:rPr>
              <w:lastRenderedPageBreak/>
              <w:t>16.rinda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>3.zona VI sektors 1.līdz 4.rinda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5.04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13.01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1.29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0.51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20,00</w:t>
            </w:r>
          </w:p>
        </w:tc>
      </w:tr>
      <w:tr w:rsidR="001C55F7" w:rsidRPr="00686344" w:rsidTr="00CB1E94">
        <w:tc>
          <w:tcPr>
            <w:tcW w:w="235" w:type="pct"/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.7.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16D20" w:rsidRDefault="00916D20" w:rsidP="00F635BD">
            <w:r>
              <w:rPr>
                <w:sz w:val="22"/>
                <w:szCs w:val="22"/>
              </w:rPr>
              <w:t>Mežaparka lielā estrāde.</w:t>
            </w:r>
            <w:r>
              <w:t xml:space="preserve"> 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V sektors 25.līdz 28.rinda</w:t>
            </w:r>
            <w:proofErr w:type="gramStart"/>
            <w:r w:rsidRPr="00F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2.zona III sektors 26..līdz 28.rinda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III sektors 1.līdz 4.rinda</w:t>
            </w:r>
            <w:r>
              <w:rPr>
                <w:sz w:val="22"/>
                <w:szCs w:val="22"/>
              </w:rPr>
              <w:t>.</w:t>
            </w:r>
          </w:p>
          <w:p w:rsidR="00916D20" w:rsidRPr="00F635BD" w:rsidRDefault="00916D20" w:rsidP="00F635BD">
            <w:r w:rsidRPr="00F635BD">
              <w:rPr>
                <w:sz w:val="22"/>
                <w:szCs w:val="22"/>
              </w:rPr>
              <w:t>3.zona IV sektors 1.līdz 6.rinda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F635BD">
            <w:r w:rsidRPr="00F635BD">
              <w:rPr>
                <w:sz w:val="22"/>
                <w:szCs w:val="22"/>
              </w:rPr>
              <w:t>3.zona V sektors 1.līdz 4.rinda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>
              <w:t>6.29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16.27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1.61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0.64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0.19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25,00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25,00</w:t>
            </w:r>
          </w:p>
        </w:tc>
      </w:tr>
      <w:tr w:rsidR="001C55F7" w:rsidRPr="00686344" w:rsidTr="00CB1E94">
        <w:tc>
          <w:tcPr>
            <w:tcW w:w="235" w:type="pct"/>
            <w:shd w:val="clear" w:color="auto" w:fill="auto"/>
            <w:vAlign w:val="center"/>
          </w:tcPr>
          <w:p w:rsidR="00916D20" w:rsidRPr="00686344" w:rsidRDefault="00916D20" w:rsidP="004D175C">
            <w:pPr>
              <w:jc w:val="center"/>
            </w:pPr>
            <w:r w:rsidRPr="006863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86344">
              <w:rPr>
                <w:sz w:val="22"/>
                <w:szCs w:val="22"/>
              </w:rPr>
              <w:t>.8.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16D20" w:rsidRPr="007F6595" w:rsidRDefault="00916D20" w:rsidP="007F6595">
            <w:r>
              <w:rPr>
                <w:sz w:val="22"/>
                <w:szCs w:val="22"/>
              </w:rPr>
              <w:t xml:space="preserve">Mežaparka lielā estrāde. </w:t>
            </w:r>
            <w:r w:rsidRPr="007F6595">
              <w:rPr>
                <w:sz w:val="22"/>
                <w:szCs w:val="22"/>
              </w:rPr>
              <w:t>2.zona V sektors 1.līdz 10.rinda</w:t>
            </w:r>
            <w:r>
              <w:rPr>
                <w:sz w:val="22"/>
                <w:szCs w:val="22"/>
              </w:rPr>
              <w:t>.</w:t>
            </w:r>
          </w:p>
          <w:p w:rsidR="00916D20" w:rsidRPr="00686344" w:rsidRDefault="00916D20" w:rsidP="007F6595">
            <w:r w:rsidRPr="007F6595">
              <w:rPr>
                <w:sz w:val="22"/>
                <w:szCs w:val="22"/>
              </w:rPr>
              <w:t>2.zona III sektors 1.līdz 18.rinda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 biļete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D20" w:rsidRPr="00686344" w:rsidRDefault="004C4E38" w:rsidP="00686344">
            <w:pPr>
              <w:jc w:val="center"/>
            </w:pPr>
            <w:r>
              <w:t>7.56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19.52</w:t>
            </w:r>
          </w:p>
        </w:tc>
        <w:tc>
          <w:tcPr>
            <w:tcW w:w="571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1.93</w:t>
            </w:r>
          </w:p>
        </w:tc>
        <w:tc>
          <w:tcPr>
            <w:tcW w:w="524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0.77</w:t>
            </w:r>
          </w:p>
        </w:tc>
        <w:tc>
          <w:tcPr>
            <w:tcW w:w="628" w:type="pct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0.22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16D20" w:rsidRPr="00686344" w:rsidRDefault="00916D20" w:rsidP="00DD2552">
            <w:pPr>
              <w:jc w:val="center"/>
            </w:pPr>
            <w:r w:rsidRPr="00686344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16D20" w:rsidRPr="00686344" w:rsidRDefault="00916D20" w:rsidP="00686344">
            <w:pPr>
              <w:jc w:val="center"/>
            </w:pPr>
            <w:r w:rsidRPr="00686344">
              <w:rPr>
                <w:sz w:val="22"/>
                <w:szCs w:val="22"/>
              </w:rPr>
              <w:t>30,00</w:t>
            </w:r>
          </w:p>
        </w:tc>
      </w:tr>
    </w:tbl>
    <w:p w:rsidR="007B3518" w:rsidRPr="008A37A6" w:rsidRDefault="009A3576" w:rsidP="007B3518">
      <w:pPr>
        <w:rPr>
          <w:sz w:val="28"/>
          <w:szCs w:val="28"/>
        </w:rPr>
      </w:pPr>
      <w:r w:rsidRPr="008A37A6">
        <w:rPr>
          <w:sz w:val="28"/>
          <w:szCs w:val="28"/>
        </w:rPr>
        <w:t xml:space="preserve"> </w:t>
      </w:r>
    </w:p>
    <w:p w:rsidR="007B3518" w:rsidRDefault="007B3518" w:rsidP="007B3518">
      <w:pPr>
        <w:rPr>
          <w:sz w:val="28"/>
          <w:szCs w:val="28"/>
        </w:rPr>
      </w:pPr>
      <w:r w:rsidRPr="008A37A6">
        <w:rPr>
          <w:sz w:val="28"/>
          <w:szCs w:val="28"/>
        </w:rPr>
        <w:t>Piezīmes.</w:t>
      </w:r>
    </w:p>
    <w:p w:rsidR="00424D98" w:rsidRPr="008A37A6" w:rsidRDefault="00424D98" w:rsidP="007B3518">
      <w:pPr>
        <w:rPr>
          <w:sz w:val="28"/>
          <w:szCs w:val="28"/>
        </w:rPr>
      </w:pPr>
    </w:p>
    <w:p w:rsidR="007B3518" w:rsidRPr="00BD224F" w:rsidRDefault="00D13768" w:rsidP="00BD224F">
      <w:pPr>
        <w:ind w:left="709" w:hanging="425"/>
        <w:jc w:val="both"/>
        <w:rPr>
          <w:sz w:val="28"/>
          <w:szCs w:val="28"/>
        </w:rPr>
      </w:pPr>
      <w:r w:rsidRPr="00BD224F">
        <w:rPr>
          <w:sz w:val="28"/>
          <w:szCs w:val="28"/>
          <w:vertAlign w:val="superscript"/>
        </w:rPr>
        <w:t>*</w:t>
      </w:r>
      <w:r w:rsidRPr="00BD224F">
        <w:rPr>
          <w:sz w:val="28"/>
          <w:szCs w:val="28"/>
        </w:rPr>
        <w:tab/>
      </w:r>
      <w:r w:rsidR="007F6595" w:rsidRPr="00BD224F">
        <w:rPr>
          <w:sz w:val="28"/>
          <w:szCs w:val="28"/>
        </w:rPr>
        <w:t>Pakalpojuma veidā tiek noteikts</w:t>
      </w:r>
      <w:r w:rsidR="00BD224F">
        <w:rPr>
          <w:sz w:val="28"/>
          <w:szCs w:val="28"/>
        </w:rPr>
        <w:t xml:space="preserve"> ieejas</w:t>
      </w:r>
      <w:r w:rsidR="007F6595" w:rsidRPr="00BD224F">
        <w:rPr>
          <w:sz w:val="28"/>
          <w:szCs w:val="28"/>
        </w:rPr>
        <w:t xml:space="preserve"> </w:t>
      </w:r>
      <w:r w:rsidRPr="00BD224F">
        <w:rPr>
          <w:sz w:val="28"/>
          <w:szCs w:val="28"/>
        </w:rPr>
        <w:t>biļetes cenas līmeni</w:t>
      </w:r>
      <w:r w:rsidR="00BD224F">
        <w:rPr>
          <w:sz w:val="28"/>
          <w:szCs w:val="28"/>
        </w:rPr>
        <w:t>s</w:t>
      </w:r>
      <w:r w:rsidRPr="00BD224F">
        <w:rPr>
          <w:sz w:val="28"/>
          <w:szCs w:val="28"/>
        </w:rPr>
        <w:t xml:space="preserve"> katram pakalpojumam atbilstoši tā veidam vai ieejas biļetes noteiktās </w:t>
      </w:r>
      <w:r w:rsidR="00BD224F" w:rsidRPr="00BD224F">
        <w:rPr>
          <w:sz w:val="28"/>
          <w:szCs w:val="28"/>
        </w:rPr>
        <w:t xml:space="preserve">sēdvietas atrašanās vietai dabā norises vietās, kas noteiktas, pamatojoties uz Ministru kabineta 2012.gada 19.septembra rīkojumu Nr.448 „Par XXV Vispārējo latviešu dziesmu un XV Deju svētku norises laiku un vietām”. </w:t>
      </w:r>
      <w:r w:rsidR="00332257">
        <w:rPr>
          <w:sz w:val="28"/>
          <w:szCs w:val="28"/>
        </w:rPr>
        <w:t>Norišu vietās</w:t>
      </w:r>
      <w:r w:rsidR="00CE6E2B">
        <w:rPr>
          <w:sz w:val="28"/>
          <w:szCs w:val="28"/>
        </w:rPr>
        <w:t xml:space="preserve"> sēdvietu,</w:t>
      </w:r>
      <w:r w:rsidR="00332257">
        <w:rPr>
          <w:sz w:val="28"/>
          <w:szCs w:val="28"/>
        </w:rPr>
        <w:t xml:space="preserve"> </w:t>
      </w:r>
      <w:r w:rsidR="007F6595" w:rsidRPr="00BD224F">
        <w:rPr>
          <w:sz w:val="28"/>
          <w:szCs w:val="28"/>
        </w:rPr>
        <w:t>sektoru</w:t>
      </w:r>
      <w:r w:rsidR="00CE6E2B">
        <w:rPr>
          <w:sz w:val="28"/>
          <w:szCs w:val="28"/>
        </w:rPr>
        <w:t xml:space="preserve"> </w:t>
      </w:r>
      <w:r w:rsidR="007F6595" w:rsidRPr="00BD224F">
        <w:rPr>
          <w:sz w:val="28"/>
          <w:szCs w:val="28"/>
        </w:rPr>
        <w:t xml:space="preserve">un zonējuma plānojums veidots </w:t>
      </w:r>
      <w:r w:rsidR="00BD224F" w:rsidRPr="00BD224F">
        <w:rPr>
          <w:sz w:val="28"/>
          <w:szCs w:val="28"/>
        </w:rPr>
        <w:t>pēc skatītāju</w:t>
      </w:r>
      <w:r w:rsidR="00BD224F">
        <w:rPr>
          <w:sz w:val="28"/>
          <w:szCs w:val="28"/>
        </w:rPr>
        <w:t xml:space="preserve"> vietu</w:t>
      </w:r>
      <w:r w:rsidR="00BD224F" w:rsidRPr="00BD224F">
        <w:rPr>
          <w:sz w:val="28"/>
          <w:szCs w:val="28"/>
        </w:rPr>
        <w:t xml:space="preserve"> izvietojuma </w:t>
      </w:r>
      <w:r w:rsidR="00CE6E2B">
        <w:rPr>
          <w:sz w:val="28"/>
          <w:szCs w:val="28"/>
        </w:rPr>
        <w:t>projekta, kas var mainīties, v</w:t>
      </w:r>
      <w:r w:rsidR="00332257">
        <w:rPr>
          <w:sz w:val="28"/>
          <w:szCs w:val="28"/>
        </w:rPr>
        <w:t xml:space="preserve">ar tikt </w:t>
      </w:r>
      <w:r w:rsidR="007F6595" w:rsidRPr="00BD224F">
        <w:rPr>
          <w:sz w:val="28"/>
          <w:szCs w:val="28"/>
        </w:rPr>
        <w:t>aizvērti atsevišķi sektori un rindas biļešu tirdzniecībai, ja notiek izmaiņas mākslinieciskās un tehniskās koncepcijas realizācijas plānā</w:t>
      </w:r>
      <w:r w:rsidR="00BD224F" w:rsidRPr="00BD224F">
        <w:rPr>
          <w:sz w:val="28"/>
          <w:szCs w:val="28"/>
        </w:rPr>
        <w:t>.</w:t>
      </w:r>
    </w:p>
    <w:p w:rsidR="00BD224F" w:rsidRPr="00BD224F" w:rsidRDefault="00BD224F" w:rsidP="00BD224F">
      <w:pPr>
        <w:ind w:left="709" w:hanging="425"/>
        <w:jc w:val="both"/>
        <w:rPr>
          <w:sz w:val="28"/>
          <w:szCs w:val="28"/>
        </w:rPr>
      </w:pPr>
    </w:p>
    <w:p w:rsidR="00452FDD" w:rsidRPr="00BD224F" w:rsidRDefault="007B3518" w:rsidP="00BD224F">
      <w:pPr>
        <w:numPr>
          <w:ilvl w:val="0"/>
          <w:numId w:val="1"/>
        </w:numPr>
        <w:spacing w:after="240"/>
        <w:ind w:left="709" w:hanging="425"/>
        <w:jc w:val="both"/>
        <w:rPr>
          <w:color w:val="000000"/>
          <w:sz w:val="28"/>
          <w:szCs w:val="28"/>
        </w:rPr>
      </w:pPr>
      <w:r w:rsidRPr="00BD224F">
        <w:rPr>
          <w:sz w:val="28"/>
          <w:szCs w:val="28"/>
        </w:rPr>
        <w:t xml:space="preserve">Pakalpojumiem </w:t>
      </w:r>
      <w:r w:rsidRPr="00BD224F">
        <w:rPr>
          <w:color w:val="000000"/>
          <w:sz w:val="28"/>
          <w:szCs w:val="28"/>
        </w:rPr>
        <w:t xml:space="preserve">pievienotās vērtības nodoklis netiek piemērots saskaņā ar </w:t>
      </w:r>
      <w:r w:rsidR="00452FDD" w:rsidRPr="00BD224F">
        <w:rPr>
          <w:color w:val="000000"/>
          <w:sz w:val="28"/>
          <w:szCs w:val="28"/>
        </w:rPr>
        <w:t xml:space="preserve">Pievienotās vērtības nodokļa likuma </w:t>
      </w:r>
      <w:r w:rsidR="0045036E">
        <w:rPr>
          <w:color w:val="000000"/>
          <w:sz w:val="28"/>
          <w:szCs w:val="28"/>
        </w:rPr>
        <w:t>3</w:t>
      </w:r>
      <w:r w:rsidR="006A6A85">
        <w:rPr>
          <w:color w:val="000000"/>
          <w:sz w:val="28"/>
          <w:szCs w:val="28"/>
        </w:rPr>
        <w:t xml:space="preserve">.panta </w:t>
      </w:r>
      <w:r w:rsidR="0045036E">
        <w:rPr>
          <w:color w:val="000000"/>
          <w:sz w:val="28"/>
          <w:szCs w:val="28"/>
        </w:rPr>
        <w:t>astoto</w:t>
      </w:r>
      <w:r w:rsidR="006A6A85">
        <w:rPr>
          <w:color w:val="000000"/>
          <w:sz w:val="28"/>
          <w:szCs w:val="28"/>
        </w:rPr>
        <w:t xml:space="preserve"> daļu</w:t>
      </w:r>
      <w:r w:rsidR="0018196E" w:rsidRPr="00BD224F">
        <w:rPr>
          <w:color w:val="000000"/>
          <w:sz w:val="28"/>
          <w:szCs w:val="28"/>
        </w:rPr>
        <w:t>.</w:t>
      </w:r>
    </w:p>
    <w:p w:rsidR="0093589B" w:rsidRDefault="0093589B" w:rsidP="007B3518">
      <w:pPr>
        <w:ind w:left="851"/>
        <w:rPr>
          <w:sz w:val="28"/>
          <w:szCs w:val="28"/>
        </w:rPr>
      </w:pPr>
    </w:p>
    <w:p w:rsidR="007B3518" w:rsidRPr="008A37A6" w:rsidRDefault="007B3518" w:rsidP="007B3518">
      <w:pPr>
        <w:ind w:left="851"/>
        <w:rPr>
          <w:sz w:val="28"/>
          <w:szCs w:val="28"/>
        </w:rPr>
      </w:pPr>
      <w:r w:rsidRPr="008A37A6">
        <w:rPr>
          <w:sz w:val="28"/>
          <w:szCs w:val="28"/>
        </w:rPr>
        <w:t xml:space="preserve">Kultūras ministre </w:t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  <w:t xml:space="preserve">Ž.Jaunzeme – </w:t>
      </w:r>
      <w:proofErr w:type="spellStart"/>
      <w:r w:rsidRPr="008A37A6">
        <w:rPr>
          <w:sz w:val="28"/>
          <w:szCs w:val="28"/>
        </w:rPr>
        <w:t>Grende</w:t>
      </w:r>
      <w:proofErr w:type="spellEnd"/>
    </w:p>
    <w:p w:rsidR="007B3518" w:rsidRDefault="007B3518" w:rsidP="007B3518">
      <w:pPr>
        <w:ind w:left="851"/>
        <w:rPr>
          <w:sz w:val="28"/>
          <w:szCs w:val="28"/>
        </w:rPr>
      </w:pPr>
    </w:p>
    <w:p w:rsidR="007B3518" w:rsidRPr="008A37A6" w:rsidRDefault="007B3518" w:rsidP="007B3518">
      <w:pPr>
        <w:ind w:left="851"/>
        <w:rPr>
          <w:sz w:val="28"/>
          <w:szCs w:val="28"/>
        </w:rPr>
      </w:pPr>
      <w:r w:rsidRPr="008A37A6">
        <w:rPr>
          <w:sz w:val="28"/>
          <w:szCs w:val="28"/>
        </w:rPr>
        <w:t>Vīza: Valsts sekretārs</w:t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</w:r>
      <w:r w:rsidRPr="008A37A6">
        <w:rPr>
          <w:sz w:val="28"/>
          <w:szCs w:val="28"/>
        </w:rPr>
        <w:tab/>
        <w:t>G.Puķītis</w:t>
      </w:r>
    </w:p>
    <w:p w:rsidR="007B3518" w:rsidRPr="008A37A6" w:rsidRDefault="007B3518" w:rsidP="007B3518">
      <w:pPr>
        <w:tabs>
          <w:tab w:val="num" w:pos="360"/>
        </w:tabs>
        <w:rPr>
          <w:sz w:val="28"/>
          <w:szCs w:val="28"/>
        </w:rPr>
      </w:pPr>
    </w:p>
    <w:p w:rsidR="00D13768" w:rsidRPr="00D9000D" w:rsidRDefault="00D13768" w:rsidP="00EF0B3B">
      <w:pPr>
        <w:tabs>
          <w:tab w:val="num" w:pos="360"/>
        </w:tabs>
        <w:rPr>
          <w:sz w:val="22"/>
          <w:szCs w:val="22"/>
        </w:rPr>
      </w:pPr>
    </w:p>
    <w:p w:rsidR="00EF0B3B" w:rsidRPr="00D9000D" w:rsidRDefault="006A6A85" w:rsidP="00EF0B3B">
      <w:p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22</w:t>
      </w:r>
      <w:r w:rsidR="001C55F7">
        <w:rPr>
          <w:sz w:val="22"/>
          <w:szCs w:val="22"/>
        </w:rPr>
        <w:t>.02.</w:t>
      </w:r>
      <w:r w:rsidR="00EF0B3B" w:rsidRPr="00D9000D">
        <w:rPr>
          <w:sz w:val="22"/>
          <w:szCs w:val="22"/>
        </w:rPr>
        <w:t>2013</w:t>
      </w:r>
    </w:p>
    <w:p w:rsidR="00EF0B3B" w:rsidRPr="00D9000D" w:rsidRDefault="00424D98" w:rsidP="00EF0B3B">
      <w:pPr>
        <w:tabs>
          <w:tab w:val="num" w:pos="360"/>
        </w:tabs>
        <w:rPr>
          <w:sz w:val="22"/>
          <w:szCs w:val="22"/>
        </w:rPr>
      </w:pPr>
      <w:r w:rsidRPr="00D9000D">
        <w:rPr>
          <w:sz w:val="22"/>
          <w:szCs w:val="22"/>
        </w:rPr>
        <w:t>19</w:t>
      </w:r>
      <w:r w:rsidR="006A6A85">
        <w:rPr>
          <w:sz w:val="22"/>
          <w:szCs w:val="22"/>
        </w:rPr>
        <w:t>38</w:t>
      </w:r>
    </w:p>
    <w:p w:rsidR="00A82C4F" w:rsidRPr="00D9000D" w:rsidRDefault="00A82C4F" w:rsidP="00A82C4F">
      <w:pPr>
        <w:rPr>
          <w:sz w:val="22"/>
          <w:szCs w:val="22"/>
          <w:lang w:eastAsia="en-US"/>
        </w:rPr>
      </w:pPr>
      <w:bookmarkStart w:id="0" w:name="OLE_LINK1"/>
      <w:bookmarkStart w:id="1" w:name="OLE_LINK2"/>
      <w:proofErr w:type="spellStart"/>
      <w:r w:rsidRPr="00D9000D">
        <w:rPr>
          <w:sz w:val="22"/>
          <w:szCs w:val="22"/>
          <w:lang w:eastAsia="en-US"/>
        </w:rPr>
        <w:t>B.Erdmane</w:t>
      </w:r>
      <w:proofErr w:type="spellEnd"/>
    </w:p>
    <w:p w:rsidR="00A82C4F" w:rsidRPr="00D9000D" w:rsidRDefault="00A82C4F" w:rsidP="00A82C4F">
      <w:pPr>
        <w:tabs>
          <w:tab w:val="center" w:pos="4153"/>
          <w:tab w:val="right" w:pos="8306"/>
        </w:tabs>
        <w:rPr>
          <w:sz w:val="22"/>
          <w:szCs w:val="22"/>
          <w:lang w:eastAsia="en-US"/>
        </w:rPr>
      </w:pPr>
      <w:r w:rsidRPr="00D9000D">
        <w:rPr>
          <w:sz w:val="22"/>
          <w:szCs w:val="22"/>
          <w:lang w:eastAsia="en-US"/>
        </w:rPr>
        <w:t>Tālr.</w:t>
      </w:r>
      <w:r w:rsidR="00523A25" w:rsidRPr="00D9000D">
        <w:rPr>
          <w:rFonts w:eastAsiaTheme="minorHAnsi"/>
          <w:sz w:val="22"/>
          <w:szCs w:val="22"/>
          <w:lang w:eastAsia="en-US"/>
        </w:rPr>
        <w:fldChar w:fldCharType="begin"/>
      </w:r>
      <w:r w:rsidRPr="00D9000D">
        <w:rPr>
          <w:rFonts w:eastAsiaTheme="minorHAnsi"/>
          <w:sz w:val="22"/>
          <w:szCs w:val="22"/>
          <w:lang w:eastAsia="en-US"/>
        </w:rPr>
        <w:instrText xml:space="preserve"> COMMENTS   \* MERGEFORMAT </w:instrText>
      </w:r>
      <w:r w:rsidR="00523A25" w:rsidRPr="00D9000D">
        <w:rPr>
          <w:rFonts w:eastAsiaTheme="minorHAnsi"/>
          <w:sz w:val="22"/>
          <w:szCs w:val="22"/>
          <w:lang w:eastAsia="en-US"/>
        </w:rPr>
        <w:fldChar w:fldCharType="separate"/>
      </w:r>
      <w:r w:rsidRPr="00D9000D">
        <w:rPr>
          <w:sz w:val="22"/>
          <w:szCs w:val="22"/>
          <w:lang w:eastAsia="en-US"/>
        </w:rPr>
        <w:t xml:space="preserve"> 67228985; fakss </w:t>
      </w:r>
      <w:r w:rsidR="00523A25" w:rsidRPr="00D9000D">
        <w:rPr>
          <w:sz w:val="22"/>
          <w:szCs w:val="22"/>
          <w:lang w:eastAsia="en-US"/>
        </w:rPr>
        <w:fldChar w:fldCharType="end"/>
      </w:r>
      <w:bookmarkEnd w:id="0"/>
      <w:bookmarkEnd w:id="1"/>
      <w:r w:rsidRPr="00D9000D">
        <w:rPr>
          <w:sz w:val="22"/>
          <w:szCs w:val="22"/>
          <w:lang w:eastAsia="en-US"/>
        </w:rPr>
        <w:t>67227405</w:t>
      </w:r>
      <w:bookmarkStart w:id="2" w:name="_GoBack"/>
      <w:bookmarkEnd w:id="2"/>
    </w:p>
    <w:p w:rsidR="00A82C4F" w:rsidRPr="00D9000D" w:rsidRDefault="00A82C4F" w:rsidP="00A82C4F">
      <w:pPr>
        <w:rPr>
          <w:sz w:val="22"/>
          <w:szCs w:val="22"/>
          <w:lang w:eastAsia="en-US"/>
        </w:rPr>
      </w:pPr>
      <w:r w:rsidRPr="00D9000D">
        <w:rPr>
          <w:color w:val="0000FF"/>
          <w:sz w:val="22"/>
          <w:szCs w:val="22"/>
          <w:u w:val="single"/>
          <w:lang w:eastAsia="en-US"/>
        </w:rPr>
        <w:t>Baiba.Erdmane@knmc.gov.lv</w:t>
      </w:r>
      <w:r w:rsidRPr="00D9000D">
        <w:rPr>
          <w:sz w:val="22"/>
          <w:szCs w:val="22"/>
          <w:lang w:eastAsia="en-US"/>
        </w:rPr>
        <w:t xml:space="preserve"> </w:t>
      </w:r>
    </w:p>
    <w:p w:rsidR="00A82C4F" w:rsidRPr="005F3DC6" w:rsidRDefault="00A82C4F" w:rsidP="00A82C4F">
      <w:pPr>
        <w:rPr>
          <w:lang w:eastAsia="en-US"/>
        </w:rPr>
      </w:pPr>
    </w:p>
    <w:p w:rsidR="00EF0B3B" w:rsidRPr="00EF0B3B" w:rsidRDefault="00EF0B3B" w:rsidP="00EF0B3B"/>
    <w:p w:rsidR="0021282F" w:rsidRDefault="0021282F"/>
    <w:p w:rsidR="0021282F" w:rsidRPr="0021282F" w:rsidRDefault="0021282F" w:rsidP="0021282F"/>
    <w:p w:rsidR="0021282F" w:rsidRPr="0021282F" w:rsidRDefault="0021282F" w:rsidP="0021282F"/>
    <w:p w:rsidR="0021282F" w:rsidRPr="0021282F" w:rsidRDefault="0021282F" w:rsidP="0021282F"/>
    <w:p w:rsidR="0021282F" w:rsidRPr="0021282F" w:rsidRDefault="0021282F" w:rsidP="0021282F"/>
    <w:p w:rsidR="0021282F" w:rsidRDefault="0021282F" w:rsidP="0021282F"/>
    <w:p w:rsidR="000006C0" w:rsidRPr="0021282F" w:rsidRDefault="000006C0" w:rsidP="0021282F">
      <w:pPr>
        <w:jc w:val="center"/>
      </w:pPr>
    </w:p>
    <w:sectPr w:rsidR="000006C0" w:rsidRPr="0021282F" w:rsidSect="0093589B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94" w:rsidRDefault="00AB3394" w:rsidP="00EF0B3B">
      <w:r>
        <w:separator/>
      </w:r>
    </w:p>
  </w:endnote>
  <w:endnote w:type="continuationSeparator" w:id="0">
    <w:p w:rsidR="00AB3394" w:rsidRDefault="00AB3394" w:rsidP="00E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4" w:rsidRDefault="00AB3394" w:rsidP="00732353">
    <w:pPr>
      <w:pStyle w:val="Footer"/>
      <w:jc w:val="both"/>
      <w:rPr>
        <w:sz w:val="22"/>
        <w:szCs w:val="22"/>
      </w:rPr>
    </w:pPr>
  </w:p>
  <w:p w:rsidR="00AB3394" w:rsidRDefault="0032682B" w:rsidP="0032682B">
    <w:pPr>
      <w:pStyle w:val="Footer"/>
      <w:jc w:val="both"/>
      <w:rPr>
        <w:sz w:val="22"/>
        <w:szCs w:val="22"/>
      </w:rPr>
    </w:pPr>
    <w:r w:rsidRPr="0032682B">
      <w:rPr>
        <w:sz w:val="22"/>
        <w:szCs w:val="22"/>
      </w:rPr>
      <w:t>KMAnotp01_</w:t>
    </w:r>
    <w:r w:rsidR="006A6A85">
      <w:rPr>
        <w:sz w:val="22"/>
        <w:szCs w:val="22"/>
      </w:rPr>
      <w:t>22</w:t>
    </w:r>
    <w:r w:rsidRPr="0032682B">
      <w:rPr>
        <w:sz w:val="22"/>
        <w:szCs w:val="22"/>
      </w:rPr>
      <w:t>0213_cenrādis_DzSv; Ministru kabineta noteikumu projekta „Noteikumi par Latvijas Nacionālā kultūras centra maksas pakalpojumu cenrādi XXV Vispārējo latviešu Dziesmu un XV Deju svētku pasākumu nodrošināšanai” sākotnējās ietekmes novērtējuma ziņojuma (anotācijas)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4" w:rsidRPr="00F75351" w:rsidRDefault="003C746D" w:rsidP="0093589B">
    <w:pPr>
      <w:pStyle w:val="Footer"/>
      <w:jc w:val="both"/>
    </w:pPr>
    <w:r>
      <w:rPr>
        <w:sz w:val="22"/>
        <w:szCs w:val="22"/>
      </w:rPr>
      <w:t>KMAnotp01_</w:t>
    </w:r>
    <w:r w:rsidR="006A6A85">
      <w:rPr>
        <w:sz w:val="22"/>
        <w:szCs w:val="22"/>
      </w:rPr>
      <w:t>22</w:t>
    </w:r>
    <w:r w:rsidR="0032682B">
      <w:rPr>
        <w:sz w:val="22"/>
        <w:szCs w:val="22"/>
      </w:rPr>
      <w:t>0213_cenrādis_DzSv</w:t>
    </w:r>
    <w:r w:rsidR="00AB3394" w:rsidRPr="00F75351">
      <w:rPr>
        <w:sz w:val="22"/>
        <w:szCs w:val="22"/>
      </w:rPr>
      <w:t xml:space="preserve">; Ministru kabineta noteikumu projekta „Noteikumi par </w:t>
    </w:r>
    <w:r w:rsidR="0032682B">
      <w:rPr>
        <w:sz w:val="22"/>
        <w:szCs w:val="22"/>
      </w:rPr>
      <w:t xml:space="preserve">Latvijas Nacionālā kultūras centra maksas pakalpojumu cenrādi </w:t>
    </w:r>
    <w:r w:rsidR="00AB3394" w:rsidRPr="00F75351">
      <w:rPr>
        <w:sz w:val="22"/>
        <w:szCs w:val="22"/>
      </w:rPr>
      <w:t xml:space="preserve">XXV Vispārējo latviešu Dziesmu un XV Deju svētku </w:t>
    </w:r>
    <w:r w:rsidR="00AB3394">
      <w:rPr>
        <w:sz w:val="22"/>
        <w:szCs w:val="22"/>
      </w:rPr>
      <w:t xml:space="preserve">pasākumu </w:t>
    </w:r>
    <w:r w:rsidR="0032682B">
      <w:rPr>
        <w:sz w:val="22"/>
        <w:szCs w:val="22"/>
      </w:rPr>
      <w:t>nodrošināšanai</w:t>
    </w:r>
    <w:r w:rsidR="00AB3394" w:rsidRPr="00F75351">
      <w:rPr>
        <w:sz w:val="22"/>
        <w:szCs w:val="22"/>
      </w:rPr>
      <w:t>” sākotnējās ietekmes novērtējuma ziņojuma (anotācija</w:t>
    </w:r>
    <w:r w:rsidR="00AB3394">
      <w:rPr>
        <w:sz w:val="22"/>
        <w:szCs w:val="22"/>
      </w:rPr>
      <w:t>s</w:t>
    </w:r>
    <w:r w:rsidR="00AB3394" w:rsidRPr="00F75351">
      <w:rPr>
        <w:sz w:val="22"/>
        <w:szCs w:val="22"/>
      </w:rPr>
      <w:t xml:space="preserve">) </w:t>
    </w:r>
    <w:r w:rsidR="007463BB">
      <w:rPr>
        <w:sz w:val="22"/>
        <w:szCs w:val="22"/>
      </w:rPr>
      <w:t>1.</w:t>
    </w:r>
    <w:r w:rsidR="00AB3394" w:rsidRPr="00F75351">
      <w:rPr>
        <w:sz w:val="22"/>
        <w:szCs w:val="22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94" w:rsidRDefault="00AB3394" w:rsidP="00EF0B3B">
      <w:r>
        <w:separator/>
      </w:r>
    </w:p>
  </w:footnote>
  <w:footnote w:type="continuationSeparator" w:id="0">
    <w:p w:rsidR="00AB3394" w:rsidRDefault="00AB3394" w:rsidP="00EF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4" w:rsidRDefault="00AB3394" w:rsidP="007323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394" w:rsidRDefault="00AB3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4" w:rsidRDefault="00AB3394" w:rsidP="007323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36E">
      <w:rPr>
        <w:rStyle w:val="PageNumber"/>
        <w:noProof/>
      </w:rPr>
      <w:t>2</w:t>
    </w:r>
    <w:r>
      <w:rPr>
        <w:rStyle w:val="PageNumber"/>
      </w:rPr>
      <w:fldChar w:fldCharType="end"/>
    </w:r>
  </w:p>
  <w:p w:rsidR="00AB3394" w:rsidRDefault="00AB3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18"/>
    <w:rsid w:val="000006C0"/>
    <w:rsid w:val="000445FD"/>
    <w:rsid w:val="000E45CD"/>
    <w:rsid w:val="00122D31"/>
    <w:rsid w:val="00134F71"/>
    <w:rsid w:val="0014228D"/>
    <w:rsid w:val="0018196E"/>
    <w:rsid w:val="00186853"/>
    <w:rsid w:val="001B7F27"/>
    <w:rsid w:val="001C55F7"/>
    <w:rsid w:val="0021282F"/>
    <w:rsid w:val="002660CC"/>
    <w:rsid w:val="00310DBD"/>
    <w:rsid w:val="0032682B"/>
    <w:rsid w:val="00332257"/>
    <w:rsid w:val="0034315E"/>
    <w:rsid w:val="003463AB"/>
    <w:rsid w:val="00386360"/>
    <w:rsid w:val="003C746D"/>
    <w:rsid w:val="003E05A3"/>
    <w:rsid w:val="003F1DE6"/>
    <w:rsid w:val="00424D98"/>
    <w:rsid w:val="0045036E"/>
    <w:rsid w:val="00452FDD"/>
    <w:rsid w:val="00461DB3"/>
    <w:rsid w:val="00482EB4"/>
    <w:rsid w:val="004C34CA"/>
    <w:rsid w:val="004C4E38"/>
    <w:rsid w:val="004D175C"/>
    <w:rsid w:val="004D389C"/>
    <w:rsid w:val="004D7150"/>
    <w:rsid w:val="005067E3"/>
    <w:rsid w:val="00523A25"/>
    <w:rsid w:val="005321D0"/>
    <w:rsid w:val="00553698"/>
    <w:rsid w:val="0057120D"/>
    <w:rsid w:val="005F3DC6"/>
    <w:rsid w:val="00654743"/>
    <w:rsid w:val="00686344"/>
    <w:rsid w:val="006A6A85"/>
    <w:rsid w:val="006B6F5D"/>
    <w:rsid w:val="006E6E88"/>
    <w:rsid w:val="00720D4A"/>
    <w:rsid w:val="00732353"/>
    <w:rsid w:val="007463BB"/>
    <w:rsid w:val="0075666D"/>
    <w:rsid w:val="00771437"/>
    <w:rsid w:val="00777DDF"/>
    <w:rsid w:val="007B3518"/>
    <w:rsid w:val="007E7440"/>
    <w:rsid w:val="007F3DA4"/>
    <w:rsid w:val="007F6595"/>
    <w:rsid w:val="00814BAB"/>
    <w:rsid w:val="008254A7"/>
    <w:rsid w:val="00834419"/>
    <w:rsid w:val="008927AA"/>
    <w:rsid w:val="008A37A6"/>
    <w:rsid w:val="00916D20"/>
    <w:rsid w:val="00931DBA"/>
    <w:rsid w:val="0093589B"/>
    <w:rsid w:val="009A3576"/>
    <w:rsid w:val="009B4DAF"/>
    <w:rsid w:val="009C1764"/>
    <w:rsid w:val="009F5815"/>
    <w:rsid w:val="00A35135"/>
    <w:rsid w:val="00A82C4F"/>
    <w:rsid w:val="00AB13CE"/>
    <w:rsid w:val="00AB3394"/>
    <w:rsid w:val="00B1132E"/>
    <w:rsid w:val="00B25337"/>
    <w:rsid w:val="00B42ED8"/>
    <w:rsid w:val="00BA07C8"/>
    <w:rsid w:val="00BA7A81"/>
    <w:rsid w:val="00BD224F"/>
    <w:rsid w:val="00BE33DB"/>
    <w:rsid w:val="00BF2693"/>
    <w:rsid w:val="00C33BE4"/>
    <w:rsid w:val="00C81328"/>
    <w:rsid w:val="00CB1E94"/>
    <w:rsid w:val="00CE6E2B"/>
    <w:rsid w:val="00CF63C0"/>
    <w:rsid w:val="00D063A6"/>
    <w:rsid w:val="00D13768"/>
    <w:rsid w:val="00D32113"/>
    <w:rsid w:val="00D373A9"/>
    <w:rsid w:val="00D47E5F"/>
    <w:rsid w:val="00D9000D"/>
    <w:rsid w:val="00DA6326"/>
    <w:rsid w:val="00DD2552"/>
    <w:rsid w:val="00DE67B3"/>
    <w:rsid w:val="00DE7015"/>
    <w:rsid w:val="00E22F24"/>
    <w:rsid w:val="00E25BB9"/>
    <w:rsid w:val="00E32445"/>
    <w:rsid w:val="00E96D4A"/>
    <w:rsid w:val="00EE4274"/>
    <w:rsid w:val="00EE791F"/>
    <w:rsid w:val="00EF0B3B"/>
    <w:rsid w:val="00F635BD"/>
    <w:rsid w:val="00F75351"/>
    <w:rsid w:val="00F9040F"/>
    <w:rsid w:val="00FE2AE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3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35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B3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351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B3518"/>
  </w:style>
  <w:style w:type="character" w:styleId="Hyperlink">
    <w:name w:val="Hyperlink"/>
    <w:basedOn w:val="DefaultParagraphFont"/>
    <w:rsid w:val="007B3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6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3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35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B3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351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B3518"/>
  </w:style>
  <w:style w:type="character" w:styleId="Hyperlink">
    <w:name w:val="Hyperlink"/>
    <w:basedOn w:val="DefaultParagraphFont"/>
    <w:rsid w:val="007B3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6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DD5E-05A2-4615-879D-A4F6B07D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8606</Words>
  <Characters>4906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Erdmane Baiba</dc:creator>
  <cp:lastModifiedBy>Erdmane Baiba</cp:lastModifiedBy>
  <cp:revision>13</cp:revision>
  <cp:lastPrinted>2013-02-18T13:52:00Z</cp:lastPrinted>
  <dcterms:created xsi:type="dcterms:W3CDTF">2013-02-01T11:58:00Z</dcterms:created>
  <dcterms:modified xsi:type="dcterms:W3CDTF">2013-02-22T10:56:00Z</dcterms:modified>
</cp:coreProperties>
</file>