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4E" w:rsidRDefault="0060594E" w:rsidP="0060594E">
      <w:pPr>
        <w:pStyle w:val="Virsraksts3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9C6300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60594E" w:rsidRPr="009C6300" w:rsidRDefault="0060594E" w:rsidP="0060594E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0594E" w:rsidRPr="009C6300" w:rsidRDefault="0060594E" w:rsidP="0060594E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C6300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60594E" w:rsidRPr="009C6300" w:rsidRDefault="0060594E" w:rsidP="0060594E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0594E" w:rsidRPr="009C6300" w:rsidRDefault="0060594E" w:rsidP="0060594E">
      <w:pPr>
        <w:pStyle w:val="Pamattekstaatkpe3"/>
        <w:jc w:val="both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2012.gada ___. _________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 xml:space="preserve">Noteikumi Nr.___                    </w:t>
      </w:r>
    </w:p>
    <w:p w:rsidR="0060594E" w:rsidRPr="009C6300" w:rsidRDefault="0060594E" w:rsidP="0060594E">
      <w:pPr>
        <w:pStyle w:val="Pamattekstsaratkpi"/>
        <w:rPr>
          <w:sz w:val="28"/>
          <w:szCs w:val="28"/>
          <w:lang w:val="lv-LV"/>
        </w:rPr>
      </w:pPr>
      <w:r w:rsidRPr="009C6300">
        <w:rPr>
          <w:sz w:val="28"/>
          <w:szCs w:val="28"/>
          <w:lang w:val="lv-LV"/>
        </w:rPr>
        <w:t>Rīgā</w:t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Pr="009C6300">
        <w:rPr>
          <w:sz w:val="28"/>
          <w:szCs w:val="28"/>
          <w:lang w:val="lv-LV"/>
        </w:rPr>
        <w:t>(prot. Nr.__  __ § )</w:t>
      </w:r>
    </w:p>
    <w:p w:rsidR="0060594E" w:rsidRPr="009D2F19" w:rsidRDefault="0060594E" w:rsidP="0060594E">
      <w:pPr>
        <w:rPr>
          <w:rFonts w:ascii="Times New Roman" w:hAnsi="Times New Roman"/>
          <w:b/>
          <w:sz w:val="28"/>
          <w:szCs w:val="28"/>
        </w:rPr>
      </w:pPr>
    </w:p>
    <w:p w:rsidR="00EA4E5B" w:rsidRPr="00DB03BE" w:rsidRDefault="00EA4E5B" w:rsidP="00EA4E5B">
      <w:pPr>
        <w:rPr>
          <w:rFonts w:ascii="Times New Roman" w:hAnsi="Times New Roman"/>
          <w:b/>
          <w:sz w:val="20"/>
          <w:szCs w:val="20"/>
        </w:rPr>
      </w:pPr>
    </w:p>
    <w:p w:rsidR="00EA4E5B" w:rsidRPr="003E0C5F" w:rsidRDefault="00EA4E5B" w:rsidP="00EA4E5B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tiek aprēķināta un sadalīta pašvaldībām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valsts budžeta mērķdotācija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māksliniecisko kolektīvu vadītāju darba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samaksai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un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valsts 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sociālā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 apdrošināšanas obligātajām iemaksām</w:t>
      </w:r>
      <w:r w:rsidRPr="003E0C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2012.gadā</w:t>
      </w:r>
    </w:p>
    <w:p w:rsidR="0060594E" w:rsidRPr="009C6300" w:rsidRDefault="0060594E" w:rsidP="008E6EF4">
      <w:pPr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0594E" w:rsidRDefault="0060594E" w:rsidP="008E6EF4">
      <w:pPr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9C6300">
        <w:rPr>
          <w:rFonts w:ascii="Times New Roman" w:hAnsi="Times New Roman"/>
          <w:iCs/>
          <w:sz w:val="28"/>
          <w:szCs w:val="28"/>
          <w:shd w:val="clear" w:color="auto" w:fill="FFFFFF"/>
        </w:rPr>
        <w:t>Izdoti saskaņā ar</w:t>
      </w:r>
      <w:r w:rsidRPr="009C630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</w:p>
    <w:p w:rsidR="008E6EF4" w:rsidRDefault="008E6EF4" w:rsidP="00EA4E5B">
      <w:pPr>
        <w:ind w:left="357" w:hanging="357"/>
        <w:jc w:val="right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likuma „</w:t>
      </w:r>
      <w:r w:rsidR="00EA4E5B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Par valsts budžetu 2012.gadam”</w:t>
      </w:r>
    </w:p>
    <w:p w:rsidR="0060594E" w:rsidRPr="008E6EF4" w:rsidRDefault="008E6EF4" w:rsidP="008E6EF4">
      <w:pPr>
        <w:ind w:left="357" w:hanging="357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A4E5B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 w:rsidR="00C930ED" w:rsidRPr="00C930ED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.panta </w:t>
      </w:r>
      <w:r w:rsidR="00EA4E5B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pirmās daļas 4</w:t>
      </w:r>
      <w:r w:rsidRPr="00C930ED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.punktu</w:t>
      </w:r>
    </w:p>
    <w:p w:rsidR="0060594E" w:rsidRPr="00937073" w:rsidRDefault="0060594E" w:rsidP="008E6EF4">
      <w:pPr>
        <w:ind w:left="357" w:hanging="35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60594E" w:rsidRPr="00FD03AC" w:rsidRDefault="0060594E" w:rsidP="00C37476">
      <w:pPr>
        <w:pStyle w:val="Sarakstarindkopa"/>
        <w:ind w:left="357" w:hanging="357"/>
        <w:jc w:val="right"/>
        <w:rPr>
          <w:rFonts w:ascii="Times New Roman" w:hAnsi="Times New Roman"/>
          <w:color w:val="C0504D"/>
          <w:sz w:val="28"/>
          <w:szCs w:val="28"/>
        </w:rPr>
      </w:pPr>
    </w:p>
    <w:p w:rsidR="00EA4E5B" w:rsidRPr="00EA4E5B" w:rsidRDefault="00EA4E5B" w:rsidP="00EA4E5B">
      <w:pPr>
        <w:pStyle w:val="Sarakstarindkopa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A4E5B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nosaka kārtību, kādā tiek aprēķināta un sadalīta pašvaldībām valsts budžeta mērķdotācija  māksliniecisko kolektīvu (turpmāk – kolektīvi) vadītāju darba </w:t>
      </w:r>
      <w:r w:rsidRPr="00EA4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samaksai un valsts sociālās apdrošināšanas obligātajām iemaksām </w:t>
      </w:r>
      <w:r w:rsidRPr="00EA4E5B">
        <w:rPr>
          <w:rFonts w:ascii="Times New Roman" w:hAnsi="Times New Roman"/>
          <w:sz w:val="28"/>
          <w:szCs w:val="28"/>
        </w:rPr>
        <w:t>2012.gadā</w:t>
      </w:r>
      <w:r w:rsidRPr="00EA4E5B" w:rsidDel="006D301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A4E5B">
        <w:rPr>
          <w:rFonts w:ascii="Times New Roman" w:eastAsia="Times New Roman" w:hAnsi="Times New Roman"/>
          <w:sz w:val="28"/>
          <w:szCs w:val="28"/>
          <w:lang w:eastAsia="lv-LV"/>
        </w:rPr>
        <w:t>(turpmāk – mērķdotācija).</w:t>
      </w:r>
    </w:p>
    <w:p w:rsidR="0060594E" w:rsidRDefault="00EA4E5B" w:rsidP="00C37476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Pašvaldībām mērķdotāciju piešķir</w:t>
      </w:r>
      <w:r w:rsidR="0060594E" w:rsidRPr="00FD03A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r w:rsidR="0060594E" w:rsidRPr="00FD03AC">
        <w:rPr>
          <w:rFonts w:ascii="Times New Roman" w:eastAsia="Times New Roman" w:hAnsi="Times New Roman"/>
          <w:sz w:val="28"/>
          <w:szCs w:val="28"/>
          <w:lang w:eastAsia="lv-LV"/>
        </w:rPr>
        <w:t>kolektīvi</w:t>
      </w:r>
      <w:r w:rsidR="0060594E">
        <w:rPr>
          <w:rFonts w:ascii="Times New Roman" w:eastAsia="Times New Roman" w:hAnsi="Times New Roman"/>
          <w:sz w:val="28"/>
          <w:szCs w:val="28"/>
          <w:lang w:eastAsia="lv-LV"/>
        </w:rPr>
        <w:t>em, kuri:</w:t>
      </w:r>
    </w:p>
    <w:p w:rsidR="0060594E" w:rsidRPr="005A3FAF" w:rsidRDefault="0060594E" w:rsidP="00C37476">
      <w:pPr>
        <w:pStyle w:val="Sarakstarindkopa"/>
        <w:numPr>
          <w:ilvl w:val="1"/>
          <w:numId w:val="1"/>
        </w:numPr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gatavo kārtējiem Vispārējiem latviešu dziesmu un deju svētkiem noteikto repertuāru (koprepertuāru)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 xml:space="preserve"> (kori, tautas deju kolektīvi un</w:t>
      </w:r>
      <w:r w:rsidR="00FC7A3D" w:rsidRPr="00055E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C7A3D" w:rsidRPr="007F7311">
        <w:rPr>
          <w:rFonts w:ascii="Times New Roman" w:eastAsia="Times New Roman" w:hAnsi="Times New Roman"/>
          <w:sz w:val="28"/>
          <w:szCs w:val="28"/>
          <w:lang w:eastAsia="lv-LV"/>
        </w:rPr>
        <w:t>pūtēju orķestr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>i),</w:t>
      </w:r>
      <w:r w:rsidR="00FC7A3D" w:rsidRPr="007F731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vai;</w:t>
      </w:r>
    </w:p>
    <w:p w:rsidR="00C37476" w:rsidRPr="00C37476" w:rsidRDefault="0060594E" w:rsidP="00C37476">
      <w:pPr>
        <w:pStyle w:val="Sarakstarindkopa"/>
        <w:numPr>
          <w:ilvl w:val="1"/>
          <w:numId w:val="1"/>
        </w:numPr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ir noteikti Dziesmu un deju svētku likumā 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055EDB" w:rsidRPr="00055EDB">
        <w:rPr>
          <w:rFonts w:ascii="Times New Roman" w:eastAsia="Times New Roman" w:hAnsi="Times New Roman"/>
          <w:sz w:val="28"/>
          <w:szCs w:val="28"/>
          <w:lang w:eastAsia="lv-LV"/>
        </w:rPr>
        <w:t>folkloras kopas</w:t>
      </w:r>
      <w:r w:rsidR="008307FD">
        <w:rPr>
          <w:rFonts w:ascii="Times New Roman" w:eastAsia="Times New Roman" w:hAnsi="Times New Roman"/>
          <w:sz w:val="28"/>
          <w:szCs w:val="28"/>
          <w:lang w:eastAsia="lv-LV"/>
        </w:rPr>
        <w:t>, etnogrāfiskie ansambļi</w:t>
      </w:r>
      <w:r w:rsidR="00055EDB" w:rsidRPr="00055ED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817A46">
        <w:rPr>
          <w:rFonts w:ascii="Times New Roman" w:eastAsia="Times New Roman" w:hAnsi="Times New Roman"/>
          <w:sz w:val="28"/>
          <w:szCs w:val="28"/>
          <w:lang w:eastAsia="lv-LV"/>
        </w:rPr>
        <w:t xml:space="preserve">tautas mūzikas kopas, </w:t>
      </w:r>
      <w:r w:rsidR="008307FD">
        <w:rPr>
          <w:rFonts w:ascii="Times New Roman" w:eastAsia="Times New Roman" w:hAnsi="Times New Roman"/>
          <w:sz w:val="28"/>
          <w:szCs w:val="28"/>
          <w:lang w:eastAsia="lv-LV"/>
        </w:rPr>
        <w:t xml:space="preserve">koklētāju ansambļi, </w:t>
      </w:r>
      <w:r w:rsidR="00055EDB" w:rsidRPr="00055EDB">
        <w:rPr>
          <w:rFonts w:ascii="Times New Roman" w:eastAsia="Times New Roman" w:hAnsi="Times New Roman"/>
          <w:sz w:val="28"/>
          <w:szCs w:val="28"/>
          <w:lang w:eastAsia="lv-LV"/>
        </w:rPr>
        <w:t xml:space="preserve">lietišķās mākslas studijas, </w:t>
      </w:r>
      <w:proofErr w:type="spellStart"/>
      <w:r w:rsidR="00055EDB" w:rsidRPr="00055EDB">
        <w:rPr>
          <w:rFonts w:ascii="Times New Roman" w:eastAsia="Times New Roman" w:hAnsi="Times New Roman"/>
          <w:sz w:val="28"/>
          <w:szCs w:val="28"/>
          <w:lang w:eastAsia="lv-LV"/>
        </w:rPr>
        <w:t>amatierteātri</w:t>
      </w:r>
      <w:proofErr w:type="spellEnd"/>
      <w:r w:rsidR="00055EDB" w:rsidRPr="00055EDB">
        <w:rPr>
          <w:rFonts w:ascii="Times New Roman" w:eastAsia="Times New Roman" w:hAnsi="Times New Roman"/>
          <w:sz w:val="28"/>
          <w:szCs w:val="28"/>
          <w:lang w:eastAsia="lv-LV"/>
        </w:rPr>
        <w:t xml:space="preserve"> un vokālie ansambļi</w:t>
      </w:r>
      <w:r w:rsidR="00BA3D24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 xml:space="preserve">vismaz reizi </w:t>
      </w:r>
      <w:r w:rsidR="00B31BCB">
        <w:rPr>
          <w:rFonts w:ascii="Times New Roman" w:eastAsia="Times New Roman" w:hAnsi="Times New Roman"/>
          <w:sz w:val="28"/>
          <w:szCs w:val="28"/>
          <w:lang w:eastAsia="lv-LV"/>
        </w:rPr>
        <w:t>2011.</w:t>
      </w:r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gadā piedalījušies Dziesmu un deju svētku starplaikā notiekošajos pasākumos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C37476" w:rsidRPr="00C37476" w:rsidRDefault="0084189B" w:rsidP="00C37476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Mērķdotācijas </w:t>
      </w:r>
      <w:r w:rsidR="00C37476">
        <w:rPr>
          <w:rFonts w:ascii="Times New Roman" w:hAnsi="Times New Roman"/>
          <w:sz w:val="28"/>
          <w:szCs w:val="28"/>
        </w:rPr>
        <w:t xml:space="preserve">apmēra </w:t>
      </w:r>
      <w:r>
        <w:rPr>
          <w:rFonts w:ascii="Times New Roman" w:hAnsi="Times New Roman"/>
          <w:sz w:val="28"/>
          <w:szCs w:val="28"/>
        </w:rPr>
        <w:t xml:space="preserve">aprēķināšanai konkrētai pašvaldībai 2012.gadā izmanto </w:t>
      </w:r>
      <w:r w:rsidR="008E6EF4">
        <w:rPr>
          <w:rFonts w:ascii="Times New Roman" w:eastAsia="Times New Roman" w:hAnsi="Times New Roman"/>
          <w:sz w:val="28"/>
          <w:szCs w:val="28"/>
          <w:lang w:eastAsia="lv-LV"/>
        </w:rPr>
        <w:t>pašvaldību sniegt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="008E6EF4">
        <w:rPr>
          <w:rFonts w:ascii="Times New Roman" w:eastAsia="Times New Roman" w:hAnsi="Times New Roman"/>
          <w:sz w:val="28"/>
          <w:szCs w:val="28"/>
          <w:lang w:eastAsia="lv-LV"/>
        </w:rPr>
        <w:t xml:space="preserve"> dat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us </w:t>
      </w:r>
      <w:r w:rsidR="008E6EF4">
        <w:rPr>
          <w:rFonts w:ascii="Times New Roman" w:eastAsia="Times New Roman" w:hAnsi="Times New Roman"/>
          <w:sz w:val="28"/>
          <w:szCs w:val="28"/>
          <w:lang w:eastAsia="lv-LV"/>
        </w:rPr>
        <w:t>elektroniskajā datubāzē „Lat</w:t>
      </w:r>
      <w:r w:rsidR="00EA4E5B">
        <w:rPr>
          <w:rFonts w:ascii="Times New Roman" w:eastAsia="Times New Roman" w:hAnsi="Times New Roman"/>
          <w:sz w:val="28"/>
          <w:szCs w:val="28"/>
          <w:lang w:eastAsia="lv-LV"/>
        </w:rPr>
        <w:t xml:space="preserve">vijas digitālā kultūras karte” </w:t>
      </w:r>
      <w:r w:rsidR="008E6EF4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Kultūrizglītības un nemateriālā mantojuma centra datus</w:t>
      </w:r>
      <w:r w:rsidR="008E6EF4">
        <w:rPr>
          <w:rFonts w:ascii="Times New Roman" w:eastAsia="Times New Roman" w:hAnsi="Times New Roman"/>
          <w:sz w:val="28"/>
          <w:szCs w:val="28"/>
          <w:lang w:eastAsia="lv-LV"/>
        </w:rPr>
        <w:t xml:space="preserve"> par</w:t>
      </w:r>
      <w:r w:rsidR="008E6EF4" w:rsidRPr="00C018C5">
        <w:rPr>
          <w:rFonts w:ascii="Times New Roman" w:eastAsia="Times New Roman" w:hAnsi="Times New Roman"/>
          <w:sz w:val="28"/>
          <w:szCs w:val="28"/>
          <w:lang w:eastAsia="lv-LV"/>
        </w:rPr>
        <w:t xml:space="preserve"> kolektīvu dalību Dziesmu un deju svētku likumā noteiktajos pasākumos</w:t>
      </w:r>
      <w:r w:rsidR="008E6EF4">
        <w:rPr>
          <w:rFonts w:ascii="Times New Roman" w:eastAsia="Times New Roman" w:hAnsi="Times New Roman"/>
          <w:sz w:val="28"/>
          <w:szCs w:val="28"/>
          <w:lang w:eastAsia="lv-LV"/>
        </w:rPr>
        <w:t xml:space="preserve"> par 2011.gadu.</w:t>
      </w:r>
    </w:p>
    <w:p w:rsidR="0060594E" w:rsidRDefault="0084189B" w:rsidP="00C3747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60594E">
        <w:rPr>
          <w:rFonts w:ascii="Times New Roman" w:hAnsi="Times New Roman"/>
          <w:sz w:val="28"/>
          <w:szCs w:val="28"/>
        </w:rPr>
        <w:t>ērķdotācijas</w:t>
      </w:r>
      <w:r w:rsidR="0060594E" w:rsidRPr="00FD03AC">
        <w:rPr>
          <w:rFonts w:ascii="Times New Roman" w:hAnsi="Times New Roman"/>
          <w:sz w:val="28"/>
          <w:szCs w:val="28"/>
        </w:rPr>
        <w:t xml:space="preserve"> </w:t>
      </w:r>
      <w:r w:rsidR="0060594E">
        <w:rPr>
          <w:rFonts w:ascii="Times New Roman" w:hAnsi="Times New Roman"/>
          <w:sz w:val="28"/>
          <w:szCs w:val="28"/>
        </w:rPr>
        <w:t>apmēru  katrai pašvaldībai</w:t>
      </w:r>
      <w:r w:rsidR="0060594E" w:rsidRPr="00FD03AC">
        <w:rPr>
          <w:rFonts w:ascii="Times New Roman" w:hAnsi="Times New Roman"/>
          <w:sz w:val="28"/>
          <w:szCs w:val="28"/>
        </w:rPr>
        <w:t xml:space="preserve"> aprēķina pēc šādas formulas:</w:t>
      </w:r>
    </w:p>
    <w:p w:rsidR="0060594E" w:rsidRPr="00FD03AC" w:rsidRDefault="0060594E" w:rsidP="00C37476">
      <w:pPr>
        <w:jc w:val="center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L= B x (G</w:t>
      </w:r>
      <w:r w:rsidRPr="00FD03AC">
        <w:rPr>
          <w:rFonts w:ascii="Times New Roman" w:hAnsi="Times New Roman"/>
          <w:sz w:val="28"/>
          <w:szCs w:val="28"/>
          <w:vertAlign w:val="subscript"/>
        </w:rPr>
        <w:t>1</w:t>
      </w:r>
      <w:r w:rsidRPr="00FD03AC">
        <w:rPr>
          <w:rFonts w:ascii="Times New Roman" w:hAnsi="Times New Roman"/>
          <w:sz w:val="28"/>
          <w:szCs w:val="28"/>
        </w:rPr>
        <w:t xml:space="preserve"> x </w:t>
      </w:r>
      <w:r w:rsidR="005E6C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>+ G</w:t>
      </w:r>
      <w:r w:rsidRPr="00FD03AC">
        <w:rPr>
          <w:rFonts w:ascii="Times New Roman" w:hAnsi="Times New Roman"/>
          <w:sz w:val="28"/>
          <w:szCs w:val="28"/>
          <w:vertAlign w:val="subscript"/>
        </w:rPr>
        <w:t>2</w:t>
      </w:r>
      <w:r w:rsidRPr="00FD03AC">
        <w:rPr>
          <w:rFonts w:ascii="Times New Roman" w:hAnsi="Times New Roman"/>
          <w:sz w:val="28"/>
          <w:szCs w:val="28"/>
        </w:rPr>
        <w:t>), kur</w:t>
      </w:r>
    </w:p>
    <w:p w:rsidR="0060594E" w:rsidRPr="00FD03AC" w:rsidRDefault="0060594E" w:rsidP="00C37476">
      <w:pPr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t>L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mērķdotācijas</w:t>
      </w:r>
      <w:r w:rsidRPr="00FD03AC">
        <w:rPr>
          <w:rFonts w:ascii="Times New Roman" w:hAnsi="Times New Roman"/>
          <w:sz w:val="28"/>
          <w:szCs w:val="28"/>
        </w:rPr>
        <w:t xml:space="preserve"> apmērs attiecīgajai pašvaldībai</w:t>
      </w:r>
      <w:r>
        <w:rPr>
          <w:rFonts w:ascii="Times New Roman" w:hAnsi="Times New Roman"/>
          <w:sz w:val="28"/>
          <w:szCs w:val="28"/>
        </w:rPr>
        <w:t xml:space="preserve"> </w:t>
      </w:r>
      <w:r w:rsidR="0084189B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>gadā</w:t>
      </w:r>
      <w:r w:rsidRPr="00FD03AC">
        <w:rPr>
          <w:rFonts w:ascii="Times New Roman" w:hAnsi="Times New Roman"/>
          <w:sz w:val="28"/>
          <w:szCs w:val="28"/>
        </w:rPr>
        <w:t xml:space="preserve">; </w:t>
      </w:r>
    </w:p>
    <w:p w:rsidR="0060594E" w:rsidRPr="00FD03AC" w:rsidRDefault="0060594E" w:rsidP="00C37476">
      <w:pPr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t>B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  <w:t>bāzes finansējums vienam kolektīvam</w:t>
      </w:r>
      <w:r w:rsidR="0084189B">
        <w:rPr>
          <w:rFonts w:ascii="Times New Roman" w:hAnsi="Times New Roman"/>
          <w:sz w:val="28"/>
          <w:szCs w:val="28"/>
        </w:rPr>
        <w:t xml:space="preserve"> 2012.gadā</w:t>
      </w:r>
      <w:r w:rsidRPr="00FD03AC">
        <w:rPr>
          <w:rFonts w:ascii="Times New Roman" w:hAnsi="Times New Roman"/>
          <w:sz w:val="28"/>
          <w:szCs w:val="28"/>
        </w:rPr>
        <w:t>;</w:t>
      </w:r>
    </w:p>
    <w:p w:rsidR="001D0447" w:rsidRDefault="0060594E" w:rsidP="001D0447">
      <w:pPr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lastRenderedPageBreak/>
        <w:t>G</w:t>
      </w:r>
      <w:r w:rsidRPr="00FD03AC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  <w:t>kolektīvu</w:t>
      </w:r>
      <w:r w:rsidRPr="00542DB2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>skaits</w:t>
      </w:r>
      <w:r>
        <w:rPr>
          <w:rFonts w:ascii="Times New Roman" w:hAnsi="Times New Roman"/>
          <w:sz w:val="28"/>
          <w:szCs w:val="28"/>
        </w:rPr>
        <w:t xml:space="preserve"> attiecīgajā pašvaldībā, kuri gatavo </w:t>
      </w:r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kārtējiem Vispārējiem latviešu dziesmu un deju svētkiem noteikto repertuāru (</w:t>
      </w:r>
      <w:proofErr w:type="spellStart"/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koprepertuāru</w:t>
      </w:r>
      <w:proofErr w:type="spellEnd"/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CD1C1A">
        <w:rPr>
          <w:rFonts w:ascii="Times New Roman" w:eastAsia="Times New Roman" w:hAnsi="Times New Roman"/>
          <w:sz w:val="28"/>
          <w:szCs w:val="28"/>
          <w:lang w:eastAsia="lv-LV"/>
        </w:rPr>
        <w:t xml:space="preserve">kori, tautas deju kolektīvi un </w:t>
      </w:r>
      <w:r w:rsidR="00FC7A3D" w:rsidRPr="001D0447">
        <w:rPr>
          <w:rFonts w:ascii="Times New Roman" w:eastAsia="Times New Roman" w:hAnsi="Times New Roman"/>
          <w:sz w:val="28"/>
          <w:szCs w:val="28"/>
          <w:lang w:eastAsia="lv-LV"/>
        </w:rPr>
        <w:t>pūtēju orķestri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FD03AC">
        <w:rPr>
          <w:rFonts w:ascii="Times New Roman" w:hAnsi="Times New Roman"/>
          <w:sz w:val="28"/>
          <w:szCs w:val="28"/>
        </w:rPr>
        <w:t>;</w:t>
      </w:r>
    </w:p>
    <w:p w:rsidR="001D0447" w:rsidRPr="001D0447" w:rsidRDefault="0060594E" w:rsidP="001D0447">
      <w:pPr>
        <w:ind w:left="1134" w:hanging="708"/>
        <w:jc w:val="both"/>
        <w:rPr>
          <w:rFonts w:ascii="Times New Roman" w:hAnsi="Times New Roman"/>
          <w:sz w:val="28"/>
          <w:szCs w:val="28"/>
          <w:u w:val="single"/>
        </w:rPr>
      </w:pPr>
      <w:r w:rsidRPr="001D0447">
        <w:rPr>
          <w:rFonts w:ascii="Times New Roman" w:hAnsi="Times New Roman"/>
          <w:sz w:val="28"/>
          <w:szCs w:val="28"/>
        </w:rPr>
        <w:t>G</w:t>
      </w:r>
      <w:r w:rsidRPr="001D0447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D0447">
        <w:rPr>
          <w:rFonts w:ascii="Times New Roman" w:hAnsi="Times New Roman"/>
          <w:b/>
          <w:sz w:val="28"/>
          <w:szCs w:val="28"/>
        </w:rPr>
        <w:t xml:space="preserve">- </w:t>
      </w:r>
      <w:r w:rsidRPr="001D0447">
        <w:rPr>
          <w:rFonts w:ascii="Times New Roman" w:hAnsi="Times New Roman"/>
          <w:b/>
          <w:sz w:val="28"/>
          <w:szCs w:val="28"/>
        </w:rPr>
        <w:tab/>
      </w:r>
      <w:r w:rsidRPr="001D0447">
        <w:rPr>
          <w:rFonts w:ascii="Times New Roman" w:hAnsi="Times New Roman"/>
          <w:sz w:val="28"/>
          <w:szCs w:val="28"/>
        </w:rPr>
        <w:t>pārējo</w:t>
      </w:r>
      <w:r w:rsidRPr="001D0447">
        <w:rPr>
          <w:rFonts w:ascii="Times New Roman" w:hAnsi="Times New Roman"/>
          <w:b/>
          <w:sz w:val="28"/>
          <w:szCs w:val="28"/>
        </w:rPr>
        <w:t xml:space="preserve"> </w:t>
      </w:r>
      <w:r w:rsidRPr="001D0447">
        <w:rPr>
          <w:rFonts w:ascii="Times New Roman" w:hAnsi="Times New Roman"/>
          <w:sz w:val="28"/>
          <w:szCs w:val="28"/>
        </w:rPr>
        <w:t xml:space="preserve">kolektīvu skaits attiecīgajā pašvaldībā, kuri </w:t>
      </w:r>
      <w:r w:rsidR="00FC7A3D">
        <w:rPr>
          <w:rFonts w:ascii="Times New Roman" w:hAnsi="Times New Roman"/>
          <w:sz w:val="28"/>
          <w:szCs w:val="28"/>
        </w:rPr>
        <w:t xml:space="preserve">ir </w:t>
      </w:r>
      <w:r w:rsidRPr="001D0447">
        <w:rPr>
          <w:rFonts w:ascii="Times New Roman" w:hAnsi="Times New Roman"/>
          <w:sz w:val="28"/>
          <w:szCs w:val="28"/>
        </w:rPr>
        <w:t xml:space="preserve">noteikti </w:t>
      </w:r>
      <w:r w:rsidRPr="001D0447">
        <w:rPr>
          <w:rFonts w:ascii="Times New Roman" w:eastAsia="Times New Roman" w:hAnsi="Times New Roman"/>
          <w:sz w:val="28"/>
          <w:szCs w:val="28"/>
          <w:lang w:eastAsia="lv-LV"/>
        </w:rPr>
        <w:t xml:space="preserve">Dziesmu un deju svētku likumā 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1D0447" w:rsidRPr="001D0447">
        <w:rPr>
          <w:rFonts w:ascii="Times New Roman" w:eastAsia="Times New Roman" w:hAnsi="Times New Roman"/>
          <w:sz w:val="28"/>
          <w:szCs w:val="28"/>
          <w:lang w:eastAsia="lv-LV"/>
        </w:rPr>
        <w:t xml:space="preserve">folkloras kopas, etnogrāfiskie ansambļi, tautas mūzikas kopas, koklētāju ansambļi, lietišķās mākslas studijas, </w:t>
      </w:r>
      <w:proofErr w:type="spellStart"/>
      <w:r w:rsidR="001D0447" w:rsidRPr="001D0447">
        <w:rPr>
          <w:rFonts w:ascii="Times New Roman" w:eastAsia="Times New Roman" w:hAnsi="Times New Roman"/>
          <w:sz w:val="28"/>
          <w:szCs w:val="28"/>
          <w:lang w:eastAsia="lv-LV"/>
        </w:rPr>
        <w:t>amatierteātri</w:t>
      </w:r>
      <w:proofErr w:type="spellEnd"/>
      <w:r w:rsidR="001D0447" w:rsidRPr="001D0447">
        <w:rPr>
          <w:rFonts w:ascii="Times New Roman" w:eastAsia="Times New Roman" w:hAnsi="Times New Roman"/>
          <w:sz w:val="28"/>
          <w:szCs w:val="28"/>
          <w:lang w:eastAsia="lv-LV"/>
        </w:rPr>
        <w:t xml:space="preserve"> un vokālie ansambļi) un vismaz reizi 2011.gadā piedalījušies Dziesmu un deju svētku starplaikā notiekošajos pasākumos.</w:t>
      </w:r>
    </w:p>
    <w:p w:rsidR="0060594E" w:rsidRPr="00C37476" w:rsidRDefault="005E6C6F" w:rsidP="00C37476">
      <w:pPr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594E" w:rsidRPr="00FD03AC">
        <w:rPr>
          <w:rFonts w:ascii="Times New Roman" w:hAnsi="Times New Roman"/>
          <w:b/>
          <w:sz w:val="28"/>
          <w:szCs w:val="28"/>
        </w:rPr>
        <w:t>-</w:t>
      </w:r>
      <w:r w:rsidR="0060594E" w:rsidRPr="006E44A5">
        <w:rPr>
          <w:rFonts w:ascii="Times New Roman" w:hAnsi="Times New Roman"/>
          <w:sz w:val="28"/>
          <w:szCs w:val="28"/>
        </w:rPr>
        <w:t xml:space="preserve"> </w:t>
      </w:r>
      <w:r w:rsidR="0060594E" w:rsidRPr="006E44A5">
        <w:rPr>
          <w:rFonts w:ascii="Times New Roman" w:hAnsi="Times New Roman"/>
          <w:sz w:val="28"/>
          <w:szCs w:val="28"/>
        </w:rPr>
        <w:tab/>
        <w:t>līdzdalības intensitātes koeficients.</w:t>
      </w:r>
    </w:p>
    <w:p w:rsidR="0060594E" w:rsidRPr="00FD03AC" w:rsidRDefault="0060594E" w:rsidP="00C3747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FD03AC">
        <w:rPr>
          <w:rFonts w:ascii="Times New Roman" w:hAnsi="Times New Roman"/>
          <w:sz w:val="28"/>
          <w:szCs w:val="28"/>
        </w:rPr>
        <w:t xml:space="preserve">Bāzes finansējumu vienam kolektīvam </w:t>
      </w:r>
      <w:r w:rsidR="0084189B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gadā </w:t>
      </w:r>
      <w:r w:rsidRPr="00FD03AC">
        <w:rPr>
          <w:rFonts w:ascii="Times New Roman" w:hAnsi="Times New Roman"/>
          <w:sz w:val="28"/>
          <w:szCs w:val="28"/>
        </w:rPr>
        <w:t xml:space="preserve">aprēķina pēc </w:t>
      </w:r>
      <w:r>
        <w:rPr>
          <w:rFonts w:ascii="Times New Roman" w:hAnsi="Times New Roman"/>
          <w:sz w:val="28"/>
          <w:szCs w:val="28"/>
        </w:rPr>
        <w:t xml:space="preserve">šādas </w:t>
      </w:r>
      <w:r w:rsidRPr="00FD03AC">
        <w:rPr>
          <w:rFonts w:ascii="Times New Roman" w:hAnsi="Times New Roman"/>
          <w:sz w:val="28"/>
          <w:szCs w:val="28"/>
        </w:rPr>
        <w:t xml:space="preserve">formulas: </w:t>
      </w:r>
    </w:p>
    <w:tbl>
      <w:tblPr>
        <w:tblW w:w="0" w:type="auto"/>
        <w:tblInd w:w="1535" w:type="dxa"/>
        <w:tblCellMar>
          <w:left w:w="0" w:type="dxa"/>
          <w:right w:w="0" w:type="dxa"/>
        </w:tblCellMar>
        <w:tblLook w:val="04A0"/>
      </w:tblPr>
      <w:tblGrid>
        <w:gridCol w:w="1452"/>
        <w:gridCol w:w="2722"/>
        <w:gridCol w:w="2722"/>
      </w:tblGrid>
      <w:tr w:rsidR="0060594E" w:rsidRPr="00FD03AC" w:rsidTr="008E6EF4">
        <w:tc>
          <w:tcPr>
            <w:tcW w:w="14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94E" w:rsidRPr="00FD03AC" w:rsidRDefault="0060594E" w:rsidP="00C374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B=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94E" w:rsidRPr="00FD03AC" w:rsidRDefault="0060594E" w:rsidP="00C37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94E" w:rsidRPr="00FD03AC" w:rsidRDefault="0060594E" w:rsidP="00C374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, kur</w:t>
            </w:r>
          </w:p>
        </w:tc>
      </w:tr>
      <w:tr w:rsidR="0060594E" w:rsidRPr="00FD03AC" w:rsidTr="008E6EF4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60594E" w:rsidRPr="00FD03AC" w:rsidRDefault="0060594E" w:rsidP="00C374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94E" w:rsidRPr="00FD03AC" w:rsidRDefault="0060594E" w:rsidP="00C37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3AC">
              <w:rPr>
                <w:rFonts w:ascii="Times New Roman" w:hAnsi="Times New Roman"/>
                <w:sz w:val="28"/>
                <w:szCs w:val="28"/>
              </w:rPr>
              <w:t>Σ G</w:t>
            </w:r>
            <w:r w:rsidRPr="00FD03A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5E6C6F">
              <w:rPr>
                <w:rFonts w:ascii="Times New Roman" w:hAnsi="Times New Roman"/>
                <w:sz w:val="28"/>
                <w:szCs w:val="28"/>
              </w:rPr>
              <w:t xml:space="preserve"> x 2</w:t>
            </w:r>
            <w:r w:rsidRPr="00FD03AC">
              <w:rPr>
                <w:rFonts w:ascii="Times New Roman" w:hAnsi="Times New Roman"/>
                <w:sz w:val="28"/>
                <w:szCs w:val="28"/>
              </w:rPr>
              <w:t>+ Σ G</w:t>
            </w:r>
            <w:r w:rsidRPr="00FD03A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0594E" w:rsidRPr="00FD03AC" w:rsidRDefault="0060594E" w:rsidP="00C374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94E" w:rsidRPr="00FD03AC" w:rsidRDefault="0060594E" w:rsidP="00C37476">
      <w:pPr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B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bāzes finansējums </w:t>
      </w:r>
      <w:r w:rsidRPr="00FD03AC">
        <w:rPr>
          <w:rFonts w:ascii="Times New Roman" w:hAnsi="Times New Roman"/>
          <w:sz w:val="28"/>
          <w:szCs w:val="28"/>
        </w:rPr>
        <w:t>vienam kolektīvam</w:t>
      </w:r>
      <w:r w:rsidRPr="00672EC2">
        <w:rPr>
          <w:rFonts w:ascii="Times New Roman" w:hAnsi="Times New Roman"/>
          <w:sz w:val="28"/>
          <w:szCs w:val="28"/>
        </w:rPr>
        <w:t xml:space="preserve"> </w:t>
      </w:r>
      <w:r w:rsidR="0084189B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>gadā</w:t>
      </w:r>
      <w:r w:rsidRPr="00FD03AC">
        <w:rPr>
          <w:rFonts w:ascii="Times New Roman" w:hAnsi="Times New Roman"/>
          <w:sz w:val="28"/>
          <w:szCs w:val="28"/>
        </w:rPr>
        <w:t>;</w:t>
      </w:r>
    </w:p>
    <w:p w:rsidR="0060594E" w:rsidRPr="00FD03AC" w:rsidRDefault="0060594E" w:rsidP="00C37476">
      <w:pPr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F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mērķdotācija</w:t>
      </w:r>
      <w:r w:rsidR="0084189B">
        <w:rPr>
          <w:rFonts w:ascii="Times New Roman" w:hAnsi="Times New Roman"/>
          <w:sz w:val="28"/>
          <w:szCs w:val="28"/>
        </w:rPr>
        <w:t>s apmērs 2012.gadā</w:t>
      </w:r>
      <w:r w:rsidRPr="00FD03AC">
        <w:rPr>
          <w:rFonts w:ascii="Times New Roman" w:hAnsi="Times New Roman"/>
          <w:sz w:val="28"/>
          <w:szCs w:val="28"/>
        </w:rPr>
        <w:t>;</w:t>
      </w:r>
    </w:p>
    <w:p w:rsidR="0060594E" w:rsidRPr="00FD03AC" w:rsidRDefault="0060594E" w:rsidP="00C37476">
      <w:pPr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ΣG</w:t>
      </w:r>
      <w:r w:rsidRPr="00FD03AC">
        <w:rPr>
          <w:rFonts w:ascii="Times New Roman" w:hAnsi="Times New Roman"/>
          <w:sz w:val="28"/>
          <w:szCs w:val="28"/>
          <w:vertAlign w:val="subscript"/>
        </w:rPr>
        <w:t>1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ab/>
        <w:t>kolektīvu</w:t>
      </w:r>
      <w:r>
        <w:rPr>
          <w:rFonts w:ascii="Times New Roman" w:hAnsi="Times New Roman"/>
          <w:sz w:val="28"/>
          <w:szCs w:val="28"/>
        </w:rPr>
        <w:t xml:space="preserve">, kuri gatavo </w:t>
      </w:r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kārtējiem Vispārējiem latviešu dziesmu un deju svētkiem noteikto repertuāru (</w:t>
      </w:r>
      <w:proofErr w:type="spellStart"/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koprepertuāru</w:t>
      </w:r>
      <w:proofErr w:type="spellEnd"/>
      <w:r w:rsidRPr="005A3FAF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CD1C1A">
        <w:rPr>
          <w:rFonts w:ascii="Times New Roman" w:eastAsia="Times New Roman" w:hAnsi="Times New Roman"/>
          <w:sz w:val="28"/>
          <w:szCs w:val="28"/>
          <w:lang w:eastAsia="lv-LV"/>
        </w:rPr>
        <w:t>kori, tautas deju kolektīvi un</w:t>
      </w:r>
      <w:r w:rsidR="00FC7A3D" w:rsidRPr="001D0447">
        <w:rPr>
          <w:rFonts w:ascii="Times New Roman" w:eastAsia="Times New Roman" w:hAnsi="Times New Roman"/>
          <w:sz w:val="28"/>
          <w:szCs w:val="28"/>
          <w:lang w:eastAsia="lv-LV"/>
        </w:rPr>
        <w:t xml:space="preserve"> pūtēju orķestri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hAnsi="Times New Roman"/>
          <w:sz w:val="28"/>
          <w:szCs w:val="28"/>
        </w:rPr>
        <w:t>kop</w:t>
      </w:r>
      <w:r w:rsidRPr="00FD03AC">
        <w:rPr>
          <w:rFonts w:ascii="Times New Roman" w:hAnsi="Times New Roman"/>
          <w:sz w:val="28"/>
          <w:szCs w:val="28"/>
        </w:rPr>
        <w:t>skaits</w:t>
      </w:r>
      <w:r>
        <w:rPr>
          <w:rFonts w:ascii="Times New Roman" w:hAnsi="Times New Roman"/>
          <w:sz w:val="28"/>
          <w:szCs w:val="28"/>
        </w:rPr>
        <w:t xml:space="preserve"> visās pašvaldībās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60594E" w:rsidRPr="00FD03AC" w:rsidRDefault="0060594E" w:rsidP="00C37476">
      <w:pPr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FD03AC">
        <w:rPr>
          <w:rFonts w:ascii="Times New Roman" w:hAnsi="Times New Roman"/>
          <w:sz w:val="28"/>
          <w:szCs w:val="28"/>
        </w:rPr>
        <w:t>ΣG</w:t>
      </w:r>
      <w:r w:rsidRPr="00FD03AC">
        <w:rPr>
          <w:rFonts w:ascii="Times New Roman" w:hAnsi="Times New Roman"/>
          <w:sz w:val="28"/>
          <w:szCs w:val="28"/>
          <w:vertAlign w:val="subscript"/>
        </w:rPr>
        <w:t>2</w:t>
      </w:r>
      <w:r w:rsidRPr="00FD03AC">
        <w:rPr>
          <w:rFonts w:ascii="Times New Roman" w:hAnsi="Times New Roman"/>
          <w:b/>
          <w:sz w:val="28"/>
          <w:szCs w:val="28"/>
        </w:rPr>
        <w:t>-</w:t>
      </w:r>
      <w:r w:rsidRPr="00FD03AC">
        <w:rPr>
          <w:rFonts w:ascii="Times New Roman" w:hAnsi="Times New Roman"/>
          <w:sz w:val="28"/>
          <w:szCs w:val="28"/>
        </w:rPr>
        <w:t xml:space="preserve"> </w:t>
      </w:r>
      <w:r w:rsidRPr="00FD03AC">
        <w:rPr>
          <w:rFonts w:ascii="Times New Roman" w:hAnsi="Times New Roman"/>
          <w:sz w:val="28"/>
          <w:szCs w:val="28"/>
        </w:rPr>
        <w:tab/>
        <w:t xml:space="preserve">kolektīvu, kuri noteikti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Dziesmu un deju svētku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likumā </w:t>
      </w:r>
      <w:r w:rsidR="00FC7A3D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FC7A3D" w:rsidRPr="001D0447">
        <w:rPr>
          <w:rFonts w:ascii="Times New Roman" w:eastAsia="Times New Roman" w:hAnsi="Times New Roman"/>
          <w:sz w:val="28"/>
          <w:szCs w:val="28"/>
          <w:lang w:eastAsia="lv-LV"/>
        </w:rPr>
        <w:t xml:space="preserve">folkloras kopas, etnogrāfiskie ansambļi, tautas mūzikas kopas, koklētāju ansambļi, lietišķās mākslas studijas, </w:t>
      </w:r>
      <w:proofErr w:type="spellStart"/>
      <w:r w:rsidR="00FC7A3D" w:rsidRPr="001D0447">
        <w:rPr>
          <w:rFonts w:ascii="Times New Roman" w:eastAsia="Times New Roman" w:hAnsi="Times New Roman"/>
          <w:sz w:val="28"/>
          <w:szCs w:val="28"/>
          <w:lang w:eastAsia="lv-LV"/>
        </w:rPr>
        <w:t>amatierteātri</w:t>
      </w:r>
      <w:proofErr w:type="spellEnd"/>
      <w:r w:rsidR="00FC7A3D" w:rsidRPr="001D0447">
        <w:rPr>
          <w:rFonts w:ascii="Times New Roman" w:eastAsia="Times New Roman" w:hAnsi="Times New Roman"/>
          <w:sz w:val="28"/>
          <w:szCs w:val="28"/>
          <w:lang w:eastAsia="lv-LV"/>
        </w:rPr>
        <w:t xml:space="preserve"> un vokālie ansambļi)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 xml:space="preserve">vismaz reizi </w:t>
      </w:r>
      <w:r w:rsidR="00B31BCB">
        <w:rPr>
          <w:rFonts w:ascii="Times New Roman" w:eastAsia="Times New Roman" w:hAnsi="Times New Roman"/>
          <w:sz w:val="28"/>
          <w:szCs w:val="28"/>
          <w:lang w:eastAsia="lv-LV"/>
        </w:rPr>
        <w:t>2011.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gadā piedalījušies Dziesmu un deju svētku starplaikā notiekošajos pasākumos,</w:t>
      </w:r>
      <w:r w:rsidRPr="00FD03AC">
        <w:rPr>
          <w:rFonts w:ascii="Times New Roman" w:hAnsi="Times New Roman"/>
          <w:sz w:val="28"/>
          <w:szCs w:val="28"/>
        </w:rPr>
        <w:t xml:space="preserve"> kopskaits visās pašvaldībās;</w:t>
      </w:r>
    </w:p>
    <w:p w:rsidR="00DC7FE4" w:rsidRPr="00C37476" w:rsidRDefault="005E6C6F" w:rsidP="00DC7FE4">
      <w:pPr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594E" w:rsidRPr="00FD03AC">
        <w:rPr>
          <w:rFonts w:ascii="Times New Roman" w:hAnsi="Times New Roman"/>
          <w:b/>
          <w:sz w:val="28"/>
          <w:szCs w:val="28"/>
        </w:rPr>
        <w:t>-</w:t>
      </w:r>
      <w:r w:rsidR="0060594E" w:rsidRPr="006E44A5">
        <w:rPr>
          <w:rFonts w:ascii="Times New Roman" w:hAnsi="Times New Roman"/>
          <w:sz w:val="28"/>
          <w:szCs w:val="28"/>
        </w:rPr>
        <w:tab/>
        <w:t>līdzdalības intensitātes koeficients.</w:t>
      </w:r>
      <w:bookmarkStart w:id="0" w:name="p12"/>
      <w:bookmarkEnd w:id="0"/>
    </w:p>
    <w:p w:rsidR="0060594E" w:rsidRDefault="00D52F55" w:rsidP="00C37476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EB0480">
        <w:rPr>
          <w:rFonts w:ascii="Times New Roman" w:eastAsia="Times New Roman" w:hAnsi="Times New Roman"/>
          <w:sz w:val="28"/>
          <w:szCs w:val="28"/>
          <w:lang w:eastAsia="lv-LV"/>
        </w:rPr>
        <w:t>ašvaldība 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iešķirto mērķdotāciju izlieto</w:t>
      </w:r>
      <w:r w:rsidR="0060594E" w:rsidRPr="00111706">
        <w:rPr>
          <w:rFonts w:ascii="Times New Roman" w:eastAsia="Times New Roman" w:hAnsi="Times New Roman"/>
          <w:sz w:val="28"/>
          <w:szCs w:val="28"/>
          <w:lang w:eastAsia="lv-LV"/>
        </w:rPr>
        <w:t xml:space="preserve"> atlīdzībai kolektīvu vadītājiem</w:t>
      </w:r>
      <w:bookmarkStart w:id="1" w:name="p17"/>
      <w:bookmarkStart w:id="2" w:name="p18"/>
      <w:bookmarkEnd w:id="1"/>
      <w:bookmarkEnd w:id="2"/>
      <w:r w:rsidR="0060594E" w:rsidRPr="00111706">
        <w:rPr>
          <w:rFonts w:ascii="Times New Roman" w:eastAsia="Times New Roman" w:hAnsi="Times New Roman"/>
          <w:sz w:val="28"/>
          <w:szCs w:val="28"/>
          <w:lang w:eastAsia="lv-LV"/>
        </w:rPr>
        <w:t xml:space="preserve">, kuru vadītie kolektīvi atbilst šo noteikumu </w:t>
      </w:r>
      <w:r w:rsidR="00924F6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60594E" w:rsidRPr="00111706">
        <w:rPr>
          <w:rFonts w:ascii="Times New Roman" w:eastAsia="Times New Roman" w:hAnsi="Times New Roman"/>
          <w:sz w:val="28"/>
          <w:szCs w:val="28"/>
          <w:lang w:eastAsia="lv-LV"/>
        </w:rPr>
        <w:t>.punktā noteiktajiem kritērijiem.</w:t>
      </w:r>
    </w:p>
    <w:p w:rsidR="00EB0480" w:rsidRPr="005A7AE1" w:rsidRDefault="00EB0480" w:rsidP="00EB0480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>Mērķdotāciju kolektīvu vadītāju atlīdzībai pašvaldībām piešķir saskaņā ar šo noteikumu 1.pielikumu.</w:t>
      </w:r>
    </w:p>
    <w:p w:rsidR="00F3152B" w:rsidRPr="005A7AE1" w:rsidRDefault="00F3152B" w:rsidP="00C37476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>Pašv</w:t>
      </w:r>
      <w:r w:rsidR="00C37476"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aldība līdz </w:t>
      </w:r>
      <w:r w:rsidR="005A7AE1" w:rsidRPr="005A7AE1">
        <w:rPr>
          <w:rFonts w:ascii="Times New Roman" w:eastAsia="Times New Roman" w:hAnsi="Times New Roman"/>
          <w:sz w:val="28"/>
          <w:szCs w:val="28"/>
          <w:lang w:eastAsia="lv-LV"/>
        </w:rPr>
        <w:t>2012.gada 1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.oktobrim atver kontu mērķdotācijas saņemšanai </w:t>
      </w:r>
      <w:r w:rsidR="00E7387A">
        <w:rPr>
          <w:rFonts w:ascii="Times New Roman" w:eastAsia="Times New Roman" w:hAnsi="Times New Roman"/>
          <w:sz w:val="28"/>
          <w:szCs w:val="28"/>
          <w:lang w:eastAsia="lv-LV"/>
        </w:rPr>
        <w:t>un izdevumu veik</w:t>
      </w:r>
      <w:r w:rsidR="00CF3841">
        <w:rPr>
          <w:rFonts w:ascii="Times New Roman" w:eastAsia="Times New Roman" w:hAnsi="Times New Roman"/>
          <w:sz w:val="28"/>
          <w:szCs w:val="28"/>
          <w:lang w:eastAsia="lv-LV"/>
        </w:rPr>
        <w:t xml:space="preserve">šanai 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547D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atbildīgajam valsts budžeta izpildītājam 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>norāda esošo kontu Valsts kasē.</w:t>
      </w:r>
    </w:p>
    <w:p w:rsidR="005A7AE1" w:rsidRPr="005A7AE1" w:rsidRDefault="006069F9" w:rsidP="005A7AE1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>Šajos noteikumos</w:t>
      </w:r>
      <w:r w:rsidRP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noteiktā mērķdotācija tiek piešķirta par </w:t>
      </w:r>
      <w:r w:rsid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2012.gada oktobri, </w:t>
      </w:r>
      <w:r w:rsidR="005A7AE1" w:rsidRP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novembri un decembri</w:t>
      </w:r>
      <w:r w:rsidR="00D52F55" w:rsidRP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5A7AE1" w:rsidRP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:rsidR="00D52F55" w:rsidRPr="005A7AE1" w:rsidRDefault="00CF3841" w:rsidP="005A7AE1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Atbildīgais valsts budžeta izpildītājs</w:t>
      </w:r>
      <w:r w:rsidR="005A7AE1" w:rsidRPr="005A7AE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nodrošina mērķdotācijas pārskaitīšanu uz attiecīgo pašvaldību kontiem Valsts kasē reizi mēnesī līdz attiecīgā mēneša septītajam datumam 1/3 daļas apmērā no šo noteikumu 1.pielikumā norādītās mērķdotācijas apmēra.</w:t>
      </w:r>
      <w:r w:rsidR="00551A5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:rsidR="000D3860" w:rsidRDefault="000D3860" w:rsidP="00C37476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Pašvaldība iesniedz pārskatu saskaņā ar šo noteikumu 2.pielikumu par mērķdotācijas izlietojumu </w:t>
      </w:r>
      <w:r w:rsidR="004470F6">
        <w:rPr>
          <w:rFonts w:ascii="Times New Roman" w:eastAsia="Times New Roman" w:hAnsi="Times New Roman"/>
          <w:sz w:val="28"/>
          <w:szCs w:val="28"/>
          <w:lang w:eastAsia="lv-LV"/>
        </w:rPr>
        <w:t>ministriju,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470F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centrālo valsts iestāžu un pašvaldību pārskatu informācijas </w:t>
      </w: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>sistēmā līdz 2013.gada 1.februārim.</w:t>
      </w:r>
    </w:p>
    <w:p w:rsidR="00CF3841" w:rsidRPr="00551A53" w:rsidRDefault="00CF3841" w:rsidP="00C37476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lastRenderedPageBreak/>
        <w:t>Atbildīgais valsts budžeta izpildītājs pārbauda un apstiprina ministriju, centrālo valsts iestāžu</w:t>
      </w:r>
      <w:r w:rsidR="004470F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pašvaldību pārskatu informācijas sistēmā pašvaldību iesniegto pārskatu par mērķdotācijas izlietojumu.</w:t>
      </w:r>
    </w:p>
    <w:p w:rsidR="00C930ED" w:rsidRPr="005A7AE1" w:rsidRDefault="00D52F55" w:rsidP="00C37476">
      <w:pPr>
        <w:pStyle w:val="Sarakstarindkopa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7AE1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stājas spēkā </w:t>
      </w:r>
      <w:r w:rsidR="006069F9" w:rsidRPr="005A7AE1">
        <w:rPr>
          <w:rFonts w:ascii="Times New Roman" w:eastAsia="Times New Roman" w:hAnsi="Times New Roman"/>
          <w:sz w:val="28"/>
          <w:szCs w:val="28"/>
          <w:lang w:eastAsia="lv-LV"/>
        </w:rPr>
        <w:t>vienlaikus ar likumu „Grozījumi likumā „Par valsts budžetu 2012.gadam””.</w:t>
      </w:r>
    </w:p>
    <w:p w:rsidR="0060594E" w:rsidRDefault="0060594E" w:rsidP="00C37476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0594E" w:rsidRPr="00FD03AC" w:rsidRDefault="0060594E" w:rsidP="0060594E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0594E" w:rsidRPr="00FD03AC" w:rsidRDefault="0060594E" w:rsidP="0060594E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prezidents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  <w:t>V.Dombrovskis</w:t>
      </w:r>
    </w:p>
    <w:p w:rsidR="0060594E" w:rsidRPr="00FD03AC" w:rsidRDefault="0060594E" w:rsidP="0060594E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0594E" w:rsidRPr="00FD03AC" w:rsidRDefault="0060594E" w:rsidP="0060594E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Kul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tūras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Ž.Jaunzeme –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Grende</w:t>
      </w:r>
    </w:p>
    <w:p w:rsidR="0060594E" w:rsidRPr="00FD03AC" w:rsidRDefault="0060594E" w:rsidP="0060594E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0594E" w:rsidRPr="00FD03AC" w:rsidRDefault="0060594E" w:rsidP="0060594E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Vīza: Valsts sekretārs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  <w:t>G.Puķītis</w:t>
      </w:r>
    </w:p>
    <w:p w:rsidR="0060594E" w:rsidRPr="00833268" w:rsidRDefault="0060594E" w:rsidP="0060594E">
      <w:pPr>
        <w:rPr>
          <w:rFonts w:ascii="Times New Roman" w:hAnsi="Times New Roman"/>
        </w:rPr>
      </w:pPr>
    </w:p>
    <w:p w:rsidR="005F1AAB" w:rsidRDefault="005F1AAB" w:rsidP="0060594E">
      <w:pPr>
        <w:rPr>
          <w:rFonts w:ascii="Times New Roman" w:hAnsi="Times New Roman"/>
        </w:rPr>
      </w:pPr>
    </w:p>
    <w:p w:rsidR="005F1AAB" w:rsidRDefault="005F1AAB" w:rsidP="0060594E">
      <w:pPr>
        <w:rPr>
          <w:rFonts w:ascii="Times New Roman" w:hAnsi="Times New Roman"/>
        </w:rPr>
      </w:pPr>
    </w:p>
    <w:p w:rsidR="005F1AAB" w:rsidRDefault="005F1AAB" w:rsidP="0060594E">
      <w:pPr>
        <w:rPr>
          <w:rFonts w:ascii="Times New Roman" w:hAnsi="Times New Roman"/>
        </w:rPr>
      </w:pPr>
    </w:p>
    <w:p w:rsidR="005F1AAB" w:rsidRDefault="005F1AAB" w:rsidP="0060594E">
      <w:pPr>
        <w:rPr>
          <w:rFonts w:ascii="Times New Roman" w:hAnsi="Times New Roman"/>
        </w:rPr>
      </w:pPr>
    </w:p>
    <w:p w:rsidR="005F1AAB" w:rsidRDefault="005F1AAB" w:rsidP="0060594E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alias w:val="Publicēšanas datums"/>
        <w:id w:val="9747208"/>
        <w:placeholder>
          <w:docPart w:val="0A6444862F064872955587761A16887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2-08-17T00:00:00Z">
          <w:dateFormat w:val="yyyy.MM.dd."/>
          <w:lid w:val="lv-LV"/>
          <w:storeMappedDataAs w:val="dateTime"/>
          <w:calendar w:val="gregorian"/>
        </w:date>
      </w:sdtPr>
      <w:sdtContent>
        <w:p w:rsidR="0060594E" w:rsidRPr="00833268" w:rsidRDefault="001128A6" w:rsidP="0060594E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2012.08.17.</w:t>
          </w:r>
        </w:p>
      </w:sdtContent>
    </w:sdt>
    <w:p w:rsidR="0060594E" w:rsidRPr="00833268" w:rsidRDefault="001128A6" w:rsidP="006059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551</w:t>
      </w:r>
    </w:p>
    <w:p w:rsidR="0060594E" w:rsidRPr="00833268" w:rsidRDefault="005D6C00" w:rsidP="0060594E">
      <w:pPr>
        <w:rPr>
          <w:rFonts w:ascii="Times New Roman" w:hAnsi="Times New Roman"/>
        </w:rPr>
      </w:pPr>
      <w:r>
        <w:rPr>
          <w:rFonts w:ascii="Times New Roman" w:hAnsi="Times New Roman"/>
        </w:rPr>
        <w:t>I.Bula</w:t>
      </w:r>
    </w:p>
    <w:p w:rsidR="005D6C00" w:rsidRPr="005D6C00" w:rsidRDefault="005D6C00" w:rsidP="005D6C00">
      <w:pPr>
        <w:rPr>
          <w:rFonts w:ascii="Times New Roman" w:hAnsi="Times New Roman"/>
        </w:rPr>
      </w:pPr>
      <w:r w:rsidRPr="005D6C00">
        <w:rPr>
          <w:rFonts w:ascii="Times New Roman" w:hAnsi="Times New Roman"/>
        </w:rPr>
        <w:t>Tālr. 67330257; fakss 67330293</w:t>
      </w:r>
    </w:p>
    <w:p w:rsidR="005D6C00" w:rsidRPr="005D6C00" w:rsidRDefault="005D6C00" w:rsidP="005D6C00">
      <w:pPr>
        <w:rPr>
          <w:rFonts w:ascii="Times New Roman" w:hAnsi="Times New Roman"/>
        </w:rPr>
      </w:pPr>
      <w:r w:rsidRPr="005D6C00">
        <w:rPr>
          <w:rFonts w:ascii="Times New Roman" w:hAnsi="Times New Roman"/>
        </w:rPr>
        <w:t>Inara.Bula@km.gov.lv</w:t>
      </w:r>
    </w:p>
    <w:p w:rsidR="00274834" w:rsidRPr="00DC7FE4" w:rsidRDefault="00274834" w:rsidP="005D6C00">
      <w:pPr>
        <w:pStyle w:val="Galvene"/>
        <w:rPr>
          <w:rFonts w:ascii="Times New Roman" w:hAnsi="Times New Roman"/>
        </w:rPr>
      </w:pPr>
    </w:p>
    <w:sectPr w:rsidR="00274834" w:rsidRPr="00DC7FE4" w:rsidSect="008E6EF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BA" w:rsidRDefault="002552BA" w:rsidP="00C37476">
      <w:r>
        <w:separator/>
      </w:r>
    </w:p>
  </w:endnote>
  <w:endnote w:type="continuationSeparator" w:id="0">
    <w:p w:rsidR="002552BA" w:rsidRDefault="002552BA" w:rsidP="00C3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80" w:rsidRPr="003E0C5F" w:rsidRDefault="005A7AE1" w:rsidP="00FA6077">
    <w:pPr>
      <w:jc w:val="both"/>
      <w:rPr>
        <w:rFonts w:ascii="Times New Roman" w:hAnsi="Times New Roman"/>
        <w:color w:val="0D0D0D"/>
      </w:rPr>
    </w:pPr>
    <w:r>
      <w:rPr>
        <w:rFonts w:ascii="Times New Roman" w:hAnsi="Times New Roman"/>
      </w:rPr>
      <w:t>KMNot_</w:t>
    </w:r>
    <w:r w:rsidR="000B77CF">
      <w:rPr>
        <w:rFonts w:ascii="Times New Roman" w:hAnsi="Times New Roman"/>
      </w:rPr>
      <w:t>1</w:t>
    </w:r>
    <w:r w:rsidR="00BD03F0">
      <w:rPr>
        <w:rFonts w:ascii="Times New Roman" w:hAnsi="Times New Roman"/>
      </w:rPr>
      <w:t>7</w:t>
    </w:r>
    <w:r w:rsidR="000B77CF" w:rsidRPr="00FA6077">
      <w:rPr>
        <w:rFonts w:ascii="Times New Roman" w:hAnsi="Times New Roman"/>
      </w:rPr>
      <w:t>0</w:t>
    </w:r>
    <w:r w:rsidR="000B77CF">
      <w:rPr>
        <w:rFonts w:ascii="Times New Roman" w:hAnsi="Times New Roman"/>
      </w:rPr>
      <w:t>8</w:t>
    </w:r>
    <w:r w:rsidR="000B77CF" w:rsidRPr="00FA6077">
      <w:rPr>
        <w:rFonts w:ascii="Times New Roman" w:hAnsi="Times New Roman"/>
      </w:rPr>
      <w:t>12</w:t>
    </w:r>
    <w:r w:rsidR="00EB0480" w:rsidRPr="00FA6077">
      <w:rPr>
        <w:rFonts w:ascii="Times New Roman" w:hAnsi="Times New Roman"/>
      </w:rPr>
      <w:t>_dz_sv_merkdot; Ministru kabineta noteikumu projekts „</w:t>
    </w:r>
    <w:r w:rsidR="00EB0480" w:rsidRPr="00FA6077"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 w:rsidR="00EB0480" w:rsidRPr="00FA6077">
      <w:rPr>
        <w:rFonts w:ascii="Times New Roman" w:hAnsi="Times New Roman"/>
        <w:color w:val="000000"/>
        <w:shd w:val="clear" w:color="auto" w:fill="FFFFFF"/>
      </w:rPr>
      <w:t xml:space="preserve">valsts budžeta mērķdotācija māksliniecisko kolektīvu vadītāju darba samaksai un valsts sociālās apdrošināšanas obligātajām iemaksām </w:t>
    </w:r>
    <w:r w:rsidR="00EB0480" w:rsidRPr="00FA6077">
      <w:rPr>
        <w:rFonts w:ascii="Times New Roman" w:hAnsi="Times New Roman"/>
      </w:rPr>
      <w:t>2012.gadā</w:t>
    </w:r>
    <w:r w:rsidR="00EB0480">
      <w:rPr>
        <w:rFonts w:ascii="Times New Roman" w:hAnsi="Times New Roman"/>
      </w:rPr>
      <w:t>”</w:t>
    </w:r>
  </w:p>
  <w:p w:rsidR="00EB0480" w:rsidRPr="002110A0" w:rsidRDefault="00EB0480" w:rsidP="008E6EF4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80" w:rsidRPr="003E0C5F" w:rsidRDefault="00EB0480" w:rsidP="008E6EF4">
    <w:pPr>
      <w:jc w:val="both"/>
      <w:rPr>
        <w:rFonts w:ascii="Times New Roman" w:hAnsi="Times New Roman"/>
        <w:color w:val="0D0D0D"/>
      </w:rPr>
    </w:pPr>
    <w:r w:rsidRPr="00FA6077">
      <w:rPr>
        <w:rFonts w:ascii="Times New Roman" w:hAnsi="Times New Roman"/>
      </w:rPr>
      <w:t>KMNot_</w:t>
    </w:r>
    <w:r w:rsidR="000B77CF">
      <w:rPr>
        <w:rFonts w:ascii="Times New Roman" w:hAnsi="Times New Roman"/>
      </w:rPr>
      <w:t>1</w:t>
    </w:r>
    <w:r w:rsidR="00BD03F0">
      <w:rPr>
        <w:rFonts w:ascii="Times New Roman" w:hAnsi="Times New Roman"/>
      </w:rPr>
      <w:t>7</w:t>
    </w:r>
    <w:r w:rsidR="000B77CF">
      <w:rPr>
        <w:rFonts w:ascii="Times New Roman" w:hAnsi="Times New Roman"/>
      </w:rPr>
      <w:t>08</w:t>
    </w:r>
    <w:r w:rsidR="000B77CF" w:rsidRPr="00FA6077">
      <w:rPr>
        <w:rFonts w:ascii="Times New Roman" w:hAnsi="Times New Roman"/>
      </w:rPr>
      <w:t>12</w:t>
    </w:r>
    <w:r w:rsidRPr="00FA6077">
      <w:rPr>
        <w:rFonts w:ascii="Times New Roman" w:hAnsi="Times New Roman"/>
      </w:rPr>
      <w:t>_dz_sv_merkdot; Ministru kabineta noteikumu projekts „</w:t>
    </w:r>
    <w:r w:rsidRPr="00FA6077"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 w:rsidRPr="00FA6077">
      <w:rPr>
        <w:rFonts w:ascii="Times New Roman" w:hAnsi="Times New Roman"/>
        <w:color w:val="000000"/>
        <w:shd w:val="clear" w:color="auto" w:fill="FFFFFF"/>
      </w:rPr>
      <w:t xml:space="preserve">valsts budžeta mērķdotācija māksliniecisko kolektīvu vadītāju darba samaksai un valsts sociālās apdrošināšanas obligātajām iemaksām </w:t>
    </w:r>
    <w:r w:rsidRPr="00FA6077">
      <w:rPr>
        <w:rFonts w:ascii="Times New Roman" w:hAnsi="Times New Roman"/>
      </w:rPr>
      <w:t>2012.gadā</w:t>
    </w:r>
    <w:r>
      <w:rPr>
        <w:rFonts w:ascii="Times New Roman" w:hAnsi="Times New Roman"/>
      </w:rPr>
      <w:t>”</w:t>
    </w:r>
  </w:p>
  <w:p w:rsidR="00EB0480" w:rsidRPr="007C33EA" w:rsidRDefault="00EB0480" w:rsidP="008E6EF4">
    <w:pPr>
      <w:jc w:val="both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BA" w:rsidRDefault="002552BA" w:rsidP="00C37476">
      <w:r>
        <w:separator/>
      </w:r>
    </w:p>
  </w:footnote>
  <w:footnote w:type="continuationSeparator" w:id="0">
    <w:p w:rsidR="002552BA" w:rsidRDefault="002552BA" w:rsidP="00C3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80" w:rsidRPr="00817603" w:rsidRDefault="00BC3972">
    <w:pPr>
      <w:pStyle w:val="Galvene"/>
      <w:jc w:val="center"/>
      <w:rPr>
        <w:rFonts w:ascii="Times New Roman" w:hAnsi="Times New Roman"/>
      </w:rPr>
    </w:pPr>
    <w:r w:rsidRPr="00817603">
      <w:rPr>
        <w:rFonts w:ascii="Times New Roman" w:hAnsi="Times New Roman"/>
      </w:rPr>
      <w:fldChar w:fldCharType="begin"/>
    </w:r>
    <w:r w:rsidR="00EB0480" w:rsidRPr="00817603">
      <w:rPr>
        <w:rFonts w:ascii="Times New Roman" w:hAnsi="Times New Roman"/>
      </w:rPr>
      <w:instrText xml:space="preserve"> PAGE   \* MERGEFORMAT </w:instrText>
    </w:r>
    <w:r w:rsidRPr="00817603">
      <w:rPr>
        <w:rFonts w:ascii="Times New Roman" w:hAnsi="Times New Roman"/>
      </w:rPr>
      <w:fldChar w:fldCharType="separate"/>
    </w:r>
    <w:r w:rsidR="001128A6">
      <w:rPr>
        <w:rFonts w:ascii="Times New Roman" w:hAnsi="Times New Roman"/>
        <w:noProof/>
      </w:rPr>
      <w:t>3</w:t>
    </w:r>
    <w:r w:rsidRPr="00817603">
      <w:rPr>
        <w:rFonts w:ascii="Times New Roman" w:hAnsi="Times New Roman"/>
      </w:rPr>
      <w:fldChar w:fldCharType="end"/>
    </w:r>
  </w:p>
  <w:p w:rsidR="00EB0480" w:rsidRDefault="00EB048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4C"/>
    <w:multiLevelType w:val="multilevel"/>
    <w:tmpl w:val="82BCD3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94E"/>
    <w:rsid w:val="00007FA5"/>
    <w:rsid w:val="00030EED"/>
    <w:rsid w:val="00055EDB"/>
    <w:rsid w:val="000B3D57"/>
    <w:rsid w:val="000B77CF"/>
    <w:rsid w:val="000D3860"/>
    <w:rsid w:val="000D3F9F"/>
    <w:rsid w:val="000D7C51"/>
    <w:rsid w:val="001128A6"/>
    <w:rsid w:val="00166AA2"/>
    <w:rsid w:val="00182E3F"/>
    <w:rsid w:val="001B774F"/>
    <w:rsid w:val="001C2B4C"/>
    <w:rsid w:val="001D0447"/>
    <w:rsid w:val="00216176"/>
    <w:rsid w:val="002552BA"/>
    <w:rsid w:val="00260FF3"/>
    <w:rsid w:val="00261FB5"/>
    <w:rsid w:val="00274834"/>
    <w:rsid w:val="002C0662"/>
    <w:rsid w:val="003F70D0"/>
    <w:rsid w:val="004154C0"/>
    <w:rsid w:val="004470F6"/>
    <w:rsid w:val="00484878"/>
    <w:rsid w:val="004C6077"/>
    <w:rsid w:val="004E7189"/>
    <w:rsid w:val="00536F06"/>
    <w:rsid w:val="00543A13"/>
    <w:rsid w:val="00547DDF"/>
    <w:rsid w:val="00551A53"/>
    <w:rsid w:val="00575CB6"/>
    <w:rsid w:val="00595C02"/>
    <w:rsid w:val="005A0521"/>
    <w:rsid w:val="005A7AE1"/>
    <w:rsid w:val="005D6C00"/>
    <w:rsid w:val="005E6C6F"/>
    <w:rsid w:val="005F0C62"/>
    <w:rsid w:val="005F1AAB"/>
    <w:rsid w:val="0060594E"/>
    <w:rsid w:val="006069F9"/>
    <w:rsid w:val="00664C87"/>
    <w:rsid w:val="00726938"/>
    <w:rsid w:val="00736CFF"/>
    <w:rsid w:val="00781F55"/>
    <w:rsid w:val="007843A3"/>
    <w:rsid w:val="007A63F5"/>
    <w:rsid w:val="007C41C7"/>
    <w:rsid w:val="007C4536"/>
    <w:rsid w:val="007F7311"/>
    <w:rsid w:val="00806024"/>
    <w:rsid w:val="00817A46"/>
    <w:rsid w:val="008307FD"/>
    <w:rsid w:val="0084189B"/>
    <w:rsid w:val="008E6EF4"/>
    <w:rsid w:val="00916165"/>
    <w:rsid w:val="0092127A"/>
    <w:rsid w:val="00924F6C"/>
    <w:rsid w:val="00932C19"/>
    <w:rsid w:val="00A02202"/>
    <w:rsid w:val="00A3799D"/>
    <w:rsid w:val="00A763F5"/>
    <w:rsid w:val="00AB5716"/>
    <w:rsid w:val="00B31BCB"/>
    <w:rsid w:val="00B717E8"/>
    <w:rsid w:val="00B95FAE"/>
    <w:rsid w:val="00BA1AF4"/>
    <w:rsid w:val="00BA3D24"/>
    <w:rsid w:val="00BA6E83"/>
    <w:rsid w:val="00BB3097"/>
    <w:rsid w:val="00BC3972"/>
    <w:rsid w:val="00BD03F0"/>
    <w:rsid w:val="00BE008D"/>
    <w:rsid w:val="00C3479B"/>
    <w:rsid w:val="00C37476"/>
    <w:rsid w:val="00C51F54"/>
    <w:rsid w:val="00C6350B"/>
    <w:rsid w:val="00C930ED"/>
    <w:rsid w:val="00CD1C1A"/>
    <w:rsid w:val="00CF3841"/>
    <w:rsid w:val="00D264C9"/>
    <w:rsid w:val="00D52F55"/>
    <w:rsid w:val="00DB610C"/>
    <w:rsid w:val="00DC7FE4"/>
    <w:rsid w:val="00E17FF8"/>
    <w:rsid w:val="00E30572"/>
    <w:rsid w:val="00E50C05"/>
    <w:rsid w:val="00E7387A"/>
    <w:rsid w:val="00EA4E5B"/>
    <w:rsid w:val="00EB0480"/>
    <w:rsid w:val="00F213AF"/>
    <w:rsid w:val="00F3152B"/>
    <w:rsid w:val="00F361D3"/>
    <w:rsid w:val="00F37926"/>
    <w:rsid w:val="00F865E6"/>
    <w:rsid w:val="00FA6077"/>
    <w:rsid w:val="00FB35E0"/>
    <w:rsid w:val="00FC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0594E"/>
    <w:pPr>
      <w:spacing w:after="0" w:line="240" w:lineRule="auto"/>
    </w:pPr>
    <w:rPr>
      <w:rFonts w:ascii="Calibri" w:eastAsia="Calibri" w:hAnsi="Calibri" w:cs="Times New Roman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60594E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0594E"/>
    <w:rPr>
      <w:rFonts w:ascii="Cambria" w:eastAsia="Times New Roman" w:hAnsi="Cambria" w:cs="Times New Roman"/>
      <w:b/>
      <w:bCs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60594E"/>
    <w:rPr>
      <w:strike w:val="0"/>
      <w:dstrike w:val="0"/>
      <w:color w:val="40407C"/>
      <w:u w:val="none"/>
      <w:effect w:val="none"/>
    </w:rPr>
  </w:style>
  <w:style w:type="paragraph" w:styleId="Kjene">
    <w:name w:val="footer"/>
    <w:basedOn w:val="Parastais"/>
    <w:link w:val="KjeneRakstz"/>
    <w:uiPriority w:val="99"/>
    <w:unhideWhenUsed/>
    <w:rsid w:val="0060594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594E"/>
    <w:rPr>
      <w:rFonts w:ascii="Calibri" w:eastAsia="Calibri" w:hAnsi="Calibri" w:cs="Times New Roman"/>
    </w:rPr>
  </w:style>
  <w:style w:type="paragraph" w:styleId="Sarakstarindkopa">
    <w:name w:val="List Paragraph"/>
    <w:basedOn w:val="Parastais"/>
    <w:uiPriority w:val="34"/>
    <w:qFormat/>
    <w:rsid w:val="0060594E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60594E"/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60594E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059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60594E"/>
    <w:pPr>
      <w:spacing w:after="120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0594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Parastais"/>
    <w:rsid w:val="0060594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594E"/>
    <w:rPr>
      <w:rFonts w:ascii="Calibri" w:eastAsia="Calibri" w:hAnsi="Calibri" w:cs="Times New Roman"/>
      <w:sz w:val="20"/>
      <w:szCs w:val="20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0594E"/>
    <w:rPr>
      <w:sz w:val="20"/>
      <w:szCs w:val="20"/>
    </w:rPr>
  </w:style>
  <w:style w:type="character" w:customStyle="1" w:styleId="CommentTextChar1">
    <w:name w:val="Comment Text Char1"/>
    <w:basedOn w:val="Noklusjumarindkopasfonts"/>
    <w:link w:val="Komentrateksts"/>
    <w:uiPriority w:val="99"/>
    <w:semiHidden/>
    <w:rsid w:val="0060594E"/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60594E"/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nhideWhenUsed/>
    <w:rsid w:val="0060594E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link w:val="Galvene"/>
    <w:uiPriority w:val="99"/>
    <w:semiHidden/>
    <w:rsid w:val="0060594E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60594E"/>
    <w:rPr>
      <w:sz w:val="16"/>
      <w:szCs w:val="16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059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94E"/>
    <w:rPr>
      <w:rFonts w:ascii="Tahoma" w:eastAsia="Calibri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6C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6CFF"/>
    <w:rPr>
      <w:b/>
      <w:bCs/>
    </w:rPr>
  </w:style>
  <w:style w:type="character" w:styleId="Vietturateksts">
    <w:name w:val="Placeholder Text"/>
    <w:basedOn w:val="Noklusjumarindkopasfonts"/>
    <w:uiPriority w:val="99"/>
    <w:semiHidden/>
    <w:rsid w:val="00A379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444862F064872955587761A16887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EBD457-780C-45E0-9FA8-E10358E6E974}"/>
      </w:docPartPr>
      <w:docPartBody>
        <w:p w:rsidR="002442A4" w:rsidRDefault="00112799">
          <w:r w:rsidRPr="006665A8">
            <w:rPr>
              <w:rStyle w:val="Vietturateksts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2799"/>
    <w:rsid w:val="00022B89"/>
    <w:rsid w:val="00112799"/>
    <w:rsid w:val="002442A4"/>
    <w:rsid w:val="005C616C"/>
    <w:rsid w:val="006E4B72"/>
    <w:rsid w:val="008934C5"/>
    <w:rsid w:val="00A8340B"/>
    <w:rsid w:val="00D3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442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127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65795D-3FA2-4436-A5C4-7F80BFEA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4004</Characters>
  <Application>Microsoft Office Word</Application>
  <DocSecurity>0</DocSecurity>
  <Lines>111</Lines>
  <Paragraphs>52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darbs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InaraB</cp:lastModifiedBy>
  <cp:revision>5</cp:revision>
  <cp:lastPrinted>2012-08-16T06:25:00Z</cp:lastPrinted>
  <dcterms:created xsi:type="dcterms:W3CDTF">2012-08-17T06:05:00Z</dcterms:created>
  <dcterms:modified xsi:type="dcterms:W3CDTF">2012-08-17T06:30:00Z</dcterms:modified>
</cp:coreProperties>
</file>