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85" w:rsidRPr="00EB35B1" w:rsidRDefault="00CC4A45" w:rsidP="00855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EB35B1">
        <w:rPr>
          <w:rFonts w:ascii="Times New Roman" w:hAnsi="Times New Roman" w:cs="Times New Roman"/>
          <w:sz w:val="24"/>
          <w:szCs w:val="24"/>
          <w:lang w:eastAsia="lv-LV"/>
        </w:rPr>
        <w:t>4</w:t>
      </w:r>
      <w:r w:rsidR="00C46E43" w:rsidRPr="00EB35B1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846785" w:rsidRPr="00EB35B1">
        <w:rPr>
          <w:rFonts w:ascii="Times New Roman" w:hAnsi="Times New Roman" w:cs="Times New Roman"/>
          <w:sz w:val="24"/>
          <w:szCs w:val="24"/>
          <w:lang w:eastAsia="lv-LV"/>
        </w:rPr>
        <w:t>pielikums</w:t>
      </w:r>
    </w:p>
    <w:p w:rsidR="00812E70" w:rsidRPr="00EB35B1" w:rsidRDefault="00812E70" w:rsidP="008557B0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B35B1">
        <w:rPr>
          <w:rFonts w:ascii="Times New Roman" w:hAnsi="Times New Roman"/>
          <w:sz w:val="24"/>
          <w:szCs w:val="24"/>
          <w:lang w:eastAsia="lv-LV"/>
        </w:rPr>
        <w:t xml:space="preserve">Ministru kabineta </w:t>
      </w:r>
    </w:p>
    <w:p w:rsidR="008557B0" w:rsidRPr="00EB35B1" w:rsidRDefault="00812E70" w:rsidP="008557B0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B35B1">
        <w:rPr>
          <w:rFonts w:ascii="Times New Roman" w:hAnsi="Times New Roman"/>
          <w:sz w:val="24"/>
          <w:szCs w:val="24"/>
          <w:lang w:eastAsia="lv-LV"/>
        </w:rPr>
        <w:t>201</w:t>
      </w:r>
      <w:r w:rsidR="00FD16AC" w:rsidRPr="00EB35B1">
        <w:rPr>
          <w:rFonts w:ascii="Times New Roman" w:hAnsi="Times New Roman"/>
          <w:sz w:val="24"/>
          <w:szCs w:val="24"/>
          <w:lang w:eastAsia="lv-LV"/>
        </w:rPr>
        <w:t>3</w:t>
      </w:r>
      <w:r w:rsidRPr="00EB35B1">
        <w:rPr>
          <w:rFonts w:ascii="Times New Roman" w:hAnsi="Times New Roman"/>
          <w:sz w:val="24"/>
          <w:szCs w:val="24"/>
          <w:lang w:eastAsia="lv-LV"/>
        </w:rPr>
        <w:t xml:space="preserve">.gada </w:t>
      </w:r>
      <w:r w:rsidR="00F97CAD" w:rsidRPr="00EB35B1">
        <w:rPr>
          <w:rFonts w:ascii="Times New Roman" w:hAnsi="Times New Roman"/>
          <w:sz w:val="24"/>
          <w:szCs w:val="24"/>
          <w:lang w:eastAsia="lv-LV"/>
        </w:rPr>
        <w:t>____.</w:t>
      </w:r>
      <w:r w:rsidR="002F7A45">
        <w:rPr>
          <w:rFonts w:ascii="Times New Roman" w:hAnsi="Times New Roman"/>
          <w:sz w:val="24"/>
          <w:szCs w:val="24"/>
          <w:lang w:eastAsia="lv-LV"/>
        </w:rPr>
        <w:t>jūnija</w:t>
      </w:r>
    </w:p>
    <w:p w:rsidR="00812E70" w:rsidRPr="00EB35B1" w:rsidRDefault="00812E70" w:rsidP="008557B0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B35B1">
        <w:rPr>
          <w:rFonts w:ascii="Times New Roman" w:hAnsi="Times New Roman"/>
          <w:sz w:val="24"/>
          <w:szCs w:val="24"/>
          <w:lang w:eastAsia="lv-LV"/>
        </w:rPr>
        <w:t> noteikumiem Nr.</w:t>
      </w:r>
      <w:r w:rsidR="00F97CAD" w:rsidRPr="00EB35B1">
        <w:rPr>
          <w:rFonts w:ascii="Times New Roman" w:hAnsi="Times New Roman"/>
          <w:sz w:val="24"/>
          <w:szCs w:val="24"/>
          <w:lang w:eastAsia="lv-LV"/>
        </w:rPr>
        <w:t>________</w:t>
      </w:r>
    </w:p>
    <w:p w:rsidR="008557B0" w:rsidRPr="008557B0" w:rsidRDefault="008557B0" w:rsidP="008557B0">
      <w:pPr>
        <w:spacing w:after="0" w:line="240" w:lineRule="auto"/>
        <w:ind w:left="3828"/>
        <w:jc w:val="right"/>
        <w:rPr>
          <w:rFonts w:ascii="Times New Roman" w:hAnsi="Times New Roman"/>
          <w:sz w:val="28"/>
          <w:szCs w:val="24"/>
          <w:lang w:eastAsia="lv-LV"/>
        </w:rPr>
      </w:pPr>
    </w:p>
    <w:p w:rsidR="00F93C15" w:rsidRDefault="006528C9" w:rsidP="00855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5939790" cy="919588"/>
            <wp:effectExtent l="19050" t="0" r="381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28" w:rsidRPr="00870221" w:rsidRDefault="00B27F28" w:rsidP="00855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870221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Eiropas Trešo valstu valstsp</w:t>
      </w:r>
      <w:r w:rsidR="00170A3C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iederīgo integrācijas fonda 2012</w:t>
      </w:r>
      <w:r w:rsidRPr="00870221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.gada programmas aktivitāšu projektu iesniegumu administratīvie vērtēšanas kritēriji</w:t>
      </w:r>
    </w:p>
    <w:p w:rsidR="000F0932" w:rsidRPr="00870221" w:rsidRDefault="000F0932" w:rsidP="00855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9534" w:type="dxa"/>
        <w:tblLook w:val="04A0" w:firstRow="1" w:lastRow="0" w:firstColumn="1" w:lastColumn="0" w:noHBand="0" w:noVBand="1"/>
      </w:tblPr>
      <w:tblGrid>
        <w:gridCol w:w="671"/>
        <w:gridCol w:w="6525"/>
        <w:gridCol w:w="2338"/>
      </w:tblGrid>
      <w:tr w:rsidR="00CB67A9" w:rsidRPr="00531F49" w:rsidTr="00CB67A9">
        <w:tc>
          <w:tcPr>
            <w:tcW w:w="671" w:type="dxa"/>
          </w:tcPr>
          <w:p w:rsidR="00CB67A9" w:rsidRPr="00870221" w:rsidRDefault="00706182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70221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</w:p>
          <w:p w:rsidR="00870221" w:rsidRPr="00870221" w:rsidRDefault="00870221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70221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6525" w:type="dxa"/>
          </w:tcPr>
          <w:p w:rsidR="00870221" w:rsidRPr="00870221" w:rsidRDefault="00870221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B67A9" w:rsidRPr="00870221" w:rsidRDefault="00706182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70221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2338" w:type="dxa"/>
          </w:tcPr>
          <w:p w:rsidR="00CB67A9" w:rsidRPr="00870221" w:rsidRDefault="00706182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70221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Drīkst (P)/nedrīkst (N) precizēt fonda projekta iesniegumu</w:t>
            </w:r>
          </w:p>
        </w:tc>
      </w:tr>
      <w:tr w:rsidR="00CB67A9" w:rsidRPr="00531F49" w:rsidTr="00CB67A9">
        <w:tc>
          <w:tcPr>
            <w:tcW w:w="671" w:type="dxa"/>
          </w:tcPr>
          <w:p w:rsidR="00CB67A9" w:rsidRPr="00531F49" w:rsidRDefault="00CB67A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1. </w:t>
            </w:r>
          </w:p>
        </w:tc>
        <w:tc>
          <w:tcPr>
            <w:tcW w:w="6525" w:type="dxa"/>
          </w:tcPr>
          <w:p w:rsidR="000B6130" w:rsidRPr="001A2F39" w:rsidRDefault="00210BDA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A2F39" w:rsidRPr="00531F49">
              <w:rPr>
                <w:rFonts w:ascii="Times New Roman" w:hAnsi="Times New Roman" w:cs="Times New Roman"/>
                <w:sz w:val="24"/>
                <w:szCs w:val="24"/>
              </w:rPr>
              <w:t>rojekta iesniegums ir iesniegts sludinājumā par atklāta konkursa izsludināšanu vai uzaicinājumā noteiktajā termiņā</w:t>
            </w:r>
          </w:p>
        </w:tc>
        <w:tc>
          <w:tcPr>
            <w:tcW w:w="2338" w:type="dxa"/>
          </w:tcPr>
          <w:p w:rsidR="00CB67A9" w:rsidRPr="00531F49" w:rsidRDefault="00CB67A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B67A9" w:rsidRPr="00531F49" w:rsidTr="00CB67A9">
        <w:tc>
          <w:tcPr>
            <w:tcW w:w="671" w:type="dxa"/>
          </w:tcPr>
          <w:p w:rsidR="00CB67A9" w:rsidRPr="00531F49" w:rsidRDefault="00CB67A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2. </w:t>
            </w:r>
          </w:p>
        </w:tc>
        <w:tc>
          <w:tcPr>
            <w:tcW w:w="6525" w:type="dxa"/>
          </w:tcPr>
          <w:p w:rsidR="00CB67A9" w:rsidRPr="00531F49" w:rsidRDefault="00210BDA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B67A9" w:rsidRPr="00531F49">
              <w:rPr>
                <w:rFonts w:ascii="Times New Roman" w:hAnsi="Times New Roman" w:cs="Times New Roman"/>
                <w:sz w:val="24"/>
                <w:szCs w:val="24"/>
              </w:rPr>
              <w:t>rojekta iesniedzējs vai tā pilnvarotā persona projekta iesnie</w:t>
            </w:r>
            <w:r w:rsidR="008702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67A9" w:rsidRPr="00531F49">
              <w:rPr>
                <w:rFonts w:ascii="Times New Roman" w:hAnsi="Times New Roman" w:cs="Times New Roman"/>
                <w:sz w:val="24"/>
                <w:szCs w:val="24"/>
              </w:rPr>
              <w:t>gumu ir iesniegusi personīgi vai nosūtījusi pa pastu aizzīmogotā iepakojumā</w:t>
            </w:r>
            <w:r w:rsidR="00B27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7A9"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 vai elektroniska dokumenta veidā, parakstītu ar drošu elektronisko parakstu un pievienotu laika zīmogu</w:t>
            </w:r>
          </w:p>
        </w:tc>
        <w:tc>
          <w:tcPr>
            <w:tcW w:w="2338" w:type="dxa"/>
          </w:tcPr>
          <w:p w:rsidR="00CB67A9" w:rsidRPr="00531F49" w:rsidRDefault="00706182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870221">
        <w:trPr>
          <w:trHeight w:val="1343"/>
        </w:trPr>
        <w:tc>
          <w:tcPr>
            <w:tcW w:w="671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3. </w:t>
            </w:r>
          </w:p>
        </w:tc>
        <w:tc>
          <w:tcPr>
            <w:tcW w:w="6525" w:type="dxa"/>
          </w:tcPr>
          <w:p w:rsidR="001A2F39" w:rsidRPr="00FD16AC" w:rsidRDefault="00210BDA" w:rsidP="00663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6130" w:rsidRPr="00870221">
              <w:rPr>
                <w:rFonts w:ascii="Times New Roman" w:hAnsi="Times New Roman" w:cs="Times New Roman"/>
                <w:sz w:val="24"/>
                <w:szCs w:val="24"/>
              </w:rPr>
              <w:t xml:space="preserve">rojekta iesniegums ir pilnībā aizpildīts, tai skaitā tam pievienoti visi Ministru kabineta </w:t>
            </w:r>
            <w:r w:rsidR="00870221" w:rsidRPr="008702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1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221" w:rsidRPr="00870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221" w:rsidRPr="00EB35B1">
              <w:rPr>
                <w:rFonts w:ascii="Times New Roman" w:hAnsi="Times New Roman" w:cs="Times New Roman"/>
                <w:sz w:val="24"/>
                <w:szCs w:val="24"/>
              </w:rPr>
              <w:t>gada ......</w:t>
            </w:r>
            <w:r w:rsidR="0066358C">
              <w:rPr>
                <w:rFonts w:ascii="Times New Roman" w:hAnsi="Times New Roman" w:cs="Times New Roman"/>
                <w:sz w:val="24"/>
                <w:szCs w:val="24"/>
              </w:rPr>
              <w:t>jūnija</w:t>
            </w:r>
            <w:r w:rsidR="00FD16AC" w:rsidRPr="00EB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30" w:rsidRPr="00EB35B1">
              <w:rPr>
                <w:rFonts w:ascii="Times New Roman" w:hAnsi="Times New Roman" w:cs="Times New Roman"/>
                <w:sz w:val="24"/>
                <w:szCs w:val="24"/>
              </w:rPr>
              <w:t xml:space="preserve">noteikumos </w:t>
            </w:r>
            <w:r w:rsidR="00870221" w:rsidRPr="00EB35B1">
              <w:rPr>
                <w:rFonts w:ascii="Times New Roman" w:hAnsi="Times New Roman" w:cs="Times New Roman"/>
                <w:sz w:val="24"/>
                <w:szCs w:val="24"/>
              </w:rPr>
              <w:t xml:space="preserve">Nr....... </w:t>
            </w:r>
            <w:r w:rsidR="00DC2237" w:rsidRPr="00EB35B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70221" w:rsidRPr="00EB35B1">
              <w:rPr>
                <w:rFonts w:ascii="Times New Roman" w:hAnsi="Times New Roman" w:cs="Times New Roman"/>
                <w:sz w:val="24"/>
                <w:szCs w:val="24"/>
              </w:rPr>
              <w:t>Noteikumi par Eiropas Trešo valstu valstspiederīgo integrācijas fonda 201</w:t>
            </w:r>
            <w:r w:rsidR="00170A3C" w:rsidRPr="00EB3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221" w:rsidRPr="00EB35B1">
              <w:rPr>
                <w:rFonts w:ascii="Times New Roman" w:hAnsi="Times New Roman" w:cs="Times New Roman"/>
                <w:sz w:val="24"/>
                <w:szCs w:val="24"/>
              </w:rPr>
              <w:t>.gada pr</w:t>
            </w:r>
            <w:r w:rsidR="00DC2237" w:rsidRPr="00EB35B1">
              <w:rPr>
                <w:rFonts w:ascii="Times New Roman" w:hAnsi="Times New Roman" w:cs="Times New Roman"/>
                <w:sz w:val="24"/>
                <w:szCs w:val="24"/>
              </w:rPr>
              <w:t>ogrammas aktivitāšu</w:t>
            </w:r>
            <w:r w:rsidR="00DC2237">
              <w:rPr>
                <w:rFonts w:ascii="Times New Roman" w:hAnsi="Times New Roman" w:cs="Times New Roman"/>
                <w:sz w:val="24"/>
                <w:szCs w:val="24"/>
              </w:rPr>
              <w:t xml:space="preserve"> īstenošanu”</w:t>
            </w:r>
            <w:r w:rsidR="00870221" w:rsidRPr="00DC2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2DA" w:rsidRPr="00DC2237">
              <w:rPr>
                <w:rFonts w:ascii="Times New Roman" w:hAnsi="Times New Roman" w:cs="Times New Roman"/>
                <w:sz w:val="24"/>
                <w:szCs w:val="24"/>
              </w:rPr>
              <w:t xml:space="preserve">(turpmāk – noteikumi) </w:t>
            </w:r>
            <w:r w:rsidR="00870221" w:rsidRPr="00870221">
              <w:rPr>
                <w:rFonts w:ascii="Times New Roman" w:hAnsi="Times New Roman" w:cs="Times New Roman"/>
                <w:sz w:val="24"/>
                <w:szCs w:val="24"/>
              </w:rPr>
              <w:t>minētie</w:t>
            </w:r>
            <w:r w:rsidR="000B6130" w:rsidRPr="00870221">
              <w:rPr>
                <w:rFonts w:ascii="Times New Roman" w:hAnsi="Times New Roman" w:cs="Times New Roman"/>
                <w:sz w:val="24"/>
                <w:szCs w:val="24"/>
              </w:rPr>
              <w:t xml:space="preserve"> pielikum</w:t>
            </w:r>
            <w:r w:rsidR="008702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C2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1A2F39" w:rsidRPr="00531F49" w:rsidRDefault="00B6017A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4. </w:t>
            </w:r>
          </w:p>
        </w:tc>
        <w:tc>
          <w:tcPr>
            <w:tcW w:w="6525" w:type="dxa"/>
          </w:tcPr>
          <w:p w:rsidR="001A2F39" w:rsidRPr="00531F49" w:rsidRDefault="00210BDA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A2F39" w:rsidRPr="00531F49">
              <w:rPr>
                <w:rFonts w:ascii="Times New Roman" w:hAnsi="Times New Roman" w:cs="Times New Roman"/>
                <w:sz w:val="24"/>
                <w:szCs w:val="24"/>
              </w:rPr>
              <w:t>rojekta iesniegums ir izstrādāts atbilstoši noteikum</w:t>
            </w:r>
            <w:r w:rsidR="000642D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A2F39"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 prasībām</w:t>
            </w:r>
          </w:p>
        </w:tc>
        <w:tc>
          <w:tcPr>
            <w:tcW w:w="2338" w:type="dxa"/>
          </w:tcPr>
          <w:p w:rsidR="001A2F39" w:rsidRPr="00531F49" w:rsidRDefault="00B6017A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6525" w:type="dxa"/>
          </w:tcPr>
          <w:p w:rsidR="001A2F39" w:rsidRPr="00531F49" w:rsidRDefault="00210BDA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A2F39" w:rsidRPr="00531F49">
              <w:rPr>
                <w:rFonts w:ascii="Times New Roman" w:hAnsi="Times New Roman" w:cs="Times New Roman"/>
                <w:sz w:val="24"/>
                <w:szCs w:val="24"/>
              </w:rPr>
              <w:t>rojekta iesniegumam pievienota projekta iesnieguma elektroniskā versija</w:t>
            </w:r>
            <w:r w:rsidR="00D46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F39"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 un tā pilnībā atbilst projekta iesnieguma oriģinālam</w:t>
            </w:r>
            <w:r w:rsidR="001A2F39">
              <w:rPr>
                <w:rFonts w:ascii="Times New Roman" w:hAnsi="Times New Roman" w:cs="Times New Roman"/>
                <w:sz w:val="24"/>
                <w:szCs w:val="24"/>
              </w:rPr>
              <w:t xml:space="preserve"> (ja attiecināms)</w:t>
            </w:r>
          </w:p>
        </w:tc>
        <w:tc>
          <w:tcPr>
            <w:tcW w:w="2338" w:type="dxa"/>
          </w:tcPr>
          <w:p w:rsidR="001A2F39" w:rsidRPr="00531F49" w:rsidRDefault="00B6017A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6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iesniegums ir sagatavots datorrakstā</w:t>
            </w:r>
          </w:p>
        </w:tc>
        <w:tc>
          <w:tcPr>
            <w:tcW w:w="2338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7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iesniegums</w:t>
            </w:r>
            <w:r w:rsidR="00B6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ir sagatavots latviešu valodā</w:t>
            </w:r>
          </w:p>
        </w:tc>
        <w:tc>
          <w:tcPr>
            <w:tcW w:w="2338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6525" w:type="dxa"/>
          </w:tcPr>
          <w:p w:rsidR="001A2F39" w:rsidRDefault="001A2F39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iesniedzējs un tā sadarbības partneri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 noteikum</w:t>
            </w:r>
            <w:r w:rsidR="000642D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 prasībām</w:t>
            </w:r>
          </w:p>
        </w:tc>
        <w:tc>
          <w:tcPr>
            <w:tcW w:w="2338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6525" w:type="dxa"/>
          </w:tcPr>
          <w:p w:rsidR="001A2F39" w:rsidRPr="00531F49" w:rsidRDefault="006214E7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E7">
              <w:rPr>
                <w:rFonts w:ascii="Times New Roman" w:hAnsi="Times New Roman" w:cs="Times New Roman"/>
                <w:sz w:val="24"/>
                <w:szCs w:val="24"/>
              </w:rPr>
              <w:t>Projekta iesniegumu ir parakstījusi paraksttiesīgā persona atbilstoši projekta iesniedzēja darbību regulējošajiem normatīvajiem aktiem</w:t>
            </w:r>
            <w:r w:rsidR="005212B3">
              <w:rPr>
                <w:rFonts w:ascii="Times New Roman" w:hAnsi="Times New Roman" w:cs="Times New Roman"/>
                <w:sz w:val="24"/>
                <w:szCs w:val="24"/>
              </w:rPr>
              <w:t xml:space="preserve"> vai arī projekta iesniegums ir parakstīts ar </w:t>
            </w:r>
            <w:r w:rsidRPr="006214E7">
              <w:rPr>
                <w:rFonts w:ascii="Times New Roman" w:hAnsi="Times New Roman" w:cs="Times New Roman"/>
                <w:sz w:val="24"/>
                <w:szCs w:val="24"/>
              </w:rPr>
              <w:t>paraksttiesīgā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14E7">
              <w:rPr>
                <w:rFonts w:ascii="Times New Roman" w:hAnsi="Times New Roman" w:cs="Times New Roman"/>
                <w:sz w:val="24"/>
                <w:szCs w:val="24"/>
              </w:rPr>
              <w:t xml:space="preserve"> 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B3">
              <w:rPr>
                <w:rFonts w:ascii="Times New Roman" w:hAnsi="Times New Roman" w:cs="Times New Roman"/>
                <w:sz w:val="24"/>
                <w:szCs w:val="24"/>
              </w:rPr>
              <w:t>drošu elektronisko parakstu atbilstoši normatīvajiem aktiem par elektronisko dokumentu noformēšanu.</w:t>
            </w:r>
          </w:p>
        </w:tc>
        <w:tc>
          <w:tcPr>
            <w:tcW w:w="2338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6525" w:type="dxa"/>
          </w:tcPr>
          <w:p w:rsidR="001A2F39" w:rsidRPr="00531F49" w:rsidRDefault="001A2F39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projekta iesnieguma iesniedzējs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 ir bijis projekta iesniedzējs citā fonda gada programmā, tas līdz projekta iesnieguma iesniegšanas brīdim ir atmaksājis neatbilstoši veiktus izdevumus, ja vadošā iestāde to ir pieprasījusi</w:t>
            </w:r>
          </w:p>
        </w:tc>
        <w:tc>
          <w:tcPr>
            <w:tcW w:w="2338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11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6525" w:type="dxa"/>
          </w:tcPr>
          <w:p w:rsidR="001A2F39" w:rsidRPr="00531F49" w:rsidRDefault="001A2F39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rojekta iesniedzējam un tā sadarbības partneriem nav nodokļu parādu </w:t>
            </w:r>
          </w:p>
        </w:tc>
        <w:tc>
          <w:tcPr>
            <w:tcW w:w="2338" w:type="dxa"/>
          </w:tcPr>
          <w:p w:rsidR="001A2F39" w:rsidRPr="00531F49" w:rsidRDefault="00E34F3C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12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6525" w:type="dxa"/>
          </w:tcPr>
          <w:p w:rsidR="001A2F39" w:rsidRPr="00531F49" w:rsidRDefault="001A2F39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rojekta iesniedzējs un tā sadarbības partneri nav 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pasludināti par maksātnespējīgiem, tai skaitā neatrodas sanācijas procesā un neatrodas likvidācijas procesā (valsts pārvaldes iestādes, pašvaldības un publisko tiesību juridiskās personas saskaņā ar šo 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kritēriju nevērtē)</w:t>
            </w:r>
          </w:p>
        </w:tc>
        <w:tc>
          <w:tcPr>
            <w:tcW w:w="2338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N</w:t>
            </w:r>
          </w:p>
        </w:tc>
      </w:tr>
      <w:tr w:rsidR="001A2F39" w:rsidRPr="00531F49" w:rsidDel="00C028B6" w:rsidTr="00CB67A9">
        <w:tc>
          <w:tcPr>
            <w:tcW w:w="671" w:type="dxa"/>
          </w:tcPr>
          <w:p w:rsidR="001A2F39" w:rsidRPr="00531F49" w:rsidDel="00C028B6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13.</w:t>
            </w:r>
          </w:p>
        </w:tc>
        <w:tc>
          <w:tcPr>
            <w:tcW w:w="6525" w:type="dxa"/>
          </w:tcPr>
          <w:p w:rsidR="001A2F39" w:rsidRPr="00531F49" w:rsidDel="00C028B6" w:rsidRDefault="001A2F39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Vienas fonda aktivitātes ietvaros projekta iesniedzējs ir iesniedzis vienu projekta iesniegumu</w:t>
            </w:r>
          </w:p>
        </w:tc>
        <w:tc>
          <w:tcPr>
            <w:tcW w:w="2338" w:type="dxa"/>
          </w:tcPr>
          <w:p w:rsidR="001A2F39" w:rsidRPr="00531F49" w:rsidDel="00C028B6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6525" w:type="dxa"/>
          </w:tcPr>
          <w:p w:rsidR="001A2F39" w:rsidRPr="00531F49" w:rsidRDefault="00210BDA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izdevumi nepārsniedz vienam projektam konkrētās aktivitātes ietvaros pieejamo finansējumu un pārsniedz </w:t>
            </w:r>
            <w:r w:rsidR="00593EAB">
              <w:rPr>
                <w:rFonts w:ascii="Times New Roman" w:hAnsi="Times New Roman" w:cs="Times New Roman"/>
                <w:sz w:val="24"/>
                <w:szCs w:val="24"/>
              </w:rPr>
              <w:t xml:space="preserve">vai ir identiski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vienam projektam konkrētās aktivitātes ietvaros noteikto minimālo pieejamo finansējumu</w:t>
            </w:r>
          </w:p>
        </w:tc>
        <w:tc>
          <w:tcPr>
            <w:tcW w:w="2338" w:type="dxa"/>
          </w:tcPr>
          <w:p w:rsidR="001A2F39" w:rsidRPr="00531F49" w:rsidRDefault="00210BDA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210BDA" w:rsidRPr="00531F49" w:rsidTr="00CB67A9">
        <w:tc>
          <w:tcPr>
            <w:tcW w:w="671" w:type="dxa"/>
          </w:tcPr>
          <w:p w:rsidR="00210BDA" w:rsidRPr="00531F49" w:rsidRDefault="00210BDA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6525" w:type="dxa"/>
          </w:tcPr>
          <w:p w:rsidR="00210BDA" w:rsidRDefault="00210BDA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budžets ir sabalansēts, izmaksu kopsumma atbilst </w:t>
            </w:r>
            <w:r w:rsidR="00B15E00">
              <w:rPr>
                <w:rFonts w:ascii="Times New Roman" w:hAnsi="Times New Roman" w:cs="Times New Roman"/>
                <w:sz w:val="24"/>
                <w:szCs w:val="24"/>
              </w:rPr>
              <w:t xml:space="preserve">ienākumu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kopsummai</w:t>
            </w:r>
            <w:r w:rsidR="00B15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5E00" w:rsidRPr="00531F49">
              <w:rPr>
                <w:rFonts w:ascii="Times New Roman" w:hAnsi="Times New Roman" w:cs="Times New Roman"/>
                <w:sz w:val="24"/>
                <w:szCs w:val="24"/>
              </w:rPr>
              <w:t>tai skaitā fonda finansējuma un valsts budžeta finansējuma apjoms</w:t>
            </w:r>
            <w:r w:rsidR="00B15E00">
              <w:rPr>
                <w:rFonts w:ascii="Times New Roman" w:hAnsi="Times New Roman" w:cs="Times New Roman"/>
                <w:sz w:val="24"/>
                <w:szCs w:val="24"/>
              </w:rPr>
              <w:t xml:space="preserve"> ir aprēķināts aritmētiski pareizi </w:t>
            </w:r>
          </w:p>
        </w:tc>
        <w:tc>
          <w:tcPr>
            <w:tcW w:w="2338" w:type="dxa"/>
          </w:tcPr>
          <w:p w:rsidR="00210BDA" w:rsidRDefault="00210BDA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210BDA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16</w:t>
            </w:r>
            <w:r w:rsidR="001A2F39"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6525" w:type="dxa"/>
          </w:tcPr>
          <w:p w:rsidR="001A2F39" w:rsidRPr="00531F49" w:rsidRDefault="001A2F39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rojekta iesnieguma finanšu aprēķini ir </w:t>
            </w:r>
            <w:r w:rsidR="006214E7">
              <w:rPr>
                <w:rFonts w:ascii="Times New Roman" w:hAnsi="Times New Roman" w:cs="Times New Roman"/>
                <w:sz w:val="24"/>
                <w:szCs w:val="24"/>
              </w:rPr>
              <w:t>veikti</w:t>
            </w:r>
            <w:r w:rsidR="00593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latos un ir aritmētiski precīzi un pareizi izstrādāti </w:t>
            </w:r>
          </w:p>
        </w:tc>
        <w:tc>
          <w:tcPr>
            <w:tcW w:w="2338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210BDA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17</w:t>
            </w:r>
            <w:r w:rsidR="001A2F39"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rojekta iesniegumā norādītās attiecināmās izmaksas atbilst noteikumos </w:t>
            </w:r>
            <w:r w:rsidR="00F82538">
              <w:rPr>
                <w:rFonts w:ascii="Times New Roman" w:hAnsi="Times New Roman" w:cs="Times New Roman"/>
                <w:sz w:val="24"/>
                <w:szCs w:val="24"/>
              </w:rPr>
              <w:t>minētajām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 izmaksām </w:t>
            </w:r>
          </w:p>
        </w:tc>
        <w:tc>
          <w:tcPr>
            <w:tcW w:w="2338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</w:t>
            </w:r>
            <w:r w:rsidR="00210BDA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8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rojekta iesniegumā norādītā apakšlīgumu proporcija nepārsniedz noteikumos </w:t>
            </w:r>
            <w:r w:rsidR="00F82538">
              <w:rPr>
                <w:rFonts w:ascii="Times New Roman" w:hAnsi="Times New Roman" w:cs="Times New Roman"/>
                <w:sz w:val="24"/>
                <w:szCs w:val="24"/>
              </w:rPr>
              <w:t>minēto proporciju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 vai projekta iesniegumam pievienotais detalizētais rakstiskais pamatojums sniedz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pietiekamu skaidrojumu par apakšlīgumu proporcijas pārsniegšanu</w:t>
            </w:r>
          </w:p>
        </w:tc>
        <w:tc>
          <w:tcPr>
            <w:tcW w:w="2338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210BDA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19</w:t>
            </w:r>
            <w:r w:rsidR="001A2F39"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iesniegumā ievērota proporcija tam, cik lielu finansējuma un pasākumu īstenošanas daļu var nodot sadarbības partneriem</w:t>
            </w:r>
          </w:p>
        </w:tc>
        <w:tc>
          <w:tcPr>
            <w:tcW w:w="2338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210BDA" w:rsidRPr="00531F49" w:rsidTr="00CB67A9">
        <w:tc>
          <w:tcPr>
            <w:tcW w:w="671" w:type="dxa"/>
          </w:tcPr>
          <w:p w:rsidR="00210BDA" w:rsidRDefault="00210BDA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6525" w:type="dxa"/>
          </w:tcPr>
          <w:p w:rsidR="00210BDA" w:rsidRDefault="00210BDA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iesniegumā norādīto netiešo</w:t>
            </w:r>
            <w:r w:rsidR="00625563">
              <w:rPr>
                <w:rFonts w:ascii="Times New Roman" w:hAnsi="Times New Roman" w:cs="Times New Roman"/>
                <w:sz w:val="24"/>
                <w:szCs w:val="24"/>
              </w:rPr>
              <w:t xml:space="preserve"> attiecināmo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izmaksu proporcija nepārsniedz noteikumos </w:t>
            </w:r>
            <w:r w:rsidR="00F82538">
              <w:rPr>
                <w:rFonts w:ascii="Times New Roman" w:hAnsi="Times New Roman" w:cs="Times New Roman"/>
                <w:sz w:val="24"/>
                <w:szCs w:val="24"/>
              </w:rPr>
              <w:t>minēto proporciju</w:t>
            </w:r>
          </w:p>
        </w:tc>
        <w:tc>
          <w:tcPr>
            <w:tcW w:w="2338" w:type="dxa"/>
          </w:tcPr>
          <w:p w:rsidR="00210BDA" w:rsidRPr="00531F49" w:rsidRDefault="006406DE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210BDA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21</w:t>
            </w:r>
            <w:r w:rsidR="001A2F39"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rojekta kalendāra plānā paredzēti saprātīgi un pietiekami termiņi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pasākumu īstenošanai</w:t>
            </w:r>
          </w:p>
        </w:tc>
        <w:tc>
          <w:tcPr>
            <w:tcW w:w="2338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210BDA" w:rsidRPr="00531F49" w:rsidTr="00CB67A9">
        <w:tc>
          <w:tcPr>
            <w:tcW w:w="671" w:type="dxa"/>
          </w:tcPr>
          <w:p w:rsidR="00210BDA" w:rsidRPr="00531F49" w:rsidRDefault="00210BDA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6525" w:type="dxa"/>
          </w:tcPr>
          <w:p w:rsidR="004649B5" w:rsidRDefault="004649B5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Projekta ietvaros izdevumi plānoti</w:t>
            </w:r>
            <w:r w:rsidR="000D7481">
              <w:rPr>
                <w:rFonts w:ascii="Times New Roman" w:hAnsi="Times New Roman" w:cs="Times New Roman"/>
                <w:sz w:val="24"/>
                <w:szCs w:val="24"/>
              </w:rPr>
              <w:t xml:space="preserve"> laikposmā no dienas, </w:t>
            </w:r>
            <w:r w:rsidR="000D7481" w:rsidRPr="000D7481">
              <w:rPr>
                <w:rFonts w:ascii="Times New Roman" w:hAnsi="Times New Roman" w:cs="Times New Roman"/>
                <w:sz w:val="24"/>
                <w:szCs w:val="24"/>
              </w:rPr>
              <w:t>kad pieņemts lēmums par projekta iesnieguma apstiprināšanu vai apstiprināts atzinums par nosacījumu izpildi, kas minēti lēmumā par projekta iesnieguma apstiprināšanu ar nosacījumu</w:t>
            </w:r>
            <w:r w:rsidR="000D7481">
              <w:rPr>
                <w:rFonts w:ascii="Times New Roman" w:hAnsi="Times New Roman" w:cs="Times New Roman"/>
                <w:sz w:val="24"/>
                <w:szCs w:val="24"/>
              </w:rPr>
              <w:t xml:space="preserve"> līdz 2014.gada 30.jūnijam </w:t>
            </w:r>
          </w:p>
        </w:tc>
        <w:tc>
          <w:tcPr>
            <w:tcW w:w="2338" w:type="dxa"/>
          </w:tcPr>
          <w:p w:rsidR="00210BDA" w:rsidRPr="00531F49" w:rsidRDefault="00210BDA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  <w:r w:rsidR="00210BDA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3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iesniegumā ir ievēroti fonda teritoriālās darbības ierobežojumi</w:t>
            </w:r>
          </w:p>
        </w:tc>
        <w:tc>
          <w:tcPr>
            <w:tcW w:w="2338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  <w:r w:rsidR="00210BDA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iesniegums (vai atsevišķi tajā ietvertie pasākumi) nav iesniegts vai apstiprināts finansēšanai no cita finanšu avota, izņemot gadījumus, ja pirms iesniegšanas vadošajā iestādē projektu iesniegumu atlasei tas jau noraidīts</w:t>
            </w:r>
          </w:p>
        </w:tc>
        <w:tc>
          <w:tcPr>
            <w:tcW w:w="2338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  <w:r w:rsidR="00210BDA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EB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 w:rsidR="004649B5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 plānoto līgumu saraksts atbilst projekta pasākumiem, fonda projekta budžeta </w:t>
            </w:r>
            <w:r w:rsidR="004649B5">
              <w:rPr>
                <w:rFonts w:ascii="Times New Roman" w:hAnsi="Times New Roman" w:cs="Times New Roman"/>
                <w:sz w:val="24"/>
                <w:szCs w:val="24"/>
              </w:rPr>
              <w:t>veidlapai</w:t>
            </w:r>
            <w:r w:rsidR="004649B5"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un ir pareizi izstrādāts, izvēlētās iepirkuma procedūras atbilst normatīvajiem aktiem iepirkuma jomā</w:t>
            </w:r>
          </w:p>
        </w:tc>
        <w:tc>
          <w:tcPr>
            <w:tcW w:w="2338" w:type="dxa"/>
          </w:tcPr>
          <w:p w:rsidR="001A2F39" w:rsidRPr="00531F49" w:rsidRDefault="001A2F39" w:rsidP="008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</w:tbl>
    <w:p w:rsidR="00FD16AC" w:rsidRDefault="00FD16AC" w:rsidP="008557B0">
      <w:pPr>
        <w:spacing w:after="0" w:line="240" w:lineRule="auto"/>
        <w:ind w:right="-199"/>
        <w:rPr>
          <w:rFonts w:ascii="Times New Roman" w:hAnsi="Times New Roman"/>
          <w:sz w:val="24"/>
          <w:szCs w:val="24"/>
          <w:lang w:eastAsia="lv-LV"/>
        </w:rPr>
      </w:pPr>
    </w:p>
    <w:p w:rsidR="008E1B84" w:rsidRDefault="00D466A6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 w:rsidRPr="00EB35B1">
        <w:rPr>
          <w:rFonts w:ascii="Times New Roman" w:hAnsi="Times New Roman" w:cs="Times New Roman"/>
          <w:sz w:val="24"/>
          <w:szCs w:val="24"/>
        </w:rPr>
        <w:t>Kultūras ministr</w:t>
      </w:r>
      <w:r w:rsidR="00FD16AC" w:rsidRPr="00EB35B1">
        <w:rPr>
          <w:rFonts w:ascii="Times New Roman" w:hAnsi="Times New Roman" w:cs="Times New Roman"/>
          <w:sz w:val="24"/>
          <w:szCs w:val="24"/>
        </w:rPr>
        <w:t>e</w:t>
      </w:r>
      <w:r w:rsidR="00FD16AC" w:rsidRPr="00EB35B1">
        <w:rPr>
          <w:rFonts w:ascii="Times New Roman" w:hAnsi="Times New Roman" w:cs="Times New Roman"/>
          <w:sz w:val="24"/>
          <w:szCs w:val="24"/>
        </w:rPr>
        <w:tab/>
      </w:r>
      <w:r w:rsidR="00FD16AC" w:rsidRPr="00EB35B1">
        <w:rPr>
          <w:rFonts w:ascii="Times New Roman" w:hAnsi="Times New Roman" w:cs="Times New Roman"/>
          <w:sz w:val="24"/>
          <w:szCs w:val="24"/>
        </w:rPr>
        <w:tab/>
      </w:r>
      <w:r w:rsidR="00FD16AC" w:rsidRPr="00EB35B1">
        <w:rPr>
          <w:rFonts w:ascii="Times New Roman" w:hAnsi="Times New Roman" w:cs="Times New Roman"/>
          <w:sz w:val="24"/>
          <w:szCs w:val="24"/>
        </w:rPr>
        <w:tab/>
      </w:r>
      <w:r w:rsidR="00FD16AC" w:rsidRPr="00EB35B1">
        <w:rPr>
          <w:rFonts w:ascii="Times New Roman" w:hAnsi="Times New Roman" w:cs="Times New Roman"/>
          <w:sz w:val="24"/>
          <w:szCs w:val="24"/>
        </w:rPr>
        <w:tab/>
      </w:r>
      <w:r w:rsidR="00FD16AC" w:rsidRPr="00EB35B1">
        <w:rPr>
          <w:rFonts w:ascii="Times New Roman" w:hAnsi="Times New Roman" w:cs="Times New Roman"/>
          <w:sz w:val="24"/>
          <w:szCs w:val="24"/>
        </w:rPr>
        <w:tab/>
      </w:r>
      <w:r w:rsidR="00FD16AC" w:rsidRPr="00EB35B1">
        <w:rPr>
          <w:rFonts w:ascii="Times New Roman" w:hAnsi="Times New Roman" w:cs="Times New Roman"/>
          <w:sz w:val="24"/>
          <w:szCs w:val="24"/>
        </w:rPr>
        <w:tab/>
      </w:r>
      <w:r w:rsidR="00EB35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14E7" w:rsidRPr="00EB35B1">
        <w:rPr>
          <w:rFonts w:ascii="Times New Roman" w:hAnsi="Times New Roman" w:cs="Times New Roman"/>
          <w:sz w:val="24"/>
          <w:szCs w:val="24"/>
        </w:rPr>
        <w:t>Ž.Jaunzeme-Grende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E1B84" w:rsidRDefault="008E1B84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</w:p>
    <w:p w:rsidR="00B73957" w:rsidRDefault="008E1B8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E0A7B">
        <w:rPr>
          <w:rFonts w:ascii="Times New Roman" w:hAnsi="Times New Roman" w:cs="Times New Roman"/>
          <w:sz w:val="24"/>
          <w:szCs w:val="24"/>
        </w:rPr>
        <w:t>Vīza: Valsts sekretārs</w:t>
      </w:r>
      <w:r w:rsidRPr="000E0A7B">
        <w:rPr>
          <w:rFonts w:ascii="Times New Roman" w:hAnsi="Times New Roman" w:cs="Times New Roman"/>
          <w:sz w:val="24"/>
          <w:szCs w:val="24"/>
        </w:rPr>
        <w:tab/>
      </w:r>
      <w:r w:rsidRPr="000E0A7B">
        <w:rPr>
          <w:rFonts w:ascii="Times New Roman" w:hAnsi="Times New Roman" w:cs="Times New Roman"/>
          <w:sz w:val="24"/>
          <w:szCs w:val="24"/>
        </w:rPr>
        <w:tab/>
      </w:r>
      <w:r w:rsidRPr="000E0A7B">
        <w:rPr>
          <w:rFonts w:ascii="Times New Roman" w:hAnsi="Times New Roman" w:cs="Times New Roman"/>
          <w:sz w:val="24"/>
          <w:szCs w:val="24"/>
        </w:rPr>
        <w:tab/>
      </w:r>
      <w:r w:rsidRPr="000E0A7B">
        <w:rPr>
          <w:rFonts w:ascii="Times New Roman" w:hAnsi="Times New Roman" w:cs="Times New Roman"/>
          <w:sz w:val="24"/>
          <w:szCs w:val="24"/>
        </w:rPr>
        <w:tab/>
      </w:r>
      <w:r w:rsidRPr="000E0A7B">
        <w:rPr>
          <w:rFonts w:ascii="Times New Roman" w:hAnsi="Times New Roman" w:cs="Times New Roman"/>
          <w:sz w:val="24"/>
          <w:szCs w:val="24"/>
        </w:rPr>
        <w:tab/>
      </w:r>
      <w:r w:rsidRPr="000E0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E0A7B">
        <w:rPr>
          <w:rFonts w:ascii="Times New Roman" w:hAnsi="Times New Roman" w:cs="Times New Roman"/>
          <w:sz w:val="24"/>
          <w:szCs w:val="24"/>
        </w:rPr>
        <w:t>G.Puķītis</w:t>
      </w:r>
    </w:p>
    <w:p w:rsidR="008E1B84" w:rsidRPr="00F25213" w:rsidRDefault="00337A3C" w:rsidP="008E1B84">
      <w:pPr>
        <w:pStyle w:val="naisf"/>
        <w:tabs>
          <w:tab w:val="center" w:pos="4535"/>
        </w:tabs>
        <w:spacing w:before="0" w:beforeAutospacing="0" w:after="0" w:afterAutospacing="0"/>
        <w:rPr>
          <w:sz w:val="20"/>
          <w:szCs w:val="20"/>
        </w:rPr>
      </w:pPr>
      <w:sdt>
        <w:sdtPr>
          <w:rPr>
            <w:sz w:val="20"/>
            <w:szCs w:val="20"/>
          </w:rPr>
          <w:alias w:val="Publicēšanas datums"/>
          <w:id w:val="25468537"/>
          <w:placeholder>
            <w:docPart w:val="AEDFCA92C1A4419786078F07BC83211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06-18T00:00:00Z">
            <w:dateFormat w:val="yyyy.MM.dd."/>
            <w:lid w:val="lv-LV"/>
            <w:storeMappedDataAs w:val="dateTime"/>
            <w:calendar w:val="gregorian"/>
          </w:date>
        </w:sdtPr>
        <w:sdtEndPr/>
        <w:sdtContent>
          <w:r w:rsidR="008E1B84">
            <w:rPr>
              <w:sz w:val="20"/>
              <w:szCs w:val="20"/>
            </w:rPr>
            <w:t>2013.06.18.</w:t>
          </w:r>
        </w:sdtContent>
      </w:sdt>
      <w:r w:rsidR="008E1B84">
        <w:rPr>
          <w:sz w:val="20"/>
          <w:szCs w:val="20"/>
        </w:rPr>
        <w:tab/>
      </w:r>
    </w:p>
    <w:p w:rsidR="008E1B84" w:rsidRPr="00F25213" w:rsidRDefault="008E1B84" w:rsidP="008E1B84">
      <w:pPr>
        <w:pStyle w:val="naisf"/>
        <w:tabs>
          <w:tab w:val="left" w:pos="576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550</w:t>
      </w:r>
    </w:p>
    <w:p w:rsidR="008E1B84" w:rsidRPr="00F25213" w:rsidRDefault="008E1B84" w:rsidP="008E1B84">
      <w:pPr>
        <w:pStyle w:val="naisf"/>
        <w:tabs>
          <w:tab w:val="left" w:pos="5760"/>
        </w:tabs>
        <w:spacing w:before="0" w:beforeAutospacing="0" w:after="0" w:afterAutospacing="0"/>
        <w:rPr>
          <w:sz w:val="20"/>
          <w:szCs w:val="20"/>
        </w:rPr>
      </w:pPr>
      <w:r w:rsidRPr="00F25213">
        <w:rPr>
          <w:sz w:val="20"/>
          <w:szCs w:val="20"/>
        </w:rPr>
        <w:t>G.Preimanis</w:t>
      </w:r>
      <w:r>
        <w:rPr>
          <w:sz w:val="20"/>
          <w:szCs w:val="20"/>
        </w:rPr>
        <w:t xml:space="preserve">, </w:t>
      </w:r>
      <w:r w:rsidRPr="00F25213">
        <w:rPr>
          <w:sz w:val="20"/>
          <w:szCs w:val="20"/>
        </w:rPr>
        <w:t>67 330 314</w:t>
      </w:r>
    </w:p>
    <w:p w:rsidR="006214E7" w:rsidRPr="008E1B84" w:rsidRDefault="00337A3C" w:rsidP="008E1B84">
      <w:pPr>
        <w:pStyle w:val="naisf"/>
        <w:tabs>
          <w:tab w:val="left" w:pos="5760"/>
        </w:tabs>
        <w:spacing w:before="0" w:beforeAutospacing="0" w:after="0" w:afterAutospacing="0"/>
        <w:rPr>
          <w:sz w:val="20"/>
          <w:szCs w:val="20"/>
        </w:rPr>
      </w:pPr>
      <w:hyperlink r:id="rId10" w:history="1">
        <w:r w:rsidR="008E1B84" w:rsidRPr="008E1B84">
          <w:rPr>
            <w:rStyle w:val="Hyperlink"/>
            <w:sz w:val="20"/>
            <w:szCs w:val="20"/>
          </w:rPr>
          <w:t>Gatis.Preimanis@km.gov.lv</w:t>
        </w:r>
      </w:hyperlink>
      <w:r w:rsidR="008E1B84" w:rsidRPr="008E1B84">
        <w:rPr>
          <w:sz w:val="20"/>
          <w:szCs w:val="20"/>
        </w:rPr>
        <w:t xml:space="preserve"> </w:t>
      </w:r>
      <w:r w:rsidR="00D466A6" w:rsidRPr="008E1B84">
        <w:rPr>
          <w:sz w:val="20"/>
          <w:szCs w:val="20"/>
        </w:rPr>
        <w:t xml:space="preserve">                   </w:t>
      </w:r>
    </w:p>
    <w:p w:rsidR="00315077" w:rsidRPr="00332720" w:rsidRDefault="00332720" w:rsidP="00EB35B1">
      <w:pPr>
        <w:pStyle w:val="naisf"/>
        <w:tabs>
          <w:tab w:val="left" w:pos="5760"/>
        </w:tabs>
        <w:spacing w:before="0" w:beforeAutospacing="0" w:after="0" w:afterAutospacing="0"/>
      </w:pPr>
      <w:r>
        <w:tab/>
      </w:r>
    </w:p>
    <w:sectPr w:rsidR="00315077" w:rsidRPr="00332720" w:rsidSect="00EB35B1">
      <w:headerReference w:type="default" r:id="rId11"/>
      <w:footerReference w:type="default" r:id="rId12"/>
      <w:footerReference w:type="first" r:id="rId13"/>
      <w:pgSz w:w="11906" w:h="16838" w:code="9"/>
      <w:pgMar w:top="1418" w:right="707" w:bottom="1134" w:left="1701" w:header="709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3C" w:rsidRDefault="00337A3C" w:rsidP="00D902E5">
      <w:pPr>
        <w:spacing w:after="0" w:line="240" w:lineRule="auto"/>
      </w:pPr>
      <w:r>
        <w:separator/>
      </w:r>
    </w:p>
  </w:endnote>
  <w:endnote w:type="continuationSeparator" w:id="0">
    <w:p w:rsidR="00337A3C" w:rsidRDefault="00337A3C" w:rsidP="00D9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20" w:rsidRPr="00332720" w:rsidRDefault="00EE2CE3" w:rsidP="00332720">
    <w:pPr>
      <w:pStyle w:val="Footer"/>
      <w:rPr>
        <w:rFonts w:ascii="Times New Roman" w:hAnsi="Times New Roman" w:cs="Times New Roman"/>
        <w:sz w:val="16"/>
        <w:szCs w:val="16"/>
      </w:rPr>
    </w:pPr>
    <w:r w:rsidRPr="00EE2CE3">
      <w:rPr>
        <w:rFonts w:ascii="Times New Roman" w:hAnsi="Times New Roman" w:cs="Times New Roman"/>
        <w:sz w:val="16"/>
        <w:szCs w:val="16"/>
      </w:rPr>
      <w:t>KMNotp04_</w:t>
    </w:r>
    <w:r w:rsidR="0066358C">
      <w:rPr>
        <w:rFonts w:ascii="Times New Roman" w:hAnsi="Times New Roman" w:cs="Times New Roman"/>
        <w:sz w:val="16"/>
        <w:szCs w:val="16"/>
      </w:rPr>
      <w:t>18</w:t>
    </w:r>
    <w:r w:rsidRPr="00EE2CE3">
      <w:rPr>
        <w:rFonts w:ascii="Times New Roman" w:hAnsi="Times New Roman" w:cs="Times New Roman"/>
        <w:sz w:val="16"/>
        <w:szCs w:val="16"/>
      </w:rPr>
      <w:t>062013_ETVVIF_2012</w:t>
    </w:r>
    <w:r w:rsidR="00332720">
      <w:rPr>
        <w:rFonts w:ascii="Times New Roman" w:hAnsi="Times New Roman" w:cs="Times New Roman"/>
        <w:sz w:val="16"/>
        <w:szCs w:val="16"/>
      </w:rPr>
      <w:t xml:space="preserve">; </w:t>
    </w:r>
    <w:r w:rsidR="00332720" w:rsidRPr="00332720">
      <w:rPr>
        <w:rFonts w:ascii="Times New Roman" w:hAnsi="Times New Roman" w:cs="Times New Roman"/>
        <w:bCs/>
        <w:sz w:val="16"/>
        <w:szCs w:val="16"/>
      </w:rPr>
      <w:t>Ministru kabineta noteikumu projekta „Noteikumi par Eiropas Trešo valstu valstspiederīgo integrācijas fonda 2012.gada programmas aktivitāšu īstenošanu</w:t>
    </w:r>
    <w:r w:rsidR="00EB35B1">
      <w:rPr>
        <w:rFonts w:ascii="Times New Roman" w:hAnsi="Times New Roman" w:cs="Times New Roman"/>
        <w:bCs/>
        <w:sz w:val="16"/>
        <w:szCs w:val="16"/>
      </w:rPr>
      <w:t>” 4.pielikums</w:t>
    </w:r>
  </w:p>
  <w:p w:rsidR="00332720" w:rsidRDefault="00332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20" w:rsidRPr="00332720" w:rsidRDefault="00EE2CE3">
    <w:pPr>
      <w:pStyle w:val="Footer"/>
      <w:rPr>
        <w:rFonts w:ascii="Times New Roman" w:hAnsi="Times New Roman" w:cs="Times New Roman"/>
        <w:sz w:val="16"/>
        <w:szCs w:val="16"/>
      </w:rPr>
    </w:pPr>
    <w:r w:rsidRPr="00EE2CE3">
      <w:rPr>
        <w:rFonts w:ascii="Times New Roman" w:hAnsi="Times New Roman" w:cs="Times New Roman"/>
        <w:sz w:val="16"/>
        <w:szCs w:val="16"/>
      </w:rPr>
      <w:t>KMNotp04_</w:t>
    </w:r>
    <w:r w:rsidR="0066358C">
      <w:rPr>
        <w:rFonts w:ascii="Times New Roman" w:hAnsi="Times New Roman" w:cs="Times New Roman"/>
        <w:sz w:val="16"/>
        <w:szCs w:val="16"/>
      </w:rPr>
      <w:t>18</w:t>
    </w:r>
    <w:r w:rsidRPr="00EE2CE3">
      <w:rPr>
        <w:rFonts w:ascii="Times New Roman" w:hAnsi="Times New Roman" w:cs="Times New Roman"/>
        <w:sz w:val="16"/>
        <w:szCs w:val="16"/>
      </w:rPr>
      <w:t>062013_ETVVIF_2012</w:t>
    </w:r>
    <w:r w:rsidR="00332720">
      <w:rPr>
        <w:rFonts w:ascii="Times New Roman" w:hAnsi="Times New Roman" w:cs="Times New Roman"/>
        <w:sz w:val="16"/>
        <w:szCs w:val="16"/>
      </w:rPr>
      <w:t xml:space="preserve">; </w:t>
    </w:r>
    <w:r w:rsidR="00332720" w:rsidRPr="00332720">
      <w:rPr>
        <w:rFonts w:ascii="Times New Roman" w:hAnsi="Times New Roman" w:cs="Times New Roman"/>
        <w:bCs/>
        <w:sz w:val="16"/>
        <w:szCs w:val="16"/>
      </w:rPr>
      <w:t>Ministru kabineta noteikumu projekta „Noteikumi par Eiropas Trešo valstu valstspiederīgo integrācijas fonda 2012.gada pr</w:t>
    </w:r>
    <w:r w:rsidR="00EB35B1">
      <w:rPr>
        <w:rFonts w:ascii="Times New Roman" w:hAnsi="Times New Roman" w:cs="Times New Roman"/>
        <w:bCs/>
        <w:sz w:val="16"/>
        <w:szCs w:val="16"/>
      </w:rPr>
      <w:t>ogrammas aktivitāšu īstenošanu”</w:t>
    </w:r>
    <w:r w:rsidR="00332720" w:rsidRPr="00332720">
      <w:rPr>
        <w:rFonts w:ascii="Times New Roman" w:hAnsi="Times New Roman" w:cs="Times New Roman"/>
        <w:bCs/>
        <w:sz w:val="16"/>
        <w:szCs w:val="16"/>
      </w:rPr>
      <w:t xml:space="preserve"> </w:t>
    </w:r>
    <w:r w:rsidR="00EB35B1">
      <w:rPr>
        <w:rFonts w:ascii="Times New Roman" w:hAnsi="Times New Roman" w:cs="Times New Roman"/>
        <w:bCs/>
        <w:sz w:val="16"/>
        <w:szCs w:val="16"/>
      </w:rPr>
      <w:t>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3C" w:rsidRDefault="00337A3C" w:rsidP="00D902E5">
      <w:pPr>
        <w:spacing w:after="0" w:line="240" w:lineRule="auto"/>
      </w:pPr>
      <w:r>
        <w:separator/>
      </w:r>
    </w:p>
  </w:footnote>
  <w:footnote w:type="continuationSeparator" w:id="0">
    <w:p w:rsidR="00337A3C" w:rsidRDefault="00337A3C" w:rsidP="00D9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00" w:rsidRPr="00C26E44" w:rsidRDefault="000558C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26E44">
      <w:rPr>
        <w:rFonts w:ascii="Times New Roman" w:hAnsi="Times New Roman" w:cs="Times New Roman"/>
        <w:sz w:val="24"/>
        <w:szCs w:val="24"/>
      </w:rPr>
      <w:fldChar w:fldCharType="begin"/>
    </w:r>
    <w:r w:rsidR="00B15E00" w:rsidRPr="00C26E4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26E44">
      <w:rPr>
        <w:rFonts w:ascii="Times New Roman" w:hAnsi="Times New Roman" w:cs="Times New Roman"/>
        <w:sz w:val="24"/>
        <w:szCs w:val="24"/>
      </w:rPr>
      <w:fldChar w:fldCharType="separate"/>
    </w:r>
    <w:r w:rsidR="003F2AE8">
      <w:rPr>
        <w:rFonts w:ascii="Times New Roman" w:hAnsi="Times New Roman" w:cs="Times New Roman"/>
        <w:noProof/>
        <w:sz w:val="24"/>
        <w:szCs w:val="24"/>
      </w:rPr>
      <w:t>2</w:t>
    </w:r>
    <w:r w:rsidRPr="00C26E44">
      <w:rPr>
        <w:rFonts w:ascii="Times New Roman" w:hAnsi="Times New Roman" w:cs="Times New Roman"/>
        <w:sz w:val="24"/>
        <w:szCs w:val="24"/>
      </w:rPr>
      <w:fldChar w:fldCharType="end"/>
    </w:r>
  </w:p>
  <w:p w:rsidR="00B15E00" w:rsidRDefault="00B15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685"/>
    <w:rsid w:val="000074C0"/>
    <w:rsid w:val="000170E3"/>
    <w:rsid w:val="00023C95"/>
    <w:rsid w:val="00032718"/>
    <w:rsid w:val="000533E6"/>
    <w:rsid w:val="000558C7"/>
    <w:rsid w:val="000642DA"/>
    <w:rsid w:val="00064C67"/>
    <w:rsid w:val="000A513B"/>
    <w:rsid w:val="000A5C95"/>
    <w:rsid w:val="000B6130"/>
    <w:rsid w:val="000B626A"/>
    <w:rsid w:val="000D7481"/>
    <w:rsid w:val="000E3713"/>
    <w:rsid w:val="000E54EF"/>
    <w:rsid w:val="000F0932"/>
    <w:rsid w:val="0010467E"/>
    <w:rsid w:val="00110489"/>
    <w:rsid w:val="0012396F"/>
    <w:rsid w:val="0012523F"/>
    <w:rsid w:val="0012760C"/>
    <w:rsid w:val="00135070"/>
    <w:rsid w:val="00143262"/>
    <w:rsid w:val="00146E11"/>
    <w:rsid w:val="001515DD"/>
    <w:rsid w:val="00161BB7"/>
    <w:rsid w:val="00166D94"/>
    <w:rsid w:val="00170A3C"/>
    <w:rsid w:val="00171276"/>
    <w:rsid w:val="00177100"/>
    <w:rsid w:val="00182ACB"/>
    <w:rsid w:val="001861F4"/>
    <w:rsid w:val="00187F3E"/>
    <w:rsid w:val="001943C8"/>
    <w:rsid w:val="00195A68"/>
    <w:rsid w:val="001A2F39"/>
    <w:rsid w:val="001B5227"/>
    <w:rsid w:val="001C1F9A"/>
    <w:rsid w:val="001C45B8"/>
    <w:rsid w:val="001D2389"/>
    <w:rsid w:val="001D6AA7"/>
    <w:rsid w:val="001F458A"/>
    <w:rsid w:val="00205247"/>
    <w:rsid w:val="002068AA"/>
    <w:rsid w:val="00210BDA"/>
    <w:rsid w:val="0022170E"/>
    <w:rsid w:val="00251C4B"/>
    <w:rsid w:val="00251FED"/>
    <w:rsid w:val="00284DFC"/>
    <w:rsid w:val="002A7185"/>
    <w:rsid w:val="002C5A1C"/>
    <w:rsid w:val="002C7C62"/>
    <w:rsid w:val="002E7C0A"/>
    <w:rsid w:val="002F7A45"/>
    <w:rsid w:val="002F7EF9"/>
    <w:rsid w:val="00312583"/>
    <w:rsid w:val="00315077"/>
    <w:rsid w:val="003231B0"/>
    <w:rsid w:val="00332720"/>
    <w:rsid w:val="00337A3C"/>
    <w:rsid w:val="003663C3"/>
    <w:rsid w:val="003667B3"/>
    <w:rsid w:val="00367729"/>
    <w:rsid w:val="0038517F"/>
    <w:rsid w:val="00386457"/>
    <w:rsid w:val="003907A6"/>
    <w:rsid w:val="003A3249"/>
    <w:rsid w:val="003A46D4"/>
    <w:rsid w:val="003B7DF9"/>
    <w:rsid w:val="003D0324"/>
    <w:rsid w:val="003E4EC4"/>
    <w:rsid w:val="003E7A44"/>
    <w:rsid w:val="003F2AE8"/>
    <w:rsid w:val="00401FC2"/>
    <w:rsid w:val="00404B36"/>
    <w:rsid w:val="00410756"/>
    <w:rsid w:val="004114A7"/>
    <w:rsid w:val="00414BAE"/>
    <w:rsid w:val="0042427C"/>
    <w:rsid w:val="00435597"/>
    <w:rsid w:val="004471C0"/>
    <w:rsid w:val="004472D0"/>
    <w:rsid w:val="004508B6"/>
    <w:rsid w:val="00455591"/>
    <w:rsid w:val="004649B5"/>
    <w:rsid w:val="00467C4A"/>
    <w:rsid w:val="00473C52"/>
    <w:rsid w:val="00487B56"/>
    <w:rsid w:val="0049134C"/>
    <w:rsid w:val="00493C9E"/>
    <w:rsid w:val="004A0757"/>
    <w:rsid w:val="004A0EEB"/>
    <w:rsid w:val="004A6EF8"/>
    <w:rsid w:val="004B51E7"/>
    <w:rsid w:val="004B61F6"/>
    <w:rsid w:val="004C5B94"/>
    <w:rsid w:val="004D798D"/>
    <w:rsid w:val="004E0517"/>
    <w:rsid w:val="004E36C3"/>
    <w:rsid w:val="004F16BF"/>
    <w:rsid w:val="004F6BE6"/>
    <w:rsid w:val="00504185"/>
    <w:rsid w:val="00516E63"/>
    <w:rsid w:val="005212B3"/>
    <w:rsid w:val="005265A3"/>
    <w:rsid w:val="00531F49"/>
    <w:rsid w:val="00552F5F"/>
    <w:rsid w:val="00575A16"/>
    <w:rsid w:val="00577A9C"/>
    <w:rsid w:val="00586655"/>
    <w:rsid w:val="00593EAB"/>
    <w:rsid w:val="005A40F7"/>
    <w:rsid w:val="005A492C"/>
    <w:rsid w:val="005C624B"/>
    <w:rsid w:val="00600DC3"/>
    <w:rsid w:val="0061080B"/>
    <w:rsid w:val="0061506C"/>
    <w:rsid w:val="006214E7"/>
    <w:rsid w:val="0062350E"/>
    <w:rsid w:val="00625563"/>
    <w:rsid w:val="006406DE"/>
    <w:rsid w:val="00647C71"/>
    <w:rsid w:val="006528C9"/>
    <w:rsid w:val="0066339C"/>
    <w:rsid w:val="0066358C"/>
    <w:rsid w:val="00673107"/>
    <w:rsid w:val="006A0C89"/>
    <w:rsid w:val="006B2642"/>
    <w:rsid w:val="006D2CFD"/>
    <w:rsid w:val="006D79B1"/>
    <w:rsid w:val="006E14B1"/>
    <w:rsid w:val="00706182"/>
    <w:rsid w:val="007063AA"/>
    <w:rsid w:val="00735A3E"/>
    <w:rsid w:val="00735E33"/>
    <w:rsid w:val="00755BEC"/>
    <w:rsid w:val="00755C2F"/>
    <w:rsid w:val="0076163A"/>
    <w:rsid w:val="00771A20"/>
    <w:rsid w:val="0079048D"/>
    <w:rsid w:val="007956FE"/>
    <w:rsid w:val="007F2641"/>
    <w:rsid w:val="007F3A31"/>
    <w:rsid w:val="007F43D7"/>
    <w:rsid w:val="007F52EE"/>
    <w:rsid w:val="007F7A5B"/>
    <w:rsid w:val="00812E70"/>
    <w:rsid w:val="00813C5A"/>
    <w:rsid w:val="008238F8"/>
    <w:rsid w:val="00827B24"/>
    <w:rsid w:val="00833728"/>
    <w:rsid w:val="00846785"/>
    <w:rsid w:val="00854B3F"/>
    <w:rsid w:val="008557B0"/>
    <w:rsid w:val="00863453"/>
    <w:rsid w:val="00865685"/>
    <w:rsid w:val="00870221"/>
    <w:rsid w:val="00870C10"/>
    <w:rsid w:val="00877D57"/>
    <w:rsid w:val="00893532"/>
    <w:rsid w:val="008E1B84"/>
    <w:rsid w:val="008E2729"/>
    <w:rsid w:val="008F149E"/>
    <w:rsid w:val="009014E5"/>
    <w:rsid w:val="0090239D"/>
    <w:rsid w:val="009044B7"/>
    <w:rsid w:val="00912B6B"/>
    <w:rsid w:val="00920164"/>
    <w:rsid w:val="009204D0"/>
    <w:rsid w:val="00923DEA"/>
    <w:rsid w:val="00943D81"/>
    <w:rsid w:val="00946BFE"/>
    <w:rsid w:val="00956768"/>
    <w:rsid w:val="00977980"/>
    <w:rsid w:val="00983947"/>
    <w:rsid w:val="00983E64"/>
    <w:rsid w:val="009853C5"/>
    <w:rsid w:val="009911C9"/>
    <w:rsid w:val="009957A5"/>
    <w:rsid w:val="009A6703"/>
    <w:rsid w:val="009B2215"/>
    <w:rsid w:val="009C0BA8"/>
    <w:rsid w:val="009C3230"/>
    <w:rsid w:val="009E5B14"/>
    <w:rsid w:val="009F1B9E"/>
    <w:rsid w:val="009F1C22"/>
    <w:rsid w:val="009F42C8"/>
    <w:rsid w:val="00A31C3F"/>
    <w:rsid w:val="00A3229D"/>
    <w:rsid w:val="00A40835"/>
    <w:rsid w:val="00A45968"/>
    <w:rsid w:val="00A5259B"/>
    <w:rsid w:val="00A55625"/>
    <w:rsid w:val="00A60C9B"/>
    <w:rsid w:val="00A70A88"/>
    <w:rsid w:val="00A752AE"/>
    <w:rsid w:val="00A93E4D"/>
    <w:rsid w:val="00AC0A14"/>
    <w:rsid w:val="00AD40D3"/>
    <w:rsid w:val="00AE6590"/>
    <w:rsid w:val="00AE6B41"/>
    <w:rsid w:val="00B0025F"/>
    <w:rsid w:val="00B15E00"/>
    <w:rsid w:val="00B27F28"/>
    <w:rsid w:val="00B31113"/>
    <w:rsid w:val="00B336C9"/>
    <w:rsid w:val="00B371E1"/>
    <w:rsid w:val="00B522FA"/>
    <w:rsid w:val="00B53477"/>
    <w:rsid w:val="00B5544E"/>
    <w:rsid w:val="00B6017A"/>
    <w:rsid w:val="00B6046C"/>
    <w:rsid w:val="00B627F9"/>
    <w:rsid w:val="00B73957"/>
    <w:rsid w:val="00B867EA"/>
    <w:rsid w:val="00B90392"/>
    <w:rsid w:val="00BA489C"/>
    <w:rsid w:val="00C028B6"/>
    <w:rsid w:val="00C12267"/>
    <w:rsid w:val="00C16065"/>
    <w:rsid w:val="00C22491"/>
    <w:rsid w:val="00C255B6"/>
    <w:rsid w:val="00C25666"/>
    <w:rsid w:val="00C26E44"/>
    <w:rsid w:val="00C43878"/>
    <w:rsid w:val="00C45093"/>
    <w:rsid w:val="00C46E43"/>
    <w:rsid w:val="00C47BE5"/>
    <w:rsid w:val="00C76303"/>
    <w:rsid w:val="00C769F4"/>
    <w:rsid w:val="00C815EF"/>
    <w:rsid w:val="00C85CD5"/>
    <w:rsid w:val="00CB00AE"/>
    <w:rsid w:val="00CB67A9"/>
    <w:rsid w:val="00CC4434"/>
    <w:rsid w:val="00CC4A45"/>
    <w:rsid w:val="00CC54CD"/>
    <w:rsid w:val="00CD141B"/>
    <w:rsid w:val="00CE530F"/>
    <w:rsid w:val="00CF3D63"/>
    <w:rsid w:val="00D01D77"/>
    <w:rsid w:val="00D24220"/>
    <w:rsid w:val="00D33D1D"/>
    <w:rsid w:val="00D40247"/>
    <w:rsid w:val="00D45760"/>
    <w:rsid w:val="00D466A6"/>
    <w:rsid w:val="00D511A6"/>
    <w:rsid w:val="00D63887"/>
    <w:rsid w:val="00D65754"/>
    <w:rsid w:val="00D676F3"/>
    <w:rsid w:val="00D67867"/>
    <w:rsid w:val="00D71A50"/>
    <w:rsid w:val="00D868F4"/>
    <w:rsid w:val="00D902E5"/>
    <w:rsid w:val="00DA2EB1"/>
    <w:rsid w:val="00DB1DB0"/>
    <w:rsid w:val="00DC2237"/>
    <w:rsid w:val="00DD5379"/>
    <w:rsid w:val="00DD5B26"/>
    <w:rsid w:val="00DE5123"/>
    <w:rsid w:val="00DE5B67"/>
    <w:rsid w:val="00DF010A"/>
    <w:rsid w:val="00DF09BC"/>
    <w:rsid w:val="00E06EA3"/>
    <w:rsid w:val="00E07D7A"/>
    <w:rsid w:val="00E22CFD"/>
    <w:rsid w:val="00E22E4B"/>
    <w:rsid w:val="00E251DA"/>
    <w:rsid w:val="00E34F3C"/>
    <w:rsid w:val="00E51160"/>
    <w:rsid w:val="00E84776"/>
    <w:rsid w:val="00E8796A"/>
    <w:rsid w:val="00EA3A1F"/>
    <w:rsid w:val="00EA513C"/>
    <w:rsid w:val="00EB0873"/>
    <w:rsid w:val="00EB35B1"/>
    <w:rsid w:val="00EC54C9"/>
    <w:rsid w:val="00ED06BC"/>
    <w:rsid w:val="00EE2CE3"/>
    <w:rsid w:val="00EF2FA6"/>
    <w:rsid w:val="00EF59B7"/>
    <w:rsid w:val="00EF59F8"/>
    <w:rsid w:val="00F13E2D"/>
    <w:rsid w:val="00F306E2"/>
    <w:rsid w:val="00F31E79"/>
    <w:rsid w:val="00F32986"/>
    <w:rsid w:val="00F33924"/>
    <w:rsid w:val="00F410F4"/>
    <w:rsid w:val="00F60A84"/>
    <w:rsid w:val="00F65BEF"/>
    <w:rsid w:val="00F72E93"/>
    <w:rsid w:val="00F735CF"/>
    <w:rsid w:val="00F76C79"/>
    <w:rsid w:val="00F80F91"/>
    <w:rsid w:val="00F82538"/>
    <w:rsid w:val="00F86113"/>
    <w:rsid w:val="00F93C15"/>
    <w:rsid w:val="00F94BAA"/>
    <w:rsid w:val="00F97856"/>
    <w:rsid w:val="00F97CAD"/>
    <w:rsid w:val="00FA2F11"/>
    <w:rsid w:val="00FB04AF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68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B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B0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0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902E5"/>
    <w:rPr>
      <w:rFonts w:cs="Times New Roman"/>
    </w:rPr>
  </w:style>
  <w:style w:type="paragraph" w:styleId="Footer">
    <w:name w:val="footer"/>
    <w:basedOn w:val="Normal"/>
    <w:link w:val="FooterChar"/>
    <w:rsid w:val="00D90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D902E5"/>
    <w:rPr>
      <w:rFonts w:cs="Times New Roman"/>
    </w:rPr>
  </w:style>
  <w:style w:type="character" w:styleId="Hyperlink">
    <w:name w:val="Hyperlink"/>
    <w:basedOn w:val="DefaultParagraphFont"/>
    <w:rsid w:val="00146E11"/>
    <w:rPr>
      <w:rFonts w:cs="Times New Roman"/>
      <w:color w:val="0000FF"/>
      <w:u w:val="single"/>
    </w:rPr>
  </w:style>
  <w:style w:type="character" w:customStyle="1" w:styleId="CharChar8">
    <w:name w:val="Char Char8"/>
    <w:basedOn w:val="DefaultParagraphFont"/>
    <w:rsid w:val="00C26E44"/>
    <w:rPr>
      <w:rFonts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qFormat/>
    <w:locked/>
    <w:rsid w:val="005A40F7"/>
    <w:rPr>
      <w:rFonts w:cs="Times New Roman"/>
      <w:b/>
      <w:bCs/>
    </w:rPr>
  </w:style>
  <w:style w:type="table" w:styleId="TableGrid">
    <w:name w:val="Table Grid"/>
    <w:basedOn w:val="TableNormal"/>
    <w:locked/>
    <w:rsid w:val="005A40F7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nod">
    <w:name w:val="naisnod"/>
    <w:basedOn w:val="Normal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EA3A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97856"/>
    <w:pPr>
      <w:ind w:left="720"/>
      <w:contextualSpacing/>
    </w:pPr>
  </w:style>
  <w:style w:type="paragraph" w:styleId="NoSpacing">
    <w:name w:val="No Spacing"/>
    <w:uiPriority w:val="1"/>
    <w:qFormat/>
    <w:rsid w:val="00C85C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har1CharCharCharCharCharChar">
    <w:name w:val="N Char1 Char Char Char Char Char Char"/>
    <w:basedOn w:val="Normal"/>
    <w:autoRedefine/>
    <w:rsid w:val="009F1C22"/>
    <w:pPr>
      <w:tabs>
        <w:tab w:val="right" w:pos="9781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D466A6"/>
    <w:pPr>
      <w:spacing w:after="120" w:line="240" w:lineRule="auto"/>
      <w:ind w:firstLine="720"/>
      <w:jc w:val="both"/>
    </w:pPr>
    <w:rPr>
      <w:rFonts w:ascii="Courier New" w:eastAsiaTheme="minorHAnsi" w:hAnsi="Courier New" w:cs="Courier New"/>
      <w:sz w:val="20"/>
      <w:szCs w:val="20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D466A6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rsid w:val="00DC2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237"/>
    <w:rPr>
      <w:rFonts w:eastAsia="Times New Roman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2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237"/>
    <w:rPr>
      <w:rFonts w:eastAsia="Times New Roman" w:cs="Calibr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B35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Gatis.Preimanis@km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FCA92C1A4419786078F07BC83211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AEA71FF-A67C-4FFA-9959-65D8A5B404EC}"/>
      </w:docPartPr>
      <w:docPartBody>
        <w:p w:rsidR="00132801" w:rsidRDefault="0037557F" w:rsidP="0037557F">
          <w:pPr>
            <w:pStyle w:val="AEDFCA92C1A4419786078F07BC832111"/>
          </w:pPr>
          <w:r w:rsidRPr="00834A2B">
            <w:rPr>
              <w:rStyle w:val="PlaceholderText"/>
            </w:rPr>
            <w:t>[Publicēšanas datums]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557F"/>
    <w:rsid w:val="00132801"/>
    <w:rsid w:val="0037557F"/>
    <w:rsid w:val="00607527"/>
    <w:rsid w:val="009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57F"/>
    <w:rPr>
      <w:color w:val="808080"/>
    </w:rPr>
  </w:style>
  <w:style w:type="paragraph" w:customStyle="1" w:styleId="AEDFCA92C1A4419786078F07BC832111">
    <w:name w:val="AEDFCA92C1A4419786078F07BC832111"/>
    <w:rsid w:val="003755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303849-D540-4088-A48E-2147BF26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2952</Words>
  <Characters>1684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Nr.5 Ministru kabineta noteikumu projektam „Noteikumi par Eiropas Trešo valstu valstspiederīgo integrācijas fonda 2010.gada programmas aktivitāšu īstenošanu”</vt:lpstr>
      <vt:lpstr>Pielikums Nr.5 Ministru kabineta noteikumu projektam „Noteikumi par Eiropas Trešo valstu valstspiederīgo integrācijas fonda 2010.gada programmas aktivitāšu īstenošanu”</vt:lpstr>
    </vt:vector>
  </TitlesOfParts>
  <Company>Tieslietu Ministrija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Nr.5 Ministru kabineta noteikumu projektam „Noteikumi par Eiropas Trešo valstu valstspiederīgo integrācijas fonda 2010.gada programmas aktivitāšu īstenošanu”</dc:title>
  <dc:subject>5.pielikums</dc:subject>
  <dc:creator>Agnese Jēkabsone</dc:creator>
  <dc:description>67 330 314, agnese.jekabsone@km.gov.lv</dc:description>
  <cp:lastModifiedBy>Marika Pudāne</cp:lastModifiedBy>
  <cp:revision>3</cp:revision>
  <cp:lastPrinted>2013-04-29T11:32:00Z</cp:lastPrinted>
  <dcterms:created xsi:type="dcterms:W3CDTF">2013-06-18T13:11:00Z</dcterms:created>
  <dcterms:modified xsi:type="dcterms:W3CDTF">2013-06-19T12:59:00Z</dcterms:modified>
</cp:coreProperties>
</file>