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34" w:rsidRPr="006E6682" w:rsidRDefault="002A2A34" w:rsidP="002A2A34">
      <w:pPr>
        <w:spacing w:after="0" w:line="360" w:lineRule="auto"/>
        <w:jc w:val="right"/>
        <w:rPr>
          <w:rFonts w:ascii="Times New Roman" w:eastAsia="Times New Roman" w:hAnsi="Times New Roman"/>
          <w:sz w:val="24"/>
          <w:szCs w:val="24"/>
          <w:lang w:eastAsia="lv-LV"/>
        </w:rPr>
      </w:pPr>
      <w:bookmarkStart w:id="0" w:name="370290"/>
      <w:r w:rsidRPr="006E6682">
        <w:rPr>
          <w:rFonts w:ascii="Times New Roman" w:eastAsia="Times New Roman" w:hAnsi="Times New Roman"/>
          <w:sz w:val="24"/>
          <w:szCs w:val="24"/>
          <w:lang w:eastAsia="lv-LV"/>
        </w:rPr>
        <w:t xml:space="preserve">10.pielikums </w:t>
      </w:r>
      <w:r w:rsidRPr="006E6682">
        <w:rPr>
          <w:rFonts w:ascii="Times New Roman" w:eastAsia="Times New Roman" w:hAnsi="Times New Roman"/>
          <w:sz w:val="24"/>
          <w:szCs w:val="24"/>
          <w:lang w:eastAsia="lv-LV"/>
        </w:rPr>
        <w:br/>
        <w:t xml:space="preserve">Ministru kabineta </w:t>
      </w:r>
      <w:r w:rsidRPr="006E6682">
        <w:rPr>
          <w:rFonts w:ascii="Times New Roman" w:eastAsia="Times New Roman" w:hAnsi="Times New Roman"/>
          <w:sz w:val="24"/>
          <w:szCs w:val="24"/>
          <w:lang w:eastAsia="lv-LV"/>
        </w:rPr>
        <w:br/>
        <w:t>2012.gada ___._______ noteikumiem Nr.</w:t>
      </w:r>
      <w:bookmarkEnd w:id="0"/>
      <w:r w:rsidRPr="006E6682">
        <w:rPr>
          <w:rFonts w:ascii="Times New Roman" w:eastAsia="Times New Roman" w:hAnsi="Times New Roman"/>
          <w:sz w:val="24"/>
          <w:szCs w:val="24"/>
          <w:lang w:eastAsia="lv-LV"/>
        </w:rPr>
        <w:t>_____</w:t>
      </w:r>
    </w:p>
    <w:p w:rsidR="00696AF9" w:rsidRPr="006E6682" w:rsidRDefault="0024523D" w:rsidP="00696AF9">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drawing>
          <wp:inline distT="0" distB="0" distL="0" distR="0">
            <wp:extent cx="5279390" cy="771525"/>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srcRect/>
                    <a:stretch>
                      <a:fillRect/>
                    </a:stretch>
                  </pic:blipFill>
                  <pic:spPr bwMode="auto">
                    <a:xfrm>
                      <a:off x="0" y="0"/>
                      <a:ext cx="5279390" cy="771525"/>
                    </a:xfrm>
                    <a:prstGeom prst="rect">
                      <a:avLst/>
                    </a:prstGeom>
                    <a:noFill/>
                    <a:ln w="9525">
                      <a:noFill/>
                      <a:miter lim="800000"/>
                      <a:headEnd/>
                      <a:tailEnd/>
                    </a:ln>
                  </pic:spPr>
                </pic:pic>
              </a:graphicData>
            </a:graphic>
          </wp:inline>
        </w:drawing>
      </w:r>
    </w:p>
    <w:p w:rsidR="00696AF9" w:rsidRPr="006E6682" w:rsidRDefault="00696AF9" w:rsidP="008E7E04">
      <w:pPr>
        <w:spacing w:before="100" w:beforeAutospacing="1" w:after="100" w:afterAutospacing="1" w:line="360" w:lineRule="auto"/>
        <w:jc w:val="center"/>
        <w:outlineLvl w:val="3"/>
        <w:rPr>
          <w:rFonts w:ascii="Times New Roman" w:eastAsia="Times New Roman" w:hAnsi="Times New Roman"/>
          <w:b/>
          <w:bCs/>
          <w:sz w:val="24"/>
          <w:szCs w:val="24"/>
          <w:lang w:eastAsia="lv-LV"/>
        </w:rPr>
      </w:pPr>
      <w:r w:rsidRPr="006E6682">
        <w:rPr>
          <w:rFonts w:ascii="Times New Roman" w:eastAsia="Times New Roman" w:hAnsi="Times New Roman"/>
          <w:b/>
          <w:bCs/>
          <w:sz w:val="24"/>
          <w:szCs w:val="24"/>
          <w:lang w:eastAsia="lv-LV"/>
        </w:rPr>
        <w:t>Fonda izmaksu noteikumi</w:t>
      </w:r>
    </w:p>
    <w:p w:rsidR="00696AF9" w:rsidRPr="006E6682" w:rsidRDefault="00696AF9" w:rsidP="008E7E04">
      <w:pPr>
        <w:spacing w:before="100" w:beforeAutospacing="1" w:after="100" w:afterAutospacing="1" w:line="240" w:lineRule="auto"/>
        <w:jc w:val="center"/>
        <w:rPr>
          <w:rFonts w:ascii="Times New Roman" w:eastAsia="Times New Roman" w:hAnsi="Times New Roman"/>
          <w:b/>
          <w:sz w:val="24"/>
          <w:szCs w:val="24"/>
          <w:lang w:eastAsia="lv-LV"/>
        </w:rPr>
      </w:pPr>
      <w:r w:rsidRPr="006E6682">
        <w:rPr>
          <w:rFonts w:ascii="Times New Roman" w:eastAsia="Times New Roman" w:hAnsi="Times New Roman"/>
          <w:b/>
          <w:sz w:val="24"/>
          <w:szCs w:val="24"/>
          <w:lang w:eastAsia="lv-LV"/>
        </w:rPr>
        <w:t>I. Vispārīgie nosacījumi</w:t>
      </w:r>
    </w:p>
    <w:p w:rsidR="008E7E04" w:rsidRPr="006E6682" w:rsidRDefault="00696AF9" w:rsidP="00337E2A">
      <w:pPr>
        <w:numPr>
          <w:ilvl w:val="0"/>
          <w:numId w:val="3"/>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b/>
          <w:sz w:val="24"/>
          <w:szCs w:val="24"/>
          <w:lang w:eastAsia="lv-LV"/>
        </w:rPr>
        <w:t>Pamatprincipi</w:t>
      </w:r>
      <w:r w:rsidR="00337E2A" w:rsidRPr="006E6682">
        <w:rPr>
          <w:rFonts w:ascii="Times New Roman" w:eastAsia="Times New Roman" w:hAnsi="Times New Roman"/>
          <w:b/>
          <w:sz w:val="24"/>
          <w:szCs w:val="24"/>
          <w:lang w:eastAsia="lv-LV"/>
        </w:rPr>
        <w:t>:</w:t>
      </w:r>
    </w:p>
    <w:p w:rsidR="00337E2A" w:rsidRPr="006E6682" w:rsidRDefault="00337E2A" w:rsidP="00337E2A">
      <w:pPr>
        <w:spacing w:after="0" w:line="240" w:lineRule="auto"/>
        <w:jc w:val="both"/>
        <w:rPr>
          <w:rFonts w:ascii="Times New Roman" w:eastAsia="Times New Roman" w:hAnsi="Times New Roman"/>
          <w:b/>
          <w:sz w:val="24"/>
          <w:szCs w:val="24"/>
          <w:lang w:eastAsia="lv-LV"/>
        </w:rPr>
      </w:pPr>
    </w:p>
    <w:p w:rsidR="008E7E04" w:rsidRPr="006E6682" w:rsidRDefault="00337E2A" w:rsidP="00337E2A">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P</w:t>
      </w:r>
      <w:r w:rsidR="008E7E04" w:rsidRPr="006E6682">
        <w:rPr>
          <w:rFonts w:ascii="Times New Roman" w:eastAsia="Times New Roman" w:hAnsi="Times New Roman"/>
          <w:sz w:val="24"/>
          <w:szCs w:val="24"/>
          <w:lang w:eastAsia="lv-LV"/>
        </w:rPr>
        <w:t>rojekta ietvaros i</w:t>
      </w:r>
      <w:r w:rsidR="00696AF9" w:rsidRPr="006E6682">
        <w:rPr>
          <w:rFonts w:ascii="Times New Roman" w:eastAsia="Times New Roman" w:hAnsi="Times New Roman"/>
          <w:sz w:val="24"/>
          <w:szCs w:val="24"/>
          <w:lang w:eastAsia="lv-LV"/>
        </w:rPr>
        <w:t>zdevumi ir attiecināmi, ja tie:</w:t>
      </w:r>
    </w:p>
    <w:p w:rsidR="008E7E04" w:rsidRPr="006E6682" w:rsidRDefault="00696AF9" w:rsidP="008E7E04">
      <w:pPr>
        <w:numPr>
          <w:ilvl w:val="2"/>
          <w:numId w:val="4"/>
        </w:numPr>
        <w:spacing w:before="100" w:beforeAutospacing="1" w:after="100" w:afterAutospacing="1"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 xml:space="preserve">atbilst </w:t>
      </w:r>
      <w:r w:rsidR="008E7E04" w:rsidRPr="006E6682">
        <w:rPr>
          <w:rFonts w:ascii="Times New Roman" w:eastAsia="Times New Roman" w:hAnsi="Times New Roman"/>
          <w:sz w:val="24"/>
          <w:szCs w:val="24"/>
          <w:lang w:eastAsia="lv-LV"/>
        </w:rPr>
        <w:t xml:space="preserve">fonda </w:t>
      </w:r>
      <w:r w:rsidRPr="006E6682">
        <w:rPr>
          <w:rFonts w:ascii="Times New Roman" w:eastAsia="Times New Roman" w:hAnsi="Times New Roman"/>
          <w:sz w:val="24"/>
          <w:szCs w:val="24"/>
          <w:lang w:eastAsia="lv-LV"/>
        </w:rPr>
        <w:t>mērķiem;</w:t>
      </w:r>
    </w:p>
    <w:p w:rsidR="008E7E04" w:rsidRPr="006E6682" w:rsidRDefault="00696AF9" w:rsidP="008E7E04">
      <w:pPr>
        <w:numPr>
          <w:ilvl w:val="2"/>
          <w:numId w:val="4"/>
        </w:numPr>
        <w:spacing w:before="100" w:beforeAutospacing="1" w:after="100" w:afterAutospacing="1"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ir veikti to pasākumu ietvaros, kas noteikti šajos noteikumos attiecībā uz konkrēto aktivitāti;</w:t>
      </w:r>
    </w:p>
    <w:p w:rsidR="008E7E04" w:rsidRPr="006E6682" w:rsidRDefault="00696AF9" w:rsidP="008E7E04">
      <w:pPr>
        <w:numPr>
          <w:ilvl w:val="2"/>
          <w:numId w:val="4"/>
        </w:numPr>
        <w:spacing w:before="100" w:beforeAutospacing="1" w:after="100" w:afterAutospacing="1"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nepieciešami, lai veiktu</w:t>
      </w:r>
      <w:r w:rsidR="0064293E" w:rsidRPr="006E6682">
        <w:rPr>
          <w:rFonts w:ascii="Times New Roman" w:eastAsia="Times New Roman" w:hAnsi="Times New Roman"/>
          <w:sz w:val="24"/>
          <w:szCs w:val="24"/>
          <w:lang w:eastAsia="lv-LV"/>
        </w:rPr>
        <w:t xml:space="preserve"> fonda</w:t>
      </w:r>
      <w:r w:rsidRPr="006E6682">
        <w:rPr>
          <w:rFonts w:ascii="Times New Roman" w:eastAsia="Times New Roman" w:hAnsi="Times New Roman"/>
          <w:sz w:val="24"/>
          <w:szCs w:val="24"/>
          <w:lang w:eastAsia="lv-LV"/>
        </w:rPr>
        <w:t xml:space="preserve"> projektā ietvertos pasākumus</w:t>
      </w:r>
      <w:r w:rsidR="008E7E04" w:rsidRPr="006E6682">
        <w:rPr>
          <w:rFonts w:ascii="Times New Roman" w:eastAsia="Times New Roman" w:hAnsi="Times New Roman"/>
          <w:sz w:val="24"/>
          <w:szCs w:val="24"/>
          <w:lang w:eastAsia="lv-LV"/>
        </w:rPr>
        <w:t>;</w:t>
      </w:r>
    </w:p>
    <w:p w:rsidR="008E7E04" w:rsidRPr="006E6682" w:rsidRDefault="00696AF9" w:rsidP="008E7E04">
      <w:pPr>
        <w:numPr>
          <w:ilvl w:val="2"/>
          <w:numId w:val="4"/>
        </w:numPr>
        <w:spacing w:before="100" w:beforeAutospacing="1" w:after="100" w:afterAutospacing="1"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ir saprātīgi un atbilstoši pareizas finanšu pārvaldības principiem, jo īpaši attiecībā uz izdevīgumu un izmaksu lietderību;</w:t>
      </w:r>
    </w:p>
    <w:p w:rsidR="008E7E04" w:rsidRPr="006E6682" w:rsidRDefault="00696AF9" w:rsidP="008E7E04">
      <w:pPr>
        <w:numPr>
          <w:ilvl w:val="2"/>
          <w:numId w:val="4"/>
        </w:numPr>
        <w:spacing w:before="100" w:beforeAutospacing="1" w:after="100" w:afterAutospacing="1"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radušies finansējuma saņēmējam vai tā sadarbības partnerim, kas darbojas Latvijas Republikā, izņemot gadījumus attiecībā uz</w:t>
      </w:r>
      <w:r w:rsidR="00C7513B" w:rsidRPr="006E6682">
        <w:rPr>
          <w:rFonts w:ascii="Times New Roman" w:eastAsia="Times New Roman" w:hAnsi="Times New Roman"/>
          <w:sz w:val="24"/>
          <w:szCs w:val="24"/>
          <w:lang w:eastAsia="lv-LV"/>
        </w:rPr>
        <w:t xml:space="preserve"> starptautiskām</w:t>
      </w:r>
      <w:r w:rsidRPr="006E6682">
        <w:rPr>
          <w:rFonts w:ascii="Times New Roman" w:eastAsia="Times New Roman" w:hAnsi="Times New Roman"/>
          <w:sz w:val="24"/>
          <w:szCs w:val="24"/>
          <w:lang w:eastAsia="lv-LV"/>
        </w:rPr>
        <w:t xml:space="preserve"> </w:t>
      </w:r>
      <w:r w:rsidR="00C7513B" w:rsidRPr="006E6682">
        <w:rPr>
          <w:rFonts w:ascii="Times New Roman" w:eastAsia="Times New Roman" w:hAnsi="Times New Roman"/>
          <w:sz w:val="24"/>
          <w:szCs w:val="24"/>
          <w:lang w:eastAsia="lv-LV"/>
        </w:rPr>
        <w:t>publiskā sektora organizācijām, kas izveidotas uz starpvaldību nolīguma pamata un īpašas aģentūras, ko izveidojušas minētās organizācijas, kā arī Starptautiskā Sarkanā Krusta Komiteja un Starptautiskā Sarkanā Krusta un Sarkanā Pusmēness Federācija</w:t>
      </w:r>
      <w:r w:rsidRPr="006E6682">
        <w:rPr>
          <w:rFonts w:ascii="Times New Roman" w:eastAsia="Times New Roman" w:hAnsi="Times New Roman"/>
          <w:sz w:val="24"/>
          <w:szCs w:val="24"/>
          <w:lang w:eastAsia="lv-LV"/>
        </w:rPr>
        <w:t xml:space="preserve">, kuras nodarbojas ar tādu pašu mērķu sasniegšanu, kas noteikti šajos noteikumus. Noteikumus par izdevumu atbilstību piemēro finansējuma saņēmējam un </w:t>
      </w:r>
      <w:r w:rsidR="00FA2CDA" w:rsidRPr="006E6682">
        <w:rPr>
          <w:rFonts w:ascii="Times New Roman" w:eastAsia="Times New Roman" w:hAnsi="Times New Roman"/>
          <w:i/>
          <w:iCs/>
          <w:sz w:val="24"/>
          <w:szCs w:val="24"/>
          <w:lang w:eastAsia="lv-LV"/>
        </w:rPr>
        <w:t>ar atbilstoš</w:t>
      </w:r>
      <w:r w:rsidR="00D67436" w:rsidRPr="006E6682">
        <w:rPr>
          <w:rFonts w:ascii="Times New Roman" w:eastAsia="Times New Roman" w:hAnsi="Times New Roman"/>
          <w:i/>
          <w:iCs/>
          <w:sz w:val="24"/>
          <w:szCs w:val="24"/>
          <w:lang w:eastAsia="lv-LV"/>
        </w:rPr>
        <w:t>aj</w:t>
      </w:r>
      <w:r w:rsidR="00FA2CDA" w:rsidRPr="006E6682">
        <w:rPr>
          <w:rFonts w:ascii="Times New Roman" w:eastAsia="Times New Roman" w:hAnsi="Times New Roman"/>
          <w:i/>
          <w:iCs/>
          <w:sz w:val="24"/>
          <w:szCs w:val="24"/>
          <w:lang w:eastAsia="lv-LV"/>
        </w:rPr>
        <w:t>ām izmaiņām</w:t>
      </w:r>
      <w:r w:rsidRPr="006E6682">
        <w:rPr>
          <w:rFonts w:ascii="Times New Roman" w:eastAsia="Times New Roman" w:hAnsi="Times New Roman"/>
          <w:sz w:val="24"/>
          <w:szCs w:val="24"/>
          <w:lang w:eastAsia="lv-LV"/>
        </w:rPr>
        <w:t xml:space="preserve"> arī sadarbības partnerim;</w:t>
      </w:r>
    </w:p>
    <w:p w:rsidR="008E7E04" w:rsidRPr="006E6682" w:rsidRDefault="00696AF9" w:rsidP="008E7E04">
      <w:pPr>
        <w:numPr>
          <w:ilvl w:val="2"/>
          <w:numId w:val="4"/>
        </w:numPr>
        <w:spacing w:before="100" w:beforeAutospacing="1" w:after="100" w:afterAutospacing="1"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saistīti ar fonda mērķa grupu;</w:t>
      </w:r>
    </w:p>
    <w:p w:rsidR="00337E2A" w:rsidRPr="006E6682" w:rsidRDefault="00696AF9" w:rsidP="00337E2A">
      <w:pPr>
        <w:numPr>
          <w:ilvl w:val="2"/>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radušies saskaņā ar granta līguma nosacījumiem.</w:t>
      </w:r>
    </w:p>
    <w:p w:rsidR="00337E2A" w:rsidRPr="006E6682" w:rsidRDefault="00337E2A" w:rsidP="00337E2A">
      <w:pPr>
        <w:spacing w:after="0" w:line="240" w:lineRule="auto"/>
        <w:jc w:val="both"/>
        <w:rPr>
          <w:rFonts w:ascii="Times New Roman" w:eastAsia="Times New Roman" w:hAnsi="Times New Roman"/>
          <w:b/>
          <w:sz w:val="24"/>
          <w:szCs w:val="24"/>
          <w:lang w:eastAsia="lv-LV"/>
        </w:rPr>
      </w:pPr>
    </w:p>
    <w:p w:rsidR="008E7E04" w:rsidRPr="006E6682" w:rsidRDefault="00337E2A" w:rsidP="00337E2A">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F</w:t>
      </w:r>
      <w:r w:rsidR="00696AF9" w:rsidRPr="006E6682">
        <w:rPr>
          <w:rFonts w:ascii="Times New Roman" w:eastAsia="Times New Roman" w:hAnsi="Times New Roman"/>
          <w:sz w:val="24"/>
          <w:szCs w:val="24"/>
          <w:lang w:eastAsia="lv-LV"/>
        </w:rPr>
        <w:t xml:space="preserve">onda atbalstītos projektus nevar finansēt no citiem Eiropas Savienības </w:t>
      </w:r>
      <w:r w:rsidR="008E7E04" w:rsidRPr="006E6682">
        <w:rPr>
          <w:rFonts w:ascii="Times New Roman" w:eastAsia="Times New Roman" w:hAnsi="Times New Roman"/>
          <w:sz w:val="24"/>
          <w:szCs w:val="24"/>
          <w:lang w:eastAsia="lv-LV"/>
        </w:rPr>
        <w:t>finansējuma avotiem</w:t>
      </w:r>
      <w:r w:rsidR="00696AF9" w:rsidRPr="006E6682">
        <w:rPr>
          <w:rFonts w:ascii="Times New Roman" w:eastAsia="Times New Roman" w:hAnsi="Times New Roman"/>
          <w:sz w:val="24"/>
          <w:szCs w:val="24"/>
          <w:lang w:eastAsia="lv-LV"/>
        </w:rPr>
        <w:t>. Fonda atbalstītos projektus var līdzfinansēt no valsts budžeta, kā arī citiem publiskiem un privātiem līdzekļiem.</w:t>
      </w:r>
    </w:p>
    <w:p w:rsidR="00337E2A" w:rsidRPr="006E6682" w:rsidRDefault="00337E2A" w:rsidP="00337E2A">
      <w:pPr>
        <w:spacing w:after="0" w:line="240" w:lineRule="auto"/>
        <w:jc w:val="both"/>
        <w:rPr>
          <w:rFonts w:ascii="Times New Roman" w:eastAsia="Times New Roman" w:hAnsi="Times New Roman"/>
          <w:b/>
          <w:sz w:val="24"/>
          <w:szCs w:val="24"/>
          <w:lang w:eastAsia="lv-LV"/>
        </w:rPr>
      </w:pPr>
    </w:p>
    <w:p w:rsidR="008E7E04" w:rsidRPr="006E6682" w:rsidRDefault="00696AF9" w:rsidP="00337E2A">
      <w:pPr>
        <w:numPr>
          <w:ilvl w:val="0"/>
          <w:numId w:val="4"/>
        </w:numPr>
        <w:spacing w:after="0" w:line="240" w:lineRule="auto"/>
        <w:jc w:val="both"/>
        <w:rPr>
          <w:rFonts w:ascii="Times New Roman" w:eastAsia="Times New Roman" w:hAnsi="Times New Roman"/>
          <w:b/>
          <w:sz w:val="24"/>
          <w:szCs w:val="24"/>
          <w:lang w:eastAsia="lv-LV"/>
        </w:rPr>
      </w:pPr>
      <w:r w:rsidRPr="006E6682">
        <w:rPr>
          <w:rFonts w:ascii="Times New Roman" w:eastAsia="Times New Roman" w:hAnsi="Times New Roman"/>
          <w:b/>
          <w:sz w:val="24"/>
          <w:szCs w:val="24"/>
          <w:lang w:eastAsia="lv-LV"/>
        </w:rPr>
        <w:t>Projekta budžets</w:t>
      </w:r>
      <w:r w:rsidR="00337E2A"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b/>
          <w:sz w:val="24"/>
          <w:szCs w:val="24"/>
          <w:lang w:eastAsia="lv-LV"/>
        </w:rPr>
      </w:pPr>
    </w:p>
    <w:p w:rsidR="00CA07D7" w:rsidRPr="006E6682" w:rsidRDefault="00711911" w:rsidP="00CA07D7">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P</w:t>
      </w:r>
      <w:r w:rsidR="00CA07D7" w:rsidRPr="006E6682">
        <w:rPr>
          <w:rFonts w:ascii="Times New Roman" w:eastAsia="Times New Roman" w:hAnsi="Times New Roman"/>
          <w:sz w:val="24"/>
          <w:szCs w:val="24"/>
          <w:lang w:eastAsia="lv-LV"/>
        </w:rPr>
        <w:t>rojekta b</w:t>
      </w:r>
      <w:r w:rsidR="00696AF9" w:rsidRPr="006E6682">
        <w:rPr>
          <w:rFonts w:ascii="Times New Roman" w:eastAsia="Times New Roman" w:hAnsi="Times New Roman"/>
          <w:sz w:val="24"/>
          <w:szCs w:val="24"/>
          <w:lang w:eastAsia="lv-LV"/>
        </w:rPr>
        <w:t xml:space="preserve">udžetam jābūt sabalansētam – izmaksu kopsummai jābūt vienādai ar </w:t>
      </w:r>
      <w:r w:rsidR="00356AB5" w:rsidRPr="006E6682">
        <w:rPr>
          <w:rFonts w:ascii="Times New Roman" w:eastAsia="Times New Roman" w:hAnsi="Times New Roman"/>
          <w:sz w:val="24"/>
          <w:szCs w:val="24"/>
          <w:lang w:eastAsia="lv-LV"/>
        </w:rPr>
        <w:t xml:space="preserve">ienākumu </w:t>
      </w:r>
      <w:r w:rsidR="00696AF9" w:rsidRPr="006E6682">
        <w:rPr>
          <w:rFonts w:ascii="Times New Roman" w:eastAsia="Times New Roman" w:hAnsi="Times New Roman"/>
          <w:sz w:val="24"/>
          <w:szCs w:val="24"/>
          <w:lang w:eastAsia="lv-LV"/>
        </w:rPr>
        <w:t>kopsummu.</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CA07D7" w:rsidRPr="006E6682" w:rsidRDefault="00711911" w:rsidP="00CA07D7">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P</w:t>
      </w:r>
      <w:r w:rsidR="00696AF9" w:rsidRPr="006E6682">
        <w:rPr>
          <w:rFonts w:ascii="Times New Roman" w:eastAsia="Times New Roman" w:hAnsi="Times New Roman"/>
          <w:sz w:val="24"/>
          <w:szCs w:val="24"/>
          <w:lang w:eastAsia="lv-LV"/>
        </w:rPr>
        <w:t>rojekta izmaksas iedala:</w:t>
      </w:r>
    </w:p>
    <w:p w:rsidR="00AC097C" w:rsidRPr="006E6682" w:rsidRDefault="00696AF9" w:rsidP="00AC097C">
      <w:pPr>
        <w:numPr>
          <w:ilvl w:val="2"/>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projekta tiešajās attiecināmajās izmaksās, kuras tieši saistītas ar projekta īstenošanu;</w:t>
      </w:r>
    </w:p>
    <w:p w:rsidR="00AC097C" w:rsidRPr="006E6682" w:rsidRDefault="00696AF9" w:rsidP="00AC097C">
      <w:pPr>
        <w:numPr>
          <w:ilvl w:val="2"/>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lastRenderedPageBreak/>
        <w:t>projekta netiešajās attiecināmajās izmaksās, kuras nav tieši saistītas ar konkrēto projektu</w:t>
      </w:r>
      <w:r w:rsidR="002A2A34" w:rsidRPr="006E6682">
        <w:rPr>
          <w:rFonts w:ascii="Times New Roman" w:eastAsia="Times New Roman" w:hAnsi="Times New Roman"/>
          <w:sz w:val="24"/>
          <w:szCs w:val="24"/>
          <w:lang w:eastAsia="lv-LV"/>
        </w:rPr>
        <w:t>;</w:t>
      </w:r>
    </w:p>
    <w:p w:rsidR="00AC097C" w:rsidRPr="006E6682" w:rsidRDefault="00AC097C" w:rsidP="00AC097C">
      <w:pPr>
        <w:numPr>
          <w:ilvl w:val="2"/>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p</w:t>
      </w:r>
      <w:r w:rsidR="00696AF9" w:rsidRPr="006E6682">
        <w:rPr>
          <w:rFonts w:ascii="Times New Roman" w:eastAsia="Times New Roman" w:hAnsi="Times New Roman"/>
          <w:sz w:val="24"/>
          <w:szCs w:val="24"/>
          <w:lang w:eastAsia="lv-LV"/>
        </w:rPr>
        <w:t>rojekta izdevumos ieskaita projekta tiešās un netiešās attiecināmās</w:t>
      </w:r>
      <w:r w:rsidRPr="006E6682">
        <w:rPr>
          <w:rFonts w:ascii="Times New Roman" w:eastAsia="Times New Roman" w:hAnsi="Times New Roman"/>
          <w:sz w:val="24"/>
          <w:szCs w:val="24"/>
          <w:lang w:eastAsia="lv-LV"/>
        </w:rPr>
        <w:t xml:space="preserve"> izmaksas p</w:t>
      </w:r>
      <w:r w:rsidR="00696AF9" w:rsidRPr="006E6682">
        <w:rPr>
          <w:rFonts w:ascii="Times New Roman" w:eastAsia="Times New Roman" w:hAnsi="Times New Roman"/>
          <w:sz w:val="24"/>
          <w:szCs w:val="24"/>
          <w:lang w:eastAsia="lv-LV"/>
        </w:rPr>
        <w:t xml:space="preserve">rojekta </w:t>
      </w:r>
      <w:r w:rsidR="00356AB5" w:rsidRPr="006E6682">
        <w:rPr>
          <w:rFonts w:ascii="Times New Roman" w:eastAsia="Times New Roman" w:hAnsi="Times New Roman"/>
          <w:sz w:val="24"/>
          <w:szCs w:val="24"/>
          <w:lang w:eastAsia="lv-LV"/>
        </w:rPr>
        <w:t xml:space="preserve">ienākumos </w:t>
      </w:r>
      <w:r w:rsidR="00696AF9" w:rsidRPr="006E6682">
        <w:rPr>
          <w:rFonts w:ascii="Times New Roman" w:eastAsia="Times New Roman" w:hAnsi="Times New Roman"/>
          <w:sz w:val="24"/>
          <w:szCs w:val="24"/>
          <w:lang w:eastAsia="lv-LV"/>
        </w:rPr>
        <w:t>ieskaita Eiropas Savienības finansējumu, valsts budžeta finansējumu, finansējuma saņēmēja finansējumu, sadarbības partneru finansējumu, trešo pušu finansējumu un projekta ietvaros radušos ieņēmumus</w:t>
      </w:r>
      <w:r w:rsidR="002A2A34" w:rsidRPr="006E6682">
        <w:rPr>
          <w:rFonts w:ascii="Times New Roman" w:eastAsia="Times New Roman" w:hAnsi="Times New Roman"/>
          <w:sz w:val="24"/>
          <w:szCs w:val="24"/>
          <w:lang w:eastAsia="lv-LV"/>
        </w:rPr>
        <w:t>;</w:t>
      </w:r>
    </w:p>
    <w:p w:rsidR="00AC097C" w:rsidRPr="006E6682" w:rsidRDefault="00356AB5" w:rsidP="00AC097C">
      <w:pPr>
        <w:numPr>
          <w:ilvl w:val="2"/>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„Ieņēmumi” šo noteikumu izpratnē noz</w:t>
      </w:r>
      <w:r w:rsidR="00711911" w:rsidRPr="006E6682">
        <w:rPr>
          <w:rFonts w:ascii="Times New Roman" w:eastAsia="Times New Roman" w:hAnsi="Times New Roman"/>
          <w:sz w:val="24"/>
          <w:szCs w:val="24"/>
          <w:lang w:eastAsia="lv-LV"/>
        </w:rPr>
        <w:t>īmē ienākumus</w:t>
      </w:r>
      <w:r w:rsidR="0064293E" w:rsidRPr="006E6682">
        <w:rPr>
          <w:rFonts w:ascii="Times New Roman" w:eastAsia="Times New Roman" w:hAnsi="Times New Roman"/>
          <w:sz w:val="24"/>
          <w:szCs w:val="24"/>
          <w:lang w:eastAsia="lv-LV"/>
        </w:rPr>
        <w:t xml:space="preserve"> ko</w:t>
      </w:r>
      <w:r w:rsidR="00711911" w:rsidRPr="006E6682">
        <w:rPr>
          <w:rFonts w:ascii="Times New Roman" w:eastAsia="Times New Roman" w:hAnsi="Times New Roman"/>
          <w:sz w:val="24"/>
          <w:szCs w:val="24"/>
          <w:lang w:eastAsia="lv-LV"/>
        </w:rPr>
        <w:t>, šī pielikuma 4. p</w:t>
      </w:r>
      <w:r w:rsidRPr="006E6682">
        <w:rPr>
          <w:rFonts w:ascii="Times New Roman" w:eastAsia="Times New Roman" w:hAnsi="Times New Roman"/>
          <w:sz w:val="24"/>
          <w:szCs w:val="24"/>
          <w:lang w:eastAsia="lv-LV"/>
        </w:rPr>
        <w:t>unktā aprakstītajā atbilstības laikposmā projekts gūst no pārdošanas, nomas, pakalpojumiem, vai reģistrēšanas nodevām un citus tamlīdzīgus ienākumus.</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AC097C" w:rsidRPr="006E6682" w:rsidRDefault="00356AB5" w:rsidP="00337E2A">
      <w:pPr>
        <w:numPr>
          <w:ilvl w:val="0"/>
          <w:numId w:val="4"/>
        </w:numPr>
        <w:spacing w:after="0" w:line="240" w:lineRule="auto"/>
        <w:jc w:val="both"/>
        <w:rPr>
          <w:rFonts w:ascii="Times New Roman" w:eastAsia="Times New Roman" w:hAnsi="Times New Roman"/>
          <w:b/>
          <w:sz w:val="24"/>
          <w:szCs w:val="24"/>
          <w:lang w:eastAsia="lv-LV"/>
        </w:rPr>
      </w:pPr>
      <w:r w:rsidRPr="006E6682">
        <w:rPr>
          <w:rFonts w:ascii="Times New Roman" w:eastAsia="Times New Roman" w:hAnsi="Times New Roman"/>
          <w:b/>
          <w:sz w:val="24"/>
          <w:szCs w:val="24"/>
          <w:lang w:eastAsia="lv-LV"/>
        </w:rPr>
        <w:t xml:space="preserve">Ienākumu </w:t>
      </w:r>
      <w:r w:rsidR="00696AF9" w:rsidRPr="006E6682">
        <w:rPr>
          <w:rFonts w:ascii="Times New Roman" w:eastAsia="Times New Roman" w:hAnsi="Times New Roman"/>
          <w:b/>
          <w:sz w:val="24"/>
          <w:szCs w:val="24"/>
          <w:lang w:eastAsia="lv-LV"/>
        </w:rPr>
        <w:t>un bezpeļņas nosacījums</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Fonds atbalsta bezpeļņas projektus. Ja projekta</w:t>
      </w:r>
      <w:r w:rsidR="004D2FE9" w:rsidRPr="006E6682">
        <w:rPr>
          <w:rFonts w:ascii="Times New Roman" w:eastAsia="Times New Roman" w:hAnsi="Times New Roman"/>
          <w:sz w:val="24"/>
          <w:szCs w:val="24"/>
          <w:lang w:eastAsia="lv-LV"/>
        </w:rPr>
        <w:t xml:space="preserve"> ienākumi</w:t>
      </w:r>
      <w:r w:rsidRPr="006E6682">
        <w:rPr>
          <w:rFonts w:ascii="Times New Roman" w:eastAsia="Times New Roman" w:hAnsi="Times New Roman"/>
          <w:sz w:val="24"/>
          <w:szCs w:val="24"/>
          <w:lang w:eastAsia="lv-LV"/>
        </w:rPr>
        <w:t xml:space="preserve">, ieskaitot projekta ietvaros radušos ieņēmumus, projekta noslēgumā pārsniedz faktiski veiktos atbilstošos projekta izdevumus, attiecīgi samazina fonda ieguldījumu projektā. Visus projekta </w:t>
      </w:r>
      <w:r w:rsidR="004D2FE9" w:rsidRPr="006E6682">
        <w:rPr>
          <w:rFonts w:ascii="Times New Roman" w:eastAsia="Times New Roman" w:hAnsi="Times New Roman"/>
          <w:sz w:val="24"/>
          <w:szCs w:val="24"/>
          <w:lang w:eastAsia="lv-LV"/>
        </w:rPr>
        <w:t xml:space="preserve">ienākumu </w:t>
      </w:r>
      <w:r w:rsidRPr="006E6682">
        <w:rPr>
          <w:rFonts w:ascii="Times New Roman" w:eastAsia="Times New Roman" w:hAnsi="Times New Roman"/>
          <w:sz w:val="24"/>
          <w:szCs w:val="24"/>
          <w:lang w:eastAsia="lv-LV"/>
        </w:rPr>
        <w:t>avotus reģistrē finansējuma saņēmēja grāmatvedībā, un tiem jābūt identificējamiem un pārbaudāmiem.</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Fonda un valsts budžeta finansējuma ieguldījumu no valsts budžeta, piemērojot bezpeļņas principu, aprēķina, no kopējām attiecināmajām izmaksām atņemot trešo personu ieguldījumu, finansējuma saņēmēja ieguldījumu, sadarbības partneru ieguldījumu un projekta ietvaros radušos ieņēmumus.</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AC097C" w:rsidRPr="006E6682" w:rsidRDefault="00696AF9" w:rsidP="00337E2A">
      <w:pPr>
        <w:numPr>
          <w:ilvl w:val="0"/>
          <w:numId w:val="4"/>
        </w:numPr>
        <w:spacing w:after="0" w:line="240" w:lineRule="auto"/>
        <w:jc w:val="both"/>
        <w:rPr>
          <w:rFonts w:ascii="Times New Roman" w:eastAsia="Times New Roman" w:hAnsi="Times New Roman"/>
          <w:b/>
          <w:sz w:val="24"/>
          <w:szCs w:val="24"/>
          <w:lang w:eastAsia="lv-LV"/>
        </w:rPr>
      </w:pPr>
      <w:r w:rsidRPr="006E6682">
        <w:rPr>
          <w:rFonts w:ascii="Times New Roman" w:eastAsia="Times New Roman" w:hAnsi="Times New Roman"/>
          <w:b/>
          <w:sz w:val="24"/>
          <w:szCs w:val="24"/>
          <w:lang w:eastAsia="lv-LV"/>
        </w:rPr>
        <w:t>Atbilstības periods</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Maksājumus izdara (izņēmums ir nolietojuma norakstījumi) un attiecīgās izmaksas rodas pēc tā gada 1.janvāra, kas minēts finansēšanas lēmumā, ar kuru apstiprināta gada programma. Atbilstības periods ir līdz N</w:t>
      </w:r>
      <w:r w:rsidRPr="006E6682">
        <w:rPr>
          <w:rFonts w:ascii="Times New Roman" w:eastAsia="Times New Roman" w:hAnsi="Times New Roman"/>
          <w:sz w:val="24"/>
          <w:szCs w:val="24"/>
          <w:vertAlign w:val="superscript"/>
          <w:lang w:eastAsia="lv-LV"/>
        </w:rPr>
        <w:t>1</w:t>
      </w:r>
      <w:r w:rsidRPr="006E6682">
        <w:rPr>
          <w:rFonts w:ascii="Times New Roman" w:eastAsia="Times New Roman" w:hAnsi="Times New Roman"/>
          <w:sz w:val="24"/>
          <w:szCs w:val="24"/>
          <w:lang w:eastAsia="lv-LV"/>
        </w:rPr>
        <w:t>+2 gada 30.jūnijam, kas nozīmē, ka projekta izdevumiem ir jārodas pirms minētā datuma. Maksājumus var veikt arī pēc N</w:t>
      </w:r>
      <w:r w:rsidRPr="006E6682">
        <w:rPr>
          <w:rFonts w:ascii="Times New Roman" w:eastAsia="Times New Roman" w:hAnsi="Times New Roman"/>
          <w:sz w:val="24"/>
          <w:szCs w:val="24"/>
          <w:vertAlign w:val="superscript"/>
          <w:lang w:eastAsia="lv-LV"/>
        </w:rPr>
        <w:t>1</w:t>
      </w:r>
      <w:r w:rsidRPr="006E6682">
        <w:rPr>
          <w:rFonts w:ascii="Times New Roman" w:eastAsia="Times New Roman" w:hAnsi="Times New Roman"/>
          <w:sz w:val="24"/>
          <w:szCs w:val="24"/>
          <w:lang w:eastAsia="lv-LV"/>
        </w:rPr>
        <w:t>+2 gada 30.jūnija, bet pirms gala ziņojuma iesniegšanas vadošajā iestādē.</w:t>
      </w:r>
    </w:p>
    <w:p w:rsidR="00AC097C" w:rsidRPr="006E6682" w:rsidRDefault="00AC097C" w:rsidP="00337E2A">
      <w:pPr>
        <w:spacing w:before="100" w:beforeAutospacing="1" w:after="100" w:afterAutospacing="1" w:line="240" w:lineRule="auto"/>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Piezīme.</w:t>
      </w:r>
      <w:r w:rsidRPr="006E6682">
        <w:rPr>
          <w:rFonts w:ascii="Times New Roman" w:eastAsia="Times New Roman" w:hAnsi="Times New Roman"/>
          <w:sz w:val="24"/>
          <w:szCs w:val="24"/>
          <w:lang w:eastAsia="lv-LV"/>
        </w:rPr>
        <w:br/>
        <w:t>N</w:t>
      </w:r>
      <w:r w:rsidRPr="006E6682">
        <w:rPr>
          <w:rFonts w:ascii="Times New Roman" w:eastAsia="Times New Roman" w:hAnsi="Times New Roman"/>
          <w:sz w:val="24"/>
          <w:szCs w:val="24"/>
          <w:vertAlign w:val="superscript"/>
          <w:lang w:eastAsia="lv-LV"/>
        </w:rPr>
        <w:t>1</w:t>
      </w:r>
      <w:r w:rsidRPr="006E6682">
        <w:rPr>
          <w:rFonts w:ascii="Times New Roman" w:eastAsia="Times New Roman" w:hAnsi="Times New Roman"/>
          <w:sz w:val="24"/>
          <w:szCs w:val="24"/>
          <w:lang w:eastAsia="lv-LV"/>
        </w:rPr>
        <w:t xml:space="preserve"> – fonda gada programmas uzsākšanas gads.</w:t>
      </w:r>
    </w:p>
    <w:p w:rsidR="00AC097C" w:rsidRPr="006E6682" w:rsidRDefault="00696AF9" w:rsidP="00337E2A">
      <w:pPr>
        <w:numPr>
          <w:ilvl w:val="0"/>
          <w:numId w:val="4"/>
        </w:numPr>
        <w:spacing w:after="0" w:line="240" w:lineRule="auto"/>
        <w:jc w:val="both"/>
        <w:rPr>
          <w:rFonts w:ascii="Times New Roman" w:eastAsia="Times New Roman" w:hAnsi="Times New Roman"/>
          <w:b/>
          <w:sz w:val="24"/>
          <w:szCs w:val="24"/>
          <w:lang w:eastAsia="lv-LV"/>
        </w:rPr>
      </w:pPr>
      <w:r w:rsidRPr="006E6682">
        <w:rPr>
          <w:rFonts w:ascii="Times New Roman" w:eastAsia="Times New Roman" w:hAnsi="Times New Roman"/>
          <w:b/>
          <w:sz w:val="24"/>
          <w:szCs w:val="24"/>
          <w:lang w:eastAsia="lv-LV"/>
        </w:rPr>
        <w:t>Izdevumu uzskaite</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 xml:space="preserve">Izdevumi atbilst </w:t>
      </w:r>
      <w:r w:rsidR="004D2FE9" w:rsidRPr="006E6682">
        <w:rPr>
          <w:rFonts w:ascii="Times New Roman" w:eastAsia="Times New Roman" w:hAnsi="Times New Roman"/>
          <w:sz w:val="24"/>
          <w:szCs w:val="24"/>
          <w:lang w:eastAsia="lv-LV"/>
        </w:rPr>
        <w:t xml:space="preserve"> tiešo </w:t>
      </w:r>
      <w:r w:rsidRPr="006E6682">
        <w:rPr>
          <w:rFonts w:ascii="Times New Roman" w:eastAsia="Times New Roman" w:hAnsi="Times New Roman"/>
          <w:sz w:val="24"/>
          <w:szCs w:val="24"/>
          <w:lang w:eastAsia="lv-LV"/>
        </w:rPr>
        <w:t>finansējuma saņēmēju veiktajiem maksājumiem. Tie ir finanšu transakciju veidā, izņemot nolietojuma norakstījumu izdevumus.</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Izdevumi ir pamatoti ar oficiāliem rēķiniem. Ja tas nav iespējams, izdevumus pamato ar uzskaites dokumentiem vai apliecinošiem dokumentiem, kam ir līdzvērtīga pierādījuma vērtība.</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Izdevumi ir identificējami un pārbaudāmi. Tie ir:</w:t>
      </w:r>
    </w:p>
    <w:p w:rsidR="00AC097C" w:rsidRPr="006E6682" w:rsidRDefault="00696AF9" w:rsidP="00AC097C">
      <w:pPr>
        <w:numPr>
          <w:ilvl w:val="2"/>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norādīti finansējuma saņēmēja grāmatvedības uzskaites dokumentos;</w:t>
      </w:r>
    </w:p>
    <w:p w:rsidR="00AC097C" w:rsidRPr="006E6682" w:rsidRDefault="00696AF9" w:rsidP="00AC097C">
      <w:pPr>
        <w:numPr>
          <w:ilvl w:val="2"/>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veikti saskaņā ar Latvijas Republikas spēkā esošajiem grāmatvedības standartiem un grāmatvedību regulējošiem normatīvajiem aktiem, kā arī atbilstoši finansējuma saņēmēja izdevumu uzskaites praksei;</w:t>
      </w:r>
    </w:p>
    <w:p w:rsidR="00AC097C" w:rsidRPr="006E6682" w:rsidRDefault="00696AF9" w:rsidP="00AC097C">
      <w:pPr>
        <w:numPr>
          <w:ilvl w:val="2"/>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lastRenderedPageBreak/>
        <w:t>deklarēti saskaņā ar piemērojamām prasībām nodokļu un sociālo jomu regulējošo normatīvo aktu jomā.</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Uzskaites datu glabāšana un apstrāde atbilst normatīvajiem aktiem datu aizsardzības jomā.</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711911" w:rsidRPr="006E6682" w:rsidRDefault="00696AF9" w:rsidP="00711911">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Finansējuma saņēmējs nodrošina atsevišķu analītisku datorizēto grāmatvedības uzskaiti saimnieciskiem darījumiem, kas radušies saistībā ar fonda projekta ietvaros īstenotajām darbībām.</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AC097C" w:rsidRPr="006E6682" w:rsidRDefault="008B240D" w:rsidP="00711911">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Finansējuma saņēmējs nodrošina projekta ietvaros veikto maksājumu veikšanu</w:t>
      </w:r>
      <w:r w:rsidR="001A1454" w:rsidRPr="006E6682">
        <w:rPr>
          <w:rFonts w:ascii="Times New Roman" w:eastAsia="Times New Roman" w:hAnsi="Times New Roman"/>
          <w:sz w:val="24"/>
          <w:szCs w:val="24"/>
          <w:lang w:eastAsia="lv-LV"/>
        </w:rPr>
        <w:t>, pēc granta līguma noslēgšanas</w:t>
      </w:r>
      <w:r w:rsidRPr="006E6682">
        <w:rPr>
          <w:rFonts w:ascii="Times New Roman" w:eastAsia="Times New Roman" w:hAnsi="Times New Roman"/>
          <w:sz w:val="24"/>
          <w:szCs w:val="24"/>
          <w:lang w:eastAsia="lv-LV"/>
        </w:rPr>
        <w:t xml:space="preserve"> tikai </w:t>
      </w:r>
      <w:r w:rsidR="001A1454" w:rsidRPr="006E6682">
        <w:rPr>
          <w:rFonts w:ascii="Times New Roman" w:eastAsia="Times New Roman" w:hAnsi="Times New Roman"/>
          <w:sz w:val="24"/>
          <w:szCs w:val="24"/>
          <w:lang w:eastAsia="lv-LV"/>
        </w:rPr>
        <w:t xml:space="preserve">no </w:t>
      </w:r>
      <w:r w:rsidRPr="006E6682">
        <w:rPr>
          <w:rFonts w:ascii="Times New Roman" w:eastAsia="Times New Roman" w:hAnsi="Times New Roman"/>
          <w:sz w:val="24"/>
          <w:szCs w:val="24"/>
          <w:lang w:eastAsia="lv-LV"/>
        </w:rPr>
        <w:t>projekta konta. Ja finansējuma saņēmējs plāno veikt maksājumus projekta ietvaros no cita konta, pirms maksājuma veikšanas nepieciešams saskaņojums no vadošās iestādes.</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Finansējuma saņēmējs un tā sadarbības partneri nodrošina informācijas uzkrāšanu par projekta tehnisko un finansiālo progresu, kas ir nepieciešama attiecīgo ziņu sniegšanai. Informāciju uzkrāj finansējuma saņēmēja un tā sadarbības partneru lietvedībā un grāmatvedības uzskaitē, tai skaitā elektroniskajos datu nesējos.</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Attiecīgos gadījumos finansējuma saņēmējiem ir pienākums glabāt uzskaites dokumentu apliecinātas kopijas, kas pamato sadarbības partneru ienākumu un izdevumu saistību ar attiecīgo projektu.</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3C3ECD" w:rsidRPr="006E6682" w:rsidRDefault="00696AF9" w:rsidP="00337E2A">
      <w:pPr>
        <w:numPr>
          <w:ilvl w:val="0"/>
          <w:numId w:val="4"/>
        </w:numPr>
        <w:spacing w:after="0" w:line="240" w:lineRule="auto"/>
        <w:jc w:val="both"/>
        <w:rPr>
          <w:rFonts w:ascii="Times New Roman" w:eastAsia="Times New Roman" w:hAnsi="Times New Roman"/>
          <w:b/>
          <w:sz w:val="24"/>
          <w:szCs w:val="24"/>
          <w:lang w:eastAsia="lv-LV"/>
        </w:rPr>
      </w:pPr>
      <w:r w:rsidRPr="006E6682">
        <w:rPr>
          <w:rFonts w:ascii="Times New Roman" w:eastAsia="Times New Roman" w:hAnsi="Times New Roman"/>
          <w:b/>
          <w:sz w:val="24"/>
          <w:szCs w:val="24"/>
          <w:lang w:eastAsia="lv-LV"/>
        </w:rPr>
        <w:t>Teritoriālā darbības joma</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Izdevumi ir attiecināmi uz tiem finansējuma saņēmējiem un to sadarbības partneriem, kuri darbojas un ir reģistrēti Latvijas Republikā, izņemot starptautiskās starpvaldību organizācijas, kuras nodarbojas ar šajos noteikumos definēto mērķu sasniegšanu.</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 xml:space="preserve">Fonda izdevumi atbilst šā pielikuma I nodaļas </w:t>
      </w:r>
      <w:r w:rsidR="00711911" w:rsidRPr="006E6682">
        <w:rPr>
          <w:rFonts w:ascii="Times New Roman" w:eastAsia="Times New Roman" w:hAnsi="Times New Roman"/>
          <w:sz w:val="24"/>
          <w:szCs w:val="24"/>
          <w:lang w:eastAsia="lv-LV"/>
        </w:rPr>
        <w:t>1.1.5.</w:t>
      </w:r>
      <w:r w:rsidRPr="006E6682">
        <w:rPr>
          <w:rFonts w:ascii="Times New Roman" w:eastAsia="Times New Roman" w:hAnsi="Times New Roman"/>
          <w:sz w:val="24"/>
          <w:szCs w:val="24"/>
          <w:lang w:eastAsia="lv-LV"/>
        </w:rPr>
        <w:t>apakšpunktā definēto finansējuma saņēmēju izdevumiem.</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AC097C"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Izdevumi rodas Eiropas Savienības dalībvalstu teritorijā (izņemot izdevumus par pasākumiem, kuri to fizisko personu izcelsmes valstī, kas nav Eiropas Savienības pilsoņi, tiek veikti pirms izceļošanas un dod viņiem iespēju apgūt integrācijai nepieciešamās zināšanas un iemaņas, piemēram, profesionālo izglītību, informācijas materiālu izplatīšanu, daudzpusīgus pilsoniskas ievirzes kursus un valodu mācīšanu).</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696AF9" w:rsidRPr="006E6682" w:rsidRDefault="00696AF9" w:rsidP="00AC097C">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Projekta sadarbības partneri, kas reģistrēti un darbojas trešajās valstīs, var piedalīties projektā, neradot tam izmaksas, tādējādi šādu sadarbības partneru izdevumi nav attiecināmi. Minētais neattiecas uz starptautiskajām starpvaldību organizācijām.</w:t>
      </w:r>
    </w:p>
    <w:p w:rsidR="003C3ECD" w:rsidRPr="006E6682" w:rsidRDefault="003C3ECD" w:rsidP="003C3ECD">
      <w:pPr>
        <w:spacing w:after="0" w:line="240" w:lineRule="auto"/>
        <w:jc w:val="both"/>
        <w:rPr>
          <w:rFonts w:ascii="Times New Roman" w:eastAsia="Times New Roman" w:hAnsi="Times New Roman"/>
          <w:b/>
          <w:sz w:val="24"/>
          <w:szCs w:val="24"/>
          <w:lang w:eastAsia="lv-LV"/>
        </w:rPr>
      </w:pPr>
    </w:p>
    <w:p w:rsidR="003C3ECD" w:rsidRPr="006E6682" w:rsidRDefault="003C3ECD" w:rsidP="003C3ECD">
      <w:pPr>
        <w:spacing w:before="100" w:beforeAutospacing="1" w:after="100" w:afterAutospacing="1" w:line="240" w:lineRule="auto"/>
        <w:ind w:left="360"/>
        <w:jc w:val="center"/>
        <w:rPr>
          <w:rFonts w:ascii="Times New Roman" w:eastAsia="Times New Roman" w:hAnsi="Times New Roman"/>
          <w:b/>
          <w:sz w:val="24"/>
          <w:szCs w:val="24"/>
          <w:lang w:eastAsia="lv-LV"/>
        </w:rPr>
      </w:pPr>
      <w:r w:rsidRPr="006E6682">
        <w:rPr>
          <w:rFonts w:ascii="Times New Roman" w:eastAsia="Times New Roman" w:hAnsi="Times New Roman"/>
          <w:b/>
          <w:sz w:val="24"/>
          <w:szCs w:val="24"/>
          <w:lang w:eastAsia="lv-LV"/>
        </w:rPr>
        <w:t>II  Tiešās attiecināmās izmaksas</w:t>
      </w:r>
    </w:p>
    <w:p w:rsidR="003C3ECD" w:rsidRPr="006E6682" w:rsidRDefault="00696AF9" w:rsidP="003C3ECD">
      <w:pPr>
        <w:numPr>
          <w:ilvl w:val="0"/>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Tiešās attiecināmās izmaksas ir izmaksas, kas tieši saistītas ar projekta īstenošanu, un tās iekļauj projekta budžeta aprēķinā.</w:t>
      </w:r>
    </w:p>
    <w:p w:rsidR="00C81D35" w:rsidRPr="006E6682" w:rsidRDefault="00C81D35" w:rsidP="00C81D35">
      <w:pPr>
        <w:spacing w:after="0" w:line="240" w:lineRule="auto"/>
        <w:jc w:val="both"/>
        <w:rPr>
          <w:rFonts w:ascii="Times New Roman" w:eastAsia="Times New Roman" w:hAnsi="Times New Roman"/>
          <w:b/>
          <w:sz w:val="24"/>
          <w:szCs w:val="24"/>
          <w:lang w:eastAsia="lv-LV"/>
        </w:rPr>
      </w:pPr>
    </w:p>
    <w:p w:rsidR="003C3ECD" w:rsidRPr="006E6682" w:rsidRDefault="00696AF9" w:rsidP="00337E2A">
      <w:pPr>
        <w:numPr>
          <w:ilvl w:val="0"/>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b/>
          <w:sz w:val="24"/>
          <w:szCs w:val="24"/>
          <w:lang w:eastAsia="lv-LV"/>
        </w:rPr>
        <w:lastRenderedPageBreak/>
        <w:t>Personāla izmaksas</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3C3ECD" w:rsidRPr="006E6682" w:rsidRDefault="00560B1E" w:rsidP="003C3ECD">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Projekta personāla izmaksas ir visas izmaksas, kas veiktas uz darb</w:t>
      </w:r>
      <w:r w:rsidR="00297575" w:rsidRPr="006E6682">
        <w:rPr>
          <w:rFonts w:ascii="Times New Roman" w:eastAsia="Times New Roman" w:hAnsi="Times New Roman"/>
          <w:sz w:val="24"/>
          <w:szCs w:val="24"/>
          <w:lang w:eastAsia="lv-LV"/>
        </w:rPr>
        <w:t>a</w:t>
      </w:r>
      <w:r w:rsidRPr="006E6682">
        <w:rPr>
          <w:rFonts w:ascii="Times New Roman" w:eastAsia="Times New Roman" w:hAnsi="Times New Roman"/>
          <w:sz w:val="24"/>
          <w:szCs w:val="24"/>
          <w:lang w:eastAsia="lv-LV"/>
        </w:rPr>
        <w:t xml:space="preserve"> līguma pam</w:t>
      </w:r>
      <w:r w:rsidR="003C3ECD" w:rsidRPr="006E6682">
        <w:rPr>
          <w:rFonts w:ascii="Times New Roman" w:eastAsia="Times New Roman" w:hAnsi="Times New Roman"/>
          <w:sz w:val="24"/>
          <w:szCs w:val="24"/>
          <w:lang w:eastAsia="lv-LV"/>
        </w:rPr>
        <w:t>ata</w:t>
      </w:r>
      <w:r w:rsidRPr="006E6682">
        <w:rPr>
          <w:rFonts w:ascii="Times New Roman" w:eastAsia="Times New Roman" w:hAnsi="Times New Roman"/>
          <w:sz w:val="24"/>
          <w:szCs w:val="24"/>
          <w:lang w:eastAsia="lv-LV"/>
        </w:rPr>
        <w:t>. Projekta personāla izmaksas ir faktisk</w:t>
      </w:r>
      <w:r w:rsidR="00831F67">
        <w:rPr>
          <w:rFonts w:ascii="Times New Roman" w:eastAsia="Times New Roman" w:hAnsi="Times New Roman"/>
          <w:sz w:val="24"/>
          <w:szCs w:val="24"/>
          <w:lang w:eastAsia="lv-LV"/>
        </w:rPr>
        <w:t>i veikt</w:t>
      </w:r>
      <w:r w:rsidRPr="006E6682">
        <w:rPr>
          <w:rFonts w:ascii="Times New Roman" w:eastAsia="Times New Roman" w:hAnsi="Times New Roman"/>
          <w:sz w:val="24"/>
          <w:szCs w:val="24"/>
          <w:lang w:eastAsia="lv-LV"/>
        </w:rPr>
        <w:t xml:space="preserve">ās algas, pieskaitot sociālās apdrošināšanas maksājumus un citas tiesību aktos noteiktās izmaksas, projekta personāla izmaksas atbilst tiešā saņēmēja atalgojuma shēmai, bet nepārsniedz </w:t>
      </w:r>
      <w:r w:rsidR="003C3ECD" w:rsidRPr="006E6682">
        <w:rPr>
          <w:rFonts w:ascii="Times New Roman" w:eastAsia="Times New Roman" w:hAnsi="Times New Roman"/>
          <w:sz w:val="24"/>
          <w:szCs w:val="24"/>
          <w:lang w:eastAsia="lv-LV"/>
        </w:rPr>
        <w:t>šajos</w:t>
      </w:r>
      <w:r w:rsidRPr="006E6682">
        <w:rPr>
          <w:rFonts w:ascii="Times New Roman" w:eastAsia="Times New Roman" w:hAnsi="Times New Roman"/>
          <w:sz w:val="24"/>
          <w:szCs w:val="24"/>
          <w:lang w:eastAsia="lv-LV"/>
        </w:rPr>
        <w:t xml:space="preserve"> noteikumos noteikto likmi.</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3C3ECD" w:rsidRPr="006E6682" w:rsidRDefault="00696AF9" w:rsidP="003C3ECD">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Personāla izmaksas apraksta</w:t>
      </w:r>
      <w:r w:rsidR="00831F67">
        <w:rPr>
          <w:rFonts w:ascii="Times New Roman" w:eastAsia="Times New Roman" w:hAnsi="Times New Roman"/>
          <w:sz w:val="24"/>
          <w:szCs w:val="24"/>
          <w:lang w:eastAsia="lv-LV"/>
        </w:rPr>
        <w:t xml:space="preserve"> projekta iesnieguma veidlapā un </w:t>
      </w:r>
      <w:r w:rsidR="00A757A9">
        <w:rPr>
          <w:rFonts w:ascii="Times New Roman" w:eastAsia="Times New Roman" w:hAnsi="Times New Roman"/>
          <w:sz w:val="24"/>
          <w:szCs w:val="24"/>
          <w:lang w:eastAsia="lv-LV"/>
        </w:rPr>
        <w:t>projekta budžeta veidlapā</w:t>
      </w:r>
      <w:r w:rsidR="00831F67">
        <w:rPr>
          <w:rFonts w:ascii="Times New Roman" w:eastAsia="Times New Roman" w:hAnsi="Times New Roman"/>
          <w:sz w:val="24"/>
          <w:szCs w:val="24"/>
          <w:lang w:eastAsia="lv-LV"/>
        </w:rPr>
        <w:t>, norādot</w:t>
      </w:r>
      <w:r w:rsidR="00A757A9">
        <w:rPr>
          <w:rFonts w:ascii="Times New Roman" w:eastAsia="Times New Roman" w:hAnsi="Times New Roman"/>
          <w:sz w:val="24"/>
          <w:szCs w:val="24"/>
          <w:lang w:eastAsia="lv-LV"/>
        </w:rPr>
        <w:t xml:space="preserve"> amatu</w:t>
      </w:r>
      <w:r w:rsidRPr="006E6682">
        <w:rPr>
          <w:rFonts w:ascii="Times New Roman" w:eastAsia="Times New Roman" w:hAnsi="Times New Roman"/>
          <w:sz w:val="24"/>
          <w:szCs w:val="24"/>
          <w:lang w:eastAsia="lv-LV"/>
        </w:rPr>
        <w:t>, personāla locekļu skaitu un vārdus</w:t>
      </w:r>
      <w:r w:rsidR="00A757A9">
        <w:rPr>
          <w:rFonts w:ascii="Times New Roman" w:eastAsia="Times New Roman" w:hAnsi="Times New Roman"/>
          <w:sz w:val="24"/>
          <w:szCs w:val="24"/>
          <w:lang w:eastAsia="lv-LV"/>
        </w:rPr>
        <w:t>, ja tie ir zināmi</w:t>
      </w:r>
      <w:r w:rsidRPr="006E6682">
        <w:rPr>
          <w:rFonts w:ascii="Times New Roman" w:eastAsia="Times New Roman" w:hAnsi="Times New Roman"/>
          <w:sz w:val="24"/>
          <w:szCs w:val="24"/>
          <w:lang w:eastAsia="lv-LV"/>
        </w:rPr>
        <w:t xml:space="preserve">. </w:t>
      </w:r>
      <w:r w:rsidRPr="00386223">
        <w:rPr>
          <w:rFonts w:ascii="Times New Roman" w:eastAsia="Times New Roman" w:hAnsi="Times New Roman"/>
          <w:sz w:val="24"/>
          <w:szCs w:val="24"/>
          <w:lang w:eastAsia="lv-LV"/>
        </w:rPr>
        <w:t>Ja personu vārdi vēl nav zināmi vai tos nevar atklāt, projektā sniedz norādes par tās personas profesionālo un tehnisko kvalifikāciju, kurai uzticēs īstenot nozīmīgas projekta funkcijas vai uzdevumus</w:t>
      </w:r>
      <w:r w:rsidRPr="006E6682">
        <w:rPr>
          <w:rFonts w:ascii="Times New Roman" w:eastAsia="Times New Roman" w:hAnsi="Times New Roman"/>
          <w:sz w:val="24"/>
          <w:szCs w:val="24"/>
          <w:lang w:eastAsia="lv-LV"/>
        </w:rPr>
        <w:t>.</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3C3ECD" w:rsidRPr="006E6682" w:rsidRDefault="00696AF9" w:rsidP="003C3ECD">
      <w:pPr>
        <w:numPr>
          <w:ilvl w:val="1"/>
          <w:numId w:val="4"/>
        </w:numPr>
        <w:spacing w:after="0" w:line="240" w:lineRule="auto"/>
        <w:ind w:left="0" w:firstLine="0"/>
        <w:jc w:val="both"/>
        <w:rPr>
          <w:rFonts w:ascii="Times New Roman" w:eastAsia="Times New Roman" w:hAnsi="Times New Roman"/>
          <w:b/>
          <w:sz w:val="24"/>
          <w:szCs w:val="24"/>
          <w:lang w:eastAsia="lv-LV"/>
        </w:rPr>
      </w:pPr>
      <w:r w:rsidRPr="006E6682">
        <w:rPr>
          <w:rFonts w:ascii="Times New Roman" w:eastAsia="Times New Roman" w:hAnsi="Times New Roman"/>
          <w:sz w:val="24"/>
          <w:szCs w:val="24"/>
          <w:lang w:eastAsia="lv-LV"/>
        </w:rPr>
        <w:t>Projektam piešķirtās personāla izmaksas, piemēram, algas, sociālās apdrošināšanas iemaksas, ir attiecināmas, ja tās nepārsniedz finansējuma saņēmēja atalgojuma shēmas vidējās likmes. Attiecīgos gadījumos var norādīt darba devēja veiktās iemaksas, izņemot prēmijas, veicināšanas maksājumus vai peļņas sadales shēmas. Nodevas, nodokļi vai maksājumi (jo īpaši algām piemērojamie tiešie nodokļi un sociālās apdrošināšanas maksājumi), kas attiecas uz fonda finansētiem projektiem, uzskatāmi par attiecināmām izmaksām tikai tad, ja tie faktiski radušies tiešajam finansējuma saņēmējam.</w:t>
      </w:r>
    </w:p>
    <w:p w:rsidR="00711911" w:rsidRPr="006E6682" w:rsidRDefault="00711911" w:rsidP="00711911">
      <w:pPr>
        <w:spacing w:after="0" w:line="240" w:lineRule="auto"/>
        <w:jc w:val="both"/>
        <w:rPr>
          <w:rFonts w:ascii="Times New Roman" w:eastAsia="Times New Roman" w:hAnsi="Times New Roman"/>
          <w:b/>
          <w:sz w:val="24"/>
          <w:szCs w:val="24"/>
          <w:lang w:eastAsia="lv-LV"/>
        </w:rPr>
      </w:pPr>
    </w:p>
    <w:p w:rsidR="003C3ECD" w:rsidRPr="006E6682" w:rsidRDefault="00560B1E" w:rsidP="003C3ECD">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Attiecībā uz starptautiskām organizācijām atbilstīgās personāla izmaksas var ietver tiesību aktos paredzētos pienākumus un tiesības saistībā ar atalgojumu.</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3C3ECD" w:rsidRPr="006E6682" w:rsidRDefault="00411615" w:rsidP="00600B95">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Attiecīgo valsts struktūru personāla algu izmaksas ir atbilstīgas ciktāl tās ir saistītas ar tādu darbību izmaksām, kuras attiecīgā valsts struktūra neveiktu, ja nebūtu attiecīga projekta; šādu personālu pārceļ vai norīko projekta īstenošanai ar rakstisku tiešā saņēmēja lēmumu.</w:t>
      </w:r>
    </w:p>
    <w:p w:rsidR="00671263" w:rsidRPr="006E6682" w:rsidRDefault="00671263" w:rsidP="00600B95">
      <w:pPr>
        <w:pStyle w:val="Sarakstarindkopa"/>
        <w:spacing w:after="0" w:line="240" w:lineRule="auto"/>
        <w:rPr>
          <w:rFonts w:ascii="Times New Roman" w:eastAsia="Times New Roman" w:hAnsi="Times New Roman"/>
          <w:sz w:val="24"/>
          <w:szCs w:val="24"/>
          <w:lang w:eastAsia="lv-LV"/>
        </w:rPr>
      </w:pPr>
    </w:p>
    <w:p w:rsidR="00671263" w:rsidRPr="00831F67" w:rsidRDefault="00600B95" w:rsidP="00600B95">
      <w:pPr>
        <w:numPr>
          <w:ilvl w:val="1"/>
          <w:numId w:val="4"/>
        </w:numPr>
        <w:spacing w:after="0" w:line="240" w:lineRule="auto"/>
        <w:ind w:left="0" w:firstLine="0"/>
        <w:jc w:val="both"/>
        <w:rPr>
          <w:rFonts w:ascii="Times New Roman" w:eastAsia="Times New Roman" w:hAnsi="Times New Roman"/>
          <w:sz w:val="24"/>
          <w:szCs w:val="24"/>
          <w:lang w:eastAsia="lv-LV"/>
        </w:rPr>
      </w:pPr>
      <w:r w:rsidRPr="00831F67">
        <w:rPr>
          <w:rFonts w:ascii="Times New Roman" w:eastAsia="Times New Roman" w:hAnsi="Times New Roman"/>
          <w:sz w:val="24"/>
          <w:szCs w:val="24"/>
          <w:lang w:eastAsia="lv-LV"/>
        </w:rPr>
        <w:t>Projekta</w:t>
      </w:r>
      <w:r w:rsidR="00831F67" w:rsidRPr="00831F67">
        <w:rPr>
          <w:rFonts w:ascii="Times New Roman" w:eastAsia="Times New Roman" w:hAnsi="Times New Roman"/>
          <w:sz w:val="24"/>
          <w:szCs w:val="24"/>
          <w:lang w:eastAsia="lv-LV"/>
        </w:rPr>
        <w:t xml:space="preserve"> </w:t>
      </w:r>
      <w:r w:rsidR="00831F67">
        <w:rPr>
          <w:rFonts w:ascii="Times New Roman" w:eastAsia="Times New Roman" w:hAnsi="Times New Roman"/>
          <w:sz w:val="24"/>
          <w:szCs w:val="24"/>
          <w:lang w:eastAsia="lv-LV"/>
        </w:rPr>
        <w:t>vispārējā</w:t>
      </w:r>
      <w:r w:rsidR="00831F67" w:rsidRPr="006E6682">
        <w:rPr>
          <w:rFonts w:ascii="Times New Roman" w:eastAsia="Times New Roman" w:hAnsi="Times New Roman"/>
          <w:sz w:val="24"/>
          <w:szCs w:val="24"/>
          <w:lang w:eastAsia="lv-LV"/>
        </w:rPr>
        <w:t xml:space="preserve"> pārvaldīb</w:t>
      </w:r>
      <w:r w:rsidR="00831F67">
        <w:rPr>
          <w:rFonts w:ascii="Times New Roman" w:eastAsia="Times New Roman" w:hAnsi="Times New Roman"/>
          <w:sz w:val="24"/>
          <w:szCs w:val="24"/>
          <w:lang w:eastAsia="lv-LV"/>
        </w:rPr>
        <w:t>ā</w:t>
      </w:r>
      <w:r w:rsidR="00831F67" w:rsidRPr="00831F67">
        <w:rPr>
          <w:rFonts w:ascii="Times New Roman" w:eastAsia="Times New Roman" w:hAnsi="Times New Roman"/>
          <w:sz w:val="24"/>
          <w:szCs w:val="24"/>
          <w:lang w:eastAsia="lv-LV"/>
        </w:rPr>
        <w:t xml:space="preserve"> iesaistītā</w:t>
      </w:r>
      <w:r w:rsidRPr="00831F67">
        <w:rPr>
          <w:rFonts w:ascii="Times New Roman" w:eastAsia="Times New Roman" w:hAnsi="Times New Roman"/>
          <w:sz w:val="24"/>
          <w:szCs w:val="24"/>
          <w:lang w:eastAsia="lv-LV"/>
        </w:rPr>
        <w:t xml:space="preserve"> personāla izmaksas n</w:t>
      </w:r>
      <w:r w:rsidR="00671263" w:rsidRPr="00831F67">
        <w:rPr>
          <w:rFonts w:ascii="Times New Roman" w:eastAsia="Times New Roman" w:hAnsi="Times New Roman"/>
          <w:sz w:val="24"/>
          <w:szCs w:val="24"/>
          <w:lang w:eastAsia="lv-LV"/>
        </w:rPr>
        <w:t>evar pārsniegt 20% no kopējām attiecināmām izmaksām.</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3C3ECD" w:rsidRPr="006E6682" w:rsidRDefault="00696AF9" w:rsidP="00337E2A">
      <w:pPr>
        <w:numPr>
          <w:ilvl w:val="0"/>
          <w:numId w:val="4"/>
        </w:numPr>
        <w:spacing w:after="0" w:line="240" w:lineRule="auto"/>
        <w:jc w:val="both"/>
        <w:rPr>
          <w:rFonts w:ascii="Times New Roman" w:eastAsia="Times New Roman" w:hAnsi="Times New Roman"/>
          <w:sz w:val="24"/>
          <w:szCs w:val="24"/>
          <w:lang w:eastAsia="lv-LV"/>
        </w:rPr>
      </w:pPr>
      <w:r w:rsidRPr="006E6682">
        <w:rPr>
          <w:rFonts w:ascii="Times New Roman" w:eastAsia="Times New Roman" w:hAnsi="Times New Roman"/>
          <w:b/>
          <w:sz w:val="24"/>
          <w:szCs w:val="24"/>
          <w:lang w:eastAsia="lv-LV"/>
        </w:rPr>
        <w:t>Komandējumu un uzturēšanās izmaksas</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sz w:val="24"/>
          <w:szCs w:val="24"/>
          <w:lang w:eastAsia="lv-LV"/>
        </w:rPr>
      </w:pPr>
    </w:p>
    <w:p w:rsidR="003C3ECD" w:rsidRPr="006E6682" w:rsidRDefault="00696AF9" w:rsidP="003C3ECD">
      <w:pPr>
        <w:numPr>
          <w:ilvl w:val="1"/>
          <w:numId w:val="4"/>
        </w:numPr>
        <w:spacing w:after="0" w:line="240" w:lineRule="auto"/>
        <w:ind w:left="0" w:firstLine="0"/>
        <w:jc w:val="center"/>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Komandējumu un uzturēšanās izdevumi ir attiecināmās tiešās izmaksas:</w:t>
      </w:r>
    </w:p>
    <w:p w:rsidR="003C3ECD" w:rsidRPr="006E6682" w:rsidRDefault="00411615" w:rsidP="003C3ECD">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tikai attiecībā uz personālu, kas piedalās projekta darbībās un kuru ceļošana ir nepieciešama projekta īstenošanai;  </w:t>
      </w:r>
    </w:p>
    <w:p w:rsidR="003C3ECD" w:rsidRPr="006E6682" w:rsidRDefault="00411615" w:rsidP="003C3ECD">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īpaši pamatotos gadījumos citām personām, kas piedalās projekta darbībās un kuru ceļošana ir nepieciešama projekta īstenošanai;</w:t>
      </w:r>
    </w:p>
    <w:p w:rsidR="003C3ECD" w:rsidRPr="006E6682" w:rsidRDefault="00696AF9" w:rsidP="003C3ECD">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 attiecībā uz personām, kas piedalās projekta pasākumos, ja finansējuma saņēmējs var uzrādīt apmeklējuma sarakstus.</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3C3ECD" w:rsidRPr="006E6682" w:rsidRDefault="00696AF9" w:rsidP="003C3ECD">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Komandējumu izmaksas ir attiecināmas, pamatojoties uz faktiskajām izmaksām. Atmaksājamo izdevumu likmes nosaka, pamatojoties uz lētāko</w:t>
      </w:r>
      <w:r w:rsidR="003B4B6E" w:rsidRPr="006E6682">
        <w:rPr>
          <w:rFonts w:ascii="Times New Roman" w:eastAsia="Times New Roman" w:hAnsi="Times New Roman"/>
          <w:sz w:val="24"/>
          <w:szCs w:val="24"/>
          <w:lang w:eastAsia="lv-LV"/>
        </w:rPr>
        <w:t xml:space="preserve"> vai ekonomiski izdevīgāko</w:t>
      </w:r>
      <w:r w:rsidRPr="006E6682">
        <w:rPr>
          <w:rFonts w:ascii="Times New Roman" w:eastAsia="Times New Roman" w:hAnsi="Times New Roman"/>
          <w:sz w:val="24"/>
          <w:szCs w:val="24"/>
          <w:lang w:eastAsia="lv-LV"/>
        </w:rPr>
        <w:t xml:space="preserve"> sabiedriskā transporta veidu, lidojumi ir pieļaujami tikai tad, ja ceļojums ir garāks par 800 km (turp un atpakaļ) vai galamērķis ģeogrāfisku īpatnību dēļ attaisno aviosatiksmes izvēli. Biļetes saglabā. Ja izmanto personisko automašīnu, atmaksājamos izdevumus aprēķina, pamatojoties uz sabiedriskā </w:t>
      </w:r>
      <w:r w:rsidRPr="006E6682">
        <w:rPr>
          <w:rFonts w:ascii="Times New Roman" w:eastAsia="Times New Roman" w:hAnsi="Times New Roman"/>
          <w:sz w:val="24"/>
          <w:szCs w:val="24"/>
          <w:lang w:eastAsia="lv-LV"/>
        </w:rPr>
        <w:lastRenderedPageBreak/>
        <w:t xml:space="preserve">transporta izmaksām vai nobrauktā attāluma likmēm, kas aprēķinātas saskaņā ar </w:t>
      </w:r>
      <w:r w:rsidR="00F36B0E" w:rsidRPr="006E6682">
        <w:rPr>
          <w:rFonts w:ascii="Times New Roman" w:eastAsia="Times New Roman" w:hAnsi="Times New Roman"/>
          <w:sz w:val="24"/>
          <w:szCs w:val="24"/>
          <w:lang w:eastAsia="lv-LV"/>
        </w:rPr>
        <w:t xml:space="preserve"> Latvijas Republikas oficiālajiem noteikumiem vai </w:t>
      </w:r>
      <w:r w:rsidRPr="006E6682">
        <w:rPr>
          <w:rFonts w:ascii="Times New Roman" w:eastAsia="Times New Roman" w:hAnsi="Times New Roman"/>
          <w:sz w:val="24"/>
          <w:szCs w:val="24"/>
          <w:lang w:eastAsia="lv-LV"/>
        </w:rPr>
        <w:t>finansējuma saņēmēja izmantotiem noteikumiem.</w:t>
      </w:r>
    </w:p>
    <w:p w:rsidR="006E6682" w:rsidRPr="006E6682" w:rsidRDefault="006E6682" w:rsidP="006E6682">
      <w:pPr>
        <w:spacing w:after="0" w:line="240" w:lineRule="auto"/>
        <w:jc w:val="both"/>
        <w:rPr>
          <w:rFonts w:ascii="Times New Roman" w:eastAsia="Times New Roman" w:hAnsi="Times New Roman"/>
          <w:sz w:val="24"/>
          <w:szCs w:val="24"/>
          <w:lang w:eastAsia="lv-LV"/>
        </w:rPr>
      </w:pPr>
    </w:p>
    <w:p w:rsidR="003C3ECD" w:rsidRPr="006E6682" w:rsidRDefault="00696AF9" w:rsidP="003C3ECD">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Uzturēšanās izmaksas ir attiecināmas, pamatojoties uz faktiskajām izmaksām vai dienasnaudu. Ja organizācijai ir savas dienasnaudas likmes (uzturēšanās nauda), tās piemēro, ievērojot </w:t>
      </w:r>
      <w:r w:rsidR="00F36B0E" w:rsidRPr="006E6682">
        <w:rPr>
          <w:rFonts w:ascii="Times New Roman" w:eastAsia="Times New Roman" w:hAnsi="Times New Roman"/>
          <w:sz w:val="24"/>
          <w:szCs w:val="24"/>
          <w:lang w:eastAsia="lv-LV"/>
        </w:rPr>
        <w:t>Latvijas Republikas noteikto maksimālo robežu saskaņā ar valsts tiesību normām un praksi.</w:t>
      </w:r>
      <w:r w:rsidRPr="006E6682">
        <w:rPr>
          <w:rFonts w:ascii="Times New Roman" w:eastAsia="Times New Roman" w:hAnsi="Times New Roman"/>
          <w:sz w:val="24"/>
          <w:szCs w:val="24"/>
          <w:lang w:eastAsia="lv-LV"/>
        </w:rPr>
        <w:t xml:space="preserve"> Uzturēšanās nauda ietver vietējā transporta (ieskaitot braucienus ar taksometru), nakšņošanas, ēdināšanas, vietējo telefona sakaru un citas papildu izmaksas.</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3C3ECD" w:rsidRPr="006E6682" w:rsidRDefault="00696AF9" w:rsidP="00337E2A">
      <w:pPr>
        <w:numPr>
          <w:ilvl w:val="0"/>
          <w:numId w:val="4"/>
        </w:numPr>
        <w:spacing w:after="0" w:line="240" w:lineRule="auto"/>
        <w:jc w:val="both"/>
        <w:rPr>
          <w:rFonts w:ascii="Times New Roman" w:eastAsia="Times New Roman" w:hAnsi="Times New Roman"/>
          <w:sz w:val="24"/>
          <w:szCs w:val="24"/>
          <w:lang w:eastAsia="lv-LV"/>
        </w:rPr>
      </w:pPr>
      <w:r w:rsidRPr="006E6682">
        <w:rPr>
          <w:rFonts w:ascii="Times New Roman" w:eastAsia="Times New Roman" w:hAnsi="Times New Roman"/>
          <w:b/>
          <w:sz w:val="24"/>
          <w:szCs w:val="24"/>
          <w:lang w:eastAsia="lv-LV"/>
        </w:rPr>
        <w:t>Aprīkojuma izmaksas</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sz w:val="24"/>
          <w:szCs w:val="24"/>
          <w:lang w:eastAsia="lv-LV"/>
        </w:rPr>
      </w:pPr>
    </w:p>
    <w:p w:rsidR="003C3ECD" w:rsidRPr="006E6682" w:rsidRDefault="00696AF9" w:rsidP="003C3ECD">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Izmaksas par aprīkojuma iegādi ir attiecināmas tikai tad, ja tās ir būtiski nepieciešamas projekta īstenošanai.</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3C3ECD" w:rsidRPr="006E6682" w:rsidRDefault="00696AF9" w:rsidP="003C3ECD">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Aprīkojum</w:t>
      </w:r>
      <w:r w:rsidR="004E2706" w:rsidRPr="006E6682">
        <w:rPr>
          <w:rFonts w:ascii="Times New Roman" w:eastAsia="Times New Roman" w:hAnsi="Times New Roman"/>
          <w:sz w:val="24"/>
          <w:szCs w:val="24"/>
          <w:lang w:eastAsia="lv-LV"/>
        </w:rPr>
        <w:t>am jāpiemīt projektam nepieciešamajām tehniskajā</w:t>
      </w:r>
      <w:r w:rsidR="00A757A9">
        <w:rPr>
          <w:rFonts w:ascii="Times New Roman" w:eastAsia="Times New Roman" w:hAnsi="Times New Roman"/>
          <w:sz w:val="24"/>
          <w:szCs w:val="24"/>
          <w:lang w:eastAsia="lv-LV"/>
        </w:rPr>
        <w:t>m</w:t>
      </w:r>
      <w:r w:rsidR="004E2706" w:rsidRPr="006E6682">
        <w:rPr>
          <w:rFonts w:ascii="Times New Roman" w:eastAsia="Times New Roman" w:hAnsi="Times New Roman"/>
          <w:sz w:val="24"/>
          <w:szCs w:val="24"/>
          <w:lang w:eastAsia="lv-LV"/>
        </w:rPr>
        <w:t xml:space="preserve"> iezīmēm un tam jāatbilst spēkā esošajām normām un standartiem</w:t>
      </w:r>
      <w:r w:rsidRPr="006E6682">
        <w:rPr>
          <w:rFonts w:ascii="Times New Roman" w:eastAsia="Times New Roman" w:hAnsi="Times New Roman"/>
          <w:sz w:val="24"/>
          <w:szCs w:val="24"/>
          <w:lang w:eastAsia="lv-LV"/>
        </w:rPr>
        <w:t>.</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3C3ECD" w:rsidRPr="006E6682" w:rsidRDefault="00696AF9" w:rsidP="003C3ECD">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Izmaksas par aprīkojuma iegādi tiek attiecinātas, pamatojoties uz pamatlīdzekļu nolietojuma norakstījumiem, īres vai nomas izmaksām.</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3C3ECD" w:rsidRPr="006E6682" w:rsidRDefault="00696AF9" w:rsidP="003C3ECD">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Izvēli starp īri, nomu vai pirkumu pamato ar vislētāko variantu (finansējuma saņēmējam ir jāsaglabā dokumenti, kas pamato, ka izvēlētais variants ir vislētākais). Ja īre vai noma nav iespējama projekta īstermiņa rakstura dēļ vai aprīkojuma vērtības straujas krišanās dēļ, pirkums ir pieļaujams un nolietojuma norakstījumu izdevumus var uzskatīt par attiecināmiem, pamatojoties uz normatīvajiem aktiem par nolietojuma norakstījumiem.</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696AF9" w:rsidRPr="006E6682" w:rsidRDefault="00696AF9" w:rsidP="003C3ECD">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 Izdevumi </w:t>
      </w:r>
      <w:r w:rsidRPr="006E6682">
        <w:rPr>
          <w:rFonts w:ascii="Times New Roman" w:eastAsia="Times New Roman" w:hAnsi="Times New Roman"/>
          <w:b/>
          <w:sz w:val="24"/>
          <w:szCs w:val="24"/>
          <w:lang w:eastAsia="lv-LV"/>
        </w:rPr>
        <w:t>par nomu vai īri</w:t>
      </w:r>
      <w:r w:rsidRPr="006E6682">
        <w:rPr>
          <w:rFonts w:ascii="Times New Roman" w:eastAsia="Times New Roman" w:hAnsi="Times New Roman"/>
          <w:sz w:val="24"/>
          <w:szCs w:val="24"/>
          <w:lang w:eastAsia="lv-LV"/>
        </w:rPr>
        <w:t xml:space="preserve"> var pretendēt uz finansējumu, ievērojot nomas vai īres termiņu saistībā ar projekta mērķiem.</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3C3ECD" w:rsidRPr="006E6682" w:rsidRDefault="003C3ECD" w:rsidP="003C3ECD">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Izdevumi </w:t>
      </w:r>
      <w:r w:rsidRPr="006E6682">
        <w:rPr>
          <w:rFonts w:ascii="Times New Roman" w:eastAsia="Times New Roman" w:hAnsi="Times New Roman"/>
          <w:b/>
          <w:sz w:val="24"/>
          <w:szCs w:val="24"/>
          <w:lang w:eastAsia="lv-LV"/>
        </w:rPr>
        <w:t>par pirkumiem</w:t>
      </w:r>
      <w:r w:rsidRPr="006E6682">
        <w:rPr>
          <w:rFonts w:ascii="Times New Roman" w:eastAsia="Times New Roman" w:hAnsi="Times New Roman"/>
          <w:sz w:val="24"/>
          <w:szCs w:val="24"/>
          <w:lang w:eastAsia="lv-LV"/>
        </w:rPr>
        <w:t>:</w:t>
      </w:r>
    </w:p>
    <w:p w:rsidR="003C3ECD" w:rsidRPr="006E6682" w:rsidRDefault="006E6682" w:rsidP="003C3ECD">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j</w:t>
      </w:r>
      <w:r w:rsidR="00696AF9" w:rsidRPr="006E6682">
        <w:rPr>
          <w:rFonts w:ascii="Times New Roman" w:eastAsia="Times New Roman" w:hAnsi="Times New Roman"/>
          <w:sz w:val="24"/>
          <w:szCs w:val="24"/>
          <w:lang w:eastAsia="lv-LV"/>
        </w:rPr>
        <w:t>a aprīkojumu pērk pirms projekta īstenošanas vai tā īstenošanas laikā, attiecināma ir tikai tā nolietojuma norakstījumu izdevumu daļa, kas atbilst aprīkojuma izmantošanas laikposmam un faktiskās izmantošanas apjomam projekta vajadzībām.</w:t>
      </w:r>
    </w:p>
    <w:p w:rsidR="003C3ECD" w:rsidRPr="006E6682" w:rsidRDefault="006E6682" w:rsidP="003C3ECD">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i</w:t>
      </w:r>
      <w:r w:rsidR="00696AF9" w:rsidRPr="006E6682">
        <w:rPr>
          <w:rFonts w:ascii="Times New Roman" w:eastAsia="Times New Roman" w:hAnsi="Times New Roman"/>
          <w:sz w:val="24"/>
          <w:szCs w:val="24"/>
          <w:lang w:eastAsia="lv-LV"/>
        </w:rPr>
        <w:t>zmaksas attiecībā uz aprīkojumu, kas pirkts pirms projekta uzsākšanas, bet kuru izmanto projekta vajadzībām, ir attiecināmas, pamatojoties uz nolietojuma norakstījumiem. Šīs izmaksas nav attiecināmas, ja aprīkojums iegādāts, izmantojot Eiropas Savienības finansējumu.</w:t>
      </w:r>
    </w:p>
    <w:p w:rsidR="003C3ECD" w:rsidRPr="006E6682" w:rsidRDefault="006E6682" w:rsidP="003C3ECD">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 a</w:t>
      </w:r>
      <w:r w:rsidR="00696AF9" w:rsidRPr="006E6682">
        <w:rPr>
          <w:rFonts w:ascii="Times New Roman" w:eastAsia="Times New Roman" w:hAnsi="Times New Roman"/>
          <w:sz w:val="24"/>
          <w:szCs w:val="24"/>
          <w:lang w:eastAsia="lv-LV"/>
        </w:rPr>
        <w:t xml:space="preserve">prīkojuma iegādes izmaksas atbilst </w:t>
      </w:r>
      <w:r w:rsidR="004E2706" w:rsidRPr="006E6682">
        <w:rPr>
          <w:rFonts w:ascii="Times New Roman" w:eastAsia="Times New Roman" w:hAnsi="Times New Roman"/>
          <w:sz w:val="24"/>
          <w:szCs w:val="24"/>
          <w:lang w:eastAsia="lv-LV"/>
        </w:rPr>
        <w:t xml:space="preserve">vidējai </w:t>
      </w:r>
      <w:r w:rsidR="00696AF9" w:rsidRPr="006E6682">
        <w:rPr>
          <w:rFonts w:ascii="Times New Roman" w:eastAsia="Times New Roman" w:hAnsi="Times New Roman"/>
          <w:sz w:val="24"/>
          <w:szCs w:val="24"/>
          <w:lang w:eastAsia="lv-LV"/>
        </w:rPr>
        <w:t>tirgus cenai. Nolietojumu aprēķina saskaņā ar finansējuma saņēmējam piemērojamiem nodokļu un grāmatvedības noteikumiem</w:t>
      </w:r>
      <w:r w:rsidR="003C3ECD" w:rsidRPr="006E6682">
        <w:rPr>
          <w:rFonts w:ascii="Times New Roman" w:eastAsia="Times New Roman" w:hAnsi="Times New Roman"/>
          <w:sz w:val="24"/>
          <w:szCs w:val="24"/>
          <w:lang w:eastAsia="lv-LV"/>
        </w:rPr>
        <w:t>.</w:t>
      </w:r>
    </w:p>
    <w:p w:rsidR="000B1267" w:rsidRPr="006E6682" w:rsidRDefault="006E6682" w:rsidP="000B1267">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n</w:t>
      </w:r>
      <w:r w:rsidR="00696AF9" w:rsidRPr="006E6682">
        <w:rPr>
          <w:rFonts w:ascii="Times New Roman" w:eastAsia="Times New Roman" w:hAnsi="Times New Roman"/>
          <w:sz w:val="24"/>
          <w:szCs w:val="24"/>
          <w:lang w:eastAsia="lv-LV"/>
        </w:rPr>
        <w:t>olietojuma norakstījumus aprēķina par pilniem mēnešiem, ieskaitot aprīkojuma iegādes mēnesi.</w:t>
      </w:r>
    </w:p>
    <w:p w:rsidR="000B1267" w:rsidRPr="006E6682" w:rsidRDefault="006E6682" w:rsidP="000B1267">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b/>
          <w:sz w:val="24"/>
          <w:szCs w:val="24"/>
          <w:lang w:eastAsia="lv-LV"/>
        </w:rPr>
        <w:t>a</w:t>
      </w:r>
      <w:r w:rsidR="00696AF9" w:rsidRPr="006E6682">
        <w:rPr>
          <w:rFonts w:ascii="Times New Roman" w:eastAsia="Times New Roman" w:hAnsi="Times New Roman"/>
          <w:b/>
          <w:sz w:val="24"/>
          <w:szCs w:val="24"/>
          <w:lang w:eastAsia="lv-LV"/>
        </w:rPr>
        <w:t>tsevišķiem priekšmetiem</w:t>
      </w:r>
      <w:r w:rsidR="00696AF9" w:rsidRPr="006E6682">
        <w:rPr>
          <w:rFonts w:ascii="Times New Roman" w:eastAsia="Times New Roman" w:hAnsi="Times New Roman"/>
          <w:sz w:val="24"/>
          <w:szCs w:val="24"/>
          <w:lang w:eastAsia="lv-LV"/>
        </w:rPr>
        <w:t xml:space="preserve">, kuru vērtība ir mazāka par </w:t>
      </w:r>
      <w:r w:rsidR="00721F90" w:rsidRPr="006E6682">
        <w:rPr>
          <w:rFonts w:ascii="Times New Roman" w:eastAsia="Times New Roman" w:hAnsi="Times New Roman"/>
          <w:sz w:val="24"/>
          <w:szCs w:val="24"/>
          <w:lang w:eastAsia="lv-LV"/>
        </w:rPr>
        <w:t>LVL 14 056</w:t>
      </w:r>
      <w:r w:rsidR="00696AF9" w:rsidRPr="006E6682">
        <w:rPr>
          <w:rFonts w:ascii="Times New Roman" w:eastAsia="Times New Roman" w:hAnsi="Times New Roman"/>
          <w:sz w:val="24"/>
          <w:szCs w:val="24"/>
          <w:lang w:eastAsia="lv-LV"/>
        </w:rPr>
        <w:t>, visa pirkuma summa ir attiecināmās izmaksas, ja aprīkojums</w:t>
      </w:r>
      <w:r w:rsidR="004E2706" w:rsidRPr="006E6682">
        <w:rPr>
          <w:rFonts w:ascii="Times New Roman" w:eastAsia="Times New Roman" w:hAnsi="Times New Roman"/>
          <w:sz w:val="24"/>
          <w:szCs w:val="24"/>
          <w:lang w:eastAsia="lv-LV"/>
        </w:rPr>
        <w:t xml:space="preserve"> ir</w:t>
      </w:r>
      <w:r w:rsidR="00696AF9" w:rsidRPr="006E6682">
        <w:rPr>
          <w:rFonts w:ascii="Times New Roman" w:eastAsia="Times New Roman" w:hAnsi="Times New Roman"/>
          <w:sz w:val="24"/>
          <w:szCs w:val="24"/>
          <w:lang w:eastAsia="lv-LV"/>
        </w:rPr>
        <w:t xml:space="preserve"> nopirkts</w:t>
      </w:r>
      <w:r w:rsidR="004E2706" w:rsidRPr="006E6682">
        <w:rPr>
          <w:rFonts w:ascii="Times New Roman" w:eastAsia="Times New Roman" w:hAnsi="Times New Roman"/>
          <w:sz w:val="24"/>
          <w:szCs w:val="24"/>
          <w:lang w:eastAsia="lv-LV"/>
        </w:rPr>
        <w:t xml:space="preserve"> pirms pēdējiem trīs projekta </w:t>
      </w:r>
      <w:proofErr w:type="spellStart"/>
      <w:r w:rsidR="004E2706" w:rsidRPr="006E6682">
        <w:rPr>
          <w:rFonts w:ascii="Times New Roman" w:eastAsia="Times New Roman" w:hAnsi="Times New Roman"/>
          <w:sz w:val="24"/>
          <w:szCs w:val="24"/>
          <w:lang w:eastAsia="lv-LV"/>
        </w:rPr>
        <w:t>mēnešiem.Atsevišķi</w:t>
      </w:r>
      <w:proofErr w:type="spellEnd"/>
      <w:r w:rsidR="004E2706" w:rsidRPr="006E6682">
        <w:rPr>
          <w:rFonts w:ascii="Times New Roman" w:eastAsia="Times New Roman" w:hAnsi="Times New Roman"/>
          <w:sz w:val="24"/>
          <w:szCs w:val="24"/>
          <w:lang w:eastAsia="lv-LV"/>
        </w:rPr>
        <w:t xml:space="preserve"> priekšmeti, kas maksā </w:t>
      </w:r>
      <w:r w:rsidR="00721F90" w:rsidRPr="006E6682">
        <w:rPr>
          <w:rFonts w:ascii="Times New Roman" w:eastAsia="Times New Roman" w:hAnsi="Times New Roman"/>
          <w:sz w:val="24"/>
          <w:szCs w:val="24"/>
          <w:lang w:eastAsia="lv-LV"/>
        </w:rPr>
        <w:t xml:space="preserve">LVL 14 056 </w:t>
      </w:r>
      <w:r w:rsidR="004E2706" w:rsidRPr="006E6682">
        <w:rPr>
          <w:rFonts w:ascii="Times New Roman" w:eastAsia="Times New Roman" w:hAnsi="Times New Roman"/>
          <w:sz w:val="24"/>
          <w:szCs w:val="24"/>
          <w:lang w:eastAsia="lv-LV"/>
        </w:rPr>
        <w:t>vai vairāk ir atbilstīgi tikai pamatojoties uz amortizāciju.</w:t>
      </w:r>
      <w:r w:rsidR="00696AF9" w:rsidRPr="006E6682">
        <w:rPr>
          <w:rFonts w:ascii="Times New Roman" w:eastAsia="Times New Roman" w:hAnsi="Times New Roman"/>
          <w:sz w:val="24"/>
          <w:szCs w:val="24"/>
          <w:lang w:eastAsia="lv-LV"/>
        </w:rPr>
        <w:t xml:space="preserve"> </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0B1267" w:rsidRPr="006E6682" w:rsidRDefault="00696AF9" w:rsidP="00337E2A">
      <w:pPr>
        <w:numPr>
          <w:ilvl w:val="0"/>
          <w:numId w:val="4"/>
        </w:numPr>
        <w:spacing w:after="0" w:line="240" w:lineRule="auto"/>
        <w:jc w:val="both"/>
        <w:rPr>
          <w:rFonts w:ascii="Times New Roman" w:eastAsia="Times New Roman" w:hAnsi="Times New Roman"/>
          <w:sz w:val="24"/>
          <w:szCs w:val="24"/>
          <w:lang w:eastAsia="lv-LV"/>
        </w:rPr>
      </w:pPr>
      <w:r w:rsidRPr="006E6682">
        <w:rPr>
          <w:rFonts w:ascii="Times New Roman" w:eastAsia="Times New Roman" w:hAnsi="Times New Roman"/>
          <w:b/>
          <w:sz w:val="24"/>
          <w:szCs w:val="24"/>
          <w:lang w:eastAsia="lv-LV"/>
        </w:rPr>
        <w:lastRenderedPageBreak/>
        <w:t>Nekustamais īpašums</w:t>
      </w:r>
      <w:r w:rsidR="00711911" w:rsidRPr="006E6682">
        <w:rPr>
          <w:rFonts w:ascii="Times New Roman" w:eastAsia="Times New Roman" w:hAnsi="Times New Roman"/>
          <w:b/>
          <w:sz w:val="24"/>
          <w:szCs w:val="24"/>
          <w:lang w:eastAsia="lv-LV"/>
        </w:rPr>
        <w:t>:</w:t>
      </w:r>
    </w:p>
    <w:p w:rsidR="000B1267" w:rsidRPr="006E6682" w:rsidRDefault="00277634"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Nekustamajam īpašumam jāpiemīt projektam nepieciešamajām tehniskajām iezīmēm un tam jāatbilst spēkā esošajām normām un standartiem.</w:t>
      </w:r>
      <w:r w:rsidR="000B1267" w:rsidRPr="006E6682">
        <w:rPr>
          <w:rFonts w:ascii="Times New Roman" w:eastAsia="Times New Roman" w:hAnsi="Times New Roman"/>
          <w:sz w:val="24"/>
          <w:szCs w:val="24"/>
          <w:lang w:eastAsia="lv-LV"/>
        </w:rPr>
        <w:t xml:space="preserve"> </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Finansējumu nekustamā īpašuma </w:t>
      </w:r>
      <w:r w:rsidRPr="006E6682">
        <w:rPr>
          <w:rFonts w:ascii="Times New Roman" w:eastAsia="Times New Roman" w:hAnsi="Times New Roman"/>
          <w:b/>
          <w:sz w:val="24"/>
          <w:szCs w:val="24"/>
          <w:lang w:eastAsia="lv-LV"/>
        </w:rPr>
        <w:t>nomai</w:t>
      </w:r>
      <w:r w:rsidRPr="006E6682">
        <w:rPr>
          <w:rFonts w:ascii="Times New Roman" w:eastAsia="Times New Roman" w:hAnsi="Times New Roman"/>
          <w:sz w:val="24"/>
          <w:szCs w:val="24"/>
          <w:lang w:eastAsia="lv-LV"/>
        </w:rPr>
        <w:t xml:space="preserve"> var saņemt, ja pastāv izprotama saikne starp nomu un attiecīgā projekta mērķiem un ir ievēroti šādi nosacījumi:</w:t>
      </w:r>
    </w:p>
    <w:p w:rsidR="000B1267" w:rsidRPr="006E6682" w:rsidRDefault="00696AF9" w:rsidP="000B1267">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 nekustamais īpašums nav iegādāts, izmantojot Eiropas Savienības finansējumu;</w:t>
      </w:r>
    </w:p>
    <w:p w:rsidR="000B1267" w:rsidRPr="006E6682" w:rsidRDefault="00696AF9" w:rsidP="000B1267">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 nekustamais īpašums izmantojams tikai projekta īstenošanai. Pretējā gadījumā attiecināma ir tikai tā izmaksu daļa, kas ir proporcionāla projekta vajadzībām izmantotajām telpām.</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0B1267" w:rsidRPr="006E6682" w:rsidRDefault="00696AF9" w:rsidP="00337E2A">
      <w:pPr>
        <w:numPr>
          <w:ilvl w:val="0"/>
          <w:numId w:val="4"/>
        </w:numPr>
        <w:spacing w:after="0" w:line="240" w:lineRule="auto"/>
        <w:jc w:val="both"/>
        <w:rPr>
          <w:rFonts w:ascii="Times New Roman" w:eastAsia="Times New Roman" w:hAnsi="Times New Roman"/>
          <w:sz w:val="24"/>
          <w:szCs w:val="24"/>
          <w:lang w:eastAsia="lv-LV"/>
        </w:rPr>
      </w:pPr>
      <w:r w:rsidRPr="006E6682">
        <w:rPr>
          <w:rFonts w:ascii="Times New Roman" w:eastAsia="Times New Roman" w:hAnsi="Times New Roman"/>
          <w:b/>
          <w:sz w:val="24"/>
          <w:szCs w:val="24"/>
          <w:lang w:eastAsia="lv-LV"/>
        </w:rPr>
        <w:t>Palīgmateriāli un vispārīgie pakalpojumi</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sz w:val="24"/>
          <w:szCs w:val="24"/>
          <w:lang w:eastAsia="lv-LV"/>
        </w:rPr>
      </w:pP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Palīgmateriālu, piegādes un citu vispārīgo pakalpojumu izmaksas ir attiecināmas, ja tās ir identificējamas un tieši nepieciešamas projekta īstenošanai.</w:t>
      </w:r>
    </w:p>
    <w:p w:rsidR="006E6682" w:rsidRPr="006E6682" w:rsidRDefault="006E6682" w:rsidP="006E6682">
      <w:pPr>
        <w:spacing w:after="0" w:line="240" w:lineRule="auto"/>
        <w:jc w:val="both"/>
        <w:rPr>
          <w:rFonts w:ascii="Times New Roman" w:eastAsia="Times New Roman" w:hAnsi="Times New Roman"/>
          <w:sz w:val="24"/>
          <w:szCs w:val="24"/>
          <w:lang w:eastAsia="lv-LV"/>
        </w:rPr>
      </w:pP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Biroja preču piegādes izmaksas, kā arī visu veidu sīku administratīvo palīgmateriālu piegādes izmaksas, reprezentācijas izmaksas un izmaksas par vispārīgajiem pakalpojumiem</w:t>
      </w:r>
      <w:r w:rsidR="00277634" w:rsidRPr="006E6682">
        <w:rPr>
          <w:rFonts w:ascii="Times New Roman" w:eastAsia="Times New Roman" w:hAnsi="Times New Roman"/>
          <w:sz w:val="24"/>
          <w:szCs w:val="24"/>
          <w:lang w:eastAsia="lv-LV"/>
        </w:rPr>
        <w:t>, kuras nav nodalītas no iestādes kopējām izmaksām</w:t>
      </w:r>
      <w:r w:rsidR="003D0FF2" w:rsidRPr="006E6682">
        <w:rPr>
          <w:rFonts w:ascii="Times New Roman" w:eastAsia="Times New Roman" w:hAnsi="Times New Roman"/>
          <w:sz w:val="24"/>
          <w:szCs w:val="24"/>
          <w:lang w:eastAsia="lv-LV"/>
        </w:rPr>
        <w:t xml:space="preserve"> un nav tieši nepieciešamas projekta īstenošanā</w:t>
      </w:r>
      <w:r w:rsidRPr="006E6682">
        <w:rPr>
          <w:rFonts w:ascii="Times New Roman" w:eastAsia="Times New Roman" w:hAnsi="Times New Roman"/>
          <w:sz w:val="24"/>
          <w:szCs w:val="24"/>
          <w:lang w:eastAsia="lv-LV"/>
        </w:rPr>
        <w:t xml:space="preserve"> (piemēram,</w:t>
      </w:r>
      <w:r w:rsidR="003D0FF2" w:rsidRPr="006E6682">
        <w:rPr>
          <w:rFonts w:ascii="Times New Roman" w:eastAsia="Times New Roman" w:hAnsi="Times New Roman"/>
          <w:sz w:val="24"/>
          <w:szCs w:val="24"/>
          <w:lang w:eastAsia="lv-LV"/>
        </w:rPr>
        <w:t xml:space="preserve"> kancelejas preces,</w:t>
      </w:r>
      <w:r w:rsidRPr="006E6682">
        <w:rPr>
          <w:rFonts w:ascii="Times New Roman" w:eastAsia="Times New Roman" w:hAnsi="Times New Roman"/>
          <w:sz w:val="24"/>
          <w:szCs w:val="24"/>
          <w:lang w:eastAsia="lv-LV"/>
        </w:rPr>
        <w:t xml:space="preserve"> tālrunis, internets, pasts, biroja uzkopšana, komunālie pakalpojumi, apdrošināšana, personāla mācības un darbā pieņemšanas izmaksas) nav tiešās attiecināmās izmaksas. Tās ietilpst netiešajās</w:t>
      </w:r>
      <w:r w:rsidR="003D0FF2" w:rsidRPr="006E6682">
        <w:rPr>
          <w:rFonts w:ascii="Times New Roman" w:eastAsia="Times New Roman" w:hAnsi="Times New Roman"/>
          <w:sz w:val="24"/>
          <w:szCs w:val="24"/>
          <w:lang w:eastAsia="lv-LV"/>
        </w:rPr>
        <w:t xml:space="preserve"> </w:t>
      </w:r>
      <w:r w:rsidRPr="006E6682">
        <w:rPr>
          <w:rFonts w:ascii="Times New Roman" w:eastAsia="Times New Roman" w:hAnsi="Times New Roman"/>
          <w:sz w:val="24"/>
          <w:szCs w:val="24"/>
          <w:lang w:eastAsia="lv-LV"/>
        </w:rPr>
        <w:t xml:space="preserve">attiecināmajās izmaksās atbilstoši šā pielikuma </w:t>
      </w:r>
      <w:r w:rsidR="00D907FD" w:rsidRPr="006E6682">
        <w:rPr>
          <w:rFonts w:ascii="Times New Roman" w:eastAsia="Times New Roman" w:hAnsi="Times New Roman"/>
          <w:sz w:val="24"/>
          <w:szCs w:val="24"/>
          <w:lang w:eastAsia="lv-LV"/>
        </w:rPr>
        <w:t>II</w:t>
      </w:r>
      <w:r w:rsidR="006F2A2F" w:rsidRPr="006E6682">
        <w:rPr>
          <w:rFonts w:ascii="Times New Roman" w:eastAsia="Times New Roman" w:hAnsi="Times New Roman"/>
          <w:sz w:val="24"/>
          <w:szCs w:val="24"/>
          <w:lang w:eastAsia="lv-LV"/>
        </w:rPr>
        <w:t>I</w:t>
      </w:r>
      <w:r w:rsidR="00D907FD" w:rsidRPr="006E6682">
        <w:rPr>
          <w:rFonts w:ascii="Times New Roman" w:eastAsia="Times New Roman" w:hAnsi="Times New Roman"/>
          <w:sz w:val="24"/>
          <w:szCs w:val="24"/>
          <w:lang w:eastAsia="lv-LV"/>
        </w:rPr>
        <w:t> nodaļa</w:t>
      </w:r>
      <w:r w:rsidR="006F2A2F" w:rsidRPr="006E6682">
        <w:rPr>
          <w:rFonts w:ascii="Times New Roman" w:eastAsia="Times New Roman" w:hAnsi="Times New Roman"/>
          <w:sz w:val="24"/>
          <w:szCs w:val="24"/>
          <w:lang w:eastAsia="lv-LV"/>
        </w:rPr>
        <w:t>i.</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0B1267" w:rsidRPr="006E6682" w:rsidRDefault="006B47B9" w:rsidP="00337E2A">
      <w:pPr>
        <w:numPr>
          <w:ilvl w:val="0"/>
          <w:numId w:val="4"/>
        </w:numPr>
        <w:spacing w:after="0" w:line="240" w:lineRule="auto"/>
        <w:jc w:val="both"/>
        <w:rPr>
          <w:rFonts w:ascii="Times New Roman" w:eastAsia="Times New Roman" w:hAnsi="Times New Roman"/>
          <w:sz w:val="24"/>
          <w:szCs w:val="24"/>
          <w:lang w:eastAsia="lv-LV"/>
        </w:rPr>
      </w:pPr>
      <w:r w:rsidRPr="006E6682">
        <w:rPr>
          <w:rFonts w:ascii="Times New Roman" w:eastAsia="Times New Roman" w:hAnsi="Times New Roman"/>
          <w:b/>
          <w:sz w:val="24"/>
          <w:szCs w:val="24"/>
          <w:lang w:eastAsia="lv-LV"/>
        </w:rPr>
        <w:t>Apakšuzņēmumu līgumi</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sz w:val="24"/>
          <w:szCs w:val="24"/>
          <w:lang w:eastAsia="lv-LV"/>
        </w:rPr>
      </w:pPr>
    </w:p>
    <w:p w:rsidR="000B1267" w:rsidRPr="006E6682" w:rsidRDefault="00BF277F"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Apakšuzņēmumu līgumi </w:t>
      </w:r>
      <w:r w:rsidR="00696AF9" w:rsidRPr="006E6682">
        <w:rPr>
          <w:rFonts w:ascii="Times New Roman" w:eastAsia="Times New Roman" w:hAnsi="Times New Roman"/>
          <w:sz w:val="24"/>
          <w:szCs w:val="24"/>
          <w:lang w:eastAsia="lv-LV"/>
        </w:rPr>
        <w:t xml:space="preserve">(uzņēmumu līgumi, pakalpojumu līgumi, </w:t>
      </w:r>
      <w:proofErr w:type="spellStart"/>
      <w:r w:rsidR="00696AF9" w:rsidRPr="006E6682">
        <w:rPr>
          <w:rFonts w:ascii="Times New Roman" w:eastAsia="Times New Roman" w:hAnsi="Times New Roman"/>
          <w:sz w:val="24"/>
          <w:szCs w:val="24"/>
          <w:lang w:eastAsia="lv-LV"/>
        </w:rPr>
        <w:t>autorlīgumi</w:t>
      </w:r>
      <w:proofErr w:type="spellEnd"/>
      <w:r w:rsidR="00696AF9" w:rsidRPr="006E6682">
        <w:rPr>
          <w:rFonts w:ascii="Times New Roman" w:eastAsia="Times New Roman" w:hAnsi="Times New Roman"/>
          <w:sz w:val="24"/>
          <w:szCs w:val="24"/>
          <w:lang w:eastAsia="lv-LV"/>
        </w:rPr>
        <w:t xml:space="preserve"> un citi līgumi ar darbu izpildītājiem, kuru ietvaros izpildītājs nav tieši padots finansējuma saņēmējam un gūst peļņu</w:t>
      </w:r>
      <w:r w:rsidR="006B47B9" w:rsidRPr="006E6682">
        <w:rPr>
          <w:rFonts w:ascii="Times New Roman" w:eastAsia="Times New Roman" w:hAnsi="Times New Roman"/>
          <w:sz w:val="24"/>
          <w:szCs w:val="24"/>
          <w:lang w:eastAsia="lv-LV"/>
        </w:rPr>
        <w:t>. Apakšuzņēmējs ir trešā persona, kas nav ne projekta finansējuma tiešais saņēmējs, ne projekta partneris, kurš nodrošina palīdzību specifisku darbu un pakalpojumu izpildi, kuru īstenošana nav iespējama tiešajam finansējuma saņēmējam vai partnerim.</w:t>
      </w:r>
      <w:r w:rsidR="00696AF9" w:rsidRPr="006E6682">
        <w:rPr>
          <w:rFonts w:ascii="Times New Roman" w:eastAsia="Times New Roman" w:hAnsi="Times New Roman"/>
          <w:sz w:val="24"/>
          <w:szCs w:val="24"/>
          <w:lang w:eastAsia="lv-LV"/>
        </w:rPr>
        <w:t>)</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Finansējuma saņēmējs ir spējīgs pats īstenot projekta pasākumus, tāpēc finansējuma saņēmējs nevar noslēgt </w:t>
      </w:r>
      <w:r w:rsidR="00BF277F" w:rsidRPr="006E6682">
        <w:rPr>
          <w:rFonts w:ascii="Times New Roman" w:eastAsia="Times New Roman" w:hAnsi="Times New Roman"/>
          <w:sz w:val="24"/>
          <w:szCs w:val="24"/>
          <w:lang w:eastAsia="lv-LV"/>
        </w:rPr>
        <w:t>apakšuzņ</w:t>
      </w:r>
      <w:r w:rsidR="00076F54" w:rsidRPr="006E6682">
        <w:rPr>
          <w:rFonts w:ascii="Times New Roman" w:eastAsia="Times New Roman" w:hAnsi="Times New Roman"/>
          <w:sz w:val="24"/>
          <w:szCs w:val="24"/>
          <w:lang w:eastAsia="lv-LV"/>
        </w:rPr>
        <w:t>ēmumu</w:t>
      </w:r>
      <w:r w:rsidR="00BF277F" w:rsidRPr="006E6682">
        <w:rPr>
          <w:rFonts w:ascii="Times New Roman" w:eastAsia="Times New Roman" w:hAnsi="Times New Roman"/>
          <w:sz w:val="24"/>
          <w:szCs w:val="24"/>
          <w:lang w:eastAsia="lv-LV"/>
        </w:rPr>
        <w:t xml:space="preserve"> līgumus </w:t>
      </w:r>
      <w:r w:rsidRPr="006E6682">
        <w:rPr>
          <w:rFonts w:ascii="Times New Roman" w:eastAsia="Times New Roman" w:hAnsi="Times New Roman"/>
          <w:sz w:val="24"/>
          <w:szCs w:val="24"/>
          <w:lang w:eastAsia="lv-LV"/>
        </w:rPr>
        <w:t xml:space="preserve">par projekta īstenošanu. </w:t>
      </w:r>
      <w:r w:rsidR="00BF277F" w:rsidRPr="006E6682">
        <w:rPr>
          <w:rFonts w:ascii="Times New Roman" w:eastAsia="Times New Roman" w:hAnsi="Times New Roman"/>
          <w:sz w:val="24"/>
          <w:szCs w:val="24"/>
          <w:lang w:eastAsia="lv-LV"/>
        </w:rPr>
        <w:t>Apakšuz</w:t>
      </w:r>
      <w:r w:rsidR="00076F54" w:rsidRPr="006E6682">
        <w:rPr>
          <w:rFonts w:ascii="Times New Roman" w:eastAsia="Times New Roman" w:hAnsi="Times New Roman"/>
          <w:sz w:val="24"/>
          <w:szCs w:val="24"/>
          <w:lang w:eastAsia="lv-LV"/>
        </w:rPr>
        <w:t>ņēmum</w:t>
      </w:r>
      <w:r w:rsidR="00BF277F" w:rsidRPr="006E6682">
        <w:rPr>
          <w:rFonts w:ascii="Times New Roman" w:eastAsia="Times New Roman" w:hAnsi="Times New Roman"/>
          <w:sz w:val="24"/>
          <w:szCs w:val="24"/>
          <w:lang w:eastAsia="lv-LV"/>
        </w:rPr>
        <w:t xml:space="preserve">u līgumu </w:t>
      </w:r>
      <w:r w:rsidRPr="006E6682">
        <w:rPr>
          <w:rFonts w:ascii="Times New Roman" w:eastAsia="Times New Roman" w:hAnsi="Times New Roman"/>
          <w:sz w:val="24"/>
          <w:szCs w:val="24"/>
          <w:lang w:eastAsia="lv-LV"/>
        </w:rPr>
        <w:t>slēgšanas iespēja ir ierobežota, un tā nedrīkst pārsniegt 40 % no projekta tiešajām attiecināmajām izmaksām</w:t>
      </w:r>
      <w:r w:rsidR="00BF277F" w:rsidRPr="006E6682">
        <w:rPr>
          <w:rFonts w:ascii="Times New Roman" w:eastAsia="Times New Roman" w:hAnsi="Times New Roman"/>
          <w:sz w:val="24"/>
          <w:szCs w:val="24"/>
          <w:lang w:eastAsia="lv-LV"/>
        </w:rPr>
        <w:t>.</w:t>
      </w:r>
      <w:r w:rsidR="00847379" w:rsidRPr="006E6682">
        <w:rPr>
          <w:rFonts w:ascii="Times New Roman" w:eastAsia="Times New Roman" w:hAnsi="Times New Roman"/>
          <w:sz w:val="24"/>
          <w:szCs w:val="24"/>
          <w:lang w:eastAsia="lv-LV"/>
        </w:rPr>
        <w:t xml:space="preserve"> Apakšuzņēmumu līgumu izmaksas šo noteikumu izpratnē var būt, piemēram, izmaksas par : tulkošanas pakalpojumiem, izdales materiālu drukāšana, apmācību kursu organizēšana (izmaksās ietilpst</w:t>
      </w:r>
      <w:r w:rsidR="00435A82" w:rsidRPr="006E6682">
        <w:rPr>
          <w:rFonts w:ascii="Times New Roman" w:eastAsia="Times New Roman" w:hAnsi="Times New Roman"/>
          <w:sz w:val="24"/>
          <w:szCs w:val="24"/>
          <w:lang w:eastAsia="lv-LV"/>
        </w:rPr>
        <w:t>, piemēram,</w:t>
      </w:r>
      <w:r w:rsidR="00847379" w:rsidRPr="006E6682">
        <w:rPr>
          <w:rFonts w:ascii="Times New Roman" w:eastAsia="Times New Roman" w:hAnsi="Times New Roman"/>
          <w:sz w:val="24"/>
          <w:szCs w:val="24"/>
          <w:lang w:eastAsia="lv-LV"/>
        </w:rPr>
        <w:t xml:space="preserve"> , aprīkojuma noma</w:t>
      </w:r>
      <w:r w:rsidR="006B47B9" w:rsidRPr="006E6682">
        <w:rPr>
          <w:rFonts w:ascii="Times New Roman" w:eastAsia="Times New Roman" w:hAnsi="Times New Roman"/>
          <w:sz w:val="24"/>
          <w:szCs w:val="24"/>
          <w:lang w:eastAsia="lv-LV"/>
        </w:rPr>
        <w:t xml:space="preserve">), ēdināšanas pakalpojumi, interneta </w:t>
      </w:r>
      <w:proofErr w:type="spellStart"/>
      <w:r w:rsidR="006B47B9" w:rsidRPr="006E6682">
        <w:rPr>
          <w:rFonts w:ascii="Times New Roman" w:eastAsia="Times New Roman" w:hAnsi="Times New Roman"/>
          <w:sz w:val="24"/>
          <w:szCs w:val="24"/>
          <w:lang w:eastAsia="lv-LV"/>
        </w:rPr>
        <w:t>mājaslapas</w:t>
      </w:r>
      <w:proofErr w:type="spellEnd"/>
      <w:r w:rsidR="006B47B9" w:rsidRPr="006E6682">
        <w:rPr>
          <w:rFonts w:ascii="Times New Roman" w:eastAsia="Times New Roman" w:hAnsi="Times New Roman"/>
          <w:sz w:val="24"/>
          <w:szCs w:val="24"/>
          <w:lang w:eastAsia="lv-LV"/>
        </w:rPr>
        <w:t xml:space="preserve"> izstrāde.</w:t>
      </w:r>
      <w:r w:rsidR="00847379" w:rsidRPr="006E6682">
        <w:rPr>
          <w:rFonts w:ascii="Times New Roman" w:eastAsia="Times New Roman" w:hAnsi="Times New Roman"/>
          <w:sz w:val="24"/>
          <w:szCs w:val="24"/>
          <w:lang w:eastAsia="lv-LV"/>
        </w:rPr>
        <w:t xml:space="preserve"> </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Fonda finansējumu nevar saņemt par šādiem apakš</w:t>
      </w:r>
      <w:r w:rsidR="00BF277F" w:rsidRPr="006E6682">
        <w:rPr>
          <w:rFonts w:ascii="Times New Roman" w:eastAsia="Times New Roman" w:hAnsi="Times New Roman"/>
          <w:sz w:val="24"/>
          <w:szCs w:val="24"/>
          <w:lang w:eastAsia="lv-LV"/>
        </w:rPr>
        <w:t>uzņēm</w:t>
      </w:r>
      <w:r w:rsidR="00076F54" w:rsidRPr="006E6682">
        <w:rPr>
          <w:rFonts w:ascii="Times New Roman" w:eastAsia="Times New Roman" w:hAnsi="Times New Roman"/>
          <w:sz w:val="24"/>
          <w:szCs w:val="24"/>
          <w:lang w:eastAsia="lv-LV"/>
        </w:rPr>
        <w:t>umu</w:t>
      </w:r>
      <w:r w:rsidR="00BF277F" w:rsidRPr="006E6682">
        <w:rPr>
          <w:rFonts w:ascii="Times New Roman" w:eastAsia="Times New Roman" w:hAnsi="Times New Roman"/>
          <w:sz w:val="24"/>
          <w:szCs w:val="24"/>
          <w:lang w:eastAsia="lv-LV"/>
        </w:rPr>
        <w:t xml:space="preserve"> </w:t>
      </w:r>
      <w:r w:rsidRPr="006E6682">
        <w:rPr>
          <w:rFonts w:ascii="Times New Roman" w:eastAsia="Times New Roman" w:hAnsi="Times New Roman"/>
          <w:sz w:val="24"/>
          <w:szCs w:val="24"/>
          <w:lang w:eastAsia="lv-LV"/>
        </w:rPr>
        <w:t>līgumiem:</w:t>
      </w:r>
    </w:p>
    <w:p w:rsidR="000B1267" w:rsidRPr="006E6682" w:rsidRDefault="00696AF9" w:rsidP="000B1267">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projekta vispārējās pārvaldības uzdevumu apakš</w:t>
      </w:r>
      <w:r w:rsidR="00372F5B" w:rsidRPr="006E6682">
        <w:rPr>
          <w:rFonts w:ascii="Times New Roman" w:eastAsia="Times New Roman" w:hAnsi="Times New Roman"/>
          <w:sz w:val="24"/>
          <w:szCs w:val="24"/>
          <w:lang w:eastAsia="lv-LV"/>
        </w:rPr>
        <w:t xml:space="preserve">uzņēmumu </w:t>
      </w:r>
      <w:r w:rsidRPr="006E6682">
        <w:rPr>
          <w:rFonts w:ascii="Times New Roman" w:eastAsia="Times New Roman" w:hAnsi="Times New Roman"/>
          <w:sz w:val="24"/>
          <w:szCs w:val="24"/>
          <w:lang w:eastAsia="lv-LV"/>
        </w:rPr>
        <w:t>līgumi</w:t>
      </w:r>
      <w:r w:rsidR="00372F5B" w:rsidRPr="006E6682">
        <w:rPr>
          <w:rFonts w:ascii="Times New Roman" w:eastAsia="Times New Roman" w:hAnsi="Times New Roman"/>
          <w:sz w:val="24"/>
          <w:szCs w:val="24"/>
          <w:lang w:eastAsia="lv-LV"/>
        </w:rPr>
        <w:t>, piemēram, proje</w:t>
      </w:r>
      <w:r w:rsidR="001A1454" w:rsidRPr="006E6682">
        <w:rPr>
          <w:rFonts w:ascii="Times New Roman" w:eastAsia="Times New Roman" w:hAnsi="Times New Roman"/>
          <w:sz w:val="24"/>
          <w:szCs w:val="24"/>
          <w:lang w:eastAsia="lv-LV"/>
        </w:rPr>
        <w:t>kta vadītājs, koordinators</w:t>
      </w:r>
      <w:r w:rsidR="00090581">
        <w:rPr>
          <w:rFonts w:ascii="Times New Roman" w:eastAsia="Times New Roman" w:hAnsi="Times New Roman"/>
          <w:sz w:val="24"/>
          <w:szCs w:val="24"/>
          <w:lang w:eastAsia="lv-LV"/>
        </w:rPr>
        <w:t xml:space="preserve">, </w:t>
      </w:r>
      <w:r w:rsidR="00734789">
        <w:rPr>
          <w:rFonts w:ascii="Times New Roman" w:eastAsia="Times New Roman" w:hAnsi="Times New Roman"/>
          <w:sz w:val="24"/>
          <w:szCs w:val="24"/>
          <w:lang w:eastAsia="lv-LV"/>
        </w:rPr>
        <w:t xml:space="preserve">asistents, </w:t>
      </w:r>
      <w:r w:rsidR="00090581">
        <w:rPr>
          <w:rFonts w:ascii="Times New Roman" w:eastAsia="Times New Roman" w:hAnsi="Times New Roman"/>
          <w:sz w:val="24"/>
          <w:szCs w:val="24"/>
          <w:lang w:eastAsia="lv-LV"/>
        </w:rPr>
        <w:t>grāmatvedis</w:t>
      </w:r>
      <w:r w:rsidR="001A1454" w:rsidRPr="006E6682">
        <w:rPr>
          <w:rFonts w:ascii="Times New Roman" w:eastAsia="Times New Roman" w:hAnsi="Times New Roman"/>
          <w:sz w:val="24"/>
          <w:szCs w:val="24"/>
          <w:lang w:eastAsia="lv-LV"/>
        </w:rPr>
        <w:t>.</w:t>
      </w:r>
      <w:r w:rsidRPr="006E6682">
        <w:rPr>
          <w:rFonts w:ascii="Times New Roman" w:eastAsia="Times New Roman" w:hAnsi="Times New Roman"/>
          <w:sz w:val="24"/>
          <w:szCs w:val="24"/>
          <w:lang w:eastAsia="lv-LV"/>
        </w:rPr>
        <w:t>;</w:t>
      </w:r>
    </w:p>
    <w:p w:rsidR="000B1267" w:rsidRPr="006E6682" w:rsidRDefault="00696AF9" w:rsidP="000B1267">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 apakš</w:t>
      </w:r>
      <w:r w:rsidR="00372F5B" w:rsidRPr="006E6682">
        <w:rPr>
          <w:rFonts w:ascii="Times New Roman" w:eastAsia="Times New Roman" w:hAnsi="Times New Roman"/>
          <w:sz w:val="24"/>
          <w:szCs w:val="24"/>
          <w:lang w:eastAsia="lv-LV"/>
        </w:rPr>
        <w:t xml:space="preserve">uzņēmumu </w:t>
      </w:r>
      <w:r w:rsidRPr="006E6682">
        <w:rPr>
          <w:rFonts w:ascii="Times New Roman" w:eastAsia="Times New Roman" w:hAnsi="Times New Roman"/>
          <w:sz w:val="24"/>
          <w:szCs w:val="24"/>
          <w:lang w:eastAsia="lv-LV"/>
        </w:rPr>
        <w:t>līgumi, kuri palielina projekta izmaksas, taču nerada samērīgu papildu vērtību;</w:t>
      </w:r>
    </w:p>
    <w:p w:rsidR="000B1267" w:rsidRPr="006E6682" w:rsidRDefault="00696AF9" w:rsidP="000B1267">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apakš</w:t>
      </w:r>
      <w:r w:rsidR="00372F5B" w:rsidRPr="006E6682">
        <w:rPr>
          <w:rFonts w:ascii="Times New Roman" w:eastAsia="Times New Roman" w:hAnsi="Times New Roman"/>
          <w:sz w:val="24"/>
          <w:szCs w:val="24"/>
          <w:lang w:eastAsia="lv-LV"/>
        </w:rPr>
        <w:t xml:space="preserve">uzņēmumu </w:t>
      </w:r>
      <w:r w:rsidRPr="006E6682">
        <w:rPr>
          <w:rFonts w:ascii="Times New Roman" w:eastAsia="Times New Roman" w:hAnsi="Times New Roman"/>
          <w:sz w:val="24"/>
          <w:szCs w:val="24"/>
          <w:lang w:eastAsia="lv-LV"/>
        </w:rPr>
        <w:t xml:space="preserve">līgumi ar starpniekiem vai konsultantiem, maksājumu nosakot procentuāli no projekta kopējām izmaksām, ja vien fonda finansējuma </w:t>
      </w:r>
      <w:r w:rsidRPr="006E6682">
        <w:rPr>
          <w:rFonts w:ascii="Times New Roman" w:eastAsia="Times New Roman" w:hAnsi="Times New Roman"/>
          <w:sz w:val="24"/>
          <w:szCs w:val="24"/>
          <w:lang w:eastAsia="lv-LV"/>
        </w:rPr>
        <w:lastRenderedPageBreak/>
        <w:t>saņēmējs šāda veida maksājumu nav pamatojis ar veiktā darba vai pakalpojumu faktisko vērtību.</w:t>
      </w:r>
    </w:p>
    <w:p w:rsidR="000B1267" w:rsidRPr="006E6682" w:rsidRDefault="006E6682" w:rsidP="000B1267">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 a</w:t>
      </w:r>
      <w:r w:rsidR="00696AF9" w:rsidRPr="006E6682">
        <w:rPr>
          <w:rFonts w:ascii="Times New Roman" w:eastAsia="Times New Roman" w:hAnsi="Times New Roman"/>
          <w:sz w:val="24"/>
          <w:szCs w:val="24"/>
          <w:lang w:eastAsia="lv-LV"/>
        </w:rPr>
        <w:t xml:space="preserve">ttiecībā uz </w:t>
      </w:r>
      <w:r w:rsidR="00BF277F" w:rsidRPr="006E6682">
        <w:rPr>
          <w:rFonts w:ascii="Times New Roman" w:eastAsia="Times New Roman" w:hAnsi="Times New Roman"/>
          <w:sz w:val="24"/>
          <w:szCs w:val="24"/>
          <w:lang w:eastAsia="lv-LV"/>
        </w:rPr>
        <w:t xml:space="preserve">visiem </w:t>
      </w:r>
      <w:r w:rsidR="00696AF9" w:rsidRPr="006E6682">
        <w:rPr>
          <w:rFonts w:ascii="Times New Roman" w:eastAsia="Times New Roman" w:hAnsi="Times New Roman"/>
          <w:sz w:val="24"/>
          <w:szCs w:val="24"/>
          <w:lang w:eastAsia="lv-LV"/>
        </w:rPr>
        <w:t>apakš</w:t>
      </w:r>
      <w:r w:rsidR="00BF277F" w:rsidRPr="006E6682">
        <w:rPr>
          <w:rFonts w:ascii="Times New Roman" w:eastAsia="Times New Roman" w:hAnsi="Times New Roman"/>
          <w:sz w:val="24"/>
          <w:szCs w:val="24"/>
          <w:lang w:eastAsia="lv-LV"/>
        </w:rPr>
        <w:t xml:space="preserve">uzņēmumu </w:t>
      </w:r>
      <w:r w:rsidR="00696AF9" w:rsidRPr="006E6682">
        <w:rPr>
          <w:rFonts w:ascii="Times New Roman" w:eastAsia="Times New Roman" w:hAnsi="Times New Roman"/>
          <w:sz w:val="24"/>
          <w:szCs w:val="24"/>
          <w:lang w:eastAsia="lv-LV"/>
        </w:rPr>
        <w:t>līgumiem finansējuma saņēmējs pieprasa</w:t>
      </w:r>
      <w:r w:rsidR="00BF277F" w:rsidRPr="006E6682">
        <w:rPr>
          <w:rFonts w:ascii="Times New Roman" w:eastAsia="Times New Roman" w:hAnsi="Times New Roman"/>
          <w:sz w:val="24"/>
          <w:szCs w:val="24"/>
          <w:lang w:eastAsia="lv-LV"/>
        </w:rPr>
        <w:t xml:space="preserve"> un apakšuzņēmējs apņemas</w:t>
      </w:r>
      <w:r w:rsidR="00696AF9" w:rsidRPr="006E6682">
        <w:rPr>
          <w:rFonts w:ascii="Times New Roman" w:eastAsia="Times New Roman" w:hAnsi="Times New Roman"/>
          <w:sz w:val="24"/>
          <w:szCs w:val="24"/>
          <w:lang w:eastAsia="lv-LV"/>
        </w:rPr>
        <w:t xml:space="preserve"> revīzijas un kontroles iestādēm sniegt visu nepieciešamo informāciju par apakš</w:t>
      </w:r>
      <w:r w:rsidR="00BF277F" w:rsidRPr="006E6682">
        <w:rPr>
          <w:rFonts w:ascii="Times New Roman" w:eastAsia="Times New Roman" w:hAnsi="Times New Roman"/>
          <w:sz w:val="24"/>
          <w:szCs w:val="24"/>
          <w:lang w:eastAsia="lv-LV"/>
        </w:rPr>
        <w:t xml:space="preserve">uzņēmuma </w:t>
      </w:r>
      <w:r w:rsidR="00696AF9" w:rsidRPr="006E6682">
        <w:rPr>
          <w:rFonts w:ascii="Times New Roman" w:eastAsia="Times New Roman" w:hAnsi="Times New Roman"/>
          <w:sz w:val="24"/>
          <w:szCs w:val="24"/>
          <w:lang w:eastAsia="lv-LV"/>
        </w:rPr>
        <w:t>līgumu ietvaros veiktajām darbībām.</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0B1267" w:rsidRPr="006E6682" w:rsidRDefault="00696AF9" w:rsidP="00337E2A">
      <w:pPr>
        <w:numPr>
          <w:ilvl w:val="0"/>
          <w:numId w:val="4"/>
        </w:numPr>
        <w:spacing w:after="0" w:line="240" w:lineRule="auto"/>
        <w:jc w:val="both"/>
        <w:rPr>
          <w:rFonts w:ascii="Times New Roman" w:eastAsia="Times New Roman" w:hAnsi="Times New Roman"/>
          <w:sz w:val="24"/>
          <w:szCs w:val="24"/>
          <w:lang w:eastAsia="lv-LV"/>
        </w:rPr>
      </w:pPr>
      <w:r w:rsidRPr="006E6682">
        <w:rPr>
          <w:rFonts w:ascii="Times New Roman" w:eastAsia="Times New Roman" w:hAnsi="Times New Roman"/>
          <w:b/>
          <w:sz w:val="24"/>
          <w:szCs w:val="24"/>
          <w:lang w:eastAsia="lv-LV"/>
        </w:rPr>
        <w:t>Izmaksas, kas tieši izriet no nosacījumiem saistībā ar Eiropas Savienības finansējumu</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sz w:val="24"/>
          <w:szCs w:val="24"/>
          <w:lang w:eastAsia="lv-LV"/>
        </w:rPr>
      </w:pP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Izmaksas, kas nepieciešamas, lai izpildītu ar Eiropas Savienības finansējumu saistītās prasības (piemēram, izmaksas, kas saistītas ar publicitāti, pārskatāmību, projektu novērtējumu, neatkarīgu revīziju, bankas garantijām, tulkošanas izmaksas</w:t>
      </w:r>
      <w:r w:rsidR="00BF277F" w:rsidRPr="006E6682">
        <w:rPr>
          <w:rFonts w:ascii="Times New Roman" w:eastAsia="Times New Roman" w:hAnsi="Times New Roman"/>
          <w:sz w:val="24"/>
          <w:szCs w:val="24"/>
          <w:lang w:eastAsia="lv-LV"/>
        </w:rPr>
        <w:t xml:space="preserve"> u.tml.</w:t>
      </w:r>
      <w:r w:rsidRPr="006E6682">
        <w:rPr>
          <w:rFonts w:ascii="Times New Roman" w:eastAsia="Times New Roman" w:hAnsi="Times New Roman"/>
          <w:sz w:val="24"/>
          <w:szCs w:val="24"/>
          <w:lang w:eastAsia="lv-LV"/>
        </w:rPr>
        <w:t>), ir tiešās attiecināmās izmaksas</w:t>
      </w:r>
      <w:r w:rsidR="00337E2A" w:rsidRPr="006E6682">
        <w:rPr>
          <w:rFonts w:ascii="Times New Roman" w:eastAsia="Times New Roman" w:hAnsi="Times New Roman"/>
          <w:sz w:val="24"/>
          <w:szCs w:val="24"/>
          <w:lang w:eastAsia="lv-LV"/>
        </w:rPr>
        <w:t>.</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0B1267" w:rsidRPr="006E6682" w:rsidRDefault="00696AF9" w:rsidP="00337E2A">
      <w:pPr>
        <w:numPr>
          <w:ilvl w:val="0"/>
          <w:numId w:val="4"/>
        </w:numPr>
        <w:spacing w:after="0" w:line="240" w:lineRule="auto"/>
        <w:jc w:val="both"/>
        <w:rPr>
          <w:rFonts w:ascii="Times New Roman" w:eastAsia="Times New Roman" w:hAnsi="Times New Roman"/>
          <w:sz w:val="24"/>
          <w:szCs w:val="24"/>
          <w:lang w:eastAsia="lv-LV"/>
        </w:rPr>
      </w:pPr>
      <w:r w:rsidRPr="006E6682">
        <w:rPr>
          <w:rFonts w:ascii="Times New Roman" w:eastAsia="Times New Roman" w:hAnsi="Times New Roman"/>
          <w:b/>
          <w:sz w:val="24"/>
          <w:szCs w:val="24"/>
          <w:lang w:eastAsia="lv-LV"/>
        </w:rPr>
        <w:t>Ekspertu pakalpojumi</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sz w:val="24"/>
          <w:szCs w:val="24"/>
          <w:lang w:eastAsia="lv-LV"/>
        </w:rPr>
      </w:pP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 Maksa par juridiskajām konsultācijām, notāru pakalpojumiem vai tehnisko un finanšu ekspertu atalgojums ir tiešās attiecināmās izmaksas.</w:t>
      </w:r>
      <w:r w:rsidR="00F31132" w:rsidRPr="006E6682">
        <w:rPr>
          <w:rFonts w:ascii="Times New Roman" w:eastAsia="Times New Roman" w:hAnsi="Times New Roman"/>
          <w:sz w:val="24"/>
          <w:szCs w:val="24"/>
          <w:lang w:eastAsia="lv-LV"/>
        </w:rPr>
        <w:t xml:space="preserve"> Eksperta izmaksas šo noteikumu izpratnē ir vienreizējas, specifiskas izmaksas</w:t>
      </w:r>
      <w:r w:rsidR="00E1012F" w:rsidRPr="006E6682">
        <w:rPr>
          <w:rFonts w:ascii="Times New Roman" w:eastAsia="Times New Roman" w:hAnsi="Times New Roman"/>
          <w:sz w:val="24"/>
          <w:szCs w:val="24"/>
          <w:lang w:eastAsia="lv-LV"/>
        </w:rPr>
        <w:t xml:space="preserve"> ar augstu pievienoto vērtību</w:t>
      </w:r>
      <w:r w:rsidR="00F31132" w:rsidRPr="006E6682">
        <w:rPr>
          <w:rFonts w:ascii="Times New Roman" w:eastAsia="Times New Roman" w:hAnsi="Times New Roman"/>
          <w:sz w:val="24"/>
          <w:szCs w:val="24"/>
          <w:lang w:eastAsia="lv-LV"/>
        </w:rPr>
        <w:t>, kas radušās piesaistot sertificētus ekspertus</w:t>
      </w:r>
      <w:r w:rsidR="00E1012F" w:rsidRPr="006E6682">
        <w:rPr>
          <w:rFonts w:ascii="Times New Roman" w:eastAsia="Times New Roman" w:hAnsi="Times New Roman"/>
          <w:sz w:val="24"/>
          <w:szCs w:val="24"/>
          <w:lang w:eastAsia="lv-LV"/>
        </w:rPr>
        <w:t>.</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0B1267" w:rsidRPr="006E6682" w:rsidRDefault="00E82D74" w:rsidP="00337E2A">
      <w:pPr>
        <w:numPr>
          <w:ilvl w:val="0"/>
          <w:numId w:val="4"/>
        </w:numPr>
        <w:spacing w:after="0" w:line="240" w:lineRule="auto"/>
        <w:jc w:val="both"/>
        <w:rPr>
          <w:rFonts w:ascii="Times New Roman" w:eastAsia="Times New Roman" w:hAnsi="Times New Roman"/>
          <w:sz w:val="24"/>
          <w:szCs w:val="24"/>
          <w:lang w:eastAsia="lv-LV"/>
        </w:rPr>
      </w:pPr>
      <w:r w:rsidRPr="006E6682">
        <w:rPr>
          <w:rFonts w:ascii="Times New Roman" w:eastAsia="Times New Roman" w:hAnsi="Times New Roman"/>
          <w:b/>
          <w:sz w:val="24"/>
          <w:szCs w:val="24"/>
          <w:lang w:eastAsia="lv-LV"/>
        </w:rPr>
        <w:t>Īpašie izdevumi saistībā ar trešo valstu valstspiederīgajiem, uz kuriem attiecas fonda piemērošanas joma</w:t>
      </w:r>
      <w:r w:rsidR="00711911" w:rsidRPr="006E6682">
        <w:rPr>
          <w:rFonts w:ascii="Times New Roman" w:eastAsia="Times New Roman" w:hAnsi="Times New Roman"/>
          <w:b/>
          <w:sz w:val="24"/>
          <w:szCs w:val="24"/>
          <w:lang w:eastAsia="lv-LV"/>
        </w:rPr>
        <w:t>:</w:t>
      </w:r>
    </w:p>
    <w:p w:rsidR="00711911" w:rsidRPr="006E6682" w:rsidRDefault="00711911" w:rsidP="00711911">
      <w:pPr>
        <w:spacing w:after="0" w:line="240" w:lineRule="auto"/>
        <w:ind w:left="360"/>
        <w:jc w:val="both"/>
        <w:rPr>
          <w:rFonts w:ascii="Times New Roman" w:eastAsia="Times New Roman" w:hAnsi="Times New Roman"/>
          <w:sz w:val="24"/>
          <w:szCs w:val="24"/>
          <w:lang w:eastAsia="lv-LV"/>
        </w:rPr>
      </w:pPr>
    </w:p>
    <w:p w:rsidR="000B1267" w:rsidRPr="006E6682" w:rsidRDefault="00E82D74"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Pirkumi, ko finansējuma saņēmējs palīdzības sniegšanas nolūkā veic saistībā ar trešo valstu valstspiederīgajiem, uz kuriem attiecas fonda piemērošanas joma saskaņā ar pamatdokumentā sniegto definīciju, un tiešā saņēmēja veiktie izdevumu atlīdzināšanas maksājumi šīm personām ir atbilstīgi izdevumi, ievērojot šādus īpašus nosacījumus:</w:t>
      </w:r>
    </w:p>
    <w:p w:rsidR="000B1267" w:rsidRPr="006E6682" w:rsidRDefault="00E82D74" w:rsidP="000B1267">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tiešais saņēmējs </w:t>
      </w:r>
      <w:r w:rsidR="009B5EB4" w:rsidRPr="006E6682">
        <w:rPr>
          <w:rFonts w:ascii="Times New Roman" w:eastAsia="Times New Roman" w:hAnsi="Times New Roman"/>
          <w:sz w:val="24"/>
          <w:szCs w:val="24"/>
          <w:lang w:eastAsia="lv-LV"/>
        </w:rPr>
        <w:t>MK noteikumos</w:t>
      </w:r>
      <w:r w:rsidRPr="006E6682">
        <w:rPr>
          <w:rFonts w:ascii="Times New Roman" w:eastAsia="Times New Roman" w:hAnsi="Times New Roman"/>
          <w:sz w:val="24"/>
          <w:szCs w:val="24"/>
          <w:lang w:eastAsia="lv-LV"/>
        </w:rPr>
        <w:t xml:space="preserve"> noteikto laiku glabā visu nepieciešamo informāciju un pierādījumus, ka uz trešo valstu valstspiederīgajiem, kas saņēmuši minēto palīdzību, attiecas fonda piemērošanas joma saskaņā ar pamatdokumentā sniegto definīciju; </w:t>
      </w:r>
    </w:p>
    <w:p w:rsidR="000B1267" w:rsidRPr="006E6682" w:rsidRDefault="00E82D74" w:rsidP="000B1267">
      <w:pPr>
        <w:numPr>
          <w:ilvl w:val="2"/>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 tiešais saņēmējs </w:t>
      </w:r>
      <w:r w:rsidR="00CD0633" w:rsidRPr="006E6682">
        <w:rPr>
          <w:rFonts w:ascii="Times New Roman" w:eastAsia="Times New Roman" w:hAnsi="Times New Roman"/>
          <w:sz w:val="24"/>
          <w:szCs w:val="24"/>
          <w:lang w:eastAsia="lv-LV"/>
        </w:rPr>
        <w:t>MK noteikumos</w:t>
      </w:r>
      <w:r w:rsidRPr="006E6682">
        <w:rPr>
          <w:rFonts w:ascii="Times New Roman" w:eastAsia="Times New Roman" w:hAnsi="Times New Roman"/>
          <w:sz w:val="24"/>
          <w:szCs w:val="24"/>
          <w:lang w:eastAsia="lv-LV"/>
        </w:rPr>
        <w:t xml:space="preserve"> noteikto laiku glabā pierādījumus par trešo valstu valstspiederīga</w:t>
      </w:r>
      <w:r w:rsidR="007B666D" w:rsidRPr="006E6682">
        <w:rPr>
          <w:rFonts w:ascii="Times New Roman" w:eastAsia="Times New Roman" w:hAnsi="Times New Roman"/>
          <w:sz w:val="24"/>
          <w:szCs w:val="24"/>
          <w:lang w:eastAsia="lv-LV"/>
        </w:rPr>
        <w:t>jiem sniegto palīdzību (</w:t>
      </w:r>
      <w:r w:rsidR="00CD0633" w:rsidRPr="006E6682">
        <w:rPr>
          <w:rFonts w:ascii="Times New Roman" w:eastAsia="Times New Roman" w:hAnsi="Times New Roman"/>
          <w:sz w:val="24"/>
          <w:szCs w:val="24"/>
          <w:lang w:eastAsia="lv-LV"/>
        </w:rPr>
        <w:t xml:space="preserve">piemēram: rēķinus, kvītis un/vai apstiprinātus </w:t>
      </w:r>
      <w:r w:rsidR="007B666D" w:rsidRPr="006E6682">
        <w:rPr>
          <w:rFonts w:ascii="Times New Roman" w:eastAsia="Times New Roman" w:hAnsi="Times New Roman"/>
          <w:sz w:val="24"/>
          <w:szCs w:val="24"/>
          <w:lang w:eastAsia="lv-LV"/>
        </w:rPr>
        <w:t>maksājuma uzdevumu</w:t>
      </w:r>
      <w:r w:rsidR="00CD0633" w:rsidRPr="006E6682">
        <w:rPr>
          <w:rFonts w:ascii="Times New Roman" w:eastAsia="Times New Roman" w:hAnsi="Times New Roman"/>
          <w:sz w:val="24"/>
          <w:szCs w:val="24"/>
          <w:lang w:eastAsia="lv-LV"/>
        </w:rPr>
        <w:t>s</w:t>
      </w:r>
      <w:r w:rsidRPr="006E6682">
        <w:rPr>
          <w:rFonts w:ascii="Times New Roman" w:eastAsia="Times New Roman" w:hAnsi="Times New Roman"/>
          <w:sz w:val="24"/>
          <w:szCs w:val="24"/>
          <w:lang w:eastAsia="lv-LV"/>
        </w:rPr>
        <w:t>).</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600B95" w:rsidRPr="00831F67" w:rsidRDefault="00E82D74"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Tādu darbību gadījumā, kad nepieciešams, lai fonda piemērošanas jomā ietilpstošās personas tās apmeklētu (piemēram, mācību pasākums), var izdalīt nelielas naudas prēmijas kā papildu palīdzību ar noteikumu, ka to kopējā summa vienā projektā nepārsniedz </w:t>
      </w:r>
      <w:r w:rsidR="00721F90" w:rsidRPr="006E6682">
        <w:rPr>
          <w:rFonts w:ascii="Times New Roman" w:eastAsia="Times New Roman" w:hAnsi="Times New Roman"/>
          <w:sz w:val="24"/>
          <w:szCs w:val="24"/>
          <w:lang w:eastAsia="lv-LV"/>
        </w:rPr>
        <w:t>LVL 17 570</w:t>
      </w:r>
      <w:r w:rsidRPr="006E6682">
        <w:rPr>
          <w:rFonts w:ascii="Times New Roman" w:eastAsia="Times New Roman" w:hAnsi="Times New Roman"/>
          <w:sz w:val="24"/>
          <w:szCs w:val="24"/>
          <w:lang w:eastAsia="lv-LV"/>
        </w:rPr>
        <w:t xml:space="preserve"> un tās izdala katrai personai attiecīgajā pasākumā, kursā vai cita veida darbībā. Tiešais saņēmējs glabā personu sarakstu, kurā fiksēts maksājuma laiks un datums, un nodrošina atbilstošus pasākumus, lai izvairītos no dubultas finansēšanas un līdzekļu ļaunprātīgas izmantošanas</w:t>
      </w:r>
    </w:p>
    <w:p w:rsidR="000B1267" w:rsidRPr="006E6682" w:rsidRDefault="000B1267" w:rsidP="000B1267">
      <w:pPr>
        <w:spacing w:after="0" w:line="240" w:lineRule="auto"/>
        <w:ind w:left="360"/>
        <w:jc w:val="center"/>
        <w:rPr>
          <w:rFonts w:ascii="Times New Roman" w:eastAsia="Times New Roman" w:hAnsi="Times New Roman"/>
          <w:b/>
          <w:sz w:val="24"/>
          <w:szCs w:val="24"/>
          <w:lang w:eastAsia="lv-LV"/>
        </w:rPr>
      </w:pPr>
      <w:r w:rsidRPr="006E6682">
        <w:rPr>
          <w:rFonts w:ascii="Times New Roman" w:eastAsia="Times New Roman" w:hAnsi="Times New Roman"/>
          <w:b/>
          <w:sz w:val="24"/>
          <w:szCs w:val="24"/>
          <w:lang w:eastAsia="lv-LV"/>
        </w:rPr>
        <w:t>III Netiešās attiecināmās izmaksas</w:t>
      </w:r>
    </w:p>
    <w:p w:rsidR="00453DDF" w:rsidRPr="006E6682" w:rsidRDefault="00453DDF" w:rsidP="00453DDF">
      <w:pPr>
        <w:spacing w:after="0" w:line="240" w:lineRule="auto"/>
        <w:jc w:val="both"/>
        <w:rPr>
          <w:rFonts w:ascii="Times New Roman" w:eastAsia="Times New Roman" w:hAnsi="Times New Roman"/>
          <w:sz w:val="24"/>
          <w:szCs w:val="24"/>
          <w:lang w:eastAsia="lv-LV"/>
        </w:rPr>
      </w:pPr>
    </w:p>
    <w:p w:rsidR="000B1267" w:rsidRPr="006E6682" w:rsidRDefault="00A4355F" w:rsidP="000B1267">
      <w:pPr>
        <w:numPr>
          <w:ilvl w:val="0"/>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Darbības atbilstīgās netiešās izmaksas ir tās izmaksas, kas ņemot vērā šā pielikuma </w:t>
      </w:r>
      <w:r w:rsidR="00435A82" w:rsidRPr="006E6682">
        <w:rPr>
          <w:rFonts w:ascii="Times New Roman" w:eastAsia="Times New Roman" w:hAnsi="Times New Roman"/>
          <w:sz w:val="24"/>
          <w:szCs w:val="24"/>
          <w:lang w:eastAsia="lv-LV"/>
        </w:rPr>
        <w:t xml:space="preserve">1. </w:t>
      </w:r>
      <w:r w:rsidRPr="006E6682">
        <w:rPr>
          <w:rFonts w:ascii="Times New Roman" w:eastAsia="Times New Roman" w:hAnsi="Times New Roman"/>
          <w:sz w:val="24"/>
          <w:szCs w:val="24"/>
          <w:lang w:eastAsia="lv-LV"/>
        </w:rPr>
        <w:t xml:space="preserve">punktā minētos atbilstības noteikumus nav uzskatāms par īpašām izmaksām, kas tieši saistītas ar projektu darbību. </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0B1267" w:rsidRPr="006E6682" w:rsidRDefault="00A4355F" w:rsidP="000B1267">
      <w:pPr>
        <w:numPr>
          <w:ilvl w:val="0"/>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lastRenderedPageBreak/>
        <w:t>Atkāpjoties no</w:t>
      </w:r>
      <w:r w:rsidR="00D34455" w:rsidRPr="006E6682">
        <w:rPr>
          <w:rFonts w:ascii="Times New Roman" w:eastAsia="Times New Roman" w:hAnsi="Times New Roman"/>
          <w:sz w:val="24"/>
          <w:szCs w:val="24"/>
          <w:lang w:eastAsia="lv-LV"/>
        </w:rPr>
        <w:t xml:space="preserve"> </w:t>
      </w:r>
      <w:r w:rsidR="00C81D35" w:rsidRPr="006E6682">
        <w:rPr>
          <w:rFonts w:ascii="Times New Roman" w:eastAsia="Times New Roman" w:hAnsi="Times New Roman"/>
          <w:sz w:val="24"/>
          <w:szCs w:val="24"/>
          <w:lang w:eastAsia="lv-LV"/>
        </w:rPr>
        <w:t>1.1.5.</w:t>
      </w:r>
      <w:r w:rsidR="004837CD" w:rsidRPr="006E6682">
        <w:rPr>
          <w:rFonts w:ascii="Times New Roman" w:eastAsia="Times New Roman" w:hAnsi="Times New Roman"/>
          <w:sz w:val="24"/>
          <w:szCs w:val="24"/>
          <w:lang w:eastAsia="lv-LV"/>
        </w:rPr>
        <w:t>apakšpunkta un</w:t>
      </w:r>
      <w:r w:rsidR="00C81D35" w:rsidRPr="006E6682">
        <w:rPr>
          <w:rFonts w:ascii="Times New Roman" w:eastAsia="Times New Roman" w:hAnsi="Times New Roman"/>
          <w:sz w:val="24"/>
          <w:szCs w:val="24"/>
          <w:lang w:eastAsia="lv-LV"/>
        </w:rPr>
        <w:t xml:space="preserve"> 5.p</w:t>
      </w:r>
      <w:r w:rsidR="004837CD" w:rsidRPr="006E6682">
        <w:rPr>
          <w:rFonts w:ascii="Times New Roman" w:eastAsia="Times New Roman" w:hAnsi="Times New Roman"/>
          <w:sz w:val="24"/>
          <w:szCs w:val="24"/>
          <w:lang w:eastAsia="lv-LV"/>
        </w:rPr>
        <w:t>unkta, darbības īstenošanas netiešās izmaksas var būt atbilstīgas fiksētas vienotas likmes finansējuma ietvaros, kurš nepārsniedz 7% no kopējām atbilstīgām tiešajām izmaksām.</w:t>
      </w:r>
      <w:r w:rsidR="003A4B8F" w:rsidRPr="006E6682">
        <w:rPr>
          <w:rFonts w:ascii="Times New Roman" w:hAnsi="Times New Roman"/>
          <w:sz w:val="24"/>
          <w:szCs w:val="24"/>
        </w:rPr>
        <w:t xml:space="preserve"> Netiešajās attiecināmajās izmaksās var iekļaut sakaru (</w:t>
      </w:r>
      <w:r w:rsidR="00435A82" w:rsidRPr="006E6682">
        <w:rPr>
          <w:rFonts w:ascii="Times New Roman" w:hAnsi="Times New Roman"/>
          <w:sz w:val="24"/>
          <w:szCs w:val="24"/>
        </w:rPr>
        <w:t xml:space="preserve">piemēram, </w:t>
      </w:r>
      <w:r w:rsidR="003A4B8F" w:rsidRPr="006E6682">
        <w:rPr>
          <w:rFonts w:ascii="Times New Roman" w:hAnsi="Times New Roman"/>
          <w:sz w:val="24"/>
          <w:szCs w:val="24"/>
        </w:rPr>
        <w:t xml:space="preserve">telefona, interneta) izmaksas, pasta, telpu uzkopšanas, komunālo maksājumu, apdrošināšanas, kancelejas preču izmaksas. </w:t>
      </w:r>
    </w:p>
    <w:p w:rsidR="00711911" w:rsidRPr="006E6682" w:rsidRDefault="00711911" w:rsidP="00711911">
      <w:pPr>
        <w:spacing w:after="0" w:line="240" w:lineRule="auto"/>
        <w:jc w:val="both"/>
        <w:rPr>
          <w:rFonts w:ascii="Times New Roman" w:eastAsia="Times New Roman" w:hAnsi="Times New Roman"/>
          <w:sz w:val="24"/>
          <w:szCs w:val="24"/>
          <w:lang w:eastAsia="lv-LV"/>
        </w:rPr>
      </w:pPr>
    </w:p>
    <w:p w:rsidR="004837CD" w:rsidRPr="006E6682" w:rsidRDefault="004837CD" w:rsidP="000B1267">
      <w:pPr>
        <w:numPr>
          <w:ilvl w:val="0"/>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Finansējuma saņēmējiem, kas savas darbības nodrošināšanai saņem finansējumu no Eiropas Savienības budžeta, netiešās attiecināmās izmaksas nav attiecināmas.</w:t>
      </w:r>
    </w:p>
    <w:p w:rsidR="000B1267" w:rsidRPr="006E6682" w:rsidRDefault="0064293E" w:rsidP="000B1267">
      <w:pPr>
        <w:spacing w:before="100" w:beforeAutospacing="1" w:after="100" w:afterAutospacing="1" w:line="240" w:lineRule="auto"/>
        <w:jc w:val="center"/>
        <w:rPr>
          <w:rFonts w:ascii="Times New Roman" w:eastAsia="Times New Roman" w:hAnsi="Times New Roman"/>
          <w:b/>
          <w:sz w:val="24"/>
          <w:szCs w:val="24"/>
          <w:lang w:eastAsia="lv-LV"/>
        </w:rPr>
      </w:pPr>
      <w:r w:rsidRPr="006E6682">
        <w:rPr>
          <w:rFonts w:ascii="Times New Roman" w:eastAsia="Times New Roman" w:hAnsi="Times New Roman"/>
          <w:b/>
          <w:sz w:val="24"/>
          <w:szCs w:val="24"/>
          <w:lang w:eastAsia="lv-LV"/>
        </w:rPr>
        <w:t xml:space="preserve">IV </w:t>
      </w:r>
      <w:r w:rsidR="000B1267" w:rsidRPr="006E6682">
        <w:rPr>
          <w:rFonts w:ascii="Times New Roman" w:eastAsia="Times New Roman" w:hAnsi="Times New Roman"/>
          <w:b/>
          <w:sz w:val="24"/>
          <w:szCs w:val="24"/>
          <w:lang w:eastAsia="lv-LV"/>
        </w:rPr>
        <w:t>Neattiecināmās izmaksas</w:t>
      </w:r>
    </w:p>
    <w:p w:rsidR="000B1267" w:rsidRPr="006E6682" w:rsidRDefault="00696AF9" w:rsidP="000B1267">
      <w:pPr>
        <w:numPr>
          <w:ilvl w:val="0"/>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Neattiecināmās izmaksas ir šādas:</w:t>
      </w: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pievienotās vērtības nodoklis, izņemot gadījumu, ja finansējuma saņēmējs var pierādīt, ka viņš nespēj to atgūt;</w:t>
      </w: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 </w:t>
      </w:r>
      <w:r w:rsidR="006B2955" w:rsidRPr="006E6682">
        <w:rPr>
          <w:rFonts w:ascii="Times New Roman" w:eastAsia="Times New Roman" w:hAnsi="Times New Roman"/>
          <w:sz w:val="24"/>
          <w:szCs w:val="24"/>
          <w:lang w:eastAsia="lv-LV"/>
        </w:rPr>
        <w:t>starpniecības pakalpojumi</w:t>
      </w:r>
      <w:r w:rsidR="002D0A11" w:rsidRPr="006E6682">
        <w:rPr>
          <w:rFonts w:ascii="Times New Roman" w:eastAsia="Times New Roman" w:hAnsi="Times New Roman"/>
          <w:sz w:val="24"/>
          <w:szCs w:val="24"/>
          <w:lang w:eastAsia="lv-LV"/>
        </w:rPr>
        <w:t xml:space="preserve">, kas neatbilst šī pielikuma </w:t>
      </w:r>
      <w:r w:rsidR="00C81D35" w:rsidRPr="006E6682">
        <w:rPr>
          <w:rFonts w:ascii="Times New Roman" w:eastAsia="Times New Roman" w:hAnsi="Times New Roman"/>
          <w:sz w:val="24"/>
          <w:szCs w:val="24"/>
          <w:lang w:eastAsia="lv-LV"/>
        </w:rPr>
        <w:t>1.1.</w:t>
      </w:r>
      <w:r w:rsidR="00435A82" w:rsidRPr="006E6682">
        <w:rPr>
          <w:rFonts w:ascii="Times New Roman" w:eastAsia="Times New Roman" w:hAnsi="Times New Roman"/>
          <w:sz w:val="24"/>
          <w:szCs w:val="24"/>
          <w:lang w:eastAsia="lv-LV"/>
        </w:rPr>
        <w:t>apakš</w:t>
      </w:r>
      <w:r w:rsidR="002D0A11" w:rsidRPr="006E6682">
        <w:rPr>
          <w:rFonts w:ascii="Times New Roman" w:eastAsia="Times New Roman" w:hAnsi="Times New Roman"/>
          <w:sz w:val="24"/>
          <w:szCs w:val="24"/>
          <w:lang w:eastAsia="lv-LV"/>
        </w:rPr>
        <w:t xml:space="preserve">punkta </w:t>
      </w:r>
      <w:r w:rsidR="00C81D35" w:rsidRPr="006E6682">
        <w:rPr>
          <w:rFonts w:ascii="Times New Roman" w:eastAsia="Times New Roman" w:hAnsi="Times New Roman"/>
          <w:sz w:val="24"/>
          <w:szCs w:val="24"/>
          <w:lang w:eastAsia="lv-LV"/>
        </w:rPr>
        <w:t>1.1.4.</w:t>
      </w:r>
      <w:r w:rsidR="002D0A11" w:rsidRPr="006E6682">
        <w:rPr>
          <w:rFonts w:ascii="Times New Roman" w:eastAsia="Times New Roman" w:hAnsi="Times New Roman"/>
          <w:sz w:val="24"/>
          <w:szCs w:val="24"/>
          <w:lang w:eastAsia="lv-LV"/>
        </w:rPr>
        <w:t>apakšpunktā noteiktajam;</w:t>
      </w: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kapitāla peļņa, parādi un parādu apkalpošanas izmaksas, debeta procenti, ārvalstu valūtas maiņas komisijas maksa un zaudējumi valūtas kursa svārstību dēļ, uzkrājumi zaudējumiem vai iespējamām saistībām nākotnē, procentu maksājumi, apšaubāmi parādi, soda naudas, naudas sodi, finansiālas sankcijas, ar tiesāšanos saistītas izmaksas un pārmērīgi vai nepamatoti izdevumi;</w:t>
      </w: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reprezentācijas izmaksas, kas attiecas tikai uz projekta darbiniekiem. Ir attiecināmas saprātīgas reprezentācijas izmaksas saviesīgiem pasākumiem, ko attaisno projekta veids, piemēram, izmaksas projekta noslēguma pasākumam vai projekta koordinācijas grupas sanāksmēm;</w:t>
      </w: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 xml:space="preserve"> izmaksas, ko deklarējis finansējuma saņēmējs un kas attiecas uz citu projektu vai darba programmu, kura saņem Eiropas Savienības finansējumu;</w:t>
      </w:r>
    </w:p>
    <w:p w:rsidR="000B1267"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zemes iegāde</w:t>
      </w:r>
      <w:r w:rsidR="00511FA9" w:rsidRPr="006E6682">
        <w:rPr>
          <w:rFonts w:ascii="Times New Roman" w:eastAsia="Times New Roman" w:hAnsi="Times New Roman"/>
          <w:sz w:val="24"/>
          <w:szCs w:val="24"/>
          <w:lang w:eastAsia="lv-LV"/>
        </w:rPr>
        <w:t>, nekustamā īpašuma iegāde, būvniecība un atjaunošana</w:t>
      </w:r>
      <w:r w:rsidRPr="006E6682">
        <w:rPr>
          <w:rFonts w:ascii="Times New Roman" w:eastAsia="Times New Roman" w:hAnsi="Times New Roman"/>
          <w:sz w:val="24"/>
          <w:szCs w:val="24"/>
          <w:lang w:eastAsia="lv-LV"/>
        </w:rPr>
        <w:t>;</w:t>
      </w:r>
    </w:p>
    <w:p w:rsidR="00696AF9" w:rsidRPr="006E6682" w:rsidRDefault="00696AF9" w:rsidP="000B1267">
      <w:pPr>
        <w:numPr>
          <w:ilvl w:val="1"/>
          <w:numId w:val="4"/>
        </w:numPr>
        <w:spacing w:after="0" w:line="240" w:lineRule="auto"/>
        <w:ind w:left="0" w:firstLine="0"/>
        <w:jc w:val="both"/>
        <w:rPr>
          <w:rFonts w:ascii="Times New Roman" w:eastAsia="Times New Roman" w:hAnsi="Times New Roman"/>
          <w:sz w:val="24"/>
          <w:szCs w:val="24"/>
          <w:lang w:eastAsia="lv-LV"/>
        </w:rPr>
      </w:pPr>
      <w:r w:rsidRPr="006E6682">
        <w:rPr>
          <w:rFonts w:ascii="Times New Roman" w:eastAsia="Times New Roman" w:hAnsi="Times New Roman"/>
          <w:sz w:val="24"/>
          <w:szCs w:val="24"/>
          <w:lang w:eastAsia="lv-LV"/>
        </w:rPr>
        <w:t>ieguldījumi natūrā.</w:t>
      </w:r>
    </w:p>
    <w:p w:rsidR="008F5911" w:rsidRPr="006E6682" w:rsidRDefault="008F5911" w:rsidP="008E7E04">
      <w:pPr>
        <w:jc w:val="both"/>
        <w:rPr>
          <w:rFonts w:ascii="Times New Roman" w:hAnsi="Times New Roman"/>
          <w:sz w:val="24"/>
          <w:szCs w:val="24"/>
        </w:rPr>
      </w:pPr>
    </w:p>
    <w:p w:rsidR="00FD202E" w:rsidRPr="006E6682" w:rsidRDefault="00B81A83" w:rsidP="00FD202E">
      <w:pPr>
        <w:pStyle w:val="NChar1CharCharCharCharCharChar"/>
        <w:rPr>
          <w:sz w:val="24"/>
          <w:szCs w:val="24"/>
        </w:rPr>
      </w:pPr>
      <w:r>
        <w:rPr>
          <w:sz w:val="24"/>
          <w:szCs w:val="24"/>
        </w:rPr>
        <w:t>Ministru prezidents</w:t>
      </w:r>
      <w:proofErr w:type="gramStart"/>
      <w:r>
        <w:rPr>
          <w:sz w:val="24"/>
          <w:szCs w:val="24"/>
        </w:rPr>
        <w:t xml:space="preserve">                                                                             </w:t>
      </w:r>
      <w:proofErr w:type="spellStart"/>
      <w:proofErr w:type="gramEnd"/>
      <w:r w:rsidR="00FD202E" w:rsidRPr="006E6682">
        <w:rPr>
          <w:sz w:val="24"/>
          <w:szCs w:val="24"/>
        </w:rPr>
        <w:t>V.Dombrovskis</w:t>
      </w:r>
      <w:proofErr w:type="spellEnd"/>
    </w:p>
    <w:p w:rsidR="00FD202E" w:rsidRPr="006E6682" w:rsidRDefault="00FD202E" w:rsidP="00FD202E">
      <w:pPr>
        <w:pStyle w:val="NChar1CharCharCharCharCharChar"/>
        <w:rPr>
          <w:sz w:val="24"/>
          <w:szCs w:val="24"/>
        </w:rPr>
      </w:pPr>
    </w:p>
    <w:p w:rsidR="00FD202E" w:rsidRPr="006E6682" w:rsidRDefault="00FD202E" w:rsidP="00FD202E">
      <w:pPr>
        <w:pStyle w:val="Bezatstarpm"/>
        <w:jc w:val="both"/>
        <w:rPr>
          <w:rFonts w:ascii="Times New Roman" w:hAnsi="Times New Roman"/>
          <w:sz w:val="24"/>
          <w:szCs w:val="24"/>
        </w:rPr>
      </w:pPr>
    </w:p>
    <w:p w:rsidR="00414C1F" w:rsidRDefault="00414C1F" w:rsidP="00414C1F">
      <w:pPr>
        <w:pStyle w:val="Bezatstarpm"/>
        <w:tabs>
          <w:tab w:val="right" w:pos="9781"/>
        </w:tabs>
        <w:jc w:val="both"/>
        <w:rPr>
          <w:rFonts w:ascii="Times New Roman" w:hAnsi="Times New Roman"/>
          <w:sz w:val="24"/>
          <w:szCs w:val="24"/>
        </w:rPr>
      </w:pPr>
      <w:r>
        <w:rPr>
          <w:rFonts w:ascii="Times New Roman" w:hAnsi="Times New Roman"/>
          <w:sz w:val="24"/>
          <w:szCs w:val="24"/>
        </w:rPr>
        <w:t>Kultūras ministre</w:t>
      </w:r>
      <w:r>
        <w:rPr>
          <w:rFonts w:ascii="Times New Roman" w:hAnsi="Times New Roman"/>
          <w:sz w:val="24"/>
          <w:szCs w:val="24"/>
        </w:rPr>
        <w:tab/>
      </w:r>
      <w:proofErr w:type="spellStart"/>
      <w:r>
        <w:rPr>
          <w:rFonts w:ascii="Times New Roman" w:hAnsi="Times New Roman"/>
          <w:sz w:val="24"/>
          <w:szCs w:val="24"/>
        </w:rPr>
        <w:t>Ž.Jaunzeme</w:t>
      </w:r>
      <w:proofErr w:type="spellEnd"/>
      <w:r>
        <w:rPr>
          <w:rFonts w:ascii="Times New Roman" w:hAnsi="Times New Roman"/>
          <w:sz w:val="24"/>
          <w:szCs w:val="24"/>
        </w:rPr>
        <w:t xml:space="preserve"> - </w:t>
      </w:r>
      <w:proofErr w:type="spellStart"/>
      <w:r>
        <w:rPr>
          <w:rFonts w:ascii="Times New Roman" w:hAnsi="Times New Roman"/>
          <w:sz w:val="24"/>
          <w:szCs w:val="24"/>
        </w:rPr>
        <w:t>Grende</w:t>
      </w:r>
      <w:proofErr w:type="spellEnd"/>
    </w:p>
    <w:p w:rsidR="00B81A83" w:rsidRDefault="00B81A83" w:rsidP="00B81A83">
      <w:pPr>
        <w:pStyle w:val="Bezatstarpm"/>
        <w:rPr>
          <w:rFonts w:ascii="Times New Roman" w:hAnsi="Times New Roman"/>
          <w:sz w:val="24"/>
          <w:szCs w:val="24"/>
        </w:rPr>
      </w:pPr>
    </w:p>
    <w:p w:rsidR="00B81A83" w:rsidRDefault="00B81A83" w:rsidP="00B81A83">
      <w:pPr>
        <w:pStyle w:val="Bezatstarpm"/>
        <w:rPr>
          <w:rFonts w:ascii="Times New Roman" w:hAnsi="Times New Roman"/>
          <w:sz w:val="24"/>
          <w:szCs w:val="24"/>
        </w:rPr>
      </w:pPr>
    </w:p>
    <w:p w:rsidR="0098038E" w:rsidRDefault="0098038E" w:rsidP="0098038E">
      <w:pPr>
        <w:pStyle w:val="Bezatstarpm"/>
        <w:rPr>
          <w:rFonts w:ascii="Times New Roman" w:hAnsi="Times New Roman"/>
          <w:sz w:val="24"/>
          <w:szCs w:val="24"/>
        </w:rPr>
      </w:pPr>
    </w:p>
    <w:p w:rsidR="0098038E" w:rsidRDefault="0098038E" w:rsidP="0098038E">
      <w:pPr>
        <w:pStyle w:val="Bezatstarpm"/>
        <w:tabs>
          <w:tab w:val="right" w:pos="9781"/>
        </w:tabs>
        <w:rPr>
          <w:rFonts w:ascii="Times New Roman" w:hAnsi="Times New Roman"/>
          <w:sz w:val="24"/>
          <w:szCs w:val="24"/>
        </w:rPr>
      </w:pPr>
      <w:r>
        <w:rPr>
          <w:rFonts w:ascii="Times New Roman" w:hAnsi="Times New Roman"/>
          <w:sz w:val="24"/>
          <w:szCs w:val="24"/>
        </w:rPr>
        <w:t xml:space="preserve">Vīza: Valsts sekretārs </w:t>
      </w:r>
      <w:r>
        <w:rPr>
          <w:rFonts w:ascii="Times New Roman" w:hAnsi="Times New Roman"/>
          <w:sz w:val="24"/>
          <w:szCs w:val="24"/>
        </w:rPr>
        <w:tab/>
        <w:t>G.Puķītis</w:t>
      </w:r>
    </w:p>
    <w:p w:rsidR="00B81A83" w:rsidRDefault="00B81A83" w:rsidP="00B81A83">
      <w:pPr>
        <w:pStyle w:val="Bezatstarpm"/>
        <w:rPr>
          <w:rFonts w:ascii="Times New Roman" w:hAnsi="Times New Roman"/>
          <w:sz w:val="24"/>
          <w:szCs w:val="24"/>
        </w:rPr>
      </w:pPr>
    </w:p>
    <w:p w:rsidR="00B81A83" w:rsidRDefault="00B81A83" w:rsidP="00B81A83">
      <w:pPr>
        <w:pStyle w:val="Bezatstarpm"/>
        <w:rPr>
          <w:rFonts w:ascii="Times New Roman" w:hAnsi="Times New Roman"/>
          <w:sz w:val="24"/>
          <w:szCs w:val="24"/>
        </w:rPr>
      </w:pPr>
    </w:p>
    <w:p w:rsidR="00B81A83" w:rsidRPr="001939BD" w:rsidRDefault="00AC29B5" w:rsidP="00B81A83">
      <w:pPr>
        <w:pStyle w:val="Bezatstarpm"/>
        <w:rPr>
          <w:rFonts w:ascii="Times New Roman" w:hAnsi="Times New Roman"/>
          <w:sz w:val="16"/>
          <w:szCs w:val="16"/>
        </w:rPr>
      </w:pPr>
      <w:r w:rsidRPr="001939BD">
        <w:rPr>
          <w:rFonts w:ascii="Times New Roman" w:hAnsi="Times New Roman"/>
          <w:sz w:val="16"/>
          <w:szCs w:val="16"/>
        </w:rPr>
        <w:fldChar w:fldCharType="begin"/>
      </w:r>
      <w:r w:rsidR="00B81A83" w:rsidRPr="001939BD">
        <w:rPr>
          <w:rFonts w:ascii="Times New Roman" w:hAnsi="Times New Roman"/>
          <w:sz w:val="16"/>
          <w:szCs w:val="16"/>
        </w:rPr>
        <w:instrText xml:space="preserve"> TIME \@ "yyyy.MM.dd. H:mm" </w:instrText>
      </w:r>
      <w:r w:rsidRPr="001939BD">
        <w:rPr>
          <w:rFonts w:ascii="Times New Roman" w:hAnsi="Times New Roman"/>
          <w:sz w:val="16"/>
          <w:szCs w:val="16"/>
        </w:rPr>
        <w:fldChar w:fldCharType="separate"/>
      </w:r>
      <w:r w:rsidR="0098038E">
        <w:rPr>
          <w:rFonts w:ascii="Times New Roman" w:hAnsi="Times New Roman"/>
          <w:noProof/>
          <w:sz w:val="16"/>
          <w:szCs w:val="16"/>
        </w:rPr>
        <w:t>2012.06.20. 18:30</w:t>
      </w:r>
      <w:r w:rsidRPr="001939BD">
        <w:rPr>
          <w:rFonts w:ascii="Times New Roman" w:hAnsi="Times New Roman"/>
          <w:sz w:val="16"/>
          <w:szCs w:val="16"/>
        </w:rPr>
        <w:fldChar w:fldCharType="end"/>
      </w:r>
    </w:p>
    <w:p w:rsidR="00B81A83" w:rsidRPr="001939BD" w:rsidRDefault="00B81A83" w:rsidP="00B81A83">
      <w:pPr>
        <w:pStyle w:val="Bezatstarpm"/>
        <w:rPr>
          <w:rFonts w:ascii="Times New Roman" w:hAnsi="Times New Roman"/>
          <w:sz w:val="16"/>
          <w:szCs w:val="16"/>
        </w:rPr>
      </w:pPr>
      <w:r w:rsidRPr="001939BD">
        <w:rPr>
          <w:rFonts w:ascii="Times New Roman" w:hAnsi="Times New Roman"/>
          <w:sz w:val="16"/>
          <w:szCs w:val="16"/>
        </w:rPr>
        <w:t>2 3</w:t>
      </w:r>
      <w:r w:rsidR="0098038E">
        <w:rPr>
          <w:rFonts w:ascii="Times New Roman" w:hAnsi="Times New Roman"/>
          <w:sz w:val="16"/>
          <w:szCs w:val="16"/>
        </w:rPr>
        <w:t>88</w:t>
      </w:r>
    </w:p>
    <w:p w:rsidR="00B81A83" w:rsidRPr="001939BD" w:rsidRDefault="00B81A83" w:rsidP="00B81A83">
      <w:pPr>
        <w:pStyle w:val="Bezatstarpm"/>
        <w:rPr>
          <w:rFonts w:ascii="Times New Roman" w:hAnsi="Times New Roman"/>
          <w:sz w:val="16"/>
          <w:szCs w:val="16"/>
        </w:rPr>
      </w:pPr>
      <w:r w:rsidRPr="001939BD">
        <w:rPr>
          <w:rFonts w:ascii="Times New Roman" w:hAnsi="Times New Roman"/>
          <w:sz w:val="16"/>
          <w:szCs w:val="16"/>
        </w:rPr>
        <w:t>A.Ločmele</w:t>
      </w:r>
    </w:p>
    <w:p w:rsidR="00B81A83" w:rsidRPr="001939BD" w:rsidRDefault="00AC29B5" w:rsidP="00B81A83">
      <w:pPr>
        <w:pStyle w:val="Bezatstarpm"/>
        <w:rPr>
          <w:rFonts w:ascii="Times New Roman" w:hAnsi="Times New Roman"/>
          <w:sz w:val="16"/>
          <w:szCs w:val="16"/>
        </w:rPr>
      </w:pPr>
      <w:hyperlink r:id="rId9" w:history="1">
        <w:r w:rsidR="00B81A83" w:rsidRPr="001939BD">
          <w:rPr>
            <w:rStyle w:val="Hipersaite"/>
            <w:rFonts w:ascii="Times New Roman" w:hAnsi="Times New Roman"/>
            <w:sz w:val="16"/>
            <w:szCs w:val="16"/>
          </w:rPr>
          <w:t>Agra.Locmele@km.gov.lv</w:t>
        </w:r>
      </w:hyperlink>
      <w:r w:rsidR="00B81A83" w:rsidRPr="001939BD">
        <w:rPr>
          <w:rFonts w:ascii="Times New Roman" w:hAnsi="Times New Roman"/>
          <w:sz w:val="16"/>
          <w:szCs w:val="16"/>
        </w:rPr>
        <w:t>, tālr. 67330315</w:t>
      </w:r>
    </w:p>
    <w:p w:rsidR="00853F23" w:rsidRPr="008F5911" w:rsidRDefault="00853F23" w:rsidP="00453DDF">
      <w:pPr>
        <w:pStyle w:val="Bezatstarpm"/>
        <w:rPr>
          <w:rFonts w:ascii="Times New Roman" w:hAnsi="Times New Roman"/>
          <w:sz w:val="18"/>
          <w:szCs w:val="18"/>
        </w:rPr>
      </w:pPr>
    </w:p>
    <w:sectPr w:rsidR="00853F23" w:rsidRPr="008F5911" w:rsidSect="00541E8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49" w:rsidRDefault="00DF7C49" w:rsidP="00541E88">
      <w:pPr>
        <w:spacing w:after="0" w:line="240" w:lineRule="auto"/>
      </w:pPr>
      <w:r>
        <w:separator/>
      </w:r>
    </w:p>
  </w:endnote>
  <w:endnote w:type="continuationSeparator" w:id="0">
    <w:p w:rsidR="00DF7C49" w:rsidRDefault="00DF7C49" w:rsidP="00541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95" w:rsidRDefault="00834495">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14" w:rsidRDefault="008A0A52" w:rsidP="002A2A34">
    <w:pPr>
      <w:pStyle w:val="Kjene"/>
      <w:jc w:val="both"/>
    </w:pPr>
    <w:r>
      <w:rPr>
        <w:rFonts w:ascii="Times New Roman" w:hAnsi="Times New Roman"/>
        <w:sz w:val="16"/>
        <w:szCs w:val="16"/>
      </w:rPr>
      <w:t>KMNotp10_20062012_ETVVIF_2011</w:t>
    </w:r>
    <w:r w:rsidR="00470414" w:rsidRPr="006A504B">
      <w:rPr>
        <w:rFonts w:ascii="Times New Roman" w:hAnsi="Times New Roman"/>
        <w:sz w:val="16"/>
        <w:szCs w:val="16"/>
      </w:rPr>
      <w:t>;</w:t>
    </w:r>
    <w:r w:rsidR="00470414" w:rsidRPr="006A504B">
      <w:rPr>
        <w:rFonts w:ascii="Times New Roman" w:hAnsi="Times New Roman"/>
        <w:bCs/>
        <w:sz w:val="16"/>
        <w:szCs w:val="16"/>
      </w:rPr>
      <w:t xml:space="preserve"> Pielikums Nr.</w:t>
    </w:r>
    <w:r w:rsidR="00470414">
      <w:rPr>
        <w:rFonts w:ascii="Times New Roman" w:hAnsi="Times New Roman"/>
        <w:bCs/>
        <w:sz w:val="16"/>
        <w:szCs w:val="16"/>
      </w:rPr>
      <w:t>1</w:t>
    </w:r>
    <w:r w:rsidR="002A2A34">
      <w:rPr>
        <w:rFonts w:ascii="Times New Roman" w:hAnsi="Times New Roman"/>
        <w:bCs/>
        <w:sz w:val="16"/>
        <w:szCs w:val="16"/>
      </w:rPr>
      <w:t>0</w:t>
    </w:r>
    <w:r w:rsidR="00470414" w:rsidRPr="006A504B">
      <w:rPr>
        <w:rFonts w:ascii="Times New Roman" w:hAnsi="Times New Roman"/>
        <w:bCs/>
        <w:sz w:val="16"/>
        <w:szCs w:val="16"/>
      </w:rPr>
      <w:t xml:space="preserve"> Ministru kabineta noteikumu projektam „Noteikumi par Eiropas Trešo valstu </w:t>
    </w:r>
    <w:proofErr w:type="spellStart"/>
    <w:r w:rsidR="00470414" w:rsidRPr="006A504B">
      <w:rPr>
        <w:rFonts w:ascii="Times New Roman" w:hAnsi="Times New Roman"/>
        <w:bCs/>
        <w:sz w:val="16"/>
        <w:szCs w:val="16"/>
      </w:rPr>
      <w:t>valstsp</w:t>
    </w:r>
    <w:r w:rsidR="00E965BD">
      <w:rPr>
        <w:rFonts w:ascii="Times New Roman" w:hAnsi="Times New Roman"/>
        <w:bCs/>
        <w:sz w:val="16"/>
        <w:szCs w:val="16"/>
      </w:rPr>
      <w:t>iederīgo</w:t>
    </w:r>
    <w:proofErr w:type="spellEnd"/>
    <w:r w:rsidR="00E965BD">
      <w:rPr>
        <w:rFonts w:ascii="Times New Roman" w:hAnsi="Times New Roman"/>
        <w:bCs/>
        <w:sz w:val="16"/>
        <w:szCs w:val="16"/>
      </w:rPr>
      <w:t xml:space="preserve"> integrācijas fonda 2011</w:t>
    </w:r>
    <w:r w:rsidR="00470414" w:rsidRPr="006A504B">
      <w:rPr>
        <w:rFonts w:ascii="Times New Roman" w:hAnsi="Times New Roman"/>
        <w:bCs/>
        <w:sz w:val="16"/>
        <w:szCs w:val="16"/>
      </w:rPr>
      <w:t>.gada programmas aktivitāšu īstenošanu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86" w:rsidRDefault="00021F86" w:rsidP="00021F86">
    <w:pPr>
      <w:pStyle w:val="Kjene"/>
      <w:jc w:val="both"/>
    </w:pPr>
    <w:r>
      <w:rPr>
        <w:rFonts w:ascii="Times New Roman" w:hAnsi="Times New Roman"/>
        <w:sz w:val="16"/>
        <w:szCs w:val="16"/>
      </w:rPr>
      <w:t>KMNotp10_</w:t>
    </w:r>
    <w:r w:rsidR="008A0A52">
      <w:rPr>
        <w:rFonts w:ascii="Times New Roman" w:hAnsi="Times New Roman"/>
        <w:sz w:val="16"/>
        <w:szCs w:val="16"/>
      </w:rPr>
      <w:t>20</w:t>
    </w:r>
    <w:r w:rsidR="00E46EB7">
      <w:rPr>
        <w:rFonts w:ascii="Times New Roman" w:hAnsi="Times New Roman"/>
        <w:sz w:val="16"/>
        <w:szCs w:val="16"/>
      </w:rPr>
      <w:t>06</w:t>
    </w:r>
    <w:r>
      <w:rPr>
        <w:rFonts w:ascii="Times New Roman" w:hAnsi="Times New Roman"/>
        <w:sz w:val="16"/>
        <w:szCs w:val="16"/>
      </w:rPr>
      <w:t>2012_</w:t>
    </w:r>
    <w:r w:rsidR="00E46EB7">
      <w:rPr>
        <w:rFonts w:ascii="Times New Roman" w:hAnsi="Times New Roman"/>
        <w:sz w:val="16"/>
        <w:szCs w:val="16"/>
      </w:rPr>
      <w:t>ETVVIF_</w:t>
    </w:r>
    <w:r>
      <w:rPr>
        <w:rFonts w:ascii="Times New Roman" w:hAnsi="Times New Roman"/>
        <w:sz w:val="16"/>
        <w:szCs w:val="16"/>
      </w:rPr>
      <w:t>2011</w:t>
    </w:r>
    <w:r w:rsidRPr="006A504B">
      <w:rPr>
        <w:rFonts w:ascii="Times New Roman" w:hAnsi="Times New Roman"/>
        <w:sz w:val="16"/>
        <w:szCs w:val="16"/>
      </w:rPr>
      <w:t>;</w:t>
    </w:r>
    <w:r w:rsidRPr="006A504B">
      <w:rPr>
        <w:rFonts w:ascii="Times New Roman" w:hAnsi="Times New Roman"/>
        <w:bCs/>
        <w:sz w:val="16"/>
        <w:szCs w:val="16"/>
      </w:rPr>
      <w:t xml:space="preserve"> Pielikums Nr.</w:t>
    </w:r>
    <w:r>
      <w:rPr>
        <w:rFonts w:ascii="Times New Roman" w:hAnsi="Times New Roman"/>
        <w:bCs/>
        <w:sz w:val="16"/>
        <w:szCs w:val="16"/>
      </w:rPr>
      <w:t>10</w:t>
    </w:r>
    <w:r w:rsidRPr="006A504B">
      <w:rPr>
        <w:rFonts w:ascii="Times New Roman" w:hAnsi="Times New Roman"/>
        <w:bCs/>
        <w:sz w:val="16"/>
        <w:szCs w:val="16"/>
      </w:rPr>
      <w:t xml:space="preserve"> Ministru kabineta noteikumu projektam „Noteikumi par Eiropas Trešo valstu </w:t>
    </w:r>
    <w:proofErr w:type="spellStart"/>
    <w:r w:rsidRPr="006A504B">
      <w:rPr>
        <w:rFonts w:ascii="Times New Roman" w:hAnsi="Times New Roman"/>
        <w:bCs/>
        <w:sz w:val="16"/>
        <w:szCs w:val="16"/>
      </w:rPr>
      <w:t>valstsp</w:t>
    </w:r>
    <w:r>
      <w:rPr>
        <w:rFonts w:ascii="Times New Roman" w:hAnsi="Times New Roman"/>
        <w:bCs/>
        <w:sz w:val="16"/>
        <w:szCs w:val="16"/>
      </w:rPr>
      <w:t>iederīgo</w:t>
    </w:r>
    <w:proofErr w:type="spellEnd"/>
    <w:r>
      <w:rPr>
        <w:rFonts w:ascii="Times New Roman" w:hAnsi="Times New Roman"/>
        <w:bCs/>
        <w:sz w:val="16"/>
        <w:szCs w:val="16"/>
      </w:rPr>
      <w:t xml:space="preserve"> integrācijas fonda 2011</w:t>
    </w:r>
    <w:r w:rsidRPr="006A504B">
      <w:rPr>
        <w:rFonts w:ascii="Times New Roman" w:hAnsi="Times New Roman"/>
        <w:bCs/>
        <w:sz w:val="16"/>
        <w:szCs w:val="16"/>
      </w:rPr>
      <w:t>.gada programmas aktivitāšu īstenošanu</w:t>
    </w:r>
  </w:p>
  <w:p w:rsidR="00470414" w:rsidRDefault="00470414">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49" w:rsidRDefault="00DF7C49" w:rsidP="00541E88">
      <w:pPr>
        <w:spacing w:after="0" w:line="240" w:lineRule="auto"/>
      </w:pPr>
      <w:r>
        <w:separator/>
      </w:r>
    </w:p>
  </w:footnote>
  <w:footnote w:type="continuationSeparator" w:id="0">
    <w:p w:rsidR="00DF7C49" w:rsidRDefault="00DF7C49" w:rsidP="00541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95" w:rsidRDefault="0083449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95" w:rsidRDefault="00834495">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95" w:rsidRDefault="0083449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7E8A"/>
    <w:multiLevelType w:val="multilevel"/>
    <w:tmpl w:val="E4E6C66A"/>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62769D5"/>
    <w:multiLevelType w:val="hybridMultilevel"/>
    <w:tmpl w:val="A1445DB2"/>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
    <w:nsid w:val="6D860E8D"/>
    <w:multiLevelType w:val="hybridMultilevel"/>
    <w:tmpl w:val="D45424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BD268D5"/>
    <w:multiLevelType w:val="hybridMultilevel"/>
    <w:tmpl w:val="03145E0C"/>
    <w:lvl w:ilvl="0" w:tplc="0426000F">
      <w:start w:val="1"/>
      <w:numFmt w:val="decimal"/>
      <w:lvlText w:val="%1."/>
      <w:lvlJc w:val="left"/>
      <w:pPr>
        <w:ind w:left="1481" w:hanging="360"/>
      </w:pPr>
    </w:lvl>
    <w:lvl w:ilvl="1" w:tplc="04260019" w:tentative="1">
      <w:start w:val="1"/>
      <w:numFmt w:val="lowerLetter"/>
      <w:lvlText w:val="%2."/>
      <w:lvlJc w:val="left"/>
      <w:pPr>
        <w:ind w:left="2201" w:hanging="360"/>
      </w:pPr>
    </w:lvl>
    <w:lvl w:ilvl="2" w:tplc="0426001B" w:tentative="1">
      <w:start w:val="1"/>
      <w:numFmt w:val="lowerRoman"/>
      <w:lvlText w:val="%3."/>
      <w:lvlJc w:val="right"/>
      <w:pPr>
        <w:ind w:left="2921" w:hanging="180"/>
      </w:pPr>
    </w:lvl>
    <w:lvl w:ilvl="3" w:tplc="0426000F" w:tentative="1">
      <w:start w:val="1"/>
      <w:numFmt w:val="decimal"/>
      <w:lvlText w:val="%4."/>
      <w:lvlJc w:val="left"/>
      <w:pPr>
        <w:ind w:left="3641" w:hanging="360"/>
      </w:pPr>
    </w:lvl>
    <w:lvl w:ilvl="4" w:tplc="04260019" w:tentative="1">
      <w:start w:val="1"/>
      <w:numFmt w:val="lowerLetter"/>
      <w:lvlText w:val="%5."/>
      <w:lvlJc w:val="left"/>
      <w:pPr>
        <w:ind w:left="4361" w:hanging="360"/>
      </w:pPr>
    </w:lvl>
    <w:lvl w:ilvl="5" w:tplc="0426001B" w:tentative="1">
      <w:start w:val="1"/>
      <w:numFmt w:val="lowerRoman"/>
      <w:lvlText w:val="%6."/>
      <w:lvlJc w:val="right"/>
      <w:pPr>
        <w:ind w:left="5081" w:hanging="180"/>
      </w:pPr>
    </w:lvl>
    <w:lvl w:ilvl="6" w:tplc="0426000F" w:tentative="1">
      <w:start w:val="1"/>
      <w:numFmt w:val="decimal"/>
      <w:lvlText w:val="%7."/>
      <w:lvlJc w:val="left"/>
      <w:pPr>
        <w:ind w:left="5801" w:hanging="360"/>
      </w:pPr>
    </w:lvl>
    <w:lvl w:ilvl="7" w:tplc="04260019" w:tentative="1">
      <w:start w:val="1"/>
      <w:numFmt w:val="lowerLetter"/>
      <w:lvlText w:val="%8."/>
      <w:lvlJc w:val="left"/>
      <w:pPr>
        <w:ind w:left="6521" w:hanging="360"/>
      </w:pPr>
    </w:lvl>
    <w:lvl w:ilvl="8" w:tplc="0426001B" w:tentative="1">
      <w:start w:val="1"/>
      <w:numFmt w:val="lowerRoman"/>
      <w:lvlText w:val="%9."/>
      <w:lvlJc w:val="right"/>
      <w:pPr>
        <w:ind w:left="7241"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6AF9"/>
    <w:rsid w:val="000204BA"/>
    <w:rsid w:val="00020619"/>
    <w:rsid w:val="00021180"/>
    <w:rsid w:val="00021F86"/>
    <w:rsid w:val="00055EB3"/>
    <w:rsid w:val="00076F54"/>
    <w:rsid w:val="00076FAF"/>
    <w:rsid w:val="00081478"/>
    <w:rsid w:val="00090581"/>
    <w:rsid w:val="00095F6C"/>
    <w:rsid w:val="000B1267"/>
    <w:rsid w:val="000C0849"/>
    <w:rsid w:val="000E58B2"/>
    <w:rsid w:val="00115948"/>
    <w:rsid w:val="00142725"/>
    <w:rsid w:val="001575EE"/>
    <w:rsid w:val="001939BD"/>
    <w:rsid w:val="001A1454"/>
    <w:rsid w:val="001B1703"/>
    <w:rsid w:val="001B26E7"/>
    <w:rsid w:val="001C0B48"/>
    <w:rsid w:val="002037EF"/>
    <w:rsid w:val="00232014"/>
    <w:rsid w:val="0024523D"/>
    <w:rsid w:val="00266074"/>
    <w:rsid w:val="00267A2A"/>
    <w:rsid w:val="0027098C"/>
    <w:rsid w:val="00273454"/>
    <w:rsid w:val="00277634"/>
    <w:rsid w:val="00297575"/>
    <w:rsid w:val="002A2A34"/>
    <w:rsid w:val="002B3452"/>
    <w:rsid w:val="002C1F1B"/>
    <w:rsid w:val="002C36E1"/>
    <w:rsid w:val="002D0A11"/>
    <w:rsid w:val="002E3786"/>
    <w:rsid w:val="002E4489"/>
    <w:rsid w:val="002F7701"/>
    <w:rsid w:val="00312670"/>
    <w:rsid w:val="00320FDE"/>
    <w:rsid w:val="0033642D"/>
    <w:rsid w:val="00337E2A"/>
    <w:rsid w:val="00356AB5"/>
    <w:rsid w:val="00362FCD"/>
    <w:rsid w:val="00372F5B"/>
    <w:rsid w:val="0037796E"/>
    <w:rsid w:val="00386223"/>
    <w:rsid w:val="00390456"/>
    <w:rsid w:val="00397D2D"/>
    <w:rsid w:val="003A4B8F"/>
    <w:rsid w:val="003B3948"/>
    <w:rsid w:val="003B4B6E"/>
    <w:rsid w:val="003C3ECD"/>
    <w:rsid w:val="003D0FF2"/>
    <w:rsid w:val="00411615"/>
    <w:rsid w:val="00414C1F"/>
    <w:rsid w:val="0042056D"/>
    <w:rsid w:val="00432007"/>
    <w:rsid w:val="00435A82"/>
    <w:rsid w:val="00453DDF"/>
    <w:rsid w:val="0045610B"/>
    <w:rsid w:val="00470414"/>
    <w:rsid w:val="00476144"/>
    <w:rsid w:val="004837CD"/>
    <w:rsid w:val="004D2FE9"/>
    <w:rsid w:val="004D3E62"/>
    <w:rsid w:val="004E21A8"/>
    <w:rsid w:val="004E2706"/>
    <w:rsid w:val="00511FA9"/>
    <w:rsid w:val="005139F8"/>
    <w:rsid w:val="00541E88"/>
    <w:rsid w:val="00560B1E"/>
    <w:rsid w:val="005829CE"/>
    <w:rsid w:val="00582D7D"/>
    <w:rsid w:val="005A3CB0"/>
    <w:rsid w:val="00600B95"/>
    <w:rsid w:val="00603BA9"/>
    <w:rsid w:val="00625042"/>
    <w:rsid w:val="0062757B"/>
    <w:rsid w:val="0064293E"/>
    <w:rsid w:val="00656B9C"/>
    <w:rsid w:val="00671263"/>
    <w:rsid w:val="00696AF9"/>
    <w:rsid w:val="006A504B"/>
    <w:rsid w:val="006B2955"/>
    <w:rsid w:val="006B47B9"/>
    <w:rsid w:val="006D3BDA"/>
    <w:rsid w:val="006E2EA6"/>
    <w:rsid w:val="006E6682"/>
    <w:rsid w:val="006F2A2F"/>
    <w:rsid w:val="00711911"/>
    <w:rsid w:val="007131CF"/>
    <w:rsid w:val="00721F90"/>
    <w:rsid w:val="00734789"/>
    <w:rsid w:val="00737122"/>
    <w:rsid w:val="00744068"/>
    <w:rsid w:val="0075254E"/>
    <w:rsid w:val="00777884"/>
    <w:rsid w:val="007B666D"/>
    <w:rsid w:val="007C2BF9"/>
    <w:rsid w:val="007E518A"/>
    <w:rsid w:val="0080047A"/>
    <w:rsid w:val="00803556"/>
    <w:rsid w:val="0082031F"/>
    <w:rsid w:val="00831F67"/>
    <w:rsid w:val="00834495"/>
    <w:rsid w:val="00847379"/>
    <w:rsid w:val="00853F23"/>
    <w:rsid w:val="00890BF0"/>
    <w:rsid w:val="00892FDE"/>
    <w:rsid w:val="008A0A52"/>
    <w:rsid w:val="008B240D"/>
    <w:rsid w:val="008D294E"/>
    <w:rsid w:val="008E7E04"/>
    <w:rsid w:val="008F5911"/>
    <w:rsid w:val="00965642"/>
    <w:rsid w:val="00976E79"/>
    <w:rsid w:val="0098038E"/>
    <w:rsid w:val="009B59B4"/>
    <w:rsid w:val="009B5EB4"/>
    <w:rsid w:val="009E0F04"/>
    <w:rsid w:val="009E17B6"/>
    <w:rsid w:val="00A4355F"/>
    <w:rsid w:val="00A60638"/>
    <w:rsid w:val="00A75237"/>
    <w:rsid w:val="00A757A9"/>
    <w:rsid w:val="00AC097C"/>
    <w:rsid w:val="00AC29B5"/>
    <w:rsid w:val="00B2176D"/>
    <w:rsid w:val="00B440EF"/>
    <w:rsid w:val="00B72998"/>
    <w:rsid w:val="00B81A83"/>
    <w:rsid w:val="00BA05B2"/>
    <w:rsid w:val="00BA7D44"/>
    <w:rsid w:val="00BB66D9"/>
    <w:rsid w:val="00BC6BEC"/>
    <w:rsid w:val="00BF15F5"/>
    <w:rsid w:val="00BF277F"/>
    <w:rsid w:val="00C22A27"/>
    <w:rsid w:val="00C7513B"/>
    <w:rsid w:val="00C81D35"/>
    <w:rsid w:val="00C85A26"/>
    <w:rsid w:val="00CA07D7"/>
    <w:rsid w:val="00CD0633"/>
    <w:rsid w:val="00CE4CFA"/>
    <w:rsid w:val="00CF0E03"/>
    <w:rsid w:val="00D26B07"/>
    <w:rsid w:val="00D34455"/>
    <w:rsid w:val="00D67436"/>
    <w:rsid w:val="00D907FD"/>
    <w:rsid w:val="00D9769A"/>
    <w:rsid w:val="00DF7C49"/>
    <w:rsid w:val="00E1012F"/>
    <w:rsid w:val="00E12BCB"/>
    <w:rsid w:val="00E23DE5"/>
    <w:rsid w:val="00E339D5"/>
    <w:rsid w:val="00E46EB7"/>
    <w:rsid w:val="00E73296"/>
    <w:rsid w:val="00E82D74"/>
    <w:rsid w:val="00E850A0"/>
    <w:rsid w:val="00E965BD"/>
    <w:rsid w:val="00ED1D5E"/>
    <w:rsid w:val="00ED47B4"/>
    <w:rsid w:val="00F0634E"/>
    <w:rsid w:val="00F213C8"/>
    <w:rsid w:val="00F31132"/>
    <w:rsid w:val="00F36B0E"/>
    <w:rsid w:val="00F437B5"/>
    <w:rsid w:val="00F547C6"/>
    <w:rsid w:val="00F6482D"/>
    <w:rsid w:val="00FA2CDA"/>
    <w:rsid w:val="00FB5752"/>
    <w:rsid w:val="00FD20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56B9C"/>
    <w:pPr>
      <w:spacing w:after="200" w:line="276" w:lineRule="auto"/>
    </w:pPr>
    <w:rPr>
      <w:sz w:val="22"/>
      <w:szCs w:val="22"/>
      <w:lang w:eastAsia="en-US"/>
    </w:rPr>
  </w:style>
  <w:style w:type="paragraph" w:styleId="Virsraksts4">
    <w:name w:val="heading 4"/>
    <w:basedOn w:val="Parastais"/>
    <w:link w:val="Virsraksts4Rakstz"/>
    <w:uiPriority w:val="9"/>
    <w:qFormat/>
    <w:rsid w:val="00696AF9"/>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696AF9"/>
    <w:rPr>
      <w:rFonts w:ascii="Times New Roman" w:eastAsia="Times New Roman" w:hAnsi="Times New Roman" w:cs="Times New Roman"/>
      <w:b/>
      <w:bCs/>
      <w:sz w:val="24"/>
      <w:szCs w:val="24"/>
      <w:lang w:eastAsia="lv-LV"/>
    </w:rPr>
  </w:style>
  <w:style w:type="paragraph" w:customStyle="1" w:styleId="tvhtml">
    <w:name w:val="tv_html"/>
    <w:basedOn w:val="Parastais"/>
    <w:rsid w:val="00696AF9"/>
    <w:pPr>
      <w:spacing w:before="100" w:beforeAutospacing="1" w:after="100" w:afterAutospacing="1" w:line="240" w:lineRule="auto"/>
    </w:pPr>
    <w:rPr>
      <w:rFonts w:ascii="Verdana" w:eastAsia="Times New Roman" w:hAnsi="Verdana"/>
      <w:sz w:val="18"/>
      <w:szCs w:val="18"/>
      <w:lang w:eastAsia="lv-LV"/>
    </w:rPr>
  </w:style>
  <w:style w:type="paragraph" w:styleId="Balonteksts">
    <w:name w:val="Balloon Text"/>
    <w:basedOn w:val="Parastais"/>
    <w:link w:val="BalontekstsRakstz"/>
    <w:uiPriority w:val="99"/>
    <w:semiHidden/>
    <w:unhideWhenUsed/>
    <w:rsid w:val="00696A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6AF9"/>
    <w:rPr>
      <w:rFonts w:ascii="Tahoma" w:hAnsi="Tahoma" w:cs="Tahoma"/>
      <w:sz w:val="16"/>
      <w:szCs w:val="16"/>
    </w:rPr>
  </w:style>
  <w:style w:type="character" w:styleId="Komentraatsauce">
    <w:name w:val="annotation reference"/>
    <w:basedOn w:val="Noklusjumarindkopasfonts"/>
    <w:uiPriority w:val="99"/>
    <w:semiHidden/>
    <w:unhideWhenUsed/>
    <w:rsid w:val="00BF15F5"/>
    <w:rPr>
      <w:sz w:val="16"/>
      <w:szCs w:val="16"/>
    </w:rPr>
  </w:style>
  <w:style w:type="paragraph" w:styleId="Komentrateksts">
    <w:name w:val="annotation text"/>
    <w:basedOn w:val="Parastais"/>
    <w:link w:val="KomentratekstsRakstz"/>
    <w:uiPriority w:val="99"/>
    <w:semiHidden/>
    <w:unhideWhenUsed/>
    <w:rsid w:val="00BF15F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F15F5"/>
    <w:rPr>
      <w:sz w:val="20"/>
      <w:szCs w:val="20"/>
    </w:rPr>
  </w:style>
  <w:style w:type="paragraph" w:styleId="Komentratma">
    <w:name w:val="annotation subject"/>
    <w:basedOn w:val="Komentrateksts"/>
    <w:next w:val="Komentrateksts"/>
    <w:link w:val="KomentratmaRakstz"/>
    <w:uiPriority w:val="99"/>
    <w:semiHidden/>
    <w:unhideWhenUsed/>
    <w:rsid w:val="00BF15F5"/>
    <w:rPr>
      <w:b/>
      <w:bCs/>
    </w:rPr>
  </w:style>
  <w:style w:type="character" w:customStyle="1" w:styleId="KomentratmaRakstz">
    <w:name w:val="Komentāra tēma Rakstz."/>
    <w:basedOn w:val="KomentratekstsRakstz"/>
    <w:link w:val="Komentratma"/>
    <w:uiPriority w:val="99"/>
    <w:semiHidden/>
    <w:rsid w:val="00BF15F5"/>
    <w:rPr>
      <w:b/>
      <w:bCs/>
    </w:rPr>
  </w:style>
  <w:style w:type="paragraph" w:styleId="Sarakstarindkopa">
    <w:name w:val="List Paragraph"/>
    <w:basedOn w:val="Parastais"/>
    <w:uiPriority w:val="34"/>
    <w:qFormat/>
    <w:rsid w:val="003C3ECD"/>
    <w:pPr>
      <w:ind w:left="720"/>
    </w:pPr>
  </w:style>
  <w:style w:type="paragraph" w:styleId="Prskatjums">
    <w:name w:val="Revision"/>
    <w:hidden/>
    <w:uiPriority w:val="99"/>
    <w:semiHidden/>
    <w:rsid w:val="001A1454"/>
    <w:rPr>
      <w:sz w:val="22"/>
      <w:szCs w:val="22"/>
      <w:lang w:eastAsia="en-US"/>
    </w:rPr>
  </w:style>
  <w:style w:type="paragraph" w:styleId="Galvene">
    <w:name w:val="header"/>
    <w:basedOn w:val="Parastais"/>
    <w:link w:val="GalveneRakstz"/>
    <w:uiPriority w:val="99"/>
    <w:unhideWhenUsed/>
    <w:rsid w:val="00541E88"/>
    <w:pPr>
      <w:tabs>
        <w:tab w:val="center" w:pos="4153"/>
        <w:tab w:val="right" w:pos="8306"/>
      </w:tabs>
    </w:pPr>
  </w:style>
  <w:style w:type="character" w:customStyle="1" w:styleId="GalveneRakstz">
    <w:name w:val="Galvene Rakstz."/>
    <w:basedOn w:val="Noklusjumarindkopasfonts"/>
    <w:link w:val="Galvene"/>
    <w:uiPriority w:val="99"/>
    <w:rsid w:val="00541E88"/>
    <w:rPr>
      <w:sz w:val="22"/>
      <w:szCs w:val="22"/>
      <w:lang w:eastAsia="en-US"/>
    </w:rPr>
  </w:style>
  <w:style w:type="paragraph" w:styleId="Kjene">
    <w:name w:val="footer"/>
    <w:basedOn w:val="Parastais"/>
    <w:link w:val="KjeneRakstz"/>
    <w:uiPriority w:val="99"/>
    <w:semiHidden/>
    <w:unhideWhenUsed/>
    <w:rsid w:val="00541E88"/>
    <w:pPr>
      <w:tabs>
        <w:tab w:val="center" w:pos="4153"/>
        <w:tab w:val="right" w:pos="8306"/>
      </w:tabs>
    </w:pPr>
  </w:style>
  <w:style w:type="character" w:customStyle="1" w:styleId="KjeneRakstz">
    <w:name w:val="Kājene Rakstz."/>
    <w:basedOn w:val="Noklusjumarindkopasfonts"/>
    <w:link w:val="Kjene"/>
    <w:uiPriority w:val="99"/>
    <w:semiHidden/>
    <w:rsid w:val="00541E88"/>
    <w:rPr>
      <w:sz w:val="22"/>
      <w:szCs w:val="22"/>
      <w:lang w:eastAsia="en-US"/>
    </w:rPr>
  </w:style>
  <w:style w:type="character" w:styleId="Hipersaite">
    <w:name w:val="Hyperlink"/>
    <w:basedOn w:val="Noklusjumarindkopasfonts"/>
    <w:uiPriority w:val="99"/>
    <w:unhideWhenUsed/>
    <w:rsid w:val="00853F23"/>
    <w:rPr>
      <w:strike w:val="0"/>
      <w:dstrike w:val="0"/>
      <w:color w:val="3399FF"/>
      <w:u w:val="none"/>
      <w:effect w:val="none"/>
    </w:rPr>
  </w:style>
  <w:style w:type="paragraph" w:styleId="Bezatstarpm">
    <w:name w:val="No Spacing"/>
    <w:uiPriority w:val="1"/>
    <w:qFormat/>
    <w:rsid w:val="00853F23"/>
    <w:rPr>
      <w:sz w:val="22"/>
      <w:szCs w:val="22"/>
      <w:lang w:eastAsia="en-US"/>
    </w:rPr>
  </w:style>
  <w:style w:type="paragraph" w:styleId="Dokumentakarte">
    <w:name w:val="Document Map"/>
    <w:basedOn w:val="Parastais"/>
    <w:link w:val="DokumentakarteRakstz"/>
    <w:uiPriority w:val="99"/>
    <w:semiHidden/>
    <w:unhideWhenUsed/>
    <w:rsid w:val="00600B95"/>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600B95"/>
    <w:rPr>
      <w:rFonts w:ascii="Tahoma" w:hAnsi="Tahoma" w:cs="Tahoma"/>
      <w:sz w:val="16"/>
      <w:szCs w:val="16"/>
      <w:lang w:eastAsia="en-US"/>
    </w:rPr>
  </w:style>
  <w:style w:type="paragraph" w:customStyle="1" w:styleId="NChar1CharCharCharCharCharChar">
    <w:name w:val="N Char1 Char Char Char Char Char Char"/>
    <w:basedOn w:val="Parastais"/>
    <w:autoRedefine/>
    <w:rsid w:val="00FD202E"/>
    <w:pPr>
      <w:tabs>
        <w:tab w:val="right" w:pos="9781"/>
      </w:tabs>
      <w:spacing w:after="0" w:line="240" w:lineRule="auto"/>
      <w:jc w:val="both"/>
    </w:pPr>
    <w:rPr>
      <w:rFonts w:ascii="Times New Roman" w:eastAsia="Times New Roman" w:hAnsi="Times New Roman"/>
      <w:sz w:val="28"/>
      <w:szCs w:val="28"/>
      <w:lang w:eastAsia="lv-LV"/>
    </w:rPr>
  </w:style>
</w:styles>
</file>

<file path=word/webSettings.xml><?xml version="1.0" encoding="utf-8"?>
<w:webSettings xmlns:r="http://schemas.openxmlformats.org/officeDocument/2006/relationships" xmlns:w="http://schemas.openxmlformats.org/wordprocessingml/2006/main">
  <w:divs>
    <w:div w:id="28461031">
      <w:bodyDiv w:val="1"/>
      <w:marLeft w:val="45"/>
      <w:marRight w:val="45"/>
      <w:marTop w:val="90"/>
      <w:marBottom w:val="90"/>
      <w:divBdr>
        <w:top w:val="none" w:sz="0" w:space="0" w:color="auto"/>
        <w:left w:val="none" w:sz="0" w:space="0" w:color="auto"/>
        <w:bottom w:val="none" w:sz="0" w:space="0" w:color="auto"/>
        <w:right w:val="none" w:sz="0" w:space="0" w:color="auto"/>
      </w:divBdr>
      <w:divsChild>
        <w:div w:id="991911025">
          <w:marLeft w:val="0"/>
          <w:marRight w:val="0"/>
          <w:marTop w:val="240"/>
          <w:marBottom w:val="0"/>
          <w:divBdr>
            <w:top w:val="none" w:sz="0" w:space="0" w:color="auto"/>
            <w:left w:val="none" w:sz="0" w:space="0" w:color="auto"/>
            <w:bottom w:val="none" w:sz="0" w:space="0" w:color="auto"/>
            <w:right w:val="none" w:sz="0" w:space="0" w:color="auto"/>
          </w:divBdr>
        </w:div>
        <w:div w:id="1032271550">
          <w:marLeft w:val="0"/>
          <w:marRight w:val="0"/>
          <w:marTop w:val="480"/>
          <w:marBottom w:val="0"/>
          <w:divBdr>
            <w:top w:val="single" w:sz="8" w:space="28" w:color="000000"/>
            <w:left w:val="none" w:sz="0" w:space="0" w:color="auto"/>
            <w:bottom w:val="none" w:sz="0" w:space="0" w:color="auto"/>
            <w:right w:val="none" w:sz="0" w:space="0" w:color="auto"/>
          </w:divBdr>
        </w:div>
      </w:divsChild>
    </w:div>
    <w:div w:id="131019914">
      <w:bodyDiv w:val="1"/>
      <w:marLeft w:val="0"/>
      <w:marRight w:val="0"/>
      <w:marTop w:val="0"/>
      <w:marBottom w:val="0"/>
      <w:divBdr>
        <w:top w:val="none" w:sz="0" w:space="0" w:color="auto"/>
        <w:left w:val="none" w:sz="0" w:space="0" w:color="auto"/>
        <w:bottom w:val="none" w:sz="0" w:space="0" w:color="auto"/>
        <w:right w:val="none" w:sz="0" w:space="0" w:color="auto"/>
      </w:divBdr>
    </w:div>
    <w:div w:id="511147999">
      <w:bodyDiv w:val="1"/>
      <w:marLeft w:val="0"/>
      <w:marRight w:val="0"/>
      <w:marTop w:val="0"/>
      <w:marBottom w:val="0"/>
      <w:divBdr>
        <w:top w:val="none" w:sz="0" w:space="0" w:color="auto"/>
        <w:left w:val="none" w:sz="0" w:space="0" w:color="auto"/>
        <w:bottom w:val="none" w:sz="0" w:space="0" w:color="auto"/>
        <w:right w:val="none" w:sz="0" w:space="0" w:color="auto"/>
      </w:divBdr>
    </w:div>
    <w:div w:id="597522649">
      <w:bodyDiv w:val="1"/>
      <w:marLeft w:val="0"/>
      <w:marRight w:val="0"/>
      <w:marTop w:val="0"/>
      <w:marBottom w:val="0"/>
      <w:divBdr>
        <w:top w:val="none" w:sz="0" w:space="0" w:color="auto"/>
        <w:left w:val="none" w:sz="0" w:space="0" w:color="auto"/>
        <w:bottom w:val="none" w:sz="0" w:space="0" w:color="auto"/>
        <w:right w:val="none" w:sz="0" w:space="0" w:color="auto"/>
      </w:divBdr>
    </w:div>
    <w:div w:id="794131920">
      <w:bodyDiv w:val="1"/>
      <w:marLeft w:val="0"/>
      <w:marRight w:val="0"/>
      <w:marTop w:val="0"/>
      <w:marBottom w:val="0"/>
      <w:divBdr>
        <w:top w:val="none" w:sz="0" w:space="0" w:color="auto"/>
        <w:left w:val="none" w:sz="0" w:space="0" w:color="auto"/>
        <w:bottom w:val="none" w:sz="0" w:space="0" w:color="auto"/>
        <w:right w:val="none" w:sz="0" w:space="0" w:color="auto"/>
      </w:divBdr>
    </w:div>
    <w:div w:id="1308783166">
      <w:bodyDiv w:val="1"/>
      <w:marLeft w:val="0"/>
      <w:marRight w:val="0"/>
      <w:marTop w:val="0"/>
      <w:marBottom w:val="0"/>
      <w:divBdr>
        <w:top w:val="none" w:sz="0" w:space="0" w:color="auto"/>
        <w:left w:val="none" w:sz="0" w:space="0" w:color="auto"/>
        <w:bottom w:val="none" w:sz="0" w:space="0" w:color="auto"/>
        <w:right w:val="none" w:sz="0" w:space="0" w:color="auto"/>
      </w:divBdr>
    </w:div>
    <w:div w:id="1318997445">
      <w:bodyDiv w:val="1"/>
      <w:marLeft w:val="0"/>
      <w:marRight w:val="0"/>
      <w:marTop w:val="0"/>
      <w:marBottom w:val="0"/>
      <w:divBdr>
        <w:top w:val="none" w:sz="0" w:space="0" w:color="auto"/>
        <w:left w:val="none" w:sz="0" w:space="0" w:color="auto"/>
        <w:bottom w:val="none" w:sz="0" w:space="0" w:color="auto"/>
        <w:right w:val="none" w:sz="0" w:space="0" w:color="auto"/>
      </w:divBdr>
    </w:div>
    <w:div w:id="1396196422">
      <w:bodyDiv w:val="1"/>
      <w:marLeft w:val="0"/>
      <w:marRight w:val="0"/>
      <w:marTop w:val="0"/>
      <w:marBottom w:val="0"/>
      <w:divBdr>
        <w:top w:val="none" w:sz="0" w:space="0" w:color="auto"/>
        <w:left w:val="none" w:sz="0" w:space="0" w:color="auto"/>
        <w:bottom w:val="none" w:sz="0" w:space="0" w:color="auto"/>
        <w:right w:val="none" w:sz="0" w:space="0" w:color="auto"/>
      </w:divBdr>
    </w:div>
    <w:div w:id="1640069472">
      <w:bodyDiv w:val="1"/>
      <w:marLeft w:val="0"/>
      <w:marRight w:val="0"/>
      <w:marTop w:val="0"/>
      <w:marBottom w:val="0"/>
      <w:divBdr>
        <w:top w:val="none" w:sz="0" w:space="0" w:color="auto"/>
        <w:left w:val="none" w:sz="0" w:space="0" w:color="auto"/>
        <w:bottom w:val="none" w:sz="0" w:space="0" w:color="auto"/>
        <w:right w:val="none" w:sz="0" w:space="0" w:color="auto"/>
      </w:divBdr>
    </w:div>
    <w:div w:id="1669484541">
      <w:bodyDiv w:val="1"/>
      <w:marLeft w:val="0"/>
      <w:marRight w:val="0"/>
      <w:marTop w:val="0"/>
      <w:marBottom w:val="0"/>
      <w:divBdr>
        <w:top w:val="none" w:sz="0" w:space="0" w:color="auto"/>
        <w:left w:val="none" w:sz="0" w:space="0" w:color="auto"/>
        <w:bottom w:val="none" w:sz="0" w:space="0" w:color="auto"/>
        <w:right w:val="none" w:sz="0" w:space="0" w:color="auto"/>
      </w:divBdr>
    </w:div>
    <w:div w:id="19228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a.Locmele@k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1017-FDD5-4F2B-8DB1-640ECDAD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12288</Words>
  <Characters>7005</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Nr.3 Ministru kabineta noteikumu projektam „Noteikumi par Eiropas Trešo valstu valstspiederīgo integrācijas fonda 2010.gada programmas aktivitāšu īstenošanu”</vt:lpstr>
      <vt:lpstr>Pielikums Nr.3 Ministru kabineta noteikumu projektam „Noteikumi par Eiropas Trešo valstu valstspiederīgo integrācijas fonda 2010.gada programmas aktivitāšu īstenošanu”</vt:lpstr>
    </vt:vector>
  </TitlesOfParts>
  <Company>LR Kultūras Ministrija</Company>
  <LinksUpToDate>false</LinksUpToDate>
  <CharactersWithSpaces>19255</CharactersWithSpaces>
  <SharedDoc>false</SharedDoc>
  <HLinks>
    <vt:vector size="6" baseType="variant">
      <vt:variant>
        <vt:i4>6357063</vt:i4>
      </vt:variant>
      <vt:variant>
        <vt:i4>0</vt:i4>
      </vt:variant>
      <vt:variant>
        <vt:i4>0</vt:i4>
      </vt:variant>
      <vt:variant>
        <vt:i4>5</vt:i4>
      </vt:variant>
      <vt:variant>
        <vt:lpwstr>mailto:Agra.Locmele@km.gov.lv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Nr.3 Ministru kabineta noteikumu projektam „Noteikumi par Eiropas Trešo valstu valstspiederīgo integrācijas fonda 2010.gada programmas aktivitāšu īstenošanu”</dc:title>
  <dc:subject>3.pielikums</dc:subject>
  <dc:creator>Agnese Jēkabsone</dc:creator>
  <dc:description>67330314,  agnese.jekabsone@km.gov.lv</dc:description>
  <cp:lastModifiedBy>AgraL</cp:lastModifiedBy>
  <cp:revision>16</cp:revision>
  <cp:lastPrinted>2012-06-20T15:30:00Z</cp:lastPrinted>
  <dcterms:created xsi:type="dcterms:W3CDTF">2012-06-07T12:43:00Z</dcterms:created>
  <dcterms:modified xsi:type="dcterms:W3CDTF">2012-06-20T15:30:00Z</dcterms:modified>
</cp:coreProperties>
</file>