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FA" w:rsidRPr="00A055C8" w:rsidRDefault="006D12BF" w:rsidP="00A055C8">
      <w:pPr>
        <w:spacing w:after="120"/>
        <w:jc w:val="center"/>
        <w:rPr>
          <w:rFonts w:ascii="Times New Roman" w:hAnsi="Times New Roman"/>
          <w:b/>
        </w:rPr>
      </w:pPr>
      <w:r w:rsidRPr="00A055C8">
        <w:rPr>
          <w:rFonts w:ascii="Times New Roman" w:hAnsi="Times New Roman"/>
          <w:b/>
        </w:rPr>
        <w:t>Papildu pasākumi</w:t>
      </w:r>
    </w:p>
    <w:p w:rsidR="00C0703A" w:rsidRPr="00A055C8" w:rsidRDefault="00C0703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 xml:space="preserve">Lai veicinātu SIF kā </w:t>
      </w:r>
      <w:r w:rsidR="00A055C8" w:rsidRPr="00A055C8">
        <w:rPr>
          <w:rFonts w:ascii="Times New Roman" w:hAnsi="Times New Roman"/>
          <w:sz w:val="20"/>
          <w:szCs w:val="20"/>
        </w:rPr>
        <w:t>programmas</w:t>
      </w:r>
      <w:r w:rsidRPr="00A055C8">
        <w:rPr>
          <w:rFonts w:ascii="Times New Roman" w:hAnsi="Times New Roman"/>
          <w:sz w:val="20"/>
          <w:szCs w:val="20"/>
        </w:rPr>
        <w:t xml:space="preserve"> apsaimniekotāja kompetences paaugstināšanu un pieredzes apmaiņu ar citām līdzīgām NVO fondu administrējošām iestādēm, </w:t>
      </w:r>
      <w:r w:rsidRPr="00A055C8">
        <w:rPr>
          <w:rFonts w:ascii="Times New Roman" w:hAnsi="Times New Roman"/>
          <w:b/>
          <w:sz w:val="20"/>
          <w:szCs w:val="20"/>
        </w:rPr>
        <w:t xml:space="preserve">papildu pasākumu fonda ietvaros </w:t>
      </w:r>
      <w:r w:rsidR="002A540D" w:rsidRPr="00A055C8">
        <w:rPr>
          <w:rFonts w:ascii="Times New Roman" w:hAnsi="Times New Roman"/>
          <w:sz w:val="20"/>
          <w:szCs w:val="20"/>
        </w:rPr>
        <w:t xml:space="preserve">SIF </w:t>
      </w:r>
      <w:r w:rsidRPr="00A055C8">
        <w:rPr>
          <w:rFonts w:ascii="Times New Roman" w:hAnsi="Times New Roman"/>
          <w:sz w:val="20"/>
          <w:szCs w:val="20"/>
        </w:rPr>
        <w:t>plāno 2013., 2014. un 2015</w:t>
      </w:r>
      <w:r w:rsidR="00193A3A" w:rsidRPr="00A055C8">
        <w:rPr>
          <w:rFonts w:ascii="Times New Roman" w:hAnsi="Times New Roman"/>
          <w:sz w:val="20"/>
          <w:szCs w:val="20"/>
        </w:rPr>
        <w:t xml:space="preserve">. </w:t>
      </w:r>
      <w:r w:rsidRPr="00A055C8">
        <w:rPr>
          <w:rFonts w:ascii="Times New Roman" w:hAnsi="Times New Roman"/>
          <w:sz w:val="20"/>
          <w:szCs w:val="20"/>
        </w:rPr>
        <w:t>doties pieredzes apmaiņā uz Čehiju, Poliju un Igauniju. Minētās valstis ir izvēlētas</w:t>
      </w:r>
      <w:r w:rsidR="002A540D" w:rsidRPr="00A055C8">
        <w:rPr>
          <w:rFonts w:ascii="Times New Roman" w:hAnsi="Times New Roman"/>
          <w:sz w:val="20"/>
          <w:szCs w:val="20"/>
        </w:rPr>
        <w:t>,</w:t>
      </w:r>
      <w:r w:rsidRPr="00A055C8">
        <w:rPr>
          <w:rFonts w:ascii="Times New Roman" w:hAnsi="Times New Roman"/>
          <w:sz w:val="20"/>
          <w:szCs w:val="20"/>
        </w:rPr>
        <w:t xml:space="preserve"> ņemot vērā gan to iepriekšējo veiksmīgo darbības pieredzi</w:t>
      </w:r>
      <w:r w:rsidR="002A540D" w:rsidRPr="00A055C8">
        <w:rPr>
          <w:rFonts w:ascii="Times New Roman" w:hAnsi="Times New Roman"/>
          <w:sz w:val="20"/>
          <w:szCs w:val="20"/>
        </w:rPr>
        <w:t>,</w:t>
      </w:r>
      <w:r w:rsidRPr="00A055C8">
        <w:rPr>
          <w:rFonts w:ascii="Times New Roman" w:hAnsi="Times New Roman"/>
          <w:sz w:val="20"/>
          <w:szCs w:val="20"/>
        </w:rPr>
        <w:t xml:space="preserve"> </w:t>
      </w:r>
      <w:r w:rsidR="00193A3A" w:rsidRPr="00A055C8">
        <w:rPr>
          <w:rFonts w:ascii="Times New Roman" w:hAnsi="Times New Roman"/>
          <w:sz w:val="20"/>
          <w:szCs w:val="20"/>
        </w:rPr>
        <w:t xml:space="preserve">apsaimniekojot </w:t>
      </w:r>
      <w:r w:rsidR="002A540D" w:rsidRPr="00A055C8">
        <w:rPr>
          <w:rFonts w:ascii="Times New Roman" w:hAnsi="Times New Roman"/>
          <w:sz w:val="20"/>
          <w:szCs w:val="20"/>
        </w:rPr>
        <w:t>programmu „</w:t>
      </w:r>
      <w:r w:rsidR="00193A3A" w:rsidRPr="00A055C8">
        <w:rPr>
          <w:rFonts w:ascii="Times New Roman" w:hAnsi="Times New Roman"/>
          <w:sz w:val="20"/>
          <w:szCs w:val="20"/>
        </w:rPr>
        <w:t xml:space="preserve">NVO </w:t>
      </w:r>
      <w:r w:rsidR="002A540D" w:rsidRPr="00A055C8">
        <w:rPr>
          <w:rFonts w:ascii="Times New Roman" w:hAnsi="Times New Roman"/>
          <w:sz w:val="20"/>
          <w:szCs w:val="20"/>
        </w:rPr>
        <w:t>fonds”</w:t>
      </w:r>
      <w:r w:rsidR="00193A3A" w:rsidRPr="00A055C8">
        <w:rPr>
          <w:rFonts w:ascii="Times New Roman" w:hAnsi="Times New Roman"/>
          <w:sz w:val="20"/>
          <w:szCs w:val="20"/>
        </w:rPr>
        <w:t>, kā arī plānoto finansējuma jaunajā periodā (Polija – 37 miljoni eiro).</w:t>
      </w:r>
      <w:r w:rsidR="002A540D" w:rsidRPr="00A055C8">
        <w:rPr>
          <w:rFonts w:ascii="Times New Roman" w:hAnsi="Times New Roman"/>
          <w:sz w:val="20"/>
          <w:szCs w:val="20"/>
        </w:rPr>
        <w:t xml:space="preserve"> </w:t>
      </w:r>
      <w:r w:rsidR="00193A3A" w:rsidRPr="00A055C8">
        <w:rPr>
          <w:rFonts w:ascii="Times New Roman" w:hAnsi="Times New Roman"/>
          <w:sz w:val="20"/>
          <w:szCs w:val="20"/>
        </w:rPr>
        <w:t xml:space="preserve">Pieredzes apmaiņas brauciena uz šīm valstīm dosies programmas administrēšanā iesaistītais SIF </w:t>
      </w:r>
      <w:r w:rsidR="002A540D" w:rsidRPr="00A055C8">
        <w:rPr>
          <w:rFonts w:ascii="Times New Roman" w:hAnsi="Times New Roman"/>
          <w:sz w:val="20"/>
          <w:szCs w:val="20"/>
        </w:rPr>
        <w:t xml:space="preserve">darbinieki </w:t>
      </w:r>
      <w:r w:rsidR="00193A3A" w:rsidRPr="00A055C8">
        <w:rPr>
          <w:rFonts w:ascii="Times New Roman" w:hAnsi="Times New Roman"/>
          <w:sz w:val="20"/>
          <w:szCs w:val="20"/>
        </w:rPr>
        <w:t xml:space="preserve">– pārstāvji no PN, PKN, PUN, FKN. Tikšanās laikā abu pušu pārstāvji varēs dalīties pieredzē par visu programmas administrēšanas ciklu, kas ir ļoti svarīgi, lai veicinātu pēc iespējas sekmīgu programmas administrēšanu un viedokļu apmaiņu. </w:t>
      </w:r>
      <w:r w:rsidR="008F232F" w:rsidRPr="00A055C8">
        <w:rPr>
          <w:rFonts w:ascii="Times New Roman" w:hAnsi="Times New Roman"/>
          <w:sz w:val="20"/>
          <w:szCs w:val="20"/>
        </w:rPr>
        <w:t xml:space="preserve">SIF pārstāvjiem tiks segtas ceļojumu izmaksas (transporta, viesnīcu izdevumi un dienas nauda saskaņā ar Latvijas Republikas </w:t>
      </w:r>
      <w:r w:rsidR="002A540D" w:rsidRPr="00A055C8">
        <w:rPr>
          <w:rFonts w:ascii="Times New Roman" w:hAnsi="Times New Roman"/>
          <w:sz w:val="20"/>
          <w:szCs w:val="20"/>
        </w:rPr>
        <w:t xml:space="preserve">(LR) </w:t>
      </w:r>
      <w:r w:rsidR="008F232F" w:rsidRPr="00A055C8">
        <w:rPr>
          <w:rFonts w:ascii="Times New Roman" w:hAnsi="Times New Roman"/>
          <w:sz w:val="20"/>
          <w:szCs w:val="20"/>
        </w:rPr>
        <w:t>normatīvajos aktos noteiktajām likmēm).</w:t>
      </w:r>
    </w:p>
    <w:p w:rsidR="00193A3A" w:rsidRPr="00A055C8" w:rsidRDefault="00193A3A" w:rsidP="00A055C8">
      <w:pPr>
        <w:tabs>
          <w:tab w:val="left" w:pos="360"/>
        </w:tabs>
        <w:spacing w:after="120"/>
        <w:jc w:val="both"/>
        <w:rPr>
          <w:rFonts w:ascii="Times New Roman" w:hAnsi="Times New Roman"/>
          <w:sz w:val="20"/>
          <w:szCs w:val="20"/>
        </w:rPr>
      </w:pPr>
    </w:p>
    <w:p w:rsidR="00193A3A" w:rsidRPr="00A055C8" w:rsidRDefault="00193A3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Papildus ņemot vērā to, ka FIB iepriekšējos gadus ir rīkojuši pieredzes apmaiņas pasākumus visiem</w:t>
      </w:r>
      <w:proofErr w:type="gramStart"/>
      <w:r w:rsidRPr="00A055C8">
        <w:rPr>
          <w:rFonts w:ascii="Times New Roman" w:hAnsi="Times New Roman"/>
          <w:sz w:val="20"/>
          <w:szCs w:val="20"/>
        </w:rPr>
        <w:t xml:space="preserve">  </w:t>
      </w:r>
      <w:proofErr w:type="gramEnd"/>
      <w:r w:rsidRPr="00A055C8">
        <w:rPr>
          <w:rFonts w:ascii="Times New Roman" w:hAnsi="Times New Roman"/>
          <w:sz w:val="20"/>
          <w:szCs w:val="20"/>
        </w:rPr>
        <w:t>programmu administrētājiem, SIF plāno piedalīties arī šajās konferencēs ar  līdz 3 pārstāvjiem katrā.</w:t>
      </w:r>
      <w:r w:rsidR="008F232F" w:rsidRPr="00A055C8">
        <w:rPr>
          <w:rFonts w:ascii="Times New Roman" w:hAnsi="Times New Roman"/>
          <w:sz w:val="20"/>
          <w:szCs w:val="20"/>
        </w:rPr>
        <w:t xml:space="preserve"> SIF </w:t>
      </w:r>
      <w:r w:rsidR="009A6AB4">
        <w:rPr>
          <w:rFonts w:ascii="Times New Roman" w:hAnsi="Times New Roman"/>
          <w:sz w:val="20"/>
          <w:szCs w:val="20"/>
        </w:rPr>
        <w:t xml:space="preserve">nepieciešamības gadījumā ir ieplānojusi saviem darbiniekiem </w:t>
      </w:r>
      <w:r w:rsidR="008F232F" w:rsidRPr="00A055C8">
        <w:rPr>
          <w:rFonts w:ascii="Times New Roman" w:hAnsi="Times New Roman"/>
          <w:sz w:val="20"/>
          <w:szCs w:val="20"/>
        </w:rPr>
        <w:t xml:space="preserve">segt ceļojumu izmaksas (transporta, viesnīcu izdevumi un dienas nauda saskaņā ar </w:t>
      </w:r>
      <w:r w:rsidR="002A540D" w:rsidRPr="00A055C8">
        <w:rPr>
          <w:rFonts w:ascii="Times New Roman" w:hAnsi="Times New Roman"/>
          <w:sz w:val="20"/>
          <w:szCs w:val="20"/>
        </w:rPr>
        <w:t>LR</w:t>
      </w:r>
      <w:r w:rsidR="008F232F" w:rsidRPr="00A055C8">
        <w:rPr>
          <w:rFonts w:ascii="Times New Roman" w:hAnsi="Times New Roman"/>
          <w:sz w:val="20"/>
          <w:szCs w:val="20"/>
        </w:rPr>
        <w:t xml:space="preserve"> normatīvajos aktos noteiktajām likmēm).</w:t>
      </w:r>
    </w:p>
    <w:p w:rsidR="00193A3A" w:rsidRPr="00A055C8" w:rsidRDefault="00193A3A" w:rsidP="00A055C8">
      <w:pPr>
        <w:tabs>
          <w:tab w:val="left" w:pos="360"/>
        </w:tabs>
        <w:spacing w:after="120"/>
        <w:jc w:val="both"/>
        <w:rPr>
          <w:rFonts w:ascii="Times New Roman" w:hAnsi="Times New Roman"/>
          <w:sz w:val="20"/>
          <w:szCs w:val="20"/>
        </w:rPr>
      </w:pPr>
    </w:p>
    <w:p w:rsidR="00C0703A" w:rsidRPr="00A055C8" w:rsidRDefault="00C0703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 xml:space="preserve">Savukārt 2016.gadā, kad projektu iesviešana būs jau pabeigta, SIF vēlas organizēt Latvijā pieredzes apmaiņas konferenci, kurā tiks aicinātas piedalīties pārējo saņēmējvalstu institūcijas/organizācijas, kas varēs dalīties savā pieredzē par NVO fonda ieviešanu </w:t>
      </w:r>
      <w:r w:rsidR="002A540D" w:rsidRPr="00A055C8">
        <w:rPr>
          <w:rFonts w:ascii="Times New Roman" w:hAnsi="Times New Roman"/>
          <w:sz w:val="20"/>
          <w:szCs w:val="20"/>
        </w:rPr>
        <w:t xml:space="preserve">2009.-2014.gada </w:t>
      </w:r>
      <w:r w:rsidRPr="00A055C8">
        <w:rPr>
          <w:rFonts w:ascii="Times New Roman" w:hAnsi="Times New Roman"/>
          <w:sz w:val="20"/>
          <w:szCs w:val="20"/>
        </w:rPr>
        <w:t xml:space="preserve">plānošanas </w:t>
      </w:r>
      <w:r w:rsidR="000B6506" w:rsidRPr="00A055C8">
        <w:rPr>
          <w:rFonts w:ascii="Times New Roman" w:hAnsi="Times New Roman"/>
          <w:sz w:val="20"/>
          <w:szCs w:val="20"/>
        </w:rPr>
        <w:t xml:space="preserve">periodā, lai dalītos pieredzē par programmas ietvaros sasniegto. </w:t>
      </w:r>
      <w:r w:rsidR="00594CF7" w:rsidRPr="00A055C8">
        <w:rPr>
          <w:rFonts w:ascii="Times New Roman" w:hAnsi="Times New Roman"/>
          <w:sz w:val="20"/>
          <w:szCs w:val="20"/>
        </w:rPr>
        <w:t>Šīs aktivitātes ietvaros SIF plāno segt izmaksas, kas saistās ar pasākuma organizēšanu</w:t>
      </w:r>
      <w:r w:rsidR="002A540D" w:rsidRPr="00A055C8">
        <w:rPr>
          <w:rFonts w:ascii="Times New Roman" w:hAnsi="Times New Roman"/>
          <w:sz w:val="20"/>
          <w:szCs w:val="20"/>
        </w:rPr>
        <w:t>,</w:t>
      </w:r>
      <w:r w:rsidR="00594CF7" w:rsidRPr="00A055C8">
        <w:rPr>
          <w:rFonts w:ascii="Times New Roman" w:hAnsi="Times New Roman"/>
          <w:sz w:val="20"/>
          <w:szCs w:val="20"/>
        </w:rPr>
        <w:t xml:space="preserve"> t.sk.</w:t>
      </w:r>
      <w:r w:rsidR="002A540D" w:rsidRPr="00A055C8">
        <w:rPr>
          <w:rFonts w:ascii="Times New Roman" w:hAnsi="Times New Roman"/>
          <w:sz w:val="20"/>
          <w:szCs w:val="20"/>
        </w:rPr>
        <w:t>,</w:t>
      </w:r>
      <w:r w:rsidR="00594CF7" w:rsidRPr="00A055C8">
        <w:rPr>
          <w:rFonts w:ascii="Times New Roman" w:hAnsi="Times New Roman"/>
          <w:sz w:val="20"/>
          <w:szCs w:val="20"/>
        </w:rPr>
        <w:t xml:space="preserve"> telpu īri, tulkošanas izmaksas, informācijas un publicitātes u.c. izmaksas, kas tieši saistītas ar pasākuma veiksmīgu norisi.</w:t>
      </w:r>
    </w:p>
    <w:p w:rsidR="00594CF7" w:rsidRPr="00A055C8" w:rsidRDefault="00594CF7" w:rsidP="00A055C8">
      <w:pPr>
        <w:tabs>
          <w:tab w:val="left" w:pos="360"/>
        </w:tabs>
        <w:spacing w:after="120"/>
        <w:jc w:val="both"/>
        <w:rPr>
          <w:rFonts w:ascii="Times New Roman" w:hAnsi="Times New Roman"/>
          <w:sz w:val="20"/>
          <w:szCs w:val="20"/>
        </w:rPr>
      </w:pPr>
    </w:p>
    <w:p w:rsidR="00594CF7" w:rsidRPr="00A055C8" w:rsidRDefault="005971A1"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Diemžēl programmas „NVO fonds” sagatavošanas brīdī vēl nav iespējams detalizēti plānot konkrētas izdevumu pozīcijas katram braucienam, tamdēļ tiek pievienots indikatīvs finanšu plāns, kas tiks attiecīgi precizēts un papildināts ar konkrētāku informāciju plānojot šīs aktivitātes.</w:t>
      </w:r>
    </w:p>
    <w:p w:rsidR="005971A1" w:rsidRPr="00A055C8" w:rsidRDefault="005971A1" w:rsidP="00A055C8">
      <w:pPr>
        <w:tabs>
          <w:tab w:val="left" w:pos="360"/>
        </w:tabs>
        <w:spacing w:after="12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247"/>
        <w:gridCol w:w="1147"/>
        <w:gridCol w:w="1147"/>
        <w:gridCol w:w="1248"/>
      </w:tblGrid>
      <w:tr w:rsidR="00536989" w:rsidRPr="00A055C8">
        <w:tc>
          <w:tcPr>
            <w:tcW w:w="3681" w:type="dxa"/>
          </w:tcPr>
          <w:p w:rsidR="00536989" w:rsidRPr="00A055C8" w:rsidRDefault="00536989" w:rsidP="00A055C8">
            <w:pPr>
              <w:tabs>
                <w:tab w:val="left" w:pos="360"/>
              </w:tabs>
              <w:spacing w:after="120"/>
              <w:jc w:val="both"/>
              <w:rPr>
                <w:rFonts w:ascii="Times New Roman" w:hAnsi="Times New Roman"/>
                <w:sz w:val="20"/>
                <w:szCs w:val="20"/>
              </w:rPr>
            </w:pPr>
          </w:p>
        </w:tc>
        <w:tc>
          <w:tcPr>
            <w:tcW w:w="1247" w:type="dxa"/>
          </w:tcPr>
          <w:p w:rsidR="00536989" w:rsidRPr="00A055C8" w:rsidRDefault="00536989" w:rsidP="00A055C8">
            <w:pPr>
              <w:tabs>
                <w:tab w:val="left" w:pos="360"/>
              </w:tabs>
              <w:spacing w:after="120"/>
              <w:jc w:val="center"/>
              <w:rPr>
                <w:rFonts w:ascii="Times New Roman" w:hAnsi="Times New Roman"/>
                <w:b/>
                <w:sz w:val="20"/>
                <w:szCs w:val="20"/>
              </w:rPr>
            </w:pPr>
            <w:r w:rsidRPr="00A055C8">
              <w:rPr>
                <w:rFonts w:ascii="Times New Roman" w:hAnsi="Times New Roman"/>
                <w:b/>
                <w:sz w:val="20"/>
                <w:szCs w:val="20"/>
              </w:rPr>
              <w:t>2013</w:t>
            </w:r>
          </w:p>
        </w:tc>
        <w:tc>
          <w:tcPr>
            <w:tcW w:w="1147" w:type="dxa"/>
          </w:tcPr>
          <w:p w:rsidR="00536989" w:rsidRPr="00A055C8" w:rsidRDefault="00536989" w:rsidP="00A055C8">
            <w:pPr>
              <w:tabs>
                <w:tab w:val="left" w:pos="360"/>
              </w:tabs>
              <w:spacing w:after="120"/>
              <w:jc w:val="center"/>
              <w:rPr>
                <w:rFonts w:ascii="Times New Roman" w:hAnsi="Times New Roman"/>
                <w:b/>
                <w:sz w:val="20"/>
                <w:szCs w:val="20"/>
              </w:rPr>
            </w:pPr>
            <w:r w:rsidRPr="00A055C8">
              <w:rPr>
                <w:rFonts w:ascii="Times New Roman" w:hAnsi="Times New Roman"/>
                <w:b/>
                <w:sz w:val="20"/>
                <w:szCs w:val="20"/>
              </w:rPr>
              <w:t>2014</w:t>
            </w:r>
          </w:p>
        </w:tc>
        <w:tc>
          <w:tcPr>
            <w:tcW w:w="1147" w:type="dxa"/>
          </w:tcPr>
          <w:p w:rsidR="00536989" w:rsidRPr="00A055C8" w:rsidRDefault="00536989" w:rsidP="00A055C8">
            <w:pPr>
              <w:tabs>
                <w:tab w:val="left" w:pos="360"/>
              </w:tabs>
              <w:spacing w:after="120"/>
              <w:jc w:val="center"/>
              <w:rPr>
                <w:rFonts w:ascii="Times New Roman" w:hAnsi="Times New Roman"/>
                <w:b/>
                <w:sz w:val="20"/>
                <w:szCs w:val="20"/>
              </w:rPr>
            </w:pPr>
            <w:r w:rsidRPr="00A055C8">
              <w:rPr>
                <w:rFonts w:ascii="Times New Roman" w:hAnsi="Times New Roman"/>
                <w:b/>
                <w:sz w:val="20"/>
                <w:szCs w:val="20"/>
              </w:rPr>
              <w:t>2015</w:t>
            </w:r>
          </w:p>
        </w:tc>
        <w:tc>
          <w:tcPr>
            <w:tcW w:w="1248" w:type="dxa"/>
          </w:tcPr>
          <w:p w:rsidR="00536989" w:rsidRPr="00A055C8" w:rsidRDefault="00536989" w:rsidP="00A055C8">
            <w:pPr>
              <w:tabs>
                <w:tab w:val="left" w:pos="360"/>
              </w:tabs>
              <w:spacing w:after="120"/>
              <w:jc w:val="center"/>
              <w:rPr>
                <w:rFonts w:ascii="Times New Roman" w:hAnsi="Times New Roman"/>
                <w:b/>
                <w:sz w:val="20"/>
                <w:szCs w:val="20"/>
              </w:rPr>
            </w:pPr>
            <w:r w:rsidRPr="00A055C8">
              <w:rPr>
                <w:rFonts w:ascii="Times New Roman" w:hAnsi="Times New Roman"/>
                <w:b/>
                <w:sz w:val="20"/>
                <w:szCs w:val="20"/>
              </w:rPr>
              <w:t>2016</w:t>
            </w:r>
          </w:p>
        </w:tc>
      </w:tr>
      <w:tr w:rsidR="00536989" w:rsidRPr="00A055C8">
        <w:tc>
          <w:tcPr>
            <w:tcW w:w="3681" w:type="dxa"/>
          </w:tcPr>
          <w:p w:rsidR="00536989" w:rsidRPr="00A055C8" w:rsidRDefault="00536989"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Pieredzes apmaiņas brauciens uz Igauniju (5-7 cilvēkiem)</w:t>
            </w:r>
          </w:p>
        </w:tc>
        <w:tc>
          <w:tcPr>
            <w:tcW w:w="1247" w:type="dxa"/>
          </w:tcPr>
          <w:p w:rsidR="00536989"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8</w:t>
            </w:r>
            <w:r w:rsidR="00536989" w:rsidRPr="00A055C8">
              <w:rPr>
                <w:rFonts w:ascii="Times New Roman" w:hAnsi="Times New Roman"/>
                <w:sz w:val="20"/>
                <w:szCs w:val="20"/>
              </w:rPr>
              <w:t> 000 EUR</w:t>
            </w:r>
          </w:p>
        </w:tc>
        <w:tc>
          <w:tcPr>
            <w:tcW w:w="1147" w:type="dxa"/>
          </w:tcPr>
          <w:p w:rsidR="00536989" w:rsidRPr="00A055C8" w:rsidRDefault="00536989" w:rsidP="00A055C8">
            <w:pPr>
              <w:tabs>
                <w:tab w:val="left" w:pos="360"/>
              </w:tabs>
              <w:spacing w:after="120"/>
              <w:jc w:val="both"/>
              <w:rPr>
                <w:rFonts w:ascii="Times New Roman" w:hAnsi="Times New Roman"/>
                <w:sz w:val="20"/>
                <w:szCs w:val="20"/>
              </w:rPr>
            </w:pPr>
          </w:p>
        </w:tc>
        <w:tc>
          <w:tcPr>
            <w:tcW w:w="1147" w:type="dxa"/>
          </w:tcPr>
          <w:p w:rsidR="00536989" w:rsidRPr="00A055C8" w:rsidRDefault="00536989" w:rsidP="00A055C8">
            <w:pPr>
              <w:tabs>
                <w:tab w:val="left" w:pos="360"/>
              </w:tabs>
              <w:spacing w:after="120"/>
              <w:jc w:val="both"/>
              <w:rPr>
                <w:rFonts w:ascii="Times New Roman" w:hAnsi="Times New Roman"/>
                <w:sz w:val="20"/>
                <w:szCs w:val="20"/>
              </w:rPr>
            </w:pPr>
          </w:p>
        </w:tc>
        <w:tc>
          <w:tcPr>
            <w:tcW w:w="1248" w:type="dxa"/>
          </w:tcPr>
          <w:p w:rsidR="00536989" w:rsidRPr="00A055C8" w:rsidRDefault="00536989" w:rsidP="00A055C8">
            <w:pPr>
              <w:tabs>
                <w:tab w:val="left" w:pos="360"/>
              </w:tabs>
              <w:spacing w:after="120"/>
              <w:jc w:val="both"/>
              <w:rPr>
                <w:rFonts w:ascii="Times New Roman" w:hAnsi="Times New Roman"/>
                <w:sz w:val="20"/>
                <w:szCs w:val="20"/>
              </w:rPr>
            </w:pPr>
          </w:p>
        </w:tc>
      </w:tr>
      <w:tr w:rsidR="00536989" w:rsidRPr="00A055C8">
        <w:tc>
          <w:tcPr>
            <w:tcW w:w="3681" w:type="dxa"/>
          </w:tcPr>
          <w:p w:rsidR="00536989" w:rsidRPr="00A055C8" w:rsidRDefault="004C0F38"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 xml:space="preserve">Dalība FIB organizētajā ikgadējā konferencē </w:t>
            </w:r>
          </w:p>
        </w:tc>
        <w:tc>
          <w:tcPr>
            <w:tcW w:w="1247" w:type="dxa"/>
          </w:tcPr>
          <w:p w:rsidR="00536989"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2</w:t>
            </w:r>
            <w:r w:rsidR="004C0F38" w:rsidRPr="00A055C8">
              <w:rPr>
                <w:rFonts w:ascii="Times New Roman" w:hAnsi="Times New Roman"/>
                <w:sz w:val="20"/>
                <w:szCs w:val="20"/>
              </w:rPr>
              <w:t> 000 EUR</w:t>
            </w:r>
          </w:p>
        </w:tc>
        <w:tc>
          <w:tcPr>
            <w:tcW w:w="1147" w:type="dxa"/>
          </w:tcPr>
          <w:p w:rsidR="00536989" w:rsidRPr="00A055C8" w:rsidRDefault="00536989" w:rsidP="00A055C8">
            <w:pPr>
              <w:tabs>
                <w:tab w:val="left" w:pos="360"/>
              </w:tabs>
              <w:spacing w:after="120"/>
              <w:jc w:val="both"/>
              <w:rPr>
                <w:rFonts w:ascii="Times New Roman" w:hAnsi="Times New Roman"/>
                <w:sz w:val="20"/>
                <w:szCs w:val="20"/>
              </w:rPr>
            </w:pPr>
          </w:p>
        </w:tc>
        <w:tc>
          <w:tcPr>
            <w:tcW w:w="1147" w:type="dxa"/>
          </w:tcPr>
          <w:p w:rsidR="00536989" w:rsidRPr="00A055C8" w:rsidRDefault="00536989" w:rsidP="00A055C8">
            <w:pPr>
              <w:tabs>
                <w:tab w:val="left" w:pos="360"/>
              </w:tabs>
              <w:spacing w:after="120"/>
              <w:jc w:val="both"/>
              <w:rPr>
                <w:rFonts w:ascii="Times New Roman" w:hAnsi="Times New Roman"/>
                <w:sz w:val="20"/>
                <w:szCs w:val="20"/>
              </w:rPr>
            </w:pPr>
          </w:p>
        </w:tc>
        <w:tc>
          <w:tcPr>
            <w:tcW w:w="1248" w:type="dxa"/>
          </w:tcPr>
          <w:p w:rsidR="00536989" w:rsidRPr="00A055C8" w:rsidRDefault="00536989" w:rsidP="00A055C8">
            <w:pPr>
              <w:tabs>
                <w:tab w:val="left" w:pos="360"/>
              </w:tabs>
              <w:spacing w:after="120"/>
              <w:jc w:val="both"/>
              <w:rPr>
                <w:rFonts w:ascii="Times New Roman" w:hAnsi="Times New Roman"/>
                <w:sz w:val="20"/>
                <w:szCs w:val="20"/>
              </w:rPr>
            </w:pPr>
          </w:p>
        </w:tc>
      </w:tr>
      <w:tr w:rsidR="0073184A" w:rsidRPr="00A055C8">
        <w:tc>
          <w:tcPr>
            <w:tcW w:w="3681"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Pieredzes apmaiņas brauciens uz Poliju (5-7 cilvēkiem)</w:t>
            </w:r>
          </w:p>
        </w:tc>
        <w:tc>
          <w:tcPr>
            <w:tcW w:w="1247" w:type="dxa"/>
          </w:tcPr>
          <w:p w:rsidR="0073184A" w:rsidRPr="00A055C8" w:rsidRDefault="0073184A" w:rsidP="00A055C8">
            <w:pPr>
              <w:tabs>
                <w:tab w:val="left" w:pos="360"/>
              </w:tabs>
              <w:spacing w:after="120"/>
              <w:jc w:val="both"/>
              <w:rPr>
                <w:rFonts w:ascii="Times New Roman" w:hAnsi="Times New Roman"/>
                <w:sz w:val="20"/>
                <w:szCs w:val="20"/>
              </w:rPr>
            </w:pP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8 000 EUR</w:t>
            </w: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p>
        </w:tc>
        <w:tc>
          <w:tcPr>
            <w:tcW w:w="1248" w:type="dxa"/>
          </w:tcPr>
          <w:p w:rsidR="0073184A" w:rsidRPr="00A055C8" w:rsidRDefault="0073184A" w:rsidP="00A055C8">
            <w:pPr>
              <w:tabs>
                <w:tab w:val="left" w:pos="360"/>
              </w:tabs>
              <w:spacing w:after="120"/>
              <w:jc w:val="both"/>
              <w:rPr>
                <w:rFonts w:ascii="Times New Roman" w:hAnsi="Times New Roman"/>
                <w:sz w:val="20"/>
                <w:szCs w:val="20"/>
              </w:rPr>
            </w:pPr>
          </w:p>
        </w:tc>
      </w:tr>
      <w:tr w:rsidR="0073184A" w:rsidRPr="00A055C8">
        <w:tc>
          <w:tcPr>
            <w:tcW w:w="3681"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Dalība FIB organizētajā ikgadējā konferencē</w:t>
            </w:r>
            <w:r w:rsidR="009A6AB4">
              <w:rPr>
                <w:rFonts w:ascii="Times New Roman" w:hAnsi="Times New Roman"/>
                <w:sz w:val="20"/>
                <w:szCs w:val="20"/>
              </w:rPr>
              <w:t>*</w:t>
            </w:r>
          </w:p>
        </w:tc>
        <w:tc>
          <w:tcPr>
            <w:tcW w:w="1247" w:type="dxa"/>
          </w:tcPr>
          <w:p w:rsidR="0073184A" w:rsidRPr="00A055C8" w:rsidRDefault="0073184A" w:rsidP="00A055C8">
            <w:pPr>
              <w:tabs>
                <w:tab w:val="left" w:pos="360"/>
              </w:tabs>
              <w:spacing w:after="120"/>
              <w:jc w:val="both"/>
              <w:rPr>
                <w:rFonts w:ascii="Times New Roman" w:hAnsi="Times New Roman"/>
                <w:sz w:val="20"/>
                <w:szCs w:val="20"/>
              </w:rPr>
            </w:pP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2 000 EUR</w:t>
            </w: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p>
        </w:tc>
        <w:tc>
          <w:tcPr>
            <w:tcW w:w="1248" w:type="dxa"/>
          </w:tcPr>
          <w:p w:rsidR="0073184A" w:rsidRPr="00A055C8" w:rsidRDefault="0073184A" w:rsidP="00A055C8">
            <w:pPr>
              <w:tabs>
                <w:tab w:val="left" w:pos="360"/>
              </w:tabs>
              <w:spacing w:after="120"/>
              <w:jc w:val="both"/>
              <w:rPr>
                <w:rFonts w:ascii="Times New Roman" w:hAnsi="Times New Roman"/>
                <w:sz w:val="20"/>
                <w:szCs w:val="20"/>
              </w:rPr>
            </w:pPr>
          </w:p>
        </w:tc>
      </w:tr>
      <w:tr w:rsidR="0073184A" w:rsidRPr="00A055C8">
        <w:tc>
          <w:tcPr>
            <w:tcW w:w="3681"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Pieredzes apmaiņas brauciens uz Čehijas Republiku (5-7 cilvēkiem)</w:t>
            </w:r>
          </w:p>
        </w:tc>
        <w:tc>
          <w:tcPr>
            <w:tcW w:w="1247" w:type="dxa"/>
          </w:tcPr>
          <w:p w:rsidR="0073184A" w:rsidRPr="00A055C8" w:rsidRDefault="0073184A" w:rsidP="00A055C8">
            <w:pPr>
              <w:tabs>
                <w:tab w:val="left" w:pos="360"/>
              </w:tabs>
              <w:spacing w:after="120"/>
              <w:jc w:val="both"/>
              <w:rPr>
                <w:rFonts w:ascii="Times New Roman" w:hAnsi="Times New Roman"/>
                <w:sz w:val="20"/>
                <w:szCs w:val="20"/>
              </w:rPr>
            </w:pP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8 000 EUR</w:t>
            </w:r>
          </w:p>
        </w:tc>
        <w:tc>
          <w:tcPr>
            <w:tcW w:w="1248" w:type="dxa"/>
          </w:tcPr>
          <w:p w:rsidR="0073184A" w:rsidRPr="00A055C8" w:rsidRDefault="0073184A" w:rsidP="00A055C8">
            <w:pPr>
              <w:tabs>
                <w:tab w:val="left" w:pos="360"/>
              </w:tabs>
              <w:spacing w:after="120"/>
              <w:jc w:val="both"/>
              <w:rPr>
                <w:rFonts w:ascii="Times New Roman" w:hAnsi="Times New Roman"/>
                <w:sz w:val="20"/>
                <w:szCs w:val="20"/>
              </w:rPr>
            </w:pPr>
          </w:p>
        </w:tc>
      </w:tr>
      <w:tr w:rsidR="0073184A" w:rsidRPr="00A055C8">
        <w:tc>
          <w:tcPr>
            <w:tcW w:w="3681"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Dalība FIB organizētajā ikgadējā konferencē</w:t>
            </w:r>
            <w:r w:rsidR="009A6AB4">
              <w:rPr>
                <w:rFonts w:ascii="Times New Roman" w:hAnsi="Times New Roman"/>
                <w:sz w:val="20"/>
                <w:szCs w:val="20"/>
              </w:rPr>
              <w:t>*</w:t>
            </w:r>
          </w:p>
        </w:tc>
        <w:tc>
          <w:tcPr>
            <w:tcW w:w="1247" w:type="dxa"/>
          </w:tcPr>
          <w:p w:rsidR="0073184A" w:rsidRPr="00A055C8" w:rsidRDefault="0073184A" w:rsidP="00A055C8">
            <w:pPr>
              <w:tabs>
                <w:tab w:val="left" w:pos="360"/>
              </w:tabs>
              <w:spacing w:after="120"/>
              <w:jc w:val="both"/>
              <w:rPr>
                <w:rFonts w:ascii="Times New Roman" w:hAnsi="Times New Roman"/>
                <w:sz w:val="20"/>
                <w:szCs w:val="20"/>
              </w:rPr>
            </w:pP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p>
        </w:tc>
        <w:tc>
          <w:tcPr>
            <w:tcW w:w="1147" w:type="dxa"/>
          </w:tcPr>
          <w:p w:rsidR="0073184A" w:rsidRPr="00A055C8" w:rsidRDefault="0073184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2 000 EUR</w:t>
            </w:r>
          </w:p>
        </w:tc>
        <w:tc>
          <w:tcPr>
            <w:tcW w:w="1248" w:type="dxa"/>
          </w:tcPr>
          <w:p w:rsidR="0073184A" w:rsidRPr="00A055C8" w:rsidRDefault="0073184A" w:rsidP="00A055C8">
            <w:pPr>
              <w:tabs>
                <w:tab w:val="left" w:pos="360"/>
              </w:tabs>
              <w:spacing w:after="120"/>
              <w:jc w:val="both"/>
              <w:rPr>
                <w:rFonts w:ascii="Times New Roman" w:hAnsi="Times New Roman"/>
                <w:sz w:val="20"/>
                <w:szCs w:val="20"/>
              </w:rPr>
            </w:pPr>
          </w:p>
        </w:tc>
      </w:tr>
      <w:tr w:rsidR="00536989" w:rsidRPr="00A055C8">
        <w:tc>
          <w:tcPr>
            <w:tcW w:w="3681" w:type="dxa"/>
          </w:tcPr>
          <w:p w:rsidR="00536989" w:rsidRPr="00A055C8" w:rsidRDefault="00DA061A"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lastRenderedPageBreak/>
              <w:t xml:space="preserve">SIF organizēta konference Rīgā </w:t>
            </w:r>
          </w:p>
        </w:tc>
        <w:tc>
          <w:tcPr>
            <w:tcW w:w="1247" w:type="dxa"/>
          </w:tcPr>
          <w:p w:rsidR="00536989" w:rsidRPr="00A055C8" w:rsidRDefault="00536989" w:rsidP="00A055C8">
            <w:pPr>
              <w:tabs>
                <w:tab w:val="left" w:pos="360"/>
              </w:tabs>
              <w:spacing w:after="120"/>
              <w:jc w:val="both"/>
              <w:rPr>
                <w:rFonts w:ascii="Times New Roman" w:hAnsi="Times New Roman"/>
                <w:sz w:val="20"/>
                <w:szCs w:val="20"/>
              </w:rPr>
            </w:pPr>
          </w:p>
        </w:tc>
        <w:tc>
          <w:tcPr>
            <w:tcW w:w="1147" w:type="dxa"/>
          </w:tcPr>
          <w:p w:rsidR="00536989" w:rsidRPr="00A055C8" w:rsidRDefault="00536989" w:rsidP="00A055C8">
            <w:pPr>
              <w:tabs>
                <w:tab w:val="left" w:pos="360"/>
              </w:tabs>
              <w:spacing w:after="120"/>
              <w:jc w:val="both"/>
              <w:rPr>
                <w:rFonts w:ascii="Times New Roman" w:hAnsi="Times New Roman"/>
                <w:sz w:val="20"/>
                <w:szCs w:val="20"/>
              </w:rPr>
            </w:pPr>
          </w:p>
        </w:tc>
        <w:tc>
          <w:tcPr>
            <w:tcW w:w="1147" w:type="dxa"/>
          </w:tcPr>
          <w:p w:rsidR="00536989" w:rsidRPr="00A055C8" w:rsidRDefault="00536989" w:rsidP="00A055C8">
            <w:pPr>
              <w:tabs>
                <w:tab w:val="left" w:pos="360"/>
              </w:tabs>
              <w:spacing w:after="120"/>
              <w:jc w:val="both"/>
              <w:rPr>
                <w:rFonts w:ascii="Times New Roman" w:hAnsi="Times New Roman"/>
                <w:sz w:val="20"/>
                <w:szCs w:val="20"/>
              </w:rPr>
            </w:pPr>
          </w:p>
        </w:tc>
        <w:tc>
          <w:tcPr>
            <w:tcW w:w="1248" w:type="dxa"/>
          </w:tcPr>
          <w:p w:rsidR="00536989" w:rsidRPr="00A055C8" w:rsidRDefault="00883539"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18</w:t>
            </w:r>
            <w:r w:rsidR="00DA061A" w:rsidRPr="00A055C8">
              <w:rPr>
                <w:rFonts w:ascii="Times New Roman" w:hAnsi="Times New Roman"/>
                <w:sz w:val="20"/>
                <w:szCs w:val="20"/>
              </w:rPr>
              <w:t> 000 EUR</w:t>
            </w:r>
          </w:p>
        </w:tc>
      </w:tr>
      <w:tr w:rsidR="00883539" w:rsidRPr="00A055C8">
        <w:tc>
          <w:tcPr>
            <w:tcW w:w="3681" w:type="dxa"/>
          </w:tcPr>
          <w:p w:rsidR="00883539" w:rsidRPr="00A055C8" w:rsidRDefault="00883539"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Dalība FIB organizētajā ikgadējā konferencē</w:t>
            </w:r>
            <w:r w:rsidR="009A6AB4">
              <w:rPr>
                <w:rFonts w:ascii="Times New Roman" w:hAnsi="Times New Roman"/>
                <w:sz w:val="20"/>
                <w:szCs w:val="20"/>
              </w:rPr>
              <w:t>_</w:t>
            </w:r>
          </w:p>
        </w:tc>
        <w:tc>
          <w:tcPr>
            <w:tcW w:w="1247" w:type="dxa"/>
          </w:tcPr>
          <w:p w:rsidR="00883539" w:rsidRPr="00A055C8" w:rsidRDefault="00883539" w:rsidP="00A055C8">
            <w:pPr>
              <w:tabs>
                <w:tab w:val="left" w:pos="360"/>
              </w:tabs>
              <w:spacing w:after="120"/>
              <w:jc w:val="both"/>
              <w:rPr>
                <w:rFonts w:ascii="Times New Roman" w:hAnsi="Times New Roman"/>
                <w:sz w:val="20"/>
                <w:szCs w:val="20"/>
              </w:rPr>
            </w:pPr>
          </w:p>
        </w:tc>
        <w:tc>
          <w:tcPr>
            <w:tcW w:w="1147" w:type="dxa"/>
          </w:tcPr>
          <w:p w:rsidR="00883539" w:rsidRPr="00A055C8" w:rsidRDefault="00883539" w:rsidP="00A055C8">
            <w:pPr>
              <w:tabs>
                <w:tab w:val="left" w:pos="360"/>
              </w:tabs>
              <w:spacing w:after="120"/>
              <w:jc w:val="both"/>
              <w:rPr>
                <w:rFonts w:ascii="Times New Roman" w:hAnsi="Times New Roman"/>
                <w:sz w:val="20"/>
                <w:szCs w:val="20"/>
              </w:rPr>
            </w:pPr>
          </w:p>
        </w:tc>
        <w:tc>
          <w:tcPr>
            <w:tcW w:w="1147" w:type="dxa"/>
          </w:tcPr>
          <w:p w:rsidR="00883539" w:rsidRPr="00A055C8" w:rsidRDefault="00883539" w:rsidP="00A055C8">
            <w:pPr>
              <w:tabs>
                <w:tab w:val="left" w:pos="360"/>
              </w:tabs>
              <w:spacing w:after="120"/>
              <w:jc w:val="both"/>
              <w:rPr>
                <w:rFonts w:ascii="Times New Roman" w:hAnsi="Times New Roman"/>
                <w:sz w:val="20"/>
                <w:szCs w:val="20"/>
              </w:rPr>
            </w:pPr>
          </w:p>
        </w:tc>
        <w:tc>
          <w:tcPr>
            <w:tcW w:w="1248" w:type="dxa"/>
          </w:tcPr>
          <w:p w:rsidR="00883539" w:rsidRPr="00A055C8" w:rsidRDefault="00883539" w:rsidP="00A055C8">
            <w:pPr>
              <w:tabs>
                <w:tab w:val="left" w:pos="360"/>
              </w:tabs>
              <w:spacing w:after="120"/>
              <w:jc w:val="both"/>
              <w:rPr>
                <w:rFonts w:ascii="Times New Roman" w:hAnsi="Times New Roman"/>
                <w:sz w:val="20"/>
                <w:szCs w:val="20"/>
              </w:rPr>
            </w:pPr>
            <w:r w:rsidRPr="00A055C8">
              <w:rPr>
                <w:rFonts w:ascii="Times New Roman" w:hAnsi="Times New Roman"/>
                <w:sz w:val="20"/>
                <w:szCs w:val="20"/>
              </w:rPr>
              <w:t>2 000 EUR</w:t>
            </w:r>
          </w:p>
        </w:tc>
      </w:tr>
    </w:tbl>
    <w:p w:rsidR="005971A1" w:rsidRPr="00A055C8" w:rsidRDefault="009A6AB4" w:rsidP="00A055C8">
      <w:pPr>
        <w:tabs>
          <w:tab w:val="left" w:pos="360"/>
        </w:tabs>
        <w:spacing w:after="120"/>
        <w:jc w:val="both"/>
        <w:rPr>
          <w:rFonts w:ascii="Times New Roman" w:hAnsi="Times New Roman"/>
          <w:sz w:val="20"/>
          <w:szCs w:val="20"/>
        </w:rPr>
      </w:pPr>
      <w:r>
        <w:rPr>
          <w:rFonts w:ascii="Times New Roman" w:hAnsi="Times New Roman"/>
          <w:sz w:val="20"/>
          <w:szCs w:val="20"/>
        </w:rPr>
        <w:t xml:space="preserve">*Nepieciešamības gadījumā tiks segtas SIF darbinieku dalības izmaksas. </w:t>
      </w:r>
    </w:p>
    <w:p w:rsidR="00A055C8" w:rsidRPr="00A055C8" w:rsidRDefault="00A055C8" w:rsidP="00A055C8">
      <w:pPr>
        <w:spacing w:after="120"/>
        <w:jc w:val="both"/>
        <w:rPr>
          <w:rFonts w:ascii="Times New Roman" w:hAnsi="Times New Roman"/>
          <w:szCs w:val="24"/>
        </w:rPr>
      </w:pPr>
      <w:r w:rsidRPr="00A055C8">
        <w:rPr>
          <w:rFonts w:ascii="Times New Roman" w:hAnsi="Times New Roman"/>
          <w:szCs w:val="24"/>
        </w:rPr>
        <w:t>Ku</w:t>
      </w:r>
      <w:r>
        <w:rPr>
          <w:rFonts w:ascii="Times New Roman" w:hAnsi="Times New Roman"/>
          <w:szCs w:val="24"/>
        </w:rPr>
        <w:t>ltūras minist</w:t>
      </w:r>
      <w:r w:rsidR="00251563">
        <w:rPr>
          <w:rFonts w:ascii="Times New Roman" w:hAnsi="Times New Roman"/>
          <w:szCs w:val="24"/>
        </w:rPr>
        <w:t>re</w:t>
      </w:r>
      <w:r w:rsidR="00251563">
        <w:rPr>
          <w:rFonts w:ascii="Times New Roman" w:hAnsi="Times New Roman"/>
          <w:szCs w:val="24"/>
        </w:rPr>
        <w:tab/>
      </w:r>
      <w:r w:rsidR="00251563">
        <w:rPr>
          <w:rFonts w:ascii="Times New Roman" w:hAnsi="Times New Roman"/>
          <w:szCs w:val="24"/>
        </w:rPr>
        <w:tab/>
      </w:r>
      <w:r w:rsidR="00251563">
        <w:rPr>
          <w:rFonts w:ascii="Times New Roman" w:hAnsi="Times New Roman"/>
          <w:szCs w:val="24"/>
        </w:rPr>
        <w:tab/>
      </w:r>
      <w:r w:rsidR="00251563">
        <w:rPr>
          <w:rFonts w:ascii="Times New Roman" w:hAnsi="Times New Roman"/>
          <w:szCs w:val="24"/>
        </w:rPr>
        <w:tab/>
      </w:r>
      <w:r w:rsidR="00251563">
        <w:rPr>
          <w:rFonts w:ascii="Times New Roman" w:hAnsi="Times New Roman"/>
          <w:szCs w:val="24"/>
        </w:rPr>
        <w:tab/>
      </w:r>
      <w:r w:rsidR="00251563">
        <w:rPr>
          <w:rFonts w:ascii="Times New Roman" w:hAnsi="Times New Roman"/>
          <w:szCs w:val="24"/>
        </w:rPr>
        <w:tab/>
      </w:r>
      <w:proofErr w:type="gramStart"/>
      <w:r w:rsidR="00251563">
        <w:rPr>
          <w:rFonts w:ascii="Times New Roman" w:hAnsi="Times New Roman"/>
          <w:szCs w:val="24"/>
        </w:rPr>
        <w:t xml:space="preserve">           </w:t>
      </w:r>
      <w:proofErr w:type="gramEnd"/>
      <w:r w:rsidRPr="00A055C8">
        <w:rPr>
          <w:rFonts w:ascii="Times New Roman" w:hAnsi="Times New Roman"/>
          <w:szCs w:val="24"/>
        </w:rPr>
        <w:t>Ž.Jaunzeme</w:t>
      </w:r>
      <w:r w:rsidR="00251563">
        <w:rPr>
          <w:rFonts w:ascii="Times New Roman" w:hAnsi="Times New Roman"/>
          <w:szCs w:val="24"/>
        </w:rPr>
        <w:t xml:space="preserve"> </w:t>
      </w:r>
      <w:r w:rsidRPr="00A055C8">
        <w:rPr>
          <w:rFonts w:ascii="Times New Roman" w:hAnsi="Times New Roman"/>
          <w:szCs w:val="24"/>
        </w:rPr>
        <w:t>- Grende</w:t>
      </w:r>
    </w:p>
    <w:p w:rsidR="00A055C8" w:rsidRPr="00A055C8" w:rsidRDefault="00A055C8" w:rsidP="00A055C8">
      <w:pPr>
        <w:spacing w:after="120"/>
        <w:jc w:val="both"/>
        <w:rPr>
          <w:rFonts w:ascii="Times New Roman" w:hAnsi="Times New Roman"/>
          <w:szCs w:val="24"/>
        </w:rPr>
      </w:pPr>
    </w:p>
    <w:p w:rsidR="00A055C8" w:rsidRPr="00A055C8" w:rsidRDefault="00A055C8" w:rsidP="00A055C8">
      <w:pPr>
        <w:spacing w:after="120"/>
        <w:jc w:val="both"/>
        <w:rPr>
          <w:rFonts w:ascii="Times New Roman" w:hAnsi="Times New Roman"/>
          <w:szCs w:val="24"/>
        </w:rPr>
      </w:pPr>
      <w:r w:rsidRPr="00A055C8">
        <w:rPr>
          <w:rFonts w:ascii="Times New Roman" w:hAnsi="Times New Roman"/>
          <w:szCs w:val="24"/>
        </w:rPr>
        <w:t>Iesniedzējs:</w:t>
      </w:r>
      <w:r>
        <w:rPr>
          <w:rFonts w:ascii="Times New Roman" w:hAnsi="Times New Roman"/>
          <w:szCs w:val="24"/>
        </w:rPr>
        <w:t xml:space="preserve"> Kultūras ministre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 xml:space="preserve">         </w:t>
      </w:r>
      <w:r w:rsidRPr="00A055C8">
        <w:rPr>
          <w:rFonts w:ascii="Times New Roman" w:hAnsi="Times New Roman"/>
          <w:szCs w:val="24"/>
        </w:rPr>
        <w:t xml:space="preserve"> </w:t>
      </w:r>
      <w:proofErr w:type="gramEnd"/>
      <w:r w:rsidRPr="00A055C8">
        <w:rPr>
          <w:rFonts w:ascii="Times New Roman" w:hAnsi="Times New Roman"/>
          <w:szCs w:val="24"/>
        </w:rPr>
        <w:t>Ž.Jaunzeme</w:t>
      </w:r>
      <w:r w:rsidR="00251563">
        <w:rPr>
          <w:rFonts w:ascii="Times New Roman" w:hAnsi="Times New Roman"/>
          <w:szCs w:val="24"/>
        </w:rPr>
        <w:t xml:space="preserve"> </w:t>
      </w:r>
      <w:r w:rsidRPr="00A055C8">
        <w:rPr>
          <w:rFonts w:ascii="Times New Roman" w:hAnsi="Times New Roman"/>
          <w:szCs w:val="24"/>
        </w:rPr>
        <w:t>- Grende</w:t>
      </w:r>
    </w:p>
    <w:p w:rsidR="00A055C8" w:rsidRPr="00A055C8" w:rsidRDefault="00A055C8" w:rsidP="00A055C8">
      <w:pPr>
        <w:spacing w:after="120"/>
        <w:jc w:val="both"/>
        <w:rPr>
          <w:rFonts w:ascii="Times New Roman" w:hAnsi="Times New Roman"/>
          <w:szCs w:val="24"/>
        </w:rPr>
      </w:pPr>
    </w:p>
    <w:p w:rsidR="00A055C8" w:rsidRPr="00A055C8" w:rsidRDefault="00A055C8" w:rsidP="00A055C8">
      <w:pPr>
        <w:spacing w:after="120"/>
        <w:jc w:val="both"/>
        <w:rPr>
          <w:rFonts w:ascii="Times New Roman" w:hAnsi="Times New Roman"/>
          <w:b/>
          <w:szCs w:val="24"/>
        </w:rPr>
      </w:pPr>
      <w:r w:rsidRPr="00A055C8">
        <w:rPr>
          <w:rFonts w:ascii="Times New Roman" w:hAnsi="Times New Roman"/>
          <w:szCs w:val="24"/>
        </w:rPr>
        <w:t>Vizē: Kultūras ministrij</w:t>
      </w:r>
      <w:r>
        <w:rPr>
          <w:rFonts w:ascii="Times New Roman" w:hAnsi="Times New Roman"/>
          <w:szCs w:val="24"/>
        </w:rPr>
        <w:t xml:space="preserve">as valsts </w:t>
      </w:r>
      <w:r w:rsidR="00EA19EB" w:rsidRPr="00EA19EB">
        <w:rPr>
          <w:rFonts w:ascii="Times New Roman" w:hAnsi="Times New Roman"/>
          <w:sz w:val="24"/>
          <w:szCs w:val="24"/>
        </w:rPr>
        <w:t>sekretāra</w:t>
      </w:r>
      <w:r w:rsidR="00EA19EB">
        <w:t xml:space="preserve"> </w:t>
      </w:r>
      <w:proofErr w:type="spellStart"/>
      <w:r w:rsidR="00EA19EB" w:rsidRPr="00EA19EB">
        <w:rPr>
          <w:rFonts w:ascii="Times New Roman" w:hAnsi="Times New Roman"/>
        </w:rPr>
        <w:t>p.i</w:t>
      </w:r>
      <w:proofErr w:type="spellEnd"/>
      <w:r w:rsidR="00EA19EB" w:rsidRPr="00EA19EB">
        <w:rPr>
          <w:rFonts w:ascii="Times New Roman" w:hAnsi="Times New Roman"/>
        </w:rPr>
        <w:t>.</w:t>
      </w:r>
      <w:r w:rsidR="00EA19EB" w:rsidRPr="00EA19EB">
        <w:rPr>
          <w:rFonts w:ascii="Times New Roman" w:hAnsi="Times New Roman"/>
        </w:rPr>
        <w:tab/>
      </w:r>
      <w:r w:rsidR="00EA19EB" w:rsidRPr="00EA19EB">
        <w:rPr>
          <w:rFonts w:ascii="Times New Roman" w:hAnsi="Times New Roman"/>
        </w:rPr>
        <w:tab/>
      </w:r>
      <w:r w:rsidR="00EA19EB" w:rsidRPr="00EA19EB">
        <w:rPr>
          <w:rFonts w:ascii="Times New Roman" w:hAnsi="Times New Roman"/>
        </w:rPr>
        <w:tab/>
      </w:r>
      <w:r w:rsidR="00EA19EB" w:rsidRPr="00EA19EB">
        <w:rPr>
          <w:rFonts w:ascii="Times New Roman" w:hAnsi="Times New Roman"/>
        </w:rPr>
        <w:tab/>
        <w:t xml:space="preserve">U. </w:t>
      </w:r>
      <w:proofErr w:type="spellStart"/>
      <w:r w:rsidR="00EA19EB" w:rsidRPr="00EA19EB">
        <w:rPr>
          <w:rFonts w:ascii="Times New Roman" w:hAnsi="Times New Roman"/>
        </w:rPr>
        <w:t>Lielpēters</w:t>
      </w:r>
      <w:proofErr w:type="spellEnd"/>
    </w:p>
    <w:p w:rsidR="00A055C8" w:rsidRPr="00A055C8" w:rsidRDefault="00A055C8" w:rsidP="00A055C8">
      <w:pPr>
        <w:tabs>
          <w:tab w:val="left" w:pos="4990"/>
        </w:tabs>
        <w:spacing w:after="120"/>
        <w:jc w:val="both"/>
        <w:rPr>
          <w:rFonts w:ascii="Times New Roman" w:hAnsi="Times New Roman"/>
          <w:szCs w:val="24"/>
        </w:rPr>
      </w:pPr>
      <w:r w:rsidRPr="00A055C8">
        <w:rPr>
          <w:rFonts w:ascii="Times New Roman" w:hAnsi="Times New Roman"/>
          <w:b/>
          <w:szCs w:val="24"/>
        </w:rPr>
        <w:tab/>
      </w:r>
    </w:p>
    <w:p w:rsidR="00A055C8" w:rsidRPr="00A66A53" w:rsidRDefault="00F12449" w:rsidP="00A055C8">
      <w:pPr>
        <w:spacing w:after="0" w:line="240" w:lineRule="auto"/>
        <w:jc w:val="both"/>
        <w:rPr>
          <w:rFonts w:ascii="Times New Roman" w:hAnsi="Times New Roman"/>
        </w:rPr>
      </w:pPr>
      <w:r>
        <w:rPr>
          <w:rFonts w:ascii="Times New Roman" w:hAnsi="Times New Roman"/>
        </w:rPr>
        <w:t>11</w:t>
      </w:r>
      <w:r w:rsidR="00EA19EB">
        <w:rPr>
          <w:rFonts w:ascii="Times New Roman" w:hAnsi="Times New Roman"/>
        </w:rPr>
        <w:t>.01.2012. 12</w:t>
      </w:r>
      <w:r w:rsidR="00A055C8" w:rsidRPr="00A66A53">
        <w:rPr>
          <w:rFonts w:ascii="Times New Roman" w:hAnsi="Times New Roman"/>
        </w:rPr>
        <w:t>:35</w:t>
      </w:r>
    </w:p>
    <w:p w:rsidR="00D04AB8" w:rsidRDefault="00EA19EB" w:rsidP="00A055C8">
      <w:pPr>
        <w:spacing w:after="0" w:line="240" w:lineRule="auto"/>
        <w:rPr>
          <w:rFonts w:ascii="Times New Roman" w:hAnsi="Times New Roman"/>
          <w:szCs w:val="24"/>
          <w:lang w:val="es-ES_tradnl"/>
        </w:rPr>
      </w:pPr>
      <w:r>
        <w:rPr>
          <w:rFonts w:ascii="Times New Roman" w:hAnsi="Times New Roman"/>
          <w:szCs w:val="24"/>
          <w:lang w:val="es-ES_tradnl"/>
        </w:rPr>
        <w:t>394</w:t>
      </w:r>
    </w:p>
    <w:p w:rsidR="00A055C8" w:rsidRPr="00A055C8" w:rsidRDefault="00A055C8" w:rsidP="00A055C8">
      <w:pPr>
        <w:spacing w:after="0" w:line="240" w:lineRule="auto"/>
        <w:rPr>
          <w:rFonts w:ascii="Times New Roman" w:hAnsi="Times New Roman"/>
          <w:szCs w:val="24"/>
          <w:lang w:val="es-ES_tradnl"/>
        </w:rPr>
      </w:pPr>
      <w:r w:rsidRPr="00A055C8">
        <w:rPr>
          <w:rFonts w:ascii="Times New Roman" w:hAnsi="Times New Roman"/>
          <w:szCs w:val="24"/>
          <w:lang w:val="es-ES_tradnl"/>
        </w:rPr>
        <w:t>A.Sebre, 67078204</w:t>
      </w:r>
    </w:p>
    <w:p w:rsidR="00A66A53" w:rsidRDefault="00A66A53" w:rsidP="00A055C8">
      <w:pPr>
        <w:spacing w:after="0" w:line="240" w:lineRule="auto"/>
        <w:rPr>
          <w:rFonts w:ascii="Times New Roman" w:hAnsi="Times New Roman"/>
          <w:szCs w:val="24"/>
        </w:rPr>
      </w:pPr>
      <w:hyperlink r:id="rId6" w:history="1">
        <w:r w:rsidRPr="005A15AA">
          <w:rPr>
            <w:rStyle w:val="Hipersaite"/>
            <w:rFonts w:ascii="Times New Roman" w:hAnsi="Times New Roman"/>
            <w:szCs w:val="24"/>
          </w:rPr>
          <w:t>Alda.Sebre@lsif.lv</w:t>
        </w:r>
      </w:hyperlink>
    </w:p>
    <w:p w:rsidR="00B723F2" w:rsidRPr="00AA3013" w:rsidRDefault="00B723F2" w:rsidP="00B723F2">
      <w:pPr>
        <w:spacing w:after="0"/>
        <w:rPr>
          <w:rFonts w:ascii="Times New Roman" w:hAnsi="Times New Roman"/>
          <w:sz w:val="20"/>
          <w:szCs w:val="20"/>
        </w:rPr>
      </w:pPr>
      <w:r w:rsidRPr="00AA3013">
        <w:rPr>
          <w:rFonts w:ascii="Times New Roman" w:hAnsi="Times New Roman"/>
          <w:sz w:val="20"/>
          <w:szCs w:val="20"/>
        </w:rPr>
        <w:t>T.Hanova-Akuļecka, 67330319</w:t>
      </w:r>
    </w:p>
    <w:p w:rsidR="00B723F2" w:rsidRPr="00AA3013" w:rsidRDefault="00B723F2" w:rsidP="00B723F2">
      <w:pPr>
        <w:spacing w:after="0"/>
        <w:rPr>
          <w:rFonts w:ascii="Times New Roman" w:hAnsi="Times New Roman"/>
          <w:sz w:val="20"/>
          <w:szCs w:val="20"/>
        </w:rPr>
      </w:pPr>
      <w:hyperlink r:id="rId7" w:history="1">
        <w:r w:rsidRPr="00AA3013">
          <w:rPr>
            <w:rStyle w:val="Hipersaite"/>
            <w:rFonts w:ascii="Times New Roman" w:hAnsi="Times New Roman"/>
            <w:sz w:val="20"/>
            <w:szCs w:val="20"/>
          </w:rPr>
          <w:t>Tatjana.Hanova-Akulecka@km.gov.lv</w:t>
        </w:r>
      </w:hyperlink>
      <w:r w:rsidRPr="00AA3013">
        <w:rPr>
          <w:rFonts w:ascii="Times New Roman" w:hAnsi="Times New Roman"/>
          <w:sz w:val="20"/>
          <w:szCs w:val="20"/>
        </w:rPr>
        <w:t xml:space="preserve"> </w:t>
      </w:r>
    </w:p>
    <w:p w:rsidR="00A055C8" w:rsidRPr="00A055C8" w:rsidRDefault="00A055C8" w:rsidP="00A055C8">
      <w:pPr>
        <w:spacing w:after="0" w:line="240" w:lineRule="auto"/>
        <w:rPr>
          <w:rFonts w:ascii="Times New Roman" w:hAnsi="Times New Roman"/>
          <w:szCs w:val="24"/>
          <w:lang w:val="es-ES_tradnl"/>
        </w:rPr>
      </w:pPr>
      <w:r w:rsidRPr="00A055C8">
        <w:rPr>
          <w:rFonts w:ascii="Times New Roman" w:hAnsi="Times New Roman"/>
          <w:szCs w:val="24"/>
          <w:lang w:val="es-ES_tradnl"/>
        </w:rPr>
        <w:t xml:space="preserve"> </w:t>
      </w:r>
    </w:p>
    <w:p w:rsidR="006D12BF" w:rsidRPr="00A055C8" w:rsidRDefault="006D12BF" w:rsidP="00A055C8">
      <w:pPr>
        <w:spacing w:after="120"/>
        <w:jc w:val="both"/>
        <w:rPr>
          <w:rFonts w:ascii="Times New Roman" w:hAnsi="Times New Roman"/>
          <w:lang w:val="es-ES_tradnl"/>
        </w:rPr>
      </w:pPr>
    </w:p>
    <w:sectPr w:rsidR="006D12BF" w:rsidRPr="00A055C8" w:rsidSect="00925850">
      <w:footerReference w:type="default" r:id="rId8"/>
      <w:headerReference w:type="first" r:id="rId9"/>
      <w:foot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E6" w:rsidRDefault="003113E6" w:rsidP="006D12BF">
      <w:pPr>
        <w:spacing w:after="0" w:line="240" w:lineRule="auto"/>
      </w:pPr>
      <w:r>
        <w:separator/>
      </w:r>
    </w:p>
  </w:endnote>
  <w:endnote w:type="continuationSeparator" w:id="0">
    <w:p w:rsidR="003113E6" w:rsidRDefault="003113E6" w:rsidP="006D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53" w:rsidRPr="009A3CE2" w:rsidRDefault="00A66A53" w:rsidP="00A055C8">
    <w:pPr>
      <w:pStyle w:val="Kjene"/>
      <w:jc w:val="both"/>
      <w:rPr>
        <w:rFonts w:ascii="Times New Roman" w:hAnsi="Times New Roman"/>
        <w:sz w:val="16"/>
        <w:szCs w:val="16"/>
      </w:rPr>
    </w:pPr>
    <w:r w:rsidRPr="009A3CE2">
      <w:rPr>
        <w:rFonts w:ascii="Times New Roman" w:hAnsi="Times New Roman"/>
        <w:sz w:val="16"/>
        <w:szCs w:val="16"/>
      </w:rPr>
      <w:t>KMRikp8_</w:t>
    </w:r>
    <w:r w:rsidR="00F12449">
      <w:rPr>
        <w:rFonts w:ascii="Times New Roman" w:hAnsi="Times New Roman"/>
        <w:sz w:val="16"/>
        <w:szCs w:val="16"/>
      </w:rPr>
      <w:t>11</w:t>
    </w:r>
    <w:r w:rsidR="00EA19EB">
      <w:rPr>
        <w:rFonts w:ascii="Times New Roman" w:hAnsi="Times New Roman"/>
        <w:sz w:val="16"/>
        <w:szCs w:val="16"/>
      </w:rPr>
      <w:t>0112</w:t>
    </w:r>
    <w:r w:rsidRPr="009A3CE2">
      <w:rPr>
        <w:rFonts w:ascii="Times New Roman" w:hAnsi="Times New Roman"/>
        <w:sz w:val="16"/>
        <w:szCs w:val="16"/>
      </w:rPr>
      <w:t xml:space="preserve">_EEZFI_LV03; Pielikuma 8.pielikums Ministru kabineta rīkojuma projektam „Par Eiropas Ekonomikas zonas finanšu instrumenta finansētās programmas LV03 „NVO fonds” iesnieguma projektu” </w:t>
    </w:r>
  </w:p>
  <w:p w:rsidR="00A66A53" w:rsidRDefault="00A66A53">
    <w:pPr>
      <w:pStyle w:val="Kjene"/>
    </w:pPr>
  </w:p>
  <w:p w:rsidR="00A66A53" w:rsidRDefault="00A66A5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53" w:rsidRPr="009A3CE2" w:rsidRDefault="00A66A53" w:rsidP="00AE3744">
    <w:pPr>
      <w:pStyle w:val="Kjene"/>
      <w:jc w:val="both"/>
      <w:rPr>
        <w:rFonts w:ascii="Times New Roman" w:hAnsi="Times New Roman"/>
        <w:sz w:val="16"/>
        <w:szCs w:val="16"/>
      </w:rPr>
    </w:pPr>
    <w:r w:rsidRPr="009A3CE2">
      <w:rPr>
        <w:rFonts w:ascii="Times New Roman" w:hAnsi="Times New Roman"/>
        <w:sz w:val="16"/>
        <w:szCs w:val="16"/>
      </w:rPr>
      <w:t>KMRikp8_</w:t>
    </w:r>
    <w:r w:rsidR="00F12449">
      <w:rPr>
        <w:rFonts w:ascii="Times New Roman" w:hAnsi="Times New Roman"/>
        <w:sz w:val="16"/>
        <w:szCs w:val="16"/>
      </w:rPr>
      <w:t>11</w:t>
    </w:r>
    <w:r w:rsidR="00EA19EB">
      <w:rPr>
        <w:rFonts w:ascii="Times New Roman" w:hAnsi="Times New Roman"/>
        <w:sz w:val="16"/>
        <w:szCs w:val="16"/>
      </w:rPr>
      <w:t>0112</w:t>
    </w:r>
    <w:r w:rsidRPr="009A3CE2">
      <w:rPr>
        <w:rFonts w:ascii="Times New Roman" w:hAnsi="Times New Roman"/>
        <w:sz w:val="16"/>
        <w:szCs w:val="16"/>
      </w:rPr>
      <w:t xml:space="preserve">_EEZFI_LV03; Pielikuma 8.pielikums Ministru kabineta rīkojuma projektam „Par Eiropas Ekonomikas zonas finanšu instrumenta finansētās programmas LV03 „NVO fonds” iesnieguma projektu” </w:t>
    </w:r>
  </w:p>
  <w:p w:rsidR="00A66A53" w:rsidRPr="00AE3744" w:rsidRDefault="00A66A53" w:rsidP="00AE374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E6" w:rsidRDefault="003113E6" w:rsidP="006D12BF">
      <w:pPr>
        <w:spacing w:after="0" w:line="240" w:lineRule="auto"/>
      </w:pPr>
      <w:r>
        <w:separator/>
      </w:r>
    </w:p>
  </w:footnote>
  <w:footnote w:type="continuationSeparator" w:id="0">
    <w:p w:rsidR="003113E6" w:rsidRDefault="003113E6" w:rsidP="006D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53" w:rsidRPr="009A3CE2" w:rsidRDefault="00A66A53" w:rsidP="00925850">
    <w:pPr>
      <w:spacing w:after="0" w:line="240" w:lineRule="auto"/>
      <w:jc w:val="right"/>
      <w:rPr>
        <w:rFonts w:ascii="Times New Roman" w:hAnsi="Times New Roman"/>
        <w:bCs/>
        <w:sz w:val="16"/>
        <w:szCs w:val="16"/>
        <w:lang w:val="es-ES_tradnl"/>
      </w:rPr>
    </w:pPr>
    <w:r w:rsidRPr="009A3CE2">
      <w:rPr>
        <w:rFonts w:ascii="Times New Roman" w:hAnsi="Times New Roman"/>
        <w:bCs/>
        <w:sz w:val="16"/>
        <w:szCs w:val="16"/>
        <w:lang w:val="es-ES_tradnl"/>
      </w:rPr>
      <w:t>Pielikuma 8.pielikums</w:t>
    </w:r>
  </w:p>
  <w:p w:rsidR="00A66A53" w:rsidRPr="009A3CE2" w:rsidRDefault="00A66A53" w:rsidP="00925850">
    <w:pPr>
      <w:spacing w:after="0" w:line="240" w:lineRule="auto"/>
      <w:jc w:val="right"/>
      <w:rPr>
        <w:rFonts w:ascii="Times New Roman" w:hAnsi="Times New Roman"/>
        <w:bCs/>
        <w:sz w:val="16"/>
        <w:szCs w:val="16"/>
        <w:lang w:val="es-ES_tradnl"/>
      </w:rPr>
    </w:pPr>
    <w:r w:rsidRPr="009A3CE2">
      <w:rPr>
        <w:rFonts w:ascii="Times New Roman" w:hAnsi="Times New Roman"/>
        <w:bCs/>
        <w:sz w:val="16"/>
        <w:szCs w:val="16"/>
        <w:lang w:val="es-ES_tradnl"/>
      </w:rPr>
      <w:t>Ministru kabineta</w:t>
    </w:r>
  </w:p>
  <w:p w:rsidR="00A66A53" w:rsidRPr="009A3CE2" w:rsidRDefault="00EA19EB" w:rsidP="00925850">
    <w:pPr>
      <w:spacing w:after="0" w:line="240" w:lineRule="auto"/>
      <w:jc w:val="right"/>
      <w:rPr>
        <w:rFonts w:ascii="Times New Roman" w:hAnsi="Times New Roman"/>
        <w:bCs/>
        <w:sz w:val="16"/>
        <w:szCs w:val="16"/>
        <w:lang w:val="es-ES_tradnl"/>
      </w:rPr>
    </w:pPr>
    <w:r>
      <w:rPr>
        <w:rFonts w:ascii="Times New Roman" w:hAnsi="Times New Roman"/>
        <w:bCs/>
        <w:sz w:val="16"/>
        <w:szCs w:val="16"/>
        <w:lang w:val="es-ES_tradnl"/>
      </w:rPr>
      <w:t>2012</w:t>
    </w:r>
    <w:r w:rsidR="00A66A53" w:rsidRPr="009A3CE2">
      <w:rPr>
        <w:rFonts w:ascii="Times New Roman" w:hAnsi="Times New Roman"/>
        <w:bCs/>
        <w:sz w:val="16"/>
        <w:szCs w:val="16"/>
        <w:lang w:val="es-ES_tradnl"/>
      </w:rPr>
      <w:t>. </w:t>
    </w:r>
    <w:proofErr w:type="spellStart"/>
    <w:proofErr w:type="gramStart"/>
    <w:r w:rsidR="00A66A53" w:rsidRPr="009A3CE2">
      <w:rPr>
        <w:rFonts w:ascii="Times New Roman" w:hAnsi="Times New Roman"/>
        <w:bCs/>
        <w:sz w:val="16"/>
        <w:szCs w:val="16"/>
        <w:lang w:val="es-ES_tradnl"/>
      </w:rPr>
      <w:t>gada</w:t>
    </w:r>
    <w:proofErr w:type="spellEnd"/>
    <w:r w:rsidR="00A66A53" w:rsidRPr="009A3CE2">
      <w:rPr>
        <w:rFonts w:ascii="Times New Roman" w:hAnsi="Times New Roman"/>
        <w:bCs/>
        <w:sz w:val="16"/>
        <w:szCs w:val="16"/>
        <w:lang w:val="es-ES_tradnl"/>
      </w:rPr>
      <w:t xml:space="preserve"> ..................</w:t>
    </w:r>
    <w:proofErr w:type="gramEnd"/>
  </w:p>
  <w:p w:rsidR="00A66A53" w:rsidRPr="009A3CE2" w:rsidRDefault="00A66A53" w:rsidP="00925850">
    <w:pPr>
      <w:spacing w:after="0" w:line="240" w:lineRule="auto"/>
      <w:jc w:val="right"/>
      <w:rPr>
        <w:rFonts w:ascii="Times New Roman" w:hAnsi="Times New Roman"/>
        <w:bCs/>
        <w:sz w:val="16"/>
        <w:szCs w:val="16"/>
      </w:rPr>
    </w:pPr>
    <w:r w:rsidRPr="009A3CE2">
      <w:rPr>
        <w:rFonts w:ascii="Times New Roman" w:hAnsi="Times New Roman"/>
        <w:bCs/>
        <w:sz w:val="16"/>
        <w:szCs w:val="16"/>
      </w:rPr>
      <w:t>rīkojumam  Nr. ...........</w:t>
    </w:r>
  </w:p>
  <w:p w:rsidR="00A66A53" w:rsidRPr="009A3CE2" w:rsidRDefault="00A66A53">
    <w:pPr>
      <w:pStyle w:val="Galvene"/>
      <w:rPr>
        <w:rFonts w:ascii="Times New Roman" w:hAnsi="Times New Roman"/>
      </w:rPr>
    </w:pPr>
  </w:p>
  <w:p w:rsidR="00A66A53" w:rsidRDefault="00A66A5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D12BF"/>
    <w:rsid w:val="000B6506"/>
    <w:rsid w:val="000F2474"/>
    <w:rsid w:val="00193A3A"/>
    <w:rsid w:val="00251563"/>
    <w:rsid w:val="002A540D"/>
    <w:rsid w:val="002F4567"/>
    <w:rsid w:val="002F5E1D"/>
    <w:rsid w:val="003113E6"/>
    <w:rsid w:val="00447349"/>
    <w:rsid w:val="004C0F38"/>
    <w:rsid w:val="00536989"/>
    <w:rsid w:val="00594457"/>
    <w:rsid w:val="00594CF7"/>
    <w:rsid w:val="005971A1"/>
    <w:rsid w:val="00634FED"/>
    <w:rsid w:val="006636BE"/>
    <w:rsid w:val="006D12BF"/>
    <w:rsid w:val="0073184A"/>
    <w:rsid w:val="007A5CDF"/>
    <w:rsid w:val="007F5595"/>
    <w:rsid w:val="008201AE"/>
    <w:rsid w:val="008439F4"/>
    <w:rsid w:val="00883539"/>
    <w:rsid w:val="008F232F"/>
    <w:rsid w:val="00912BFA"/>
    <w:rsid w:val="0092434F"/>
    <w:rsid w:val="00925850"/>
    <w:rsid w:val="00953B71"/>
    <w:rsid w:val="009A3CE2"/>
    <w:rsid w:val="009A6AB4"/>
    <w:rsid w:val="00A0228D"/>
    <w:rsid w:val="00A055C8"/>
    <w:rsid w:val="00A66A53"/>
    <w:rsid w:val="00AC4E4D"/>
    <w:rsid w:val="00AE10FC"/>
    <w:rsid w:val="00AE3744"/>
    <w:rsid w:val="00B723F2"/>
    <w:rsid w:val="00B825CE"/>
    <w:rsid w:val="00C0703A"/>
    <w:rsid w:val="00C71025"/>
    <w:rsid w:val="00D04AB8"/>
    <w:rsid w:val="00D56D7D"/>
    <w:rsid w:val="00D74AB6"/>
    <w:rsid w:val="00D929F6"/>
    <w:rsid w:val="00DA061A"/>
    <w:rsid w:val="00DD32D9"/>
    <w:rsid w:val="00EA19EB"/>
    <w:rsid w:val="00EC6D41"/>
    <w:rsid w:val="00F05A4D"/>
    <w:rsid w:val="00F124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12BFA"/>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6D12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12BF"/>
  </w:style>
  <w:style w:type="paragraph" w:styleId="Kjene">
    <w:name w:val="footer"/>
    <w:basedOn w:val="Parastais"/>
    <w:link w:val="KjeneRakstz"/>
    <w:unhideWhenUsed/>
    <w:rsid w:val="006D12BF"/>
    <w:pPr>
      <w:tabs>
        <w:tab w:val="center" w:pos="4153"/>
        <w:tab w:val="right" w:pos="8306"/>
      </w:tabs>
      <w:spacing w:after="0" w:line="240" w:lineRule="auto"/>
    </w:pPr>
  </w:style>
  <w:style w:type="character" w:customStyle="1" w:styleId="KjeneRakstz">
    <w:name w:val="Kājene Rakstz."/>
    <w:basedOn w:val="Noklusjumarindkopasfonts"/>
    <w:link w:val="Kjene"/>
    <w:rsid w:val="006D12BF"/>
  </w:style>
  <w:style w:type="paragraph" w:styleId="Balonteksts">
    <w:name w:val="Balloon Text"/>
    <w:basedOn w:val="Parastais"/>
    <w:link w:val="BalontekstsRakstz"/>
    <w:uiPriority w:val="99"/>
    <w:semiHidden/>
    <w:unhideWhenUsed/>
    <w:rsid w:val="006D12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D12BF"/>
    <w:rPr>
      <w:rFonts w:ascii="Tahoma" w:hAnsi="Tahoma" w:cs="Tahoma"/>
      <w:sz w:val="16"/>
      <w:szCs w:val="16"/>
    </w:rPr>
  </w:style>
  <w:style w:type="table" w:styleId="Reatabula">
    <w:name w:val="Table Grid"/>
    <w:basedOn w:val="Parastatabula"/>
    <w:uiPriority w:val="59"/>
    <w:rsid w:val="0053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rsid w:val="00A055C8"/>
    <w:rPr>
      <w:color w:val="000080"/>
      <w:u w:val="single"/>
      <w:lang/>
    </w:rPr>
  </w:style>
</w:styles>
</file>

<file path=word/webSettings.xml><?xml version="1.0" encoding="utf-8"?>
<w:webSettings xmlns:r="http://schemas.openxmlformats.org/officeDocument/2006/relationships" xmlns:w="http://schemas.openxmlformats.org/wordprocessingml/2006/main">
  <w:divs>
    <w:div w:id="5021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atjana.Hanova-Akulecka@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da.Sebre@lsif.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2071</Words>
  <Characters>1182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Papildu pasākumi</vt:lpstr>
      <vt:lpstr>Papildus pasākumi</vt:lpstr>
    </vt:vector>
  </TitlesOfParts>
  <Company>SIF</Company>
  <LinksUpToDate>false</LinksUpToDate>
  <CharactersWithSpaces>3247</CharactersWithSpaces>
  <SharedDoc>false</SharedDoc>
  <HLinks>
    <vt:vector size="12" baseType="variant">
      <vt:variant>
        <vt:i4>4718628</vt:i4>
      </vt:variant>
      <vt:variant>
        <vt:i4>3</vt:i4>
      </vt:variant>
      <vt:variant>
        <vt:i4>0</vt:i4>
      </vt:variant>
      <vt:variant>
        <vt:i4>5</vt:i4>
      </vt:variant>
      <vt:variant>
        <vt:lpwstr>mailto:Tatjana.Hanova-Akulecka@km.gov.lv</vt:lpwstr>
      </vt:variant>
      <vt:variant>
        <vt:lpwstr/>
      </vt:variant>
      <vt:variant>
        <vt:i4>6750232</vt:i4>
      </vt:variant>
      <vt:variant>
        <vt:i4>0</vt:i4>
      </vt:variant>
      <vt:variant>
        <vt:i4>0</vt:i4>
      </vt:variant>
      <vt:variant>
        <vt:i4>5</vt:i4>
      </vt:variant>
      <vt:variant>
        <vt:lpwstr>mailto:Alda.Sebre@lsif.lv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Papildu pasākumi</dc:title>
  <dc:subject>Ministru kabineta rīkojuma projekta pielikuma 8.pielikums</dc:subject>
  <dc:creator>Alda Sebre</dc:creator>
  <cp:keywords>KM_SIF</cp:keywords>
  <dc:description>Alda.Sebre@lsif.lv_x000d_
Tālr. 67078204_x000d_
Faksa Nr. 67078224</dc:description>
  <cp:lastModifiedBy>TatjanaH</cp:lastModifiedBy>
  <cp:revision>2</cp:revision>
  <dcterms:created xsi:type="dcterms:W3CDTF">2012-01-12T11:40:00Z</dcterms:created>
  <dcterms:modified xsi:type="dcterms:W3CDTF">2012-01-12T11:40:00Z</dcterms:modified>
</cp:coreProperties>
</file>