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B" w:rsidRDefault="00A70BBB" w:rsidP="000B2FEB">
      <w:pPr>
        <w:jc w:val="center"/>
        <w:rPr>
          <w:b/>
        </w:rPr>
      </w:pPr>
      <w:r w:rsidRPr="00A70BBB">
        <w:rPr>
          <w:b/>
        </w:rPr>
        <w:t>Mini</w:t>
      </w:r>
      <w:r>
        <w:rPr>
          <w:b/>
        </w:rPr>
        <w:t>stru kabineta noteikumu projekta</w:t>
      </w:r>
      <w:r w:rsidR="000D044D">
        <w:rPr>
          <w:b/>
        </w:rPr>
        <w:t xml:space="preserve"> „</w:t>
      </w:r>
      <w:r w:rsidR="000B2FEB">
        <w:rPr>
          <w:b/>
        </w:rPr>
        <w:t>Grozījums Ministru kabineta 2010</w:t>
      </w:r>
      <w:r w:rsidR="000B2FEB" w:rsidRPr="006522F9">
        <w:rPr>
          <w:b/>
        </w:rPr>
        <w:t xml:space="preserve">.gada </w:t>
      </w:r>
      <w:r w:rsidR="000B2FEB">
        <w:rPr>
          <w:b/>
        </w:rPr>
        <w:t xml:space="preserve">27.jūlija noteikumos Nr.676 </w:t>
      </w:r>
      <w:r w:rsidR="000B2FEB" w:rsidRPr="006522F9">
        <w:rPr>
          <w:b/>
        </w:rPr>
        <w:t>„</w:t>
      </w:r>
      <w:r w:rsidR="000B2FEB">
        <w:rPr>
          <w:b/>
        </w:rPr>
        <w:t>Vispārīgās programmas „Solidaritāte un migrācijas plūsmu pārvaldība” izveidoto fondu vadības un kontroles kārtība”</w:t>
      </w:r>
    </w:p>
    <w:p w:rsidR="000115B5" w:rsidRPr="00A70BBB" w:rsidRDefault="000115B5" w:rsidP="00D64DFC">
      <w:pPr>
        <w:jc w:val="center"/>
        <w:rPr>
          <w:b/>
        </w:rPr>
      </w:pPr>
      <w:r w:rsidRPr="00A70BBB">
        <w:rPr>
          <w:b/>
        </w:rPr>
        <w:t>sākotnējās ietekmes novērtējuma ziņojums (anotācija)</w:t>
      </w:r>
    </w:p>
    <w:p w:rsidR="000115B5" w:rsidRPr="000115B5" w:rsidRDefault="000115B5" w:rsidP="00B22BC5">
      <w:pPr>
        <w:jc w:val="center"/>
        <w:rPr>
          <w:lang w:eastAsia="en-US"/>
        </w:rPr>
      </w:pPr>
      <w:r w:rsidRPr="000115B5">
        <w:rPr>
          <w:lang w:eastAsia="en-US"/>
        </w:rPr>
        <w:t> </w:t>
      </w: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2533"/>
        <w:gridCol w:w="6865"/>
      </w:tblGrid>
      <w:tr w:rsidR="000115B5" w:rsidRPr="000115B5" w:rsidTr="003360E2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5B5" w:rsidRPr="000115B5" w:rsidRDefault="000115B5" w:rsidP="00B22BC5">
            <w:pPr>
              <w:jc w:val="center"/>
              <w:rPr>
                <w:lang w:eastAsia="en-US"/>
              </w:rPr>
            </w:pPr>
            <w:r w:rsidRPr="000115B5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CE2EF5" w:rsidRPr="00292FAE" w:rsidTr="003360E2">
        <w:trPr>
          <w:trHeight w:val="63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0115B5">
              <w:rPr>
                <w:lang w:eastAsia="en-US"/>
              </w:rPr>
              <w:t> </w:t>
            </w:r>
            <w:r w:rsidRPr="00292FAE"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Pamatojums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63065D" w:rsidP="00C0421D">
            <w:pPr>
              <w:ind w:left="70"/>
              <w:jc w:val="both"/>
            </w:pPr>
            <w:r>
              <w:t xml:space="preserve">Ministru kabineta 2011.gada 22. februāra </w:t>
            </w:r>
            <w:r w:rsidR="00C0421D">
              <w:t xml:space="preserve">sēdes </w:t>
            </w:r>
            <w:proofErr w:type="spellStart"/>
            <w:r>
              <w:t>protokollēmuma</w:t>
            </w:r>
            <w:proofErr w:type="spellEnd"/>
            <w:r w:rsidR="00C0421D">
              <w:t xml:space="preserve"> Nr.11</w:t>
            </w:r>
            <w:r>
              <w:t xml:space="preserve"> </w:t>
            </w:r>
            <w:r w:rsidR="00C0421D">
              <w:t>41</w:t>
            </w:r>
            <w:r w:rsidR="00C0421D" w:rsidRPr="00292FAE">
              <w:t>.§</w:t>
            </w:r>
            <w:r w:rsidR="00C0421D">
              <w:t xml:space="preserve"> 10.punkts.</w:t>
            </w:r>
            <w:r>
              <w:t xml:space="preserve"> </w:t>
            </w:r>
          </w:p>
        </w:tc>
      </w:tr>
      <w:tr w:rsidR="00CE2EF5" w:rsidRPr="00292FAE" w:rsidTr="00772E57">
        <w:trPr>
          <w:trHeight w:val="569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Pašreizējā situācija un problēmas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65D" w:rsidRDefault="004D59C9" w:rsidP="003360E2">
            <w:pPr>
              <w:pStyle w:val="naisf"/>
              <w:spacing w:before="60" w:after="60"/>
              <w:ind w:firstLine="0"/>
            </w:pPr>
            <w:r w:rsidRPr="00292FAE">
              <w:t>Ministru kabinet</w:t>
            </w:r>
            <w:r w:rsidR="00222754">
              <w:t xml:space="preserve">a </w:t>
            </w:r>
            <w:r w:rsidR="0063065D">
              <w:t xml:space="preserve">2011.gada 22. februāra </w:t>
            </w:r>
            <w:proofErr w:type="spellStart"/>
            <w:r w:rsidR="0063065D">
              <w:t>protokollēmuma</w:t>
            </w:r>
            <w:proofErr w:type="spellEnd"/>
            <w:r w:rsidR="00C0421D">
              <w:t xml:space="preserve"> Nr.11 </w:t>
            </w:r>
            <w:r w:rsidR="00BC5C44">
              <w:t>41</w:t>
            </w:r>
            <w:r w:rsidR="00C0421D" w:rsidRPr="00292FAE">
              <w:t>.§</w:t>
            </w:r>
            <w:r w:rsidR="0063065D">
              <w:t xml:space="preserve"> </w:t>
            </w:r>
            <w:r w:rsidR="00C0421D">
              <w:t xml:space="preserve">2.punkts paredz, ka Tieslietu ministrija nodod un Kultūras ministrija no 2011.gada 1.aprīļa pārņem Eiropas trešo valstu </w:t>
            </w:r>
            <w:proofErr w:type="spellStart"/>
            <w:r w:rsidR="00C0421D">
              <w:t>valstpiederīgo</w:t>
            </w:r>
            <w:proofErr w:type="spellEnd"/>
            <w:r w:rsidR="00C0421D">
              <w:t xml:space="preserve"> integrācijas vadošās iestādes funkciju īstenošanu. Atbilstoši šajā </w:t>
            </w:r>
            <w:proofErr w:type="spellStart"/>
            <w:r w:rsidR="00C0421D" w:rsidRPr="00C0421D">
              <w:t>protokollēmumā</w:t>
            </w:r>
            <w:proofErr w:type="spellEnd"/>
            <w:r w:rsidR="00C0421D" w:rsidRPr="00C0421D">
              <w:t xml:space="preserve"> noteiktajam 2011.gada 29.martā ir veikts grozījums Ministru kabineta 2003.gada 29.aprīļa noteikumos Nr.241 "</w:t>
            </w:r>
            <w:hyperlink r:id="rId7" w:tgtFrame="_blank" w:tooltip="Kultūras ministrijas nolikums /Spēkā esošs/" w:history="1">
              <w:r w:rsidR="00C0421D" w:rsidRPr="00C0421D">
                <w:t>Kultūras ministrijas nolikums</w:t>
              </w:r>
            </w:hyperlink>
            <w:r w:rsidR="00C0421D" w:rsidRPr="00C0421D">
              <w:t xml:space="preserve">", paredzot, ka Kultūras ministrija īsteno Eiropas Trešo valstu </w:t>
            </w:r>
            <w:proofErr w:type="spellStart"/>
            <w:r w:rsidR="00C0421D" w:rsidRPr="00C0421D">
              <w:t>valstspiederīgo</w:t>
            </w:r>
            <w:proofErr w:type="spellEnd"/>
            <w:r w:rsidR="00C0421D">
              <w:t xml:space="preserve"> integrācijas fonda pārraudzību un Kultūras</w:t>
            </w:r>
            <w:r w:rsidR="004B7DAC">
              <w:t xml:space="preserve"> ministrija.</w:t>
            </w:r>
          </w:p>
          <w:p w:rsidR="00CE2EF5" w:rsidRPr="00D64DFC" w:rsidRDefault="00222754" w:rsidP="00BC5C44">
            <w:pPr>
              <w:pStyle w:val="naisf"/>
              <w:spacing w:before="60" w:after="60"/>
              <w:ind w:firstLine="0"/>
            </w:pPr>
            <w:r>
              <w:t>Vienlaikus atbilstoši</w:t>
            </w:r>
            <w:r w:rsidR="004B7DAC">
              <w:t xml:space="preserve"> </w:t>
            </w:r>
            <w:r w:rsidR="004B7DAC" w:rsidRPr="00292FAE">
              <w:t>Ministru kabinet</w:t>
            </w:r>
            <w:r w:rsidR="004B7DAC">
              <w:t xml:space="preserve">a 2011.gada 22. februāra </w:t>
            </w:r>
            <w:proofErr w:type="spellStart"/>
            <w:r w:rsidR="004B7DAC">
              <w:t>protokollēmuma</w:t>
            </w:r>
            <w:proofErr w:type="spellEnd"/>
            <w:r w:rsidR="004B7DAC">
              <w:t xml:space="preserve"> Nr.11 </w:t>
            </w:r>
            <w:r w:rsidR="00BC5C44">
              <w:t>41</w:t>
            </w:r>
            <w:r w:rsidR="004B7DAC" w:rsidRPr="00292FAE">
              <w:t>.§</w:t>
            </w:r>
            <w:r w:rsidR="00BC5681">
              <w:t xml:space="preserve"> 10.punktā noteiktajam, </w:t>
            </w:r>
            <w:r w:rsidR="00382DCF" w:rsidRPr="00292FAE">
              <w:t xml:space="preserve">līdz 2011.gada </w:t>
            </w:r>
            <w:r w:rsidR="00BC5681">
              <w:t>1.oktobrim ir</w:t>
            </w:r>
            <w:r w:rsidR="00382DCF" w:rsidRPr="00292FAE">
              <w:t xml:space="preserve"> </w:t>
            </w:r>
            <w:r w:rsidR="00382DCF">
              <w:t xml:space="preserve">nepieciešams veikt grozījumus normatīvajos aktos, </w:t>
            </w:r>
            <w:r w:rsidR="00BC5681">
              <w:t>kas nepieciešami pārņemto funkciju un uzdevumu izpildes nodrošināšanai</w:t>
            </w:r>
            <w:r w:rsidR="00382DCF">
              <w:t>.</w:t>
            </w:r>
            <w:r w:rsidR="00FA3471">
              <w:t xml:space="preserve"> </w:t>
            </w:r>
            <w:r w:rsidR="00382DCF" w:rsidRPr="00D64DFC">
              <w:t xml:space="preserve">Ņemot vērā augstāk minēto veicams grozījums </w:t>
            </w:r>
            <w:r w:rsidR="00BC5681" w:rsidRPr="00BC5681">
              <w:t>Ministru kabineta 2010.gada 27.jūlija noteikumos Nr.676 „Vispārīgās programmas „Solidaritāte un migrācijas plūsmu pārvaldība” izveidoto fondu vadības un kontroles kārtība”</w:t>
            </w:r>
            <w:r w:rsidR="00BC5681">
              <w:t xml:space="preserve">, paredzot, ka </w:t>
            </w:r>
            <w:hyperlink r:id="rId8" w:tooltip="MK, 01.11.2008, 884, &quot;Solidaritātes un migrācijas plūsmu pārvaldīšanas pamatprogrammas 2007.-2013.gadam Eiropas Trešo valstu valstspiederīgo integrācijas fonda projektu atlases un tehniskās palīdzības aktivitātes īstenošanas kārtība /Spēkā esošs/&quot;" w:history="1">
              <w:r w:rsidR="00BC5681" w:rsidRPr="00BC5681">
                <w:t>Eiropas Trešo valstu</w:t>
              </w:r>
            </w:hyperlink>
            <w:r w:rsidR="00BC5681" w:rsidRPr="00BC5681">
              <w:t xml:space="preserve"> </w:t>
            </w:r>
            <w:proofErr w:type="spellStart"/>
            <w:r w:rsidR="00BC5681" w:rsidRPr="00BC5681">
              <w:t>valstspiederīgo</w:t>
            </w:r>
            <w:proofErr w:type="spellEnd"/>
            <w:r w:rsidR="00BC5681" w:rsidRPr="00BC5681">
              <w:t xml:space="preserve"> </w:t>
            </w:r>
            <w:hyperlink r:id="rId9" w:tooltip="MK, 01.11.2008, 884, &quot;Solidaritātes un migrācijas plūsmu pārvaldīšanas pamatprogrammas 2007.-2013.gadam Eiropas Trešo valstu valstspiederīgo integrācijas fonda projektu atlases un tehniskās palīdzības aktivitātes īstenošanas kārtība /Spēkā esošs/&quot;" w:history="1">
              <w:r w:rsidR="00BC5681" w:rsidRPr="00BC5681">
                <w:t>integrācijas fondam</w:t>
              </w:r>
            </w:hyperlink>
            <w:r w:rsidR="00FA3471">
              <w:t xml:space="preserve"> (2007.-2013.gads) vadošā iestāde ir Kultūras ministrija.</w:t>
            </w:r>
          </w:p>
        </w:tc>
      </w:tr>
      <w:tr w:rsidR="000115B5" w:rsidRPr="00292FAE" w:rsidTr="003360E2">
        <w:trPr>
          <w:trHeight w:val="81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0115B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326F88" w:rsidRDefault="000115B5" w:rsidP="00B22BC5">
            <w:pPr>
              <w:rPr>
                <w:sz w:val="16"/>
                <w:szCs w:val="16"/>
                <w:lang w:eastAsia="en-US"/>
              </w:rPr>
            </w:pPr>
            <w:r w:rsidRPr="00292FAE">
              <w:rPr>
                <w:lang w:eastAsia="en-US"/>
              </w:rPr>
              <w:t> Saistītie politikas ietekmes novērtējumi un pētījumi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FA3471" w:rsidP="00A73D9B">
            <w:pPr>
              <w:rPr>
                <w:lang w:eastAsia="en-US"/>
              </w:rPr>
            </w:pPr>
            <w:r>
              <w:rPr>
                <w:lang w:eastAsia="en-US"/>
              </w:rPr>
              <w:t>Nav attiecināms</w:t>
            </w:r>
            <w:r w:rsidR="00B33EE7" w:rsidRPr="00292FAE">
              <w:rPr>
                <w:lang w:eastAsia="en-US"/>
              </w:rPr>
              <w:t>.</w:t>
            </w:r>
          </w:p>
        </w:tc>
      </w:tr>
      <w:tr w:rsidR="00CE2EF5" w:rsidRPr="00292FAE" w:rsidTr="003360E2">
        <w:trPr>
          <w:trHeight w:val="12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Tiesiskā regulējuma mērķis un būtība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FA3471" w:rsidP="00772E57">
            <w:pPr>
              <w:pStyle w:val="naisf"/>
              <w:ind w:firstLine="0"/>
            </w:pPr>
            <w:r>
              <w:t xml:space="preserve">Projekts paredz izdarīt grozījumu </w:t>
            </w:r>
            <w:r w:rsidRPr="00BC5681">
              <w:t>Ministru kabineta 2010.gada 27.jūlija noteikumos Nr.676 „Vispārīgās programmas „Solidaritāte un migrācijas plūsmu pārvaldība” izveidoto fondu vadības un kontroles kārtība”</w:t>
            </w:r>
            <w:r>
              <w:t xml:space="preserve">, paredzot </w:t>
            </w:r>
            <w:r w:rsidR="00772E57">
              <w:t xml:space="preserve">Kultūras ministrijai </w:t>
            </w:r>
            <w:hyperlink r:id="rId10" w:tooltip="MK, 01.11.2008, 884, &quot;Solidaritātes un migrācijas plūsmu pārvaldīšanas pamatprogrammas 2007.-2013.gadam Eiropas Trešo valstu valstspiederīgo integrācijas fonda projektu atlases un tehniskās palīdzības aktivitātes īstenošanas kārtība /Spēkā esošs/&quot;" w:history="1">
              <w:r w:rsidRPr="00BC5681">
                <w:t>Eiropas Trešo valstu</w:t>
              </w:r>
            </w:hyperlink>
            <w:r w:rsidRPr="00BC5681">
              <w:t xml:space="preserve"> </w:t>
            </w:r>
            <w:proofErr w:type="spellStart"/>
            <w:r w:rsidRPr="00BC5681">
              <w:t>valstspiederīgo</w:t>
            </w:r>
            <w:proofErr w:type="spellEnd"/>
            <w:r w:rsidRPr="00BC5681">
              <w:t xml:space="preserve"> </w:t>
            </w:r>
            <w:hyperlink r:id="rId11" w:tooltip="MK, 01.11.2008, 884, &quot;Solidaritātes un migrācijas plūsmu pārvaldīšanas pamatprogrammas 2007.-2013.gadam Eiropas Trešo valstu valstspiederīgo integrācijas fonda projektu atlases un tehniskās palīdzības aktivitātes īstenošanas kārtība /Spēkā esošs/&quot;" w:history="1">
              <w:r w:rsidRPr="00BC5681">
                <w:t>integrācijas fondam</w:t>
              </w:r>
            </w:hyperlink>
            <w:r>
              <w:t xml:space="preserve"> (2007.-2013.gads) vadošās iestādes </w:t>
            </w:r>
            <w:r w:rsidR="00772E57">
              <w:t xml:space="preserve">funkcijas </w:t>
            </w:r>
            <w:r>
              <w:t>veikšanu.</w:t>
            </w:r>
          </w:p>
        </w:tc>
      </w:tr>
      <w:tr w:rsidR="000115B5" w:rsidRPr="00292FAE" w:rsidTr="003360E2">
        <w:trPr>
          <w:trHeight w:val="47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0115B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0115B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Projekta izstrādē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727705" w:rsidP="00A73D9B">
            <w:pPr>
              <w:jc w:val="both"/>
              <w:rPr>
                <w:lang w:eastAsia="en-US"/>
              </w:rPr>
            </w:pPr>
            <w:r w:rsidRPr="00292FAE">
              <w:rPr>
                <w:lang w:eastAsia="en-US"/>
              </w:rPr>
              <w:t>Nav attiecināms.</w:t>
            </w:r>
          </w:p>
        </w:tc>
      </w:tr>
      <w:tr w:rsidR="00CE2EF5" w:rsidRPr="00292FAE" w:rsidTr="003360E2">
        <w:trPr>
          <w:trHeight w:val="110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Iemesli, kādēļ netika nodrošināta sabiedrības līdzdalība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D05C4D">
            <w:pPr>
              <w:ind w:left="70"/>
              <w:jc w:val="both"/>
              <w:rPr>
                <w:lang w:eastAsia="en-US"/>
              </w:rPr>
            </w:pPr>
            <w:r w:rsidRPr="00292FAE">
              <w:rPr>
                <w:lang w:eastAsia="en-US"/>
              </w:rPr>
              <w:t xml:space="preserve">Ņemot vērā, ka </w:t>
            </w:r>
            <w:r w:rsidR="00AF0D7C">
              <w:rPr>
                <w:lang w:eastAsia="en-US"/>
              </w:rPr>
              <w:t>Ministru kabineta noteikumu projekts</w:t>
            </w:r>
            <w:r w:rsidRPr="00292FAE">
              <w:rPr>
                <w:lang w:eastAsia="en-US"/>
              </w:rPr>
              <w:t xml:space="preserve"> neierobežo sabiedrības intereses, bet gan paredz valsts pārvaldes institucionālās sistēmas pilnveidošan</w:t>
            </w:r>
            <w:r w:rsidR="00DF7531" w:rsidRPr="00292FAE">
              <w:rPr>
                <w:lang w:eastAsia="en-US"/>
              </w:rPr>
              <w:t xml:space="preserve">u, </w:t>
            </w:r>
            <w:r w:rsidR="00D05C4D">
              <w:rPr>
                <w:lang w:eastAsia="en-US"/>
              </w:rPr>
              <w:t>noteikumu projekta</w:t>
            </w:r>
            <w:r w:rsidRPr="00292FAE">
              <w:rPr>
                <w:lang w:eastAsia="en-US"/>
              </w:rPr>
              <w:t xml:space="preserve"> izstrādes gaitā nav veikta sabiedrības iesaiste.</w:t>
            </w:r>
          </w:p>
        </w:tc>
      </w:tr>
      <w:tr w:rsidR="000115B5" w:rsidRPr="00292FAE" w:rsidTr="003360E2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0115B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lastRenderedPageBreak/>
              <w:t> 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0115B5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5B5" w:rsidRPr="00292FAE" w:rsidRDefault="00B33EE7" w:rsidP="00B22BC5">
            <w:pPr>
              <w:rPr>
                <w:lang w:eastAsia="en-US"/>
              </w:rPr>
            </w:pPr>
            <w:r w:rsidRPr="00292FAE">
              <w:rPr>
                <w:lang w:eastAsia="en-US"/>
              </w:rPr>
              <w:t>Nav.</w:t>
            </w:r>
          </w:p>
        </w:tc>
      </w:tr>
    </w:tbl>
    <w:p w:rsidR="000115B5" w:rsidRPr="00292FAE" w:rsidRDefault="000115B5" w:rsidP="00B22BC5">
      <w:pPr>
        <w:ind w:firstLine="375"/>
        <w:jc w:val="both"/>
        <w:rPr>
          <w:lang w:eastAsia="en-US"/>
        </w:rPr>
      </w:pPr>
      <w:r w:rsidRPr="00292FAE">
        <w:rPr>
          <w:lang w:eastAsia="en-US"/>
        </w:rPr>
        <w:t>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2"/>
      </w:tblGrid>
      <w:tr w:rsidR="00AF0D7C" w:rsidRPr="00292FAE" w:rsidTr="003360E2">
        <w:trPr>
          <w:trHeight w:val="246"/>
          <w:tblCellSpacing w:w="0" w:type="dxa"/>
        </w:trPr>
        <w:tc>
          <w:tcPr>
            <w:tcW w:w="9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0D7C" w:rsidRPr="00AF0D7C" w:rsidRDefault="00AF0D7C" w:rsidP="008A3417">
            <w:pPr>
              <w:spacing w:before="75" w:after="75"/>
              <w:jc w:val="center"/>
              <w:outlineLvl w:val="0"/>
              <w:rPr>
                <w:b/>
              </w:rPr>
            </w:pPr>
            <w:r>
              <w:rPr>
                <w:b/>
              </w:rPr>
              <w:t>Anotācijas III</w:t>
            </w:r>
            <w:r w:rsidR="008A3417">
              <w:rPr>
                <w:b/>
              </w:rPr>
              <w:t xml:space="preserve">; IV; V un </w:t>
            </w:r>
            <w:r>
              <w:rPr>
                <w:b/>
              </w:rPr>
              <w:t>VI sadaļa – Ministru kabineta noteikumu projekts šīs jomas neskar.</w:t>
            </w:r>
          </w:p>
        </w:tc>
      </w:tr>
    </w:tbl>
    <w:p w:rsidR="00B33EE7" w:rsidRPr="00292FAE" w:rsidRDefault="00B33EE7" w:rsidP="00B22BC5">
      <w:pPr>
        <w:rPr>
          <w:i/>
          <w:iCs/>
          <w:lang w:eastAsia="en-US"/>
        </w:rPr>
      </w:pP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2536"/>
        <w:gridCol w:w="6862"/>
      </w:tblGrid>
      <w:tr w:rsidR="00EE48CB" w:rsidRPr="00292FAE" w:rsidTr="003360E2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pPr>
              <w:jc w:val="center"/>
            </w:pPr>
            <w:r w:rsidRPr="00292FAE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EE48CB" w:rsidRPr="00292FAE" w:rsidTr="003360E2">
        <w:trPr>
          <w:trHeight w:val="427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Projekta izpildē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4071D9" w:rsidP="00CE2EF5">
            <w:pPr>
              <w:jc w:val="both"/>
            </w:pPr>
            <w:r>
              <w:t>Kultūras ministrija</w:t>
            </w:r>
          </w:p>
        </w:tc>
      </w:tr>
      <w:tr w:rsidR="00CE2EF5" w:rsidRPr="00292FAE" w:rsidTr="003360E2">
        <w:trPr>
          <w:trHeight w:val="46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r w:rsidRPr="00292FAE"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CE2EF5" w:rsidP="00B22BC5">
            <w:r w:rsidRPr="00292FAE">
              <w:t> Projekta izpildes ietekme uz pārvaldes funkcijām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EF5" w:rsidRPr="00292FAE" w:rsidRDefault="00A87087" w:rsidP="004071D9">
            <w:pPr>
              <w:ind w:right="70"/>
              <w:jc w:val="both"/>
            </w:pPr>
            <w:r w:rsidRPr="00292FAE">
              <w:rPr>
                <w:lang w:eastAsia="en-US"/>
              </w:rPr>
              <w:t>Ministru kabineta noteikumu projekts</w:t>
            </w:r>
            <w:r w:rsidR="00CE2EF5" w:rsidRPr="00292FAE">
              <w:rPr>
                <w:lang w:eastAsia="en-US"/>
              </w:rPr>
              <w:t xml:space="preserve"> paredz, ka </w:t>
            </w:r>
            <w:r w:rsidR="00A04376" w:rsidRPr="00292FAE">
              <w:rPr>
                <w:lang w:eastAsia="en-US"/>
              </w:rPr>
              <w:t>attiecīgās</w:t>
            </w:r>
            <w:r w:rsidR="00CE2EF5" w:rsidRPr="00292FAE">
              <w:rPr>
                <w:lang w:eastAsia="en-US"/>
              </w:rPr>
              <w:t xml:space="preserve"> </w:t>
            </w:r>
            <w:r w:rsidR="004071D9">
              <w:rPr>
                <w:lang w:eastAsia="en-US"/>
              </w:rPr>
              <w:t xml:space="preserve">Tieslietu </w:t>
            </w:r>
            <w:r w:rsidR="00BF0A22" w:rsidRPr="00292FAE">
              <w:rPr>
                <w:lang w:eastAsia="en-US"/>
              </w:rPr>
              <w:t>ministrijas kompetencē esoš</w:t>
            </w:r>
            <w:r w:rsidR="00CE2EF5" w:rsidRPr="00292FAE">
              <w:rPr>
                <w:lang w:eastAsia="en-US"/>
              </w:rPr>
              <w:t xml:space="preserve">ās funkcijas veiks </w:t>
            </w:r>
            <w:r w:rsidR="004071D9">
              <w:rPr>
                <w:lang w:eastAsia="en-US"/>
              </w:rPr>
              <w:t>Kultūras</w:t>
            </w:r>
            <w:r w:rsidR="00CE2EF5" w:rsidRPr="00292FAE">
              <w:rPr>
                <w:lang w:eastAsia="en-US"/>
              </w:rPr>
              <w:t xml:space="preserve"> ministrija.</w:t>
            </w:r>
          </w:p>
        </w:tc>
      </w:tr>
      <w:tr w:rsidR="00BA51CF" w:rsidRPr="00292FAE" w:rsidTr="003360E2">
        <w:trPr>
          <w:trHeight w:val="725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BA51CF" w:rsidP="00B22BC5">
            <w:r w:rsidRPr="00292FAE"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BA51CF" w:rsidP="00B22BC5">
            <w:r w:rsidRPr="00292FAE">
              <w:t> Projekta izpildes ietekme uz pārvaldes institucionālo struktūru.</w:t>
            </w:r>
          </w:p>
          <w:p w:rsidR="00BA51CF" w:rsidRPr="00292FAE" w:rsidRDefault="00BA51CF" w:rsidP="00B22BC5">
            <w:r w:rsidRPr="00292FAE">
              <w:t>Jaunu institūciju izveide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AF0D7C" w:rsidP="00CE2EF5">
            <w:pPr>
              <w:jc w:val="both"/>
            </w:pPr>
            <w:r>
              <w:t>Ministru kabineta noteikumu projekts</w:t>
            </w:r>
            <w:r w:rsidR="00CE2EF5" w:rsidRPr="00292FAE">
              <w:t xml:space="preserve"> neparedz jaunu valsts pārvaldes institūciju izveidi.</w:t>
            </w:r>
            <w:r w:rsidR="00BA51CF" w:rsidRPr="00292FAE">
              <w:t xml:space="preserve"> </w:t>
            </w:r>
          </w:p>
        </w:tc>
      </w:tr>
      <w:tr w:rsidR="00EE48CB" w:rsidRPr="00292FAE" w:rsidTr="003360E2">
        <w:trPr>
          <w:trHeight w:val="78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Projekta izpildes ietekme uz pārvaldes institucionālo struktūru.</w:t>
            </w:r>
          </w:p>
          <w:p w:rsidR="00EE48CB" w:rsidRPr="00292FAE" w:rsidRDefault="00EE48CB" w:rsidP="00B22BC5">
            <w:r w:rsidRPr="00292FAE">
              <w:t>Esošu institūciju likvidācija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AF0D7C" w:rsidP="00CE2EF5">
            <w:pPr>
              <w:jc w:val="both"/>
            </w:pPr>
            <w:r>
              <w:t>Ministru kabineta noteikumu projekts</w:t>
            </w:r>
            <w:r w:rsidRPr="00292FAE">
              <w:t xml:space="preserve"> </w:t>
            </w:r>
            <w:r w:rsidR="00CE2EF5" w:rsidRPr="00292FAE">
              <w:t>neparedz esošo valsts pārvaldes institūciju likvidāciju</w:t>
            </w:r>
            <w:r w:rsidR="00BA51CF" w:rsidRPr="00292FAE">
              <w:t>.</w:t>
            </w:r>
          </w:p>
        </w:tc>
      </w:tr>
      <w:tr w:rsidR="00BA51CF" w:rsidRPr="00292FAE" w:rsidTr="003360E2">
        <w:trPr>
          <w:trHeight w:val="70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BF0A22" w:rsidP="00B22BC5">
            <w:r w:rsidRPr="00292FAE"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BA51CF" w:rsidP="00B22BC5">
            <w:r w:rsidRPr="00292FAE">
              <w:t> Projekta izpildes ietekme uz pārvaldes institucionālo struktūru.</w:t>
            </w:r>
          </w:p>
          <w:p w:rsidR="00BA51CF" w:rsidRPr="00292FAE" w:rsidRDefault="00BA51CF" w:rsidP="00B22BC5">
            <w:r w:rsidRPr="00292FAE">
              <w:t>Esošu institūciju reorganizācija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1CF" w:rsidRPr="00292FAE" w:rsidRDefault="00AF0D7C" w:rsidP="00CE2EF5">
            <w:pPr>
              <w:jc w:val="both"/>
            </w:pPr>
            <w:r>
              <w:t>Ministru kabineta noteikumu projekts</w:t>
            </w:r>
            <w:r w:rsidR="00BA51CF" w:rsidRPr="00292FAE">
              <w:t xml:space="preserve"> </w:t>
            </w:r>
            <w:r w:rsidR="00CE2EF5" w:rsidRPr="00292FAE">
              <w:t>neparedz esošo valsts pārvaldes institūciju reorganizāciju</w:t>
            </w:r>
            <w:r w:rsidR="00BA51CF" w:rsidRPr="00292FAE">
              <w:t>.</w:t>
            </w:r>
          </w:p>
        </w:tc>
      </w:tr>
      <w:tr w:rsidR="00EE48CB" w:rsidRPr="00EE48CB" w:rsidTr="003360E2">
        <w:trPr>
          <w:trHeight w:val="289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292FAE" w:rsidRDefault="00EE48CB" w:rsidP="00B22BC5">
            <w:r w:rsidRPr="00292FAE"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8CB" w:rsidRPr="00EE48CB" w:rsidRDefault="00BA51CF" w:rsidP="00B22BC5">
            <w:r w:rsidRPr="00292FAE">
              <w:t>Nav.</w:t>
            </w:r>
          </w:p>
        </w:tc>
      </w:tr>
    </w:tbl>
    <w:p w:rsidR="00EE153C" w:rsidRDefault="00EE153C" w:rsidP="00B22BC5">
      <w:pPr>
        <w:jc w:val="both"/>
        <w:rPr>
          <w:sz w:val="12"/>
          <w:szCs w:val="12"/>
        </w:rPr>
      </w:pPr>
    </w:p>
    <w:p w:rsidR="003360E2" w:rsidRDefault="003360E2" w:rsidP="00B22BC5">
      <w:pPr>
        <w:jc w:val="both"/>
        <w:rPr>
          <w:sz w:val="12"/>
          <w:szCs w:val="12"/>
        </w:rPr>
      </w:pPr>
    </w:p>
    <w:p w:rsidR="003360E2" w:rsidRDefault="003360E2" w:rsidP="00B22BC5">
      <w:pPr>
        <w:jc w:val="both"/>
        <w:rPr>
          <w:sz w:val="12"/>
          <w:szCs w:val="12"/>
        </w:rPr>
      </w:pPr>
    </w:p>
    <w:p w:rsidR="003360E2" w:rsidRPr="003360E2" w:rsidRDefault="003360E2" w:rsidP="00B22BC5">
      <w:pPr>
        <w:jc w:val="both"/>
        <w:rPr>
          <w:sz w:val="12"/>
          <w:szCs w:val="12"/>
        </w:rPr>
      </w:pPr>
    </w:p>
    <w:p w:rsidR="003360E2" w:rsidRDefault="004071D9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>
        <w:t>Kultūras ministre</w:t>
      </w:r>
      <w:r w:rsidR="00BF0A22" w:rsidRPr="00B55706">
        <w:tab/>
      </w:r>
      <w:r w:rsidR="00BF0A22" w:rsidRPr="00B55706">
        <w:tab/>
      </w:r>
      <w:r>
        <w:tab/>
      </w:r>
      <w:r>
        <w:tab/>
        <w:t>S.Ēlerte</w:t>
      </w:r>
    </w:p>
    <w:p w:rsidR="003360E2" w:rsidRDefault="003360E2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4071D9" w:rsidRDefault="004071D9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3360E2" w:rsidRDefault="00BF0A22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 w:rsidRPr="00B55706">
        <w:t>Vīza:</w:t>
      </w:r>
    </w:p>
    <w:p w:rsidR="004071D9" w:rsidRDefault="004071D9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B55706" w:rsidRDefault="00BF0A22" w:rsidP="003360E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 w:rsidRPr="00B55706">
        <w:t>valsts sekretār</w:t>
      </w:r>
      <w:r w:rsidR="004071D9">
        <w:t>e</w:t>
      </w:r>
      <w:r w:rsidRPr="00B55706">
        <w:tab/>
      </w:r>
      <w:r w:rsidR="004071D9">
        <w:tab/>
      </w:r>
      <w:r w:rsidR="004071D9">
        <w:tab/>
      </w:r>
      <w:r w:rsidR="004071D9">
        <w:tab/>
        <w:t>S. Zvidriņa</w:t>
      </w:r>
    </w:p>
    <w:p w:rsidR="000E1D45" w:rsidRDefault="000E1D45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4071D9" w:rsidRDefault="004071D9" w:rsidP="00BF0A22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C5C44" w:rsidRDefault="00BC5C44" w:rsidP="00BC5C44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BC5C44" w:rsidRDefault="00BC5C44" w:rsidP="00BC5C4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03030">
        <w:rPr>
          <w:sz w:val="20"/>
          <w:szCs w:val="20"/>
        </w:rPr>
        <w:t>8</w:t>
      </w:r>
      <w:r>
        <w:rPr>
          <w:sz w:val="20"/>
          <w:szCs w:val="20"/>
        </w:rPr>
        <w:t>.09.11. 11:00</w:t>
      </w:r>
    </w:p>
    <w:p w:rsidR="00BC5C44" w:rsidRDefault="00BC5C44" w:rsidP="00BC5C44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="00203030">
        <w:rPr>
          <w:sz w:val="20"/>
          <w:szCs w:val="20"/>
        </w:rPr>
        <w:t>4</w:t>
      </w:r>
    </w:p>
    <w:p w:rsidR="00BC5C44" w:rsidRDefault="00BC5C44" w:rsidP="00BC5C44">
      <w:pPr>
        <w:rPr>
          <w:sz w:val="20"/>
          <w:szCs w:val="20"/>
        </w:rPr>
      </w:pPr>
      <w:r>
        <w:rPr>
          <w:sz w:val="20"/>
          <w:szCs w:val="20"/>
        </w:rPr>
        <w:t>S. Rancāne-Delekolē</w:t>
      </w:r>
    </w:p>
    <w:p w:rsidR="00BC5C44" w:rsidRDefault="00BC5C44" w:rsidP="00BC5C44">
      <w:pPr>
        <w:rPr>
          <w:sz w:val="20"/>
          <w:szCs w:val="20"/>
        </w:rPr>
      </w:pPr>
      <w:r>
        <w:rPr>
          <w:sz w:val="20"/>
          <w:szCs w:val="20"/>
        </w:rPr>
        <w:t>67330235,Sanita.Rancane@km.gov.lv</w:t>
      </w:r>
    </w:p>
    <w:p w:rsidR="00724552" w:rsidRPr="00B55706" w:rsidRDefault="00724552" w:rsidP="00BC5C44">
      <w:pPr>
        <w:pStyle w:val="BodyTextIndent3"/>
        <w:spacing w:after="0"/>
        <w:ind w:left="0"/>
      </w:pPr>
    </w:p>
    <w:sectPr w:rsidR="00724552" w:rsidRPr="00B55706" w:rsidSect="002B261A">
      <w:headerReference w:type="default" r:id="rId12"/>
      <w:footerReference w:type="default" r:id="rId13"/>
      <w:footerReference w:type="first" r:id="rId14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1B" w:rsidRDefault="0022411B" w:rsidP="006003E3">
      <w:r>
        <w:separator/>
      </w:r>
    </w:p>
  </w:endnote>
  <w:endnote w:type="continuationSeparator" w:id="0">
    <w:p w:rsidR="0022411B" w:rsidRDefault="0022411B" w:rsidP="0060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81" w:rsidRPr="009F0B82" w:rsidRDefault="00BC5681" w:rsidP="000B2FEB">
    <w:pPr>
      <w:jc w:val="both"/>
      <w:rPr>
        <w:sz w:val="20"/>
        <w:szCs w:val="20"/>
      </w:rPr>
    </w:pPr>
    <w:r>
      <w:rPr>
        <w:sz w:val="20"/>
        <w:szCs w:val="20"/>
      </w:rPr>
      <w:t>K</w:t>
    </w:r>
    <w:r w:rsidRPr="009F0B82">
      <w:rPr>
        <w:sz w:val="20"/>
        <w:szCs w:val="20"/>
      </w:rPr>
      <w:t>Manot_</w:t>
    </w:r>
    <w:r w:rsidR="00203030">
      <w:rPr>
        <w:sz w:val="20"/>
        <w:szCs w:val="20"/>
      </w:rPr>
      <w:t>28</w:t>
    </w:r>
    <w:r>
      <w:rPr>
        <w:sz w:val="20"/>
        <w:szCs w:val="20"/>
      </w:rPr>
      <w:t>0911</w:t>
    </w:r>
    <w:r w:rsidRPr="009F0B82">
      <w:rPr>
        <w:sz w:val="20"/>
        <w:szCs w:val="20"/>
      </w:rPr>
      <w:t>_</w:t>
    </w:r>
    <w:r>
      <w:rPr>
        <w:sz w:val="20"/>
        <w:szCs w:val="20"/>
      </w:rPr>
      <w:t>676</w:t>
    </w:r>
    <w:r w:rsidRPr="009F0B82">
      <w:rPr>
        <w:sz w:val="20"/>
        <w:szCs w:val="20"/>
      </w:rPr>
      <w:t>; Ministru kabineta noteikumu projekta „</w:t>
    </w:r>
    <w:r w:rsidRPr="000B2FEB">
      <w:rPr>
        <w:sz w:val="20"/>
        <w:szCs w:val="20"/>
      </w:rPr>
      <w:t>Grozījums Ministru kabineta 2010.gada 27.jūlija noteikumos Nr.676 „Vispārīgās programmas „Solidaritāte un migrācijas plūsmu pārvaldība” izveidoto fond</w:t>
    </w:r>
    <w:r>
      <w:rPr>
        <w:sz w:val="20"/>
        <w:szCs w:val="20"/>
      </w:rPr>
      <w:t xml:space="preserve">u vadības un kontroles kārtība” </w:t>
    </w:r>
    <w:r w:rsidRPr="009F0B82">
      <w:rPr>
        <w:sz w:val="20"/>
        <w:szCs w:val="20"/>
      </w:rPr>
      <w:t>sākotnējās ietekmes novērtējuma ziņojums (anotācija)</w:t>
    </w:r>
  </w:p>
  <w:p w:rsidR="00BC5681" w:rsidRPr="000E1D45" w:rsidRDefault="00BC5681" w:rsidP="000E1D4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71" w:rsidRPr="009F0B82" w:rsidRDefault="00FA3471" w:rsidP="00FA3471">
    <w:pPr>
      <w:jc w:val="both"/>
      <w:rPr>
        <w:sz w:val="20"/>
        <w:szCs w:val="20"/>
      </w:rPr>
    </w:pPr>
    <w:r>
      <w:rPr>
        <w:sz w:val="20"/>
        <w:szCs w:val="20"/>
      </w:rPr>
      <w:t>K</w:t>
    </w:r>
    <w:r w:rsidRPr="009F0B82">
      <w:rPr>
        <w:sz w:val="20"/>
        <w:szCs w:val="20"/>
      </w:rPr>
      <w:t>Manot_</w:t>
    </w:r>
    <w:r w:rsidR="00D474E2">
      <w:rPr>
        <w:sz w:val="20"/>
        <w:szCs w:val="20"/>
      </w:rPr>
      <w:t>28</w:t>
    </w:r>
    <w:r>
      <w:rPr>
        <w:sz w:val="20"/>
        <w:szCs w:val="20"/>
      </w:rPr>
      <w:t>0911</w:t>
    </w:r>
    <w:r w:rsidRPr="009F0B82">
      <w:rPr>
        <w:sz w:val="20"/>
        <w:szCs w:val="20"/>
      </w:rPr>
      <w:t>_</w:t>
    </w:r>
    <w:r>
      <w:rPr>
        <w:sz w:val="20"/>
        <w:szCs w:val="20"/>
      </w:rPr>
      <w:t>676</w:t>
    </w:r>
    <w:r w:rsidRPr="009F0B82">
      <w:rPr>
        <w:sz w:val="20"/>
        <w:szCs w:val="20"/>
      </w:rPr>
      <w:t>; Ministru kabineta noteikumu projekta „</w:t>
    </w:r>
    <w:r w:rsidRPr="000B2FEB">
      <w:rPr>
        <w:sz w:val="20"/>
        <w:szCs w:val="20"/>
      </w:rPr>
      <w:t>Grozījums Ministru kabineta 2010.gada 27.jūlija noteikumos Nr.676 „Vispārīgās programmas „Solidaritāte un migrācijas plūsmu pārvaldība” izveidoto fond</w:t>
    </w:r>
    <w:r>
      <w:rPr>
        <w:sz w:val="20"/>
        <w:szCs w:val="20"/>
      </w:rPr>
      <w:t xml:space="preserve">u vadības un kontroles kārtība” </w:t>
    </w:r>
    <w:r w:rsidRPr="009F0B82">
      <w:rPr>
        <w:sz w:val="20"/>
        <w:szCs w:val="20"/>
      </w:rPr>
      <w:t>sākotnējās ietekmes novērtējuma ziņojums (anotācija)</w:t>
    </w:r>
  </w:p>
  <w:p w:rsidR="00BC5681" w:rsidRPr="00A92E71" w:rsidRDefault="00BC5681" w:rsidP="00A92E71">
    <w:pPr>
      <w:jc w:val="both"/>
      <w:rPr>
        <w:sz w:val="20"/>
        <w:szCs w:val="20"/>
      </w:rPr>
    </w:pPr>
  </w:p>
  <w:p w:rsidR="00BC5681" w:rsidRPr="000E1D45" w:rsidRDefault="00BC5681" w:rsidP="000E1D45">
    <w:pPr>
      <w:jc w:val="both"/>
      <w:rPr>
        <w:sz w:val="20"/>
        <w:szCs w:val="20"/>
      </w:rPr>
    </w:pPr>
  </w:p>
  <w:p w:rsidR="00BC5681" w:rsidRPr="000115B5" w:rsidRDefault="00BC5681" w:rsidP="000E1D45">
    <w:pPr>
      <w:jc w:val="center"/>
      <w:rPr>
        <w:lang w:eastAsia="en-US"/>
      </w:rPr>
    </w:pPr>
    <w:r w:rsidRPr="000115B5">
      <w:rPr>
        <w:lang w:eastAsia="en-US"/>
      </w:rPr>
      <w:t> </w:t>
    </w:r>
  </w:p>
  <w:p w:rsidR="00BC5681" w:rsidRPr="00326F88" w:rsidRDefault="00BC5681" w:rsidP="00326F88">
    <w:pPr>
      <w:ind w:left="57"/>
      <w:jc w:val="both"/>
      <w:rPr>
        <w:sz w:val="20"/>
        <w:szCs w:val="20"/>
      </w:rPr>
    </w:pPr>
  </w:p>
  <w:p w:rsidR="00BC5681" w:rsidRDefault="00BC5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1B" w:rsidRDefault="0022411B" w:rsidP="006003E3">
      <w:r>
        <w:separator/>
      </w:r>
    </w:p>
  </w:footnote>
  <w:footnote w:type="continuationSeparator" w:id="0">
    <w:p w:rsidR="0022411B" w:rsidRDefault="0022411B" w:rsidP="0060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81" w:rsidRDefault="00B164B6">
    <w:pPr>
      <w:pStyle w:val="Header"/>
      <w:jc w:val="center"/>
    </w:pPr>
    <w:fldSimple w:instr=" PAGE   \* MERGEFORMAT ">
      <w:r w:rsidR="00D8063E">
        <w:rPr>
          <w:noProof/>
        </w:rPr>
        <w:t>2</w:t>
      </w:r>
    </w:fldSimple>
  </w:p>
  <w:p w:rsidR="00BC5681" w:rsidRDefault="00BC5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5E8"/>
    <w:rsid w:val="000115B5"/>
    <w:rsid w:val="000204CA"/>
    <w:rsid w:val="00023A03"/>
    <w:rsid w:val="00027123"/>
    <w:rsid w:val="0005515C"/>
    <w:rsid w:val="00061636"/>
    <w:rsid w:val="00074A22"/>
    <w:rsid w:val="000B0CAA"/>
    <w:rsid w:val="000B22EF"/>
    <w:rsid w:val="000B2FEB"/>
    <w:rsid w:val="000B7526"/>
    <w:rsid w:val="000C2E55"/>
    <w:rsid w:val="000C4D86"/>
    <w:rsid w:val="000D044D"/>
    <w:rsid w:val="000D094E"/>
    <w:rsid w:val="000E1D45"/>
    <w:rsid w:val="000F67B4"/>
    <w:rsid w:val="001055EA"/>
    <w:rsid w:val="00126245"/>
    <w:rsid w:val="00140B2B"/>
    <w:rsid w:val="00151E10"/>
    <w:rsid w:val="001528BF"/>
    <w:rsid w:val="0015326E"/>
    <w:rsid w:val="001605CE"/>
    <w:rsid w:val="00161FB1"/>
    <w:rsid w:val="00167BEA"/>
    <w:rsid w:val="001711A2"/>
    <w:rsid w:val="00180511"/>
    <w:rsid w:val="001A163E"/>
    <w:rsid w:val="001A6A19"/>
    <w:rsid w:val="001A7D46"/>
    <w:rsid w:val="001B1193"/>
    <w:rsid w:val="001C064E"/>
    <w:rsid w:val="001C1268"/>
    <w:rsid w:val="00203030"/>
    <w:rsid w:val="00210BD4"/>
    <w:rsid w:val="00213AD8"/>
    <w:rsid w:val="002140B6"/>
    <w:rsid w:val="0021642F"/>
    <w:rsid w:val="00222754"/>
    <w:rsid w:val="0022411B"/>
    <w:rsid w:val="00240AF8"/>
    <w:rsid w:val="002416E9"/>
    <w:rsid w:val="00251424"/>
    <w:rsid w:val="00254AD3"/>
    <w:rsid w:val="00277B6E"/>
    <w:rsid w:val="002815E1"/>
    <w:rsid w:val="0028601E"/>
    <w:rsid w:val="002908BF"/>
    <w:rsid w:val="00292FAE"/>
    <w:rsid w:val="002941DA"/>
    <w:rsid w:val="002A4796"/>
    <w:rsid w:val="002A4B27"/>
    <w:rsid w:val="002B261A"/>
    <w:rsid w:val="002D1083"/>
    <w:rsid w:val="002F32FE"/>
    <w:rsid w:val="00307925"/>
    <w:rsid w:val="00325007"/>
    <w:rsid w:val="00326F88"/>
    <w:rsid w:val="003360E2"/>
    <w:rsid w:val="00337A32"/>
    <w:rsid w:val="00350515"/>
    <w:rsid w:val="00350620"/>
    <w:rsid w:val="0035099C"/>
    <w:rsid w:val="00350D84"/>
    <w:rsid w:val="003675B7"/>
    <w:rsid w:val="00382DCF"/>
    <w:rsid w:val="00385B2E"/>
    <w:rsid w:val="00397F6D"/>
    <w:rsid w:val="003B7BE5"/>
    <w:rsid w:val="003C3A73"/>
    <w:rsid w:val="003D5171"/>
    <w:rsid w:val="003E4614"/>
    <w:rsid w:val="004049B6"/>
    <w:rsid w:val="004071D9"/>
    <w:rsid w:val="00414AF0"/>
    <w:rsid w:val="00426EE1"/>
    <w:rsid w:val="00440947"/>
    <w:rsid w:val="0045034C"/>
    <w:rsid w:val="004633A5"/>
    <w:rsid w:val="00497EC5"/>
    <w:rsid w:val="004A0D69"/>
    <w:rsid w:val="004B7000"/>
    <w:rsid w:val="004B7DAC"/>
    <w:rsid w:val="004C2C83"/>
    <w:rsid w:val="004C3708"/>
    <w:rsid w:val="004D59C9"/>
    <w:rsid w:val="004E1B81"/>
    <w:rsid w:val="004F626E"/>
    <w:rsid w:val="005103B7"/>
    <w:rsid w:val="00527CFB"/>
    <w:rsid w:val="00530CFE"/>
    <w:rsid w:val="00531AD4"/>
    <w:rsid w:val="00543DE8"/>
    <w:rsid w:val="00545D8D"/>
    <w:rsid w:val="00552971"/>
    <w:rsid w:val="005761CC"/>
    <w:rsid w:val="00594BA2"/>
    <w:rsid w:val="005C6BDF"/>
    <w:rsid w:val="005D02D3"/>
    <w:rsid w:val="005E022D"/>
    <w:rsid w:val="005E64A2"/>
    <w:rsid w:val="005E6E4D"/>
    <w:rsid w:val="005F453E"/>
    <w:rsid w:val="006003E3"/>
    <w:rsid w:val="0061398B"/>
    <w:rsid w:val="00616536"/>
    <w:rsid w:val="006204A2"/>
    <w:rsid w:val="006240E9"/>
    <w:rsid w:val="00625258"/>
    <w:rsid w:val="0063065D"/>
    <w:rsid w:val="00631405"/>
    <w:rsid w:val="00655038"/>
    <w:rsid w:val="006565DE"/>
    <w:rsid w:val="00656DEB"/>
    <w:rsid w:val="00671CD1"/>
    <w:rsid w:val="006734E5"/>
    <w:rsid w:val="006778EB"/>
    <w:rsid w:val="006A0C7F"/>
    <w:rsid w:val="006A108B"/>
    <w:rsid w:val="006B55BA"/>
    <w:rsid w:val="006B6EC3"/>
    <w:rsid w:val="006D5192"/>
    <w:rsid w:val="006F1D0C"/>
    <w:rsid w:val="007074F6"/>
    <w:rsid w:val="00711F32"/>
    <w:rsid w:val="0072225F"/>
    <w:rsid w:val="00724552"/>
    <w:rsid w:val="00727705"/>
    <w:rsid w:val="007313DD"/>
    <w:rsid w:val="00750C71"/>
    <w:rsid w:val="0076519B"/>
    <w:rsid w:val="00772E57"/>
    <w:rsid w:val="0077536D"/>
    <w:rsid w:val="00775B2A"/>
    <w:rsid w:val="007A25B7"/>
    <w:rsid w:val="007F582D"/>
    <w:rsid w:val="00800D61"/>
    <w:rsid w:val="00801CB9"/>
    <w:rsid w:val="00814EC1"/>
    <w:rsid w:val="008150CC"/>
    <w:rsid w:val="008201F4"/>
    <w:rsid w:val="00823C0C"/>
    <w:rsid w:val="00837D8F"/>
    <w:rsid w:val="00840A11"/>
    <w:rsid w:val="00841284"/>
    <w:rsid w:val="008837DB"/>
    <w:rsid w:val="00892CEE"/>
    <w:rsid w:val="00894AB8"/>
    <w:rsid w:val="008A3417"/>
    <w:rsid w:val="008A45D2"/>
    <w:rsid w:val="008A7C83"/>
    <w:rsid w:val="008C3AE1"/>
    <w:rsid w:val="008C7E26"/>
    <w:rsid w:val="008D2D19"/>
    <w:rsid w:val="008D35F7"/>
    <w:rsid w:val="008D38C8"/>
    <w:rsid w:val="008F5B3F"/>
    <w:rsid w:val="008F66BB"/>
    <w:rsid w:val="00904EEA"/>
    <w:rsid w:val="00917109"/>
    <w:rsid w:val="00936694"/>
    <w:rsid w:val="009529CF"/>
    <w:rsid w:val="00956276"/>
    <w:rsid w:val="009611F4"/>
    <w:rsid w:val="009709E5"/>
    <w:rsid w:val="00984B9B"/>
    <w:rsid w:val="00994D8C"/>
    <w:rsid w:val="0099577A"/>
    <w:rsid w:val="009B442E"/>
    <w:rsid w:val="009B62CF"/>
    <w:rsid w:val="009D6817"/>
    <w:rsid w:val="009E6133"/>
    <w:rsid w:val="009F0B82"/>
    <w:rsid w:val="00A04376"/>
    <w:rsid w:val="00A320CE"/>
    <w:rsid w:val="00A347FE"/>
    <w:rsid w:val="00A36F91"/>
    <w:rsid w:val="00A42D1A"/>
    <w:rsid w:val="00A565E8"/>
    <w:rsid w:val="00A70BBB"/>
    <w:rsid w:val="00A73D9B"/>
    <w:rsid w:val="00A76A35"/>
    <w:rsid w:val="00A87087"/>
    <w:rsid w:val="00A92E71"/>
    <w:rsid w:val="00A955E2"/>
    <w:rsid w:val="00AA07E4"/>
    <w:rsid w:val="00AC723D"/>
    <w:rsid w:val="00AD1A88"/>
    <w:rsid w:val="00AD7690"/>
    <w:rsid w:val="00AE1467"/>
    <w:rsid w:val="00AE189F"/>
    <w:rsid w:val="00AF0D7C"/>
    <w:rsid w:val="00AF2C08"/>
    <w:rsid w:val="00AF4C81"/>
    <w:rsid w:val="00AF773F"/>
    <w:rsid w:val="00B06DBD"/>
    <w:rsid w:val="00B138D3"/>
    <w:rsid w:val="00B164B6"/>
    <w:rsid w:val="00B22BC5"/>
    <w:rsid w:val="00B2711C"/>
    <w:rsid w:val="00B33EE7"/>
    <w:rsid w:val="00B4566E"/>
    <w:rsid w:val="00B55706"/>
    <w:rsid w:val="00B672DD"/>
    <w:rsid w:val="00B84928"/>
    <w:rsid w:val="00B90F38"/>
    <w:rsid w:val="00B90FBB"/>
    <w:rsid w:val="00BA1CE6"/>
    <w:rsid w:val="00BA51CF"/>
    <w:rsid w:val="00BB1A8B"/>
    <w:rsid w:val="00BB64CA"/>
    <w:rsid w:val="00BC15B9"/>
    <w:rsid w:val="00BC5681"/>
    <w:rsid w:val="00BC5C44"/>
    <w:rsid w:val="00BD3183"/>
    <w:rsid w:val="00BF0A22"/>
    <w:rsid w:val="00BF14EB"/>
    <w:rsid w:val="00BF214E"/>
    <w:rsid w:val="00C0421D"/>
    <w:rsid w:val="00C045E5"/>
    <w:rsid w:val="00C17657"/>
    <w:rsid w:val="00C5475A"/>
    <w:rsid w:val="00C567D2"/>
    <w:rsid w:val="00C77B0A"/>
    <w:rsid w:val="00CA6990"/>
    <w:rsid w:val="00CB5E5F"/>
    <w:rsid w:val="00CB795C"/>
    <w:rsid w:val="00CC08F0"/>
    <w:rsid w:val="00CC0DD5"/>
    <w:rsid w:val="00CE2EF5"/>
    <w:rsid w:val="00CE3906"/>
    <w:rsid w:val="00CE3A04"/>
    <w:rsid w:val="00D048F4"/>
    <w:rsid w:val="00D05B0B"/>
    <w:rsid w:val="00D05C4D"/>
    <w:rsid w:val="00D14885"/>
    <w:rsid w:val="00D22DD1"/>
    <w:rsid w:val="00D27B6F"/>
    <w:rsid w:val="00D31A9E"/>
    <w:rsid w:val="00D3321A"/>
    <w:rsid w:val="00D37CEB"/>
    <w:rsid w:val="00D44086"/>
    <w:rsid w:val="00D474E2"/>
    <w:rsid w:val="00D50AF4"/>
    <w:rsid w:val="00D64DFC"/>
    <w:rsid w:val="00D67D18"/>
    <w:rsid w:val="00D733F2"/>
    <w:rsid w:val="00D8063E"/>
    <w:rsid w:val="00D94624"/>
    <w:rsid w:val="00DA1D9F"/>
    <w:rsid w:val="00DB5FFD"/>
    <w:rsid w:val="00DC03CA"/>
    <w:rsid w:val="00DC6AC2"/>
    <w:rsid w:val="00DD63BA"/>
    <w:rsid w:val="00DF10ED"/>
    <w:rsid w:val="00DF3E41"/>
    <w:rsid w:val="00DF612F"/>
    <w:rsid w:val="00DF7531"/>
    <w:rsid w:val="00E05632"/>
    <w:rsid w:val="00E07417"/>
    <w:rsid w:val="00E10CA0"/>
    <w:rsid w:val="00E17639"/>
    <w:rsid w:val="00E2585F"/>
    <w:rsid w:val="00E42DD2"/>
    <w:rsid w:val="00E46643"/>
    <w:rsid w:val="00E7224B"/>
    <w:rsid w:val="00E8542F"/>
    <w:rsid w:val="00EB55EE"/>
    <w:rsid w:val="00EE153C"/>
    <w:rsid w:val="00EE15DB"/>
    <w:rsid w:val="00EE298C"/>
    <w:rsid w:val="00EE48CB"/>
    <w:rsid w:val="00F03ABA"/>
    <w:rsid w:val="00F06970"/>
    <w:rsid w:val="00F07B1B"/>
    <w:rsid w:val="00F1292F"/>
    <w:rsid w:val="00F2506C"/>
    <w:rsid w:val="00F44668"/>
    <w:rsid w:val="00F46AA8"/>
    <w:rsid w:val="00F672AF"/>
    <w:rsid w:val="00F72A8D"/>
    <w:rsid w:val="00F83314"/>
    <w:rsid w:val="00F930E5"/>
    <w:rsid w:val="00FA3471"/>
    <w:rsid w:val="00FA7902"/>
    <w:rsid w:val="00FC3F87"/>
    <w:rsid w:val="00FC6261"/>
    <w:rsid w:val="00FC765D"/>
    <w:rsid w:val="00FD4FC8"/>
    <w:rsid w:val="00FD6048"/>
    <w:rsid w:val="00FD6072"/>
    <w:rsid w:val="00FE1C4F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72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565E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565E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565E8"/>
    <w:pPr>
      <w:spacing w:before="75" w:after="75"/>
    </w:pPr>
  </w:style>
  <w:style w:type="character" w:customStyle="1" w:styleId="spelle">
    <w:name w:val="spelle"/>
    <w:basedOn w:val="DefaultParagraphFont"/>
    <w:rsid w:val="00A565E8"/>
  </w:style>
  <w:style w:type="paragraph" w:styleId="ListParagraph">
    <w:name w:val="List Paragraph"/>
    <w:basedOn w:val="Normal"/>
    <w:uiPriority w:val="34"/>
    <w:qFormat/>
    <w:rsid w:val="00A56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lab">
    <w:name w:val="naislab"/>
    <w:basedOn w:val="Normal"/>
    <w:rsid w:val="00A565E8"/>
    <w:pPr>
      <w:spacing w:before="75" w:after="75"/>
      <w:jc w:val="right"/>
    </w:pPr>
  </w:style>
  <w:style w:type="paragraph" w:customStyle="1" w:styleId="naisc">
    <w:name w:val="naisc"/>
    <w:basedOn w:val="Normal"/>
    <w:rsid w:val="00A565E8"/>
    <w:pPr>
      <w:spacing w:before="75" w:after="75"/>
      <w:jc w:val="center"/>
    </w:pPr>
  </w:style>
  <w:style w:type="character" w:styleId="Hyperlink">
    <w:name w:val="Hyperlink"/>
    <w:basedOn w:val="DefaultParagraphFont"/>
    <w:unhideWhenUsed/>
    <w:rsid w:val="00A56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E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5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E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B22BC5"/>
    <w:pPr>
      <w:spacing w:before="100" w:after="100"/>
    </w:pPr>
    <w:rPr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B22BC5"/>
    <w:rPr>
      <w:b/>
      <w:bCs/>
    </w:rPr>
  </w:style>
  <w:style w:type="paragraph" w:styleId="BodyTextIndent3">
    <w:name w:val="Body Text Indent 3"/>
    <w:basedOn w:val="Normal"/>
    <w:rsid w:val="00724552"/>
    <w:pPr>
      <w:spacing w:after="120"/>
      <w:ind w:left="283"/>
    </w:pPr>
    <w:rPr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BF0A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F0A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E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8316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7475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2d.lv/l.php?doc_id=1831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2d.lv/l.php?doc_id=183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2d.lv/l.php?doc_id=1831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AD17-9FF6-420C-89E9-63D4B81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„Grozījums Ministru kabineta 2010.gada 27.jūlija noteikumos Nr.676 „Vispārīgās programmas „Solidaritāte un migrācijas plūsmu pārvaldība” izveidoto fondu vadības un kontroles kārtība””anotācija</vt:lpstr>
      <vt:lpstr>Ministru kabineta noteikumu projekta anotācija</vt:lpstr>
    </vt:vector>
  </TitlesOfParts>
  <Company>Kultūras ministrija</Company>
  <LinksUpToDate>false</LinksUpToDate>
  <CharactersWithSpaces>5021</CharactersWithSpaces>
  <SharedDoc>false</SharedDoc>
  <HLinks>
    <vt:vector size="36" baseType="variant">
      <vt:variant>
        <vt:i4>4915302</vt:i4>
      </vt:variant>
      <vt:variant>
        <vt:i4>15</vt:i4>
      </vt:variant>
      <vt:variant>
        <vt:i4>0</vt:i4>
      </vt:variant>
      <vt:variant>
        <vt:i4>5</vt:i4>
      </vt:variant>
      <vt:variant>
        <vt:lpwstr>mailto:kristine.lesina@km.gov.lv</vt:lpwstr>
      </vt:variant>
      <vt:variant>
        <vt:lpwstr/>
      </vt:variant>
      <vt:variant>
        <vt:i4>7929868</vt:i4>
      </vt:variant>
      <vt:variant>
        <vt:i4>12</vt:i4>
      </vt:variant>
      <vt:variant>
        <vt:i4>0</vt:i4>
      </vt:variant>
      <vt:variant>
        <vt:i4>5</vt:i4>
      </vt:variant>
      <vt:variant>
        <vt:lpwstr>http://www.l2d.lv/l.php?doc_id=183161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http://www.l2d.lv/l.php?doc_id=183161</vt:lpwstr>
      </vt:variant>
      <vt:variant>
        <vt:lpwstr/>
      </vt:variant>
      <vt:variant>
        <vt:i4>7929868</vt:i4>
      </vt:variant>
      <vt:variant>
        <vt:i4>6</vt:i4>
      </vt:variant>
      <vt:variant>
        <vt:i4>0</vt:i4>
      </vt:variant>
      <vt:variant>
        <vt:i4>5</vt:i4>
      </vt:variant>
      <vt:variant>
        <vt:lpwstr>http://www.l2d.lv/l.php?doc_id=183161</vt:lpwstr>
      </vt:variant>
      <vt:variant>
        <vt:lpwstr/>
      </vt:variant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http://www.l2d.lv/l.php?doc_id=183161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http://www.likumi.lv/doc.php?id=74750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2010.gada 27.jūlija noteikumos Nr.676 „Vispārīgās programmas „Solidaritāte un migrācijas plūsmu pārvaldība” izveidoto fondu vadības un kontroles kārtība””anotācija</dc:title>
  <dc:subject>Ministru kabineta noteikumu projekta anotācija</dc:subject>
  <dc:creator>Sanita Rancāne-Delekolē</dc:creator>
  <dc:description>Sanita.Rancane@km.gov.lv; 67330235</dc:description>
  <cp:lastModifiedBy>Lietotajs</cp:lastModifiedBy>
  <cp:revision>10</cp:revision>
  <cp:lastPrinted>2011-09-29T10:53:00Z</cp:lastPrinted>
  <dcterms:created xsi:type="dcterms:W3CDTF">2011-09-26T14:01:00Z</dcterms:created>
  <dcterms:modified xsi:type="dcterms:W3CDTF">2011-09-29T10:53:00Z</dcterms:modified>
</cp:coreProperties>
</file>