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73" w:rsidRDefault="00A45573">
      <w:pPr>
        <w:tabs>
          <w:tab w:val="left" w:pos="5529"/>
          <w:tab w:val="right" w:pos="9000"/>
        </w:tabs>
        <w:rPr>
          <w:sz w:val="28"/>
          <w:szCs w:val="28"/>
        </w:rPr>
      </w:pPr>
    </w:p>
    <w:p w:rsidR="00A45573" w:rsidRDefault="00A45573">
      <w:pPr>
        <w:tabs>
          <w:tab w:val="left" w:pos="5529"/>
          <w:tab w:val="right" w:pos="9000"/>
        </w:tabs>
        <w:rPr>
          <w:sz w:val="28"/>
          <w:szCs w:val="28"/>
        </w:rPr>
      </w:pPr>
    </w:p>
    <w:p w:rsidR="00A45573" w:rsidRDefault="00A45573">
      <w:pPr>
        <w:tabs>
          <w:tab w:val="left" w:pos="5529"/>
          <w:tab w:val="right" w:pos="9000"/>
        </w:tabs>
        <w:rPr>
          <w:sz w:val="28"/>
          <w:szCs w:val="28"/>
        </w:rPr>
      </w:pPr>
    </w:p>
    <w:p w:rsidR="00A45573" w:rsidRPr="001579B5" w:rsidRDefault="00A45573">
      <w:pPr>
        <w:tabs>
          <w:tab w:val="left" w:pos="6840"/>
          <w:tab w:val="right" w:pos="9000"/>
        </w:tabs>
        <w:rPr>
          <w:sz w:val="28"/>
          <w:szCs w:val="28"/>
        </w:rPr>
      </w:pPr>
      <w:r w:rsidRPr="001579B5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1579B5">
        <w:rPr>
          <w:sz w:val="28"/>
          <w:szCs w:val="28"/>
        </w:rPr>
        <w:t>.gada</w:t>
      </w:r>
      <w:r>
        <w:rPr>
          <w:sz w:val="28"/>
          <w:szCs w:val="28"/>
        </w:rPr>
        <w:t xml:space="preserve"> 25. janvārī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Noteikumi Nr.</w:t>
      </w:r>
      <w:r>
        <w:rPr>
          <w:sz w:val="28"/>
          <w:szCs w:val="28"/>
        </w:rPr>
        <w:t xml:space="preserve"> 66</w:t>
      </w:r>
    </w:p>
    <w:p w:rsidR="00A45573" w:rsidRPr="001579B5" w:rsidRDefault="00A45573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(prot. Nr.</w:t>
      </w:r>
      <w:r>
        <w:rPr>
          <w:sz w:val="28"/>
          <w:szCs w:val="28"/>
        </w:rPr>
        <w:t xml:space="preserve"> 6 11</w:t>
      </w:r>
      <w:r w:rsidRPr="001579B5">
        <w:rPr>
          <w:sz w:val="28"/>
          <w:szCs w:val="28"/>
        </w:rPr>
        <w:t>.§)</w:t>
      </w:r>
    </w:p>
    <w:p w:rsidR="00A45573" w:rsidRPr="00004806" w:rsidRDefault="00A45573" w:rsidP="00A77F88">
      <w:pPr>
        <w:pStyle w:val="naislab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A45573" w:rsidRPr="00004806" w:rsidRDefault="00A45573" w:rsidP="00B73A26">
      <w:pPr>
        <w:jc w:val="center"/>
        <w:rPr>
          <w:b/>
          <w:bCs/>
          <w:sz w:val="28"/>
          <w:szCs w:val="28"/>
        </w:rPr>
      </w:pPr>
      <w:r w:rsidRPr="00004806">
        <w:rPr>
          <w:b/>
          <w:bCs/>
          <w:sz w:val="28"/>
          <w:szCs w:val="28"/>
        </w:rPr>
        <w:t>Grozījum</w:t>
      </w:r>
      <w:r>
        <w:rPr>
          <w:b/>
          <w:bCs/>
          <w:sz w:val="28"/>
          <w:szCs w:val="28"/>
        </w:rPr>
        <w:t xml:space="preserve">i </w:t>
      </w:r>
      <w:r w:rsidRPr="00004806">
        <w:rPr>
          <w:b/>
          <w:bCs/>
          <w:sz w:val="28"/>
          <w:szCs w:val="28"/>
        </w:rPr>
        <w:t xml:space="preserve">Ministru kabineta 2007.gada 21.augusta noteikumos Nr.565 </w:t>
      </w:r>
      <w:r>
        <w:rPr>
          <w:b/>
          <w:bCs/>
          <w:sz w:val="28"/>
          <w:szCs w:val="28"/>
        </w:rPr>
        <w:t>"</w:t>
      </w:r>
      <w:r w:rsidRPr="00004806">
        <w:rPr>
          <w:b/>
          <w:bCs/>
          <w:sz w:val="28"/>
          <w:szCs w:val="28"/>
        </w:rPr>
        <w:t>Kārtība, kādā aprēķina, izmaksā un sadala atlīdzību par publisko patapinājumu</w:t>
      </w:r>
      <w:r>
        <w:rPr>
          <w:b/>
          <w:bCs/>
          <w:sz w:val="28"/>
          <w:szCs w:val="28"/>
        </w:rPr>
        <w:t>"</w:t>
      </w:r>
    </w:p>
    <w:p w:rsidR="00A45573" w:rsidRPr="00004806" w:rsidRDefault="00A45573" w:rsidP="00A77F88">
      <w:pPr>
        <w:ind w:firstLine="540"/>
        <w:jc w:val="center"/>
        <w:rPr>
          <w:b/>
          <w:bCs/>
          <w:sz w:val="28"/>
          <w:szCs w:val="28"/>
        </w:rPr>
      </w:pPr>
    </w:p>
    <w:p w:rsidR="00A45573" w:rsidRPr="00004806" w:rsidRDefault="00A45573" w:rsidP="00A77F88">
      <w:pPr>
        <w:jc w:val="right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Izdoti</w:t>
      </w:r>
      <w:r w:rsidRPr="00004806">
        <w:rPr>
          <w:sz w:val="28"/>
          <w:szCs w:val="28"/>
          <w:lang w:eastAsia="lv-LV"/>
        </w:rPr>
        <w:t xml:space="preserve"> saskaņā ar</w:t>
      </w:r>
    </w:p>
    <w:p w:rsidR="00A45573" w:rsidRPr="00004806" w:rsidRDefault="00A45573" w:rsidP="00A77F88">
      <w:pPr>
        <w:jc w:val="right"/>
        <w:rPr>
          <w:sz w:val="28"/>
          <w:szCs w:val="28"/>
          <w:lang w:eastAsia="lv-LV"/>
        </w:rPr>
      </w:pPr>
      <w:r w:rsidRPr="00004806">
        <w:rPr>
          <w:sz w:val="28"/>
          <w:szCs w:val="28"/>
          <w:lang w:eastAsia="lv-LV"/>
        </w:rPr>
        <w:t>Autortiesību likuma</w:t>
      </w:r>
    </w:p>
    <w:p w:rsidR="00A45573" w:rsidRPr="00004806" w:rsidRDefault="00A45573" w:rsidP="00A77F88">
      <w:pPr>
        <w:jc w:val="right"/>
        <w:rPr>
          <w:sz w:val="28"/>
          <w:szCs w:val="28"/>
          <w:lang w:eastAsia="lv-LV"/>
        </w:rPr>
      </w:pPr>
      <w:r w:rsidRPr="00004806">
        <w:rPr>
          <w:sz w:val="28"/>
          <w:szCs w:val="28"/>
          <w:lang w:eastAsia="lv-LV"/>
        </w:rPr>
        <w:t>19.</w:t>
      </w:r>
      <w:r w:rsidRPr="00004806">
        <w:rPr>
          <w:sz w:val="28"/>
          <w:szCs w:val="28"/>
          <w:vertAlign w:val="superscript"/>
          <w:lang w:eastAsia="lv-LV"/>
        </w:rPr>
        <w:t xml:space="preserve">1 </w:t>
      </w:r>
      <w:r w:rsidRPr="00004806">
        <w:rPr>
          <w:sz w:val="28"/>
          <w:szCs w:val="28"/>
          <w:lang w:eastAsia="lv-LV"/>
        </w:rPr>
        <w:t>panta otro daļu</w:t>
      </w:r>
    </w:p>
    <w:p w:rsidR="00A45573" w:rsidRPr="00004806" w:rsidRDefault="00A45573" w:rsidP="00A77F88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A45573" w:rsidRDefault="00A45573" w:rsidP="00B73A26">
      <w:pPr>
        <w:pStyle w:val="naisf"/>
        <w:spacing w:before="0" w:after="0"/>
        <w:ind w:firstLine="720"/>
        <w:rPr>
          <w:sz w:val="28"/>
          <w:szCs w:val="28"/>
        </w:rPr>
      </w:pPr>
      <w:r w:rsidRPr="00004806">
        <w:rPr>
          <w:sz w:val="28"/>
          <w:szCs w:val="28"/>
        </w:rPr>
        <w:t xml:space="preserve">Izdarīt Ministru kabineta 2007.gada 21.augusta noteikumos Nr.565 </w:t>
      </w:r>
      <w:r>
        <w:rPr>
          <w:sz w:val="28"/>
          <w:szCs w:val="28"/>
        </w:rPr>
        <w:t>"</w:t>
      </w:r>
      <w:r w:rsidRPr="00004806">
        <w:rPr>
          <w:sz w:val="28"/>
          <w:szCs w:val="28"/>
        </w:rPr>
        <w:t>Kārtība, kādā aprēķina, izmaksā un sadala atlīdzību par publisko patapinājumu</w:t>
      </w:r>
      <w:r>
        <w:rPr>
          <w:sz w:val="28"/>
          <w:szCs w:val="28"/>
        </w:rPr>
        <w:t>"</w:t>
      </w:r>
      <w:r w:rsidRPr="00004806">
        <w:rPr>
          <w:sz w:val="28"/>
          <w:szCs w:val="28"/>
        </w:rPr>
        <w:t xml:space="preserve"> (L</w:t>
      </w:r>
      <w:r>
        <w:rPr>
          <w:sz w:val="28"/>
          <w:szCs w:val="28"/>
        </w:rPr>
        <w:t>atvijas Vēstnesis, 2007, 138.nr.; 2009, 85.nr.</w:t>
      </w:r>
      <w:r w:rsidRPr="00004806">
        <w:rPr>
          <w:sz w:val="28"/>
          <w:szCs w:val="28"/>
        </w:rPr>
        <w:t>) šādu</w:t>
      </w:r>
      <w:r>
        <w:rPr>
          <w:sz w:val="28"/>
          <w:szCs w:val="28"/>
        </w:rPr>
        <w:t>s</w:t>
      </w:r>
      <w:r w:rsidRPr="00004806">
        <w:rPr>
          <w:sz w:val="28"/>
          <w:szCs w:val="28"/>
        </w:rPr>
        <w:t xml:space="preserve"> grozījumu</w:t>
      </w:r>
      <w:r>
        <w:rPr>
          <w:sz w:val="28"/>
          <w:szCs w:val="28"/>
        </w:rPr>
        <w:t>s</w:t>
      </w:r>
      <w:r w:rsidRPr="00004806">
        <w:rPr>
          <w:sz w:val="28"/>
          <w:szCs w:val="28"/>
        </w:rPr>
        <w:t>:</w:t>
      </w:r>
    </w:p>
    <w:p w:rsidR="00A45573" w:rsidRPr="00004806" w:rsidRDefault="00A45573" w:rsidP="00B73A26">
      <w:pPr>
        <w:pStyle w:val="naisf"/>
        <w:spacing w:before="0" w:after="0"/>
        <w:ind w:firstLine="720"/>
        <w:rPr>
          <w:sz w:val="28"/>
          <w:szCs w:val="28"/>
        </w:rPr>
      </w:pPr>
    </w:p>
    <w:p w:rsidR="00A45573" w:rsidRPr="00004806" w:rsidRDefault="00A45573" w:rsidP="00B73A26">
      <w:pPr>
        <w:pStyle w:val="naisf"/>
        <w:spacing w:before="0" w:after="0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1. I</w:t>
      </w:r>
      <w:r w:rsidRPr="00004806">
        <w:rPr>
          <w:sz w:val="28"/>
          <w:szCs w:val="28"/>
        </w:rPr>
        <w:t xml:space="preserve">zteikt 5.punkta ievaddaļu </w:t>
      </w:r>
      <w:r>
        <w:rPr>
          <w:sz w:val="28"/>
          <w:szCs w:val="28"/>
        </w:rPr>
        <w:t xml:space="preserve">un </w:t>
      </w:r>
      <w:r w:rsidRPr="00004806">
        <w:rPr>
          <w:sz w:val="28"/>
          <w:szCs w:val="28"/>
        </w:rPr>
        <w:t>5.1.apakšpunktu</w:t>
      </w:r>
      <w:r>
        <w:rPr>
          <w:sz w:val="28"/>
          <w:szCs w:val="28"/>
        </w:rPr>
        <w:t xml:space="preserve"> </w:t>
      </w:r>
      <w:r w:rsidRPr="00004806">
        <w:rPr>
          <w:sz w:val="28"/>
          <w:szCs w:val="28"/>
        </w:rPr>
        <w:t>šādā redakcijā:</w:t>
      </w:r>
    </w:p>
    <w:p w:rsidR="00A45573" w:rsidRPr="00004806" w:rsidRDefault="00A45573" w:rsidP="00B73A26">
      <w:pPr>
        <w:ind w:left="567" w:firstLine="720"/>
        <w:jc w:val="both"/>
        <w:rPr>
          <w:sz w:val="28"/>
          <w:szCs w:val="28"/>
        </w:rPr>
      </w:pPr>
    </w:p>
    <w:p w:rsidR="00A45573" w:rsidRDefault="00A45573" w:rsidP="00B73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004806">
        <w:rPr>
          <w:sz w:val="28"/>
          <w:szCs w:val="28"/>
        </w:rPr>
        <w:t>5. Atlīdzības lie</w:t>
      </w:r>
      <w:r>
        <w:rPr>
          <w:sz w:val="28"/>
          <w:szCs w:val="28"/>
        </w:rPr>
        <w:t>lumu par kārtējo gadu aprēķina</w:t>
      </w:r>
      <w:r w:rsidRPr="00004806">
        <w:rPr>
          <w:sz w:val="28"/>
          <w:szCs w:val="28"/>
        </w:rPr>
        <w:t>, pamatojoties uz info</w:t>
      </w:r>
      <w:r>
        <w:rPr>
          <w:sz w:val="28"/>
          <w:szCs w:val="28"/>
        </w:rPr>
        <w:t xml:space="preserve">rmāciju, ko </w:t>
      </w:r>
      <w:r w:rsidRPr="00004806">
        <w:rPr>
          <w:sz w:val="28"/>
          <w:szCs w:val="28"/>
        </w:rPr>
        <w:t xml:space="preserve">katru gadu līdz 15.februārim </w:t>
      </w:r>
      <w:r>
        <w:rPr>
          <w:sz w:val="28"/>
          <w:szCs w:val="28"/>
        </w:rPr>
        <w:t>Kultūras ministrijā</w:t>
      </w:r>
      <w:r w:rsidRPr="00004806">
        <w:rPr>
          <w:sz w:val="28"/>
          <w:szCs w:val="28"/>
        </w:rPr>
        <w:t xml:space="preserve"> iesniedz: </w:t>
      </w:r>
    </w:p>
    <w:p w:rsidR="00A45573" w:rsidRPr="00004806" w:rsidRDefault="00A45573" w:rsidP="00B73A26">
      <w:pPr>
        <w:ind w:firstLine="720"/>
        <w:jc w:val="both"/>
        <w:rPr>
          <w:sz w:val="28"/>
          <w:szCs w:val="28"/>
        </w:rPr>
      </w:pPr>
      <w:r w:rsidRPr="00004806">
        <w:rPr>
          <w:sz w:val="28"/>
          <w:szCs w:val="28"/>
        </w:rPr>
        <w:t xml:space="preserve">5.1. valsts un pašvaldību pārziņā esošās bibliotēkas (izņemot izglītības iestāžu bibliotēkas) un atvasinātu publisku personu pārziņā esošās valsts nozīmes bibliotēkas </w:t>
      </w:r>
      <w:r>
        <w:rPr>
          <w:sz w:val="28"/>
          <w:szCs w:val="28"/>
        </w:rPr>
        <w:t xml:space="preserve">– </w:t>
      </w:r>
      <w:r w:rsidRPr="00004806">
        <w:rPr>
          <w:sz w:val="28"/>
          <w:szCs w:val="28"/>
        </w:rPr>
        <w:t xml:space="preserve">par tām iepriekšējā gadā valsts un pašvaldības piešķirto finansējumu krājumu (tai skaitā grāmatas, periodika, fonogrammas, filmas) papildināšanai saskaņā ar Ministru kabineta 2009.gada 22.septembra noteikumu Nr.1074 </w:t>
      </w:r>
      <w:r>
        <w:rPr>
          <w:sz w:val="28"/>
          <w:szCs w:val="28"/>
        </w:rPr>
        <w:t>"</w:t>
      </w:r>
      <w:r w:rsidRPr="00004806">
        <w:rPr>
          <w:sz w:val="28"/>
          <w:szCs w:val="28"/>
        </w:rPr>
        <w:t>Noteikumi par valsts statistikas apkopošanu kultūras jomā</w:t>
      </w:r>
      <w:r>
        <w:rPr>
          <w:sz w:val="28"/>
          <w:szCs w:val="28"/>
        </w:rPr>
        <w:t>"</w:t>
      </w:r>
      <w:r w:rsidRPr="00004806">
        <w:rPr>
          <w:sz w:val="28"/>
          <w:szCs w:val="28"/>
        </w:rPr>
        <w:t xml:space="preserve"> 2.pielikuma 5.3.1.3.1.</w:t>
      </w:r>
      <w:r>
        <w:rPr>
          <w:sz w:val="28"/>
          <w:szCs w:val="28"/>
        </w:rPr>
        <w:t>apakš</w:t>
      </w:r>
      <w:r w:rsidRPr="00004806">
        <w:rPr>
          <w:sz w:val="28"/>
          <w:szCs w:val="28"/>
        </w:rPr>
        <w:t>punktu;</w:t>
      </w:r>
      <w:r>
        <w:rPr>
          <w:sz w:val="28"/>
          <w:szCs w:val="28"/>
        </w:rPr>
        <w:t>".</w:t>
      </w:r>
    </w:p>
    <w:p w:rsidR="00A45573" w:rsidRDefault="00A45573" w:rsidP="00B73A26">
      <w:pPr>
        <w:ind w:firstLine="720"/>
        <w:jc w:val="both"/>
        <w:rPr>
          <w:sz w:val="28"/>
          <w:szCs w:val="28"/>
        </w:rPr>
      </w:pPr>
    </w:p>
    <w:p w:rsidR="00A45573" w:rsidRPr="00004806" w:rsidRDefault="00A45573" w:rsidP="00B73A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Svītro</w:t>
      </w:r>
      <w:r w:rsidRPr="00004806">
        <w:rPr>
          <w:sz w:val="28"/>
          <w:szCs w:val="28"/>
        </w:rPr>
        <w:t>t 5.1.</w:t>
      </w:r>
      <w:r w:rsidRPr="0000480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Pr="00004806">
        <w:rPr>
          <w:sz w:val="28"/>
          <w:szCs w:val="28"/>
        </w:rPr>
        <w:t>apakšpunktu.</w:t>
      </w:r>
    </w:p>
    <w:p w:rsidR="00A45573" w:rsidRDefault="00A45573" w:rsidP="00EB5A75">
      <w:pPr>
        <w:jc w:val="both"/>
        <w:rPr>
          <w:sz w:val="28"/>
          <w:szCs w:val="28"/>
        </w:rPr>
      </w:pPr>
    </w:p>
    <w:p w:rsidR="00A45573" w:rsidRDefault="00A45573" w:rsidP="00EB5A75">
      <w:pPr>
        <w:jc w:val="both"/>
        <w:rPr>
          <w:sz w:val="28"/>
          <w:szCs w:val="28"/>
        </w:rPr>
      </w:pPr>
    </w:p>
    <w:p w:rsidR="00A45573" w:rsidRPr="00004806" w:rsidRDefault="00A45573" w:rsidP="00EB5A75">
      <w:pPr>
        <w:jc w:val="both"/>
        <w:rPr>
          <w:sz w:val="28"/>
          <w:szCs w:val="28"/>
        </w:rPr>
      </w:pPr>
    </w:p>
    <w:p w:rsidR="00A45573" w:rsidRPr="00A33CFF" w:rsidRDefault="00A45573" w:rsidP="00147311">
      <w:pPr>
        <w:tabs>
          <w:tab w:val="left" w:pos="6840"/>
        </w:tabs>
        <w:ind w:firstLine="720"/>
        <w:rPr>
          <w:sz w:val="28"/>
          <w:szCs w:val="28"/>
        </w:rPr>
      </w:pPr>
      <w:r w:rsidRPr="00E93AF3">
        <w:rPr>
          <w:sz w:val="28"/>
          <w:szCs w:val="28"/>
        </w:rPr>
        <w:t>Ministru prezidents</w:t>
      </w:r>
      <w:r w:rsidRPr="00E93AF3">
        <w:rPr>
          <w:sz w:val="28"/>
          <w:szCs w:val="28"/>
        </w:rPr>
        <w:tab/>
        <w:t>V.Dombrovskis</w:t>
      </w:r>
    </w:p>
    <w:p w:rsidR="00A45573" w:rsidRPr="00004806" w:rsidRDefault="00A45573" w:rsidP="00125027">
      <w:pPr>
        <w:jc w:val="both"/>
        <w:rPr>
          <w:sz w:val="28"/>
          <w:szCs w:val="28"/>
        </w:rPr>
      </w:pPr>
    </w:p>
    <w:p w:rsidR="00A45573" w:rsidRDefault="00A45573" w:rsidP="008A76D5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A45573" w:rsidRDefault="00A45573" w:rsidP="008A76D5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A45573" w:rsidRPr="00004806" w:rsidRDefault="00A45573" w:rsidP="008A76D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004806">
        <w:rPr>
          <w:sz w:val="28"/>
          <w:szCs w:val="28"/>
        </w:rPr>
        <w:t>Kultūras ministre</w:t>
      </w:r>
      <w:r w:rsidRPr="00004806">
        <w:rPr>
          <w:sz w:val="28"/>
          <w:szCs w:val="28"/>
        </w:rPr>
        <w:tab/>
        <w:t>S.Ēlerte</w:t>
      </w:r>
    </w:p>
    <w:sectPr w:rsidR="00A45573" w:rsidRPr="00004806" w:rsidSect="008A76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73" w:rsidRDefault="00A45573" w:rsidP="00C71187">
      <w:r>
        <w:separator/>
      </w:r>
    </w:p>
  </w:endnote>
  <w:endnote w:type="continuationSeparator" w:id="0">
    <w:p w:rsidR="00A45573" w:rsidRDefault="00A45573" w:rsidP="00C7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73" w:rsidRPr="008A76D5" w:rsidRDefault="00A45573">
    <w:pPr>
      <w:pStyle w:val="Footer"/>
      <w:rPr>
        <w:sz w:val="16"/>
        <w:szCs w:val="16"/>
      </w:rPr>
    </w:pPr>
    <w:r w:rsidRPr="008A76D5">
      <w:rPr>
        <w:sz w:val="16"/>
        <w:szCs w:val="16"/>
      </w:rPr>
      <w:t>N3601_0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73" w:rsidRPr="008A76D5" w:rsidRDefault="00A45573" w:rsidP="008A76D5">
    <w:pPr>
      <w:pStyle w:val="Footer"/>
      <w:rPr>
        <w:sz w:val="16"/>
        <w:szCs w:val="16"/>
      </w:rPr>
    </w:pPr>
    <w:r w:rsidRPr="008A76D5">
      <w:rPr>
        <w:sz w:val="16"/>
        <w:szCs w:val="16"/>
      </w:rPr>
      <w:t>N3601_0</w:t>
    </w:r>
    <w:r>
      <w:rPr>
        <w:sz w:val="16"/>
        <w:szCs w:val="16"/>
      </w:rPr>
      <w:t xml:space="preserve"> v_sk. = </w:t>
    </w:r>
    <w:fldSimple w:instr=" NUMWORDS  \* MERGEFORMAT ">
      <w:r w:rsidRPr="00B73A26">
        <w:rPr>
          <w:noProof/>
          <w:sz w:val="16"/>
          <w:szCs w:val="16"/>
        </w:rPr>
        <w:t>148</w:t>
      </w:r>
    </w:fldSimple>
  </w:p>
  <w:p w:rsidR="00A45573" w:rsidRDefault="00A455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73" w:rsidRDefault="00A45573" w:rsidP="00C71187">
      <w:r>
        <w:separator/>
      </w:r>
    </w:p>
  </w:footnote>
  <w:footnote w:type="continuationSeparator" w:id="0">
    <w:p w:rsidR="00A45573" w:rsidRDefault="00A45573" w:rsidP="00C71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73" w:rsidRDefault="00A45573" w:rsidP="00D3106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5573" w:rsidRDefault="00A45573" w:rsidP="008A76D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73" w:rsidRDefault="00A45573" w:rsidP="008A76D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4140"/>
    <w:multiLevelType w:val="hybridMultilevel"/>
    <w:tmpl w:val="1C4611D6"/>
    <w:lvl w:ilvl="0" w:tplc="E0F0E79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615D7166"/>
    <w:multiLevelType w:val="multilevel"/>
    <w:tmpl w:val="7AE29A7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F88"/>
    <w:rsid w:val="00004806"/>
    <w:rsid w:val="00017857"/>
    <w:rsid w:val="00042B94"/>
    <w:rsid w:val="00051965"/>
    <w:rsid w:val="00052E27"/>
    <w:rsid w:val="00057176"/>
    <w:rsid w:val="00065ED4"/>
    <w:rsid w:val="000703DA"/>
    <w:rsid w:val="00076128"/>
    <w:rsid w:val="00077BD3"/>
    <w:rsid w:val="00097E21"/>
    <w:rsid w:val="000A2D8D"/>
    <w:rsid w:val="000C7795"/>
    <w:rsid w:val="000F286A"/>
    <w:rsid w:val="00101DD3"/>
    <w:rsid w:val="0011143E"/>
    <w:rsid w:val="0011331B"/>
    <w:rsid w:val="00123841"/>
    <w:rsid w:val="001247C8"/>
    <w:rsid w:val="00125027"/>
    <w:rsid w:val="00147311"/>
    <w:rsid w:val="001579B5"/>
    <w:rsid w:val="001C445D"/>
    <w:rsid w:val="00214F38"/>
    <w:rsid w:val="0028546B"/>
    <w:rsid w:val="002B3050"/>
    <w:rsid w:val="00301E66"/>
    <w:rsid w:val="003222C1"/>
    <w:rsid w:val="00335D66"/>
    <w:rsid w:val="00380C37"/>
    <w:rsid w:val="003A2233"/>
    <w:rsid w:val="003B6F50"/>
    <w:rsid w:val="003F30B6"/>
    <w:rsid w:val="00457E02"/>
    <w:rsid w:val="00471D5D"/>
    <w:rsid w:val="00484BF9"/>
    <w:rsid w:val="004A59D1"/>
    <w:rsid w:val="004B1EC5"/>
    <w:rsid w:val="004D69F9"/>
    <w:rsid w:val="004E5433"/>
    <w:rsid w:val="005162BB"/>
    <w:rsid w:val="005304A8"/>
    <w:rsid w:val="00544A72"/>
    <w:rsid w:val="005B4346"/>
    <w:rsid w:val="005C6A89"/>
    <w:rsid w:val="005E7F23"/>
    <w:rsid w:val="0060123B"/>
    <w:rsid w:val="006221F2"/>
    <w:rsid w:val="0062311E"/>
    <w:rsid w:val="00643EC6"/>
    <w:rsid w:val="00655B2F"/>
    <w:rsid w:val="00685178"/>
    <w:rsid w:val="0069776C"/>
    <w:rsid w:val="006B4C8D"/>
    <w:rsid w:val="006C5E5D"/>
    <w:rsid w:val="0070149C"/>
    <w:rsid w:val="00705C66"/>
    <w:rsid w:val="00740A44"/>
    <w:rsid w:val="00785A2D"/>
    <w:rsid w:val="00786BF5"/>
    <w:rsid w:val="00790472"/>
    <w:rsid w:val="007D0006"/>
    <w:rsid w:val="007F099B"/>
    <w:rsid w:val="0083294A"/>
    <w:rsid w:val="00865B08"/>
    <w:rsid w:val="008A1C75"/>
    <w:rsid w:val="008A76D5"/>
    <w:rsid w:val="008B636E"/>
    <w:rsid w:val="008C4778"/>
    <w:rsid w:val="008C6336"/>
    <w:rsid w:val="00951EF6"/>
    <w:rsid w:val="00972A47"/>
    <w:rsid w:val="009C2E57"/>
    <w:rsid w:val="009C5D76"/>
    <w:rsid w:val="009C65D4"/>
    <w:rsid w:val="009E5ABB"/>
    <w:rsid w:val="009E6BC8"/>
    <w:rsid w:val="00A124D4"/>
    <w:rsid w:val="00A17A14"/>
    <w:rsid w:val="00A22A97"/>
    <w:rsid w:val="00A33CFF"/>
    <w:rsid w:val="00A45573"/>
    <w:rsid w:val="00A77F88"/>
    <w:rsid w:val="00AC2938"/>
    <w:rsid w:val="00B01AE9"/>
    <w:rsid w:val="00B161E7"/>
    <w:rsid w:val="00B169DD"/>
    <w:rsid w:val="00B654CD"/>
    <w:rsid w:val="00B73A26"/>
    <w:rsid w:val="00B75EFC"/>
    <w:rsid w:val="00B760C2"/>
    <w:rsid w:val="00B828F2"/>
    <w:rsid w:val="00BE5C60"/>
    <w:rsid w:val="00BF29A9"/>
    <w:rsid w:val="00C24F59"/>
    <w:rsid w:val="00C71187"/>
    <w:rsid w:val="00C71D45"/>
    <w:rsid w:val="00C72306"/>
    <w:rsid w:val="00CE3A79"/>
    <w:rsid w:val="00D31025"/>
    <w:rsid w:val="00D3106C"/>
    <w:rsid w:val="00D72069"/>
    <w:rsid w:val="00D81D40"/>
    <w:rsid w:val="00D85FB0"/>
    <w:rsid w:val="00D93B07"/>
    <w:rsid w:val="00D96260"/>
    <w:rsid w:val="00DB2844"/>
    <w:rsid w:val="00DC4D36"/>
    <w:rsid w:val="00E01BDA"/>
    <w:rsid w:val="00E10F1A"/>
    <w:rsid w:val="00E36241"/>
    <w:rsid w:val="00E51F2F"/>
    <w:rsid w:val="00E528F8"/>
    <w:rsid w:val="00E55B57"/>
    <w:rsid w:val="00E656C0"/>
    <w:rsid w:val="00E93AF3"/>
    <w:rsid w:val="00E979C6"/>
    <w:rsid w:val="00EA053B"/>
    <w:rsid w:val="00EB5A75"/>
    <w:rsid w:val="00EB6F97"/>
    <w:rsid w:val="00EC73EE"/>
    <w:rsid w:val="00EE3DED"/>
    <w:rsid w:val="00F21364"/>
    <w:rsid w:val="00F53A41"/>
    <w:rsid w:val="00F802EF"/>
    <w:rsid w:val="00FC5BB1"/>
    <w:rsid w:val="00FF28A2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8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7F88"/>
    <w:rPr>
      <w:rFonts w:ascii="Arial" w:hAnsi="Arial" w:cs="Arial"/>
      <w:b/>
      <w:bCs/>
      <w:kern w:val="32"/>
      <w:sz w:val="32"/>
      <w:szCs w:val="32"/>
      <w:lang w:eastAsia="lv-LV"/>
    </w:rPr>
  </w:style>
  <w:style w:type="paragraph" w:styleId="Header">
    <w:name w:val="header"/>
    <w:basedOn w:val="Normal"/>
    <w:link w:val="HeaderChar"/>
    <w:uiPriority w:val="99"/>
    <w:rsid w:val="00A77F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F88"/>
    <w:rPr>
      <w:rFonts w:ascii="Times New Roman" w:hAnsi="Times New Roman" w:cs="Times New Roman"/>
      <w:sz w:val="20"/>
      <w:szCs w:val="20"/>
    </w:rPr>
  </w:style>
  <w:style w:type="paragraph" w:customStyle="1" w:styleId="naisf">
    <w:name w:val="naisf"/>
    <w:basedOn w:val="Normal"/>
    <w:uiPriority w:val="99"/>
    <w:rsid w:val="00A77F88"/>
    <w:pPr>
      <w:spacing w:before="75" w:after="75"/>
      <w:ind w:firstLine="375"/>
      <w:jc w:val="both"/>
    </w:pPr>
    <w:rPr>
      <w:lang w:eastAsia="lv-LV"/>
    </w:rPr>
  </w:style>
  <w:style w:type="paragraph" w:customStyle="1" w:styleId="naislab">
    <w:name w:val="naislab"/>
    <w:basedOn w:val="Normal"/>
    <w:uiPriority w:val="99"/>
    <w:rsid w:val="00A77F88"/>
    <w:pPr>
      <w:spacing w:before="100" w:beforeAutospacing="1" w:after="100" w:afterAutospacing="1"/>
    </w:pPr>
    <w:rPr>
      <w:lang w:val="en-US"/>
    </w:rPr>
  </w:style>
  <w:style w:type="paragraph" w:styleId="PlainText">
    <w:name w:val="Plain Text"/>
    <w:basedOn w:val="Normal"/>
    <w:link w:val="PlainTextChar"/>
    <w:uiPriority w:val="99"/>
    <w:rsid w:val="00A77F88"/>
    <w:rPr>
      <w:rFonts w:ascii="Courier New" w:hAnsi="Courier New" w:cs="Courier New"/>
      <w:noProof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77F88"/>
    <w:rPr>
      <w:rFonts w:ascii="Courier New" w:hAnsi="Courier New" w:cs="Courier New"/>
      <w:noProof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711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18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44A72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E55B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5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5B5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5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5B57"/>
    <w:rPr>
      <w:b/>
      <w:bCs/>
    </w:rPr>
  </w:style>
  <w:style w:type="paragraph" w:customStyle="1" w:styleId="RakstzCharCharRakstzCharCharRakstz">
    <w:name w:val="Rakstz. Char Char Rakstz. Char Char Rakstz."/>
    <w:basedOn w:val="Normal"/>
    <w:uiPriority w:val="99"/>
    <w:rsid w:val="008A76D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8A76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1</Pages>
  <Words>813</Words>
  <Characters>464</Characters>
  <Application>Microsoft Office Outlook</Application>
  <DocSecurity>0</DocSecurity>
  <Lines>0</Lines>
  <Paragraphs>0</Paragraphs>
  <ScaleCrop>false</ScaleCrop>
  <Manager>Daina Āboliņa</Manager>
  <Company>LR Kultūras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2007.gada 21.augusta noteikumos Nr.565 „Kārtība, kādā aprēķina, izmaksā un sadala atlīdzību par publisko patapinājumu</dc:title>
  <dc:subject>Ministru kabineta noteikumu projekts</dc:subject>
  <dc:creator>Ilona Tomsone</dc:creator>
  <cp:keywords/>
  <dc:description>67330211Ilona.Tomsone@km.gov.lv</dc:description>
  <cp:lastModifiedBy>Erna Ivanova</cp:lastModifiedBy>
  <cp:revision>96</cp:revision>
  <cp:lastPrinted>2011-01-10T10:01:00Z</cp:lastPrinted>
  <dcterms:created xsi:type="dcterms:W3CDTF">2010-09-07T11:59:00Z</dcterms:created>
  <dcterms:modified xsi:type="dcterms:W3CDTF">2011-01-26T07:28:00Z</dcterms:modified>
</cp:coreProperties>
</file>