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EC" w:rsidRDefault="005376EC" w:rsidP="00D62C3E">
      <w:pPr>
        <w:jc w:val="center"/>
        <w:rPr>
          <w:b/>
          <w:sz w:val="28"/>
          <w:szCs w:val="28"/>
          <w:lang w:val="lv-LV"/>
        </w:rPr>
      </w:pPr>
    </w:p>
    <w:p w:rsidR="005376EC" w:rsidRDefault="005376EC" w:rsidP="00D62C3E">
      <w:pPr>
        <w:jc w:val="center"/>
        <w:rPr>
          <w:b/>
          <w:sz w:val="28"/>
          <w:szCs w:val="28"/>
          <w:lang w:val="lv-LV"/>
        </w:rPr>
      </w:pPr>
    </w:p>
    <w:p w:rsidR="00D62C3E" w:rsidRPr="00F66F2C" w:rsidRDefault="00D62C3E" w:rsidP="00D62C3E">
      <w:pPr>
        <w:jc w:val="center"/>
        <w:rPr>
          <w:b/>
          <w:sz w:val="28"/>
          <w:szCs w:val="28"/>
          <w:lang w:val="lv-LV"/>
        </w:rPr>
      </w:pPr>
      <w:r w:rsidRPr="00F66F2C">
        <w:rPr>
          <w:b/>
          <w:sz w:val="28"/>
          <w:szCs w:val="28"/>
          <w:lang w:val="lv-LV"/>
        </w:rPr>
        <w:t xml:space="preserve">Informatīvais ziņojums </w:t>
      </w:r>
    </w:p>
    <w:p w:rsidR="00D9640A" w:rsidRPr="00F66F2C" w:rsidRDefault="00D62C3E" w:rsidP="00D62C3E">
      <w:pPr>
        <w:jc w:val="center"/>
        <w:rPr>
          <w:b/>
          <w:sz w:val="28"/>
          <w:szCs w:val="28"/>
          <w:lang w:val="lv-LV"/>
        </w:rPr>
      </w:pPr>
      <w:r w:rsidRPr="00F66F2C">
        <w:rPr>
          <w:b/>
          <w:sz w:val="28"/>
          <w:szCs w:val="28"/>
          <w:lang w:val="lv-LV"/>
        </w:rPr>
        <w:t xml:space="preserve">„Par Latvijas Nacionālās bibliotēkas </w:t>
      </w:r>
      <w:r w:rsidR="00F66F2C">
        <w:rPr>
          <w:b/>
          <w:sz w:val="28"/>
          <w:szCs w:val="28"/>
          <w:lang w:val="lv-LV"/>
        </w:rPr>
        <w:t>ēkas būvdarbu līgumā paredzētās izmaksu indeksācijas piemērošanu</w:t>
      </w:r>
      <w:r w:rsidRPr="00F66F2C">
        <w:rPr>
          <w:b/>
          <w:sz w:val="28"/>
          <w:szCs w:val="28"/>
          <w:lang w:val="lv-LV"/>
        </w:rPr>
        <w:t>”</w:t>
      </w:r>
    </w:p>
    <w:p w:rsidR="00D9640A" w:rsidRPr="00F66F2C" w:rsidRDefault="00D9640A" w:rsidP="00D9640A">
      <w:pPr>
        <w:jc w:val="center"/>
        <w:rPr>
          <w:b/>
          <w:sz w:val="28"/>
          <w:szCs w:val="28"/>
          <w:lang w:val="lv-LV"/>
        </w:rPr>
      </w:pPr>
    </w:p>
    <w:p w:rsidR="00F13431" w:rsidRDefault="00F66F2C" w:rsidP="00F13431">
      <w:pPr>
        <w:ind w:firstLine="567"/>
        <w:jc w:val="both"/>
        <w:rPr>
          <w:rStyle w:val="spelle"/>
          <w:lang w:val="lv-LV"/>
        </w:rPr>
      </w:pPr>
      <w:r w:rsidRPr="00F66F2C">
        <w:rPr>
          <w:lang w:val="lv-LV"/>
        </w:rPr>
        <w:t>Informatīvais ziņojums „Par Latvijas Nacionālās bibliotēkas ēkas būvdarbu līgumā paredzētās izmaksu indeksācijas piemērošanu” (turpmāk – informatīvais ziņojums) sagatavots, pamatojoties uz</w:t>
      </w:r>
      <w:r>
        <w:rPr>
          <w:lang w:val="lv-LV"/>
        </w:rPr>
        <w:t xml:space="preserve"> Ministru kabineta 2012.gada 5.novembra ārkārtas sēdes protokola </w:t>
      </w:r>
      <w:r w:rsidR="00F13431">
        <w:rPr>
          <w:lang w:val="lv-LV"/>
        </w:rPr>
        <w:t xml:space="preserve">Nr.61  18§ 3.punktu, ar ko uzdots </w:t>
      </w:r>
      <w:r w:rsidR="00D62C3E" w:rsidRPr="00D62C3E">
        <w:rPr>
          <w:rStyle w:val="spelle"/>
          <w:lang w:val="lv-LV"/>
        </w:rPr>
        <w:t>Kultūras ministrijai sagatavot un kultūras ministrei nedēļas laikā iesniegt izskatīšanai Ministru kabinetā ar Finanšu ministriju saskaņotu informatīvo ziņojumu par to, kā tiek īstenota indeksācijas izmaksu piemērošana atbilstoši līgumam un kādām vajadzībām tiks izmantoti ietaupītie līdzekļi.</w:t>
      </w:r>
      <w:r w:rsidR="00F13431">
        <w:rPr>
          <w:rStyle w:val="spelle"/>
          <w:lang w:val="lv-LV"/>
        </w:rPr>
        <w:t xml:space="preserve"> </w:t>
      </w:r>
    </w:p>
    <w:p w:rsidR="00F13431" w:rsidRDefault="00F13431" w:rsidP="00F13431">
      <w:pPr>
        <w:ind w:firstLine="567"/>
        <w:jc w:val="both"/>
        <w:rPr>
          <w:rStyle w:val="spelle"/>
          <w:lang w:val="lv-LV"/>
        </w:rPr>
      </w:pPr>
    </w:p>
    <w:p w:rsidR="00F13431" w:rsidRPr="000F664E" w:rsidRDefault="000F664E" w:rsidP="000F664E">
      <w:pPr>
        <w:spacing w:after="120"/>
        <w:ind w:firstLine="567"/>
        <w:jc w:val="both"/>
        <w:rPr>
          <w:rStyle w:val="spelle"/>
          <w:u w:val="single"/>
          <w:lang w:val="lv-LV"/>
        </w:rPr>
      </w:pPr>
      <w:r w:rsidRPr="000F664E">
        <w:rPr>
          <w:rStyle w:val="spelle"/>
          <w:u w:val="single"/>
          <w:lang w:val="lv-LV"/>
        </w:rPr>
        <w:t>1. Indeksācijas aprēķ</w:t>
      </w:r>
      <w:r>
        <w:rPr>
          <w:rStyle w:val="spelle"/>
          <w:u w:val="single"/>
          <w:lang w:val="lv-LV"/>
        </w:rPr>
        <w:t>i</w:t>
      </w:r>
      <w:r w:rsidRPr="000F664E">
        <w:rPr>
          <w:rStyle w:val="spelle"/>
          <w:u w:val="single"/>
          <w:lang w:val="lv-LV"/>
        </w:rPr>
        <w:t xml:space="preserve">nāšana </w:t>
      </w:r>
    </w:p>
    <w:p w:rsidR="002C7727" w:rsidRPr="00236471" w:rsidRDefault="00AE224B" w:rsidP="00F13431">
      <w:pPr>
        <w:ind w:firstLine="567"/>
        <w:jc w:val="both"/>
        <w:rPr>
          <w:lang w:val="lv-LV"/>
        </w:rPr>
      </w:pPr>
      <w:r>
        <w:rPr>
          <w:lang w:val="lv-LV"/>
        </w:rPr>
        <w:t xml:space="preserve">Būvniecības izmaksu indeksācija tiek pielietota </w:t>
      </w:r>
      <w:r w:rsidR="00F13431">
        <w:rPr>
          <w:lang w:val="lv-LV"/>
        </w:rPr>
        <w:t>Latvijas Nacionālās bibliotēkas (turpmāk – LNB) ē</w:t>
      </w:r>
      <w:r w:rsidR="00F13431" w:rsidRPr="00F13431">
        <w:rPr>
          <w:lang w:val="lv-LV"/>
        </w:rPr>
        <w:t>kas būvdarbu</w:t>
      </w:r>
      <w:r>
        <w:rPr>
          <w:lang w:val="lv-LV"/>
        </w:rPr>
        <w:t xml:space="preserve"> līgumā </w:t>
      </w:r>
      <w:r w:rsidRPr="00F13431">
        <w:rPr>
          <w:lang w:val="lv-LV"/>
        </w:rPr>
        <w:t>(turpmāk –</w:t>
      </w:r>
      <w:r w:rsidR="00425AE1">
        <w:rPr>
          <w:lang w:val="lv-LV"/>
        </w:rPr>
        <w:t>L</w:t>
      </w:r>
      <w:r w:rsidRPr="00F13431">
        <w:rPr>
          <w:lang w:val="lv-LV"/>
        </w:rPr>
        <w:t>īgums)</w:t>
      </w:r>
      <w:r>
        <w:rPr>
          <w:lang w:val="lv-LV"/>
        </w:rPr>
        <w:t xml:space="preserve">, kas noslēgts </w:t>
      </w:r>
      <w:r w:rsidR="00F13431" w:rsidRPr="00F13431">
        <w:rPr>
          <w:lang w:val="lv-LV"/>
        </w:rPr>
        <w:t xml:space="preserve">2008.gada 15.maijā </w:t>
      </w:r>
      <w:r>
        <w:rPr>
          <w:lang w:val="lv-LV"/>
        </w:rPr>
        <w:t>ar pilnsabiedrību</w:t>
      </w:r>
      <w:r w:rsidR="00F13431" w:rsidRPr="00F13431">
        <w:rPr>
          <w:lang w:val="lv-LV"/>
        </w:rPr>
        <w:t xml:space="preserve"> „Nacionālā </w:t>
      </w:r>
      <w:proofErr w:type="spellStart"/>
      <w:r w:rsidR="00F13431" w:rsidRPr="00F13431">
        <w:rPr>
          <w:lang w:val="lv-LV"/>
        </w:rPr>
        <w:t>būvkompāniju</w:t>
      </w:r>
      <w:proofErr w:type="spellEnd"/>
      <w:r w:rsidR="00F13431" w:rsidRPr="00F13431">
        <w:rPr>
          <w:lang w:val="lv-LV"/>
        </w:rPr>
        <w:t xml:space="preserve"> apvienība” (turpmāk – NBA)</w:t>
      </w:r>
      <w:r w:rsidR="00F13431">
        <w:rPr>
          <w:lang w:val="lv-LV"/>
        </w:rPr>
        <w:t xml:space="preserve">. </w:t>
      </w:r>
      <w:r w:rsidR="00F13431">
        <w:rPr>
          <w:rStyle w:val="spelle"/>
          <w:lang w:val="lv-LV"/>
        </w:rPr>
        <w:t>Līgum</w:t>
      </w:r>
      <w:r w:rsidR="00F13431" w:rsidRPr="00F13431">
        <w:rPr>
          <w:lang w:val="lv-LV"/>
        </w:rPr>
        <w:t>a 13.8.punkt</w:t>
      </w:r>
      <w:r w:rsidR="00AA302C">
        <w:rPr>
          <w:lang w:val="lv-LV"/>
        </w:rPr>
        <w:t>ā</w:t>
      </w:r>
      <w:r w:rsidR="00F13431" w:rsidRPr="00F13431">
        <w:rPr>
          <w:lang w:val="lv-LV"/>
        </w:rPr>
        <w:t xml:space="preserve"> noteikts, ka</w:t>
      </w:r>
      <w:r w:rsidR="00290752">
        <w:rPr>
          <w:lang w:val="lv-LV"/>
        </w:rPr>
        <w:t xml:space="preserve"> </w:t>
      </w:r>
      <w:r w:rsidR="00F13431" w:rsidRPr="00F13431">
        <w:rPr>
          <w:lang w:val="lv-LV"/>
        </w:rPr>
        <w:t xml:space="preserve">izpildīto būvdarbu izmaksas tiek koriģētas reizi ceturksnī atbilstoši Latvijas Centrālās statistikas pārvaldes </w:t>
      </w:r>
      <w:r w:rsidR="002C7727">
        <w:rPr>
          <w:lang w:val="lv-LV"/>
        </w:rPr>
        <w:t xml:space="preserve">(turpmāk – CSP) </w:t>
      </w:r>
      <w:r w:rsidR="00F13431" w:rsidRPr="00F13431">
        <w:rPr>
          <w:lang w:val="lv-LV"/>
        </w:rPr>
        <w:t xml:space="preserve">oficiālajiem būvniecības izmaksu indeksiem. </w:t>
      </w:r>
      <w:r w:rsidR="002C7727">
        <w:rPr>
          <w:lang w:val="lv-LV"/>
        </w:rPr>
        <w:t xml:space="preserve">Indeksācijas summas tiek aprēķinātas saskaņā ar </w:t>
      </w:r>
      <w:r w:rsidR="00425AE1">
        <w:rPr>
          <w:lang w:val="lv-LV"/>
        </w:rPr>
        <w:t>L</w:t>
      </w:r>
      <w:r w:rsidR="002C7727">
        <w:rPr>
          <w:lang w:val="lv-LV"/>
        </w:rPr>
        <w:t>īgumā ietverto formulu, bet koriģēšanai piemērojam</w:t>
      </w:r>
      <w:r w:rsidR="00C82A0C">
        <w:rPr>
          <w:lang w:val="lv-LV"/>
        </w:rPr>
        <w:t xml:space="preserve">os </w:t>
      </w:r>
      <w:r w:rsidR="002C7727">
        <w:rPr>
          <w:lang w:val="lv-LV"/>
        </w:rPr>
        <w:t xml:space="preserve">indeksus </w:t>
      </w:r>
      <w:r w:rsidR="00C82A0C">
        <w:rPr>
          <w:lang w:val="lv-LV"/>
        </w:rPr>
        <w:t>izziņas veidā pēc Kultūras ministrijas pieprasījuma izsniedz CSP</w:t>
      </w:r>
      <w:r w:rsidR="00C82A0C" w:rsidRPr="00236471">
        <w:rPr>
          <w:lang w:val="lv-LV"/>
        </w:rPr>
        <w:t xml:space="preserve">. </w:t>
      </w:r>
      <w:r w:rsidR="00430660" w:rsidRPr="00236471">
        <w:rPr>
          <w:lang w:val="lv-LV"/>
        </w:rPr>
        <w:t>Kultūras ministrija reizi ceturksnī pēc saņemšanas no CSP nosūta</w:t>
      </w:r>
      <w:r w:rsidR="0071618C" w:rsidRPr="00236471">
        <w:rPr>
          <w:lang w:val="lv-LV"/>
        </w:rPr>
        <w:t xml:space="preserve"> indeksus aprēķinu veikšanai</w:t>
      </w:r>
      <w:r w:rsidR="00F51970" w:rsidRPr="00236471">
        <w:rPr>
          <w:lang w:val="lv-LV"/>
        </w:rPr>
        <w:t xml:space="preserve"> būvuzraudzības grupai Hill </w:t>
      </w:r>
      <w:proofErr w:type="spellStart"/>
      <w:r w:rsidR="00F51970" w:rsidRPr="00236471">
        <w:rPr>
          <w:lang w:val="lv-LV"/>
        </w:rPr>
        <w:t>International</w:t>
      </w:r>
      <w:proofErr w:type="spellEnd"/>
      <w:r w:rsidR="00F51970" w:rsidRPr="00236471">
        <w:rPr>
          <w:lang w:val="lv-LV"/>
        </w:rPr>
        <w:t xml:space="preserve"> un NBA</w:t>
      </w:r>
      <w:r w:rsidR="0071618C" w:rsidRPr="00236471">
        <w:rPr>
          <w:lang w:val="lv-LV"/>
        </w:rPr>
        <w:t xml:space="preserve">. </w:t>
      </w:r>
      <w:r w:rsidR="00F51970" w:rsidRPr="00236471">
        <w:rPr>
          <w:lang w:val="lv-LV"/>
        </w:rPr>
        <w:t xml:space="preserve"> </w:t>
      </w:r>
    </w:p>
    <w:p w:rsidR="00290752" w:rsidRDefault="00776145" w:rsidP="00776145">
      <w:pPr>
        <w:spacing w:before="120"/>
        <w:ind w:firstLine="567"/>
        <w:jc w:val="right"/>
        <w:rPr>
          <w:lang w:val="lv-LV"/>
        </w:rPr>
      </w:pPr>
      <w:r>
        <w:rPr>
          <w:lang w:val="lv-LV"/>
        </w:rPr>
        <w:t>Grafiks Nr.1</w:t>
      </w:r>
    </w:p>
    <w:p w:rsidR="00F51970" w:rsidRDefault="00776145" w:rsidP="00776145">
      <w:pPr>
        <w:ind w:left="-340"/>
        <w:jc w:val="both"/>
        <w:rPr>
          <w:lang w:val="lv-LV"/>
        </w:rPr>
      </w:pPr>
      <w:r w:rsidRPr="00776145">
        <w:rPr>
          <w:noProof/>
          <w:lang w:val="lv-LV" w:eastAsia="lv-LV"/>
        </w:rPr>
        <w:drawing>
          <wp:inline distT="0" distB="0" distL="0" distR="0">
            <wp:extent cx="6186115" cy="4039098"/>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92833" cy="4043485"/>
                    </a:xfrm>
                    <a:prstGeom prst="rect">
                      <a:avLst/>
                    </a:prstGeom>
                    <a:noFill/>
                    <a:ln w="9525">
                      <a:noFill/>
                      <a:miter lim="800000"/>
                      <a:headEnd/>
                      <a:tailEnd/>
                    </a:ln>
                  </pic:spPr>
                </pic:pic>
              </a:graphicData>
            </a:graphic>
          </wp:inline>
        </w:drawing>
      </w:r>
    </w:p>
    <w:p w:rsidR="003B4570" w:rsidRPr="003B4570" w:rsidRDefault="00776145" w:rsidP="00F13431">
      <w:pPr>
        <w:ind w:firstLine="567"/>
        <w:jc w:val="both"/>
        <w:rPr>
          <w:lang w:val="lv-LV"/>
        </w:rPr>
      </w:pPr>
      <w:r>
        <w:rPr>
          <w:lang w:val="lv-LV"/>
        </w:rPr>
        <w:lastRenderedPageBreak/>
        <w:t xml:space="preserve">Līgumā noteikts, ka gadījumā, ja indeksi ir negatīvi, tad Galvenajam būvuzņēmējam </w:t>
      </w:r>
      <w:r w:rsidR="008C20BC">
        <w:rPr>
          <w:lang w:val="lv-LV"/>
        </w:rPr>
        <w:t xml:space="preserve">(t.i., NBA) </w:t>
      </w:r>
      <w:r>
        <w:rPr>
          <w:lang w:val="lv-LV"/>
        </w:rPr>
        <w:t xml:space="preserve">apmaksājamās summas saskaņā ar indeksācijas aprēķinu tiek samazinātas. </w:t>
      </w:r>
      <w:r w:rsidR="008C20BC">
        <w:rPr>
          <w:lang w:val="lv-LV"/>
        </w:rPr>
        <w:t xml:space="preserve">Sākot ar 2009. gada 1.ceturksni </w:t>
      </w:r>
      <w:r w:rsidR="00425AE1">
        <w:rPr>
          <w:lang w:val="lv-LV"/>
        </w:rPr>
        <w:t>L</w:t>
      </w:r>
      <w:r w:rsidR="00D10E0C">
        <w:rPr>
          <w:lang w:val="lv-LV"/>
        </w:rPr>
        <w:t xml:space="preserve">īgumā piemērojamie </w:t>
      </w:r>
      <w:r w:rsidR="00F13431" w:rsidRPr="00D10E0C">
        <w:rPr>
          <w:lang w:val="lv-LV"/>
        </w:rPr>
        <w:t xml:space="preserve">būvniecības izmaksu indeksi </w:t>
      </w:r>
      <w:r w:rsidR="00D10E0C" w:rsidRPr="00D10E0C">
        <w:rPr>
          <w:lang w:val="lv-LV"/>
        </w:rPr>
        <w:t>ir krasi samazinājušie</w:t>
      </w:r>
      <w:r w:rsidR="00D10E0C">
        <w:rPr>
          <w:lang w:val="lv-LV"/>
        </w:rPr>
        <w:t xml:space="preserve">s un </w:t>
      </w:r>
      <w:r w:rsidR="00F13431" w:rsidRPr="00F13431">
        <w:rPr>
          <w:lang w:val="lv-LV"/>
        </w:rPr>
        <w:t>attiecībā pret bāzes periodu kopumā ir bijuši negatīvi</w:t>
      </w:r>
      <w:r w:rsidR="00D10E0C">
        <w:rPr>
          <w:lang w:val="lv-LV"/>
        </w:rPr>
        <w:t xml:space="preserve">. </w:t>
      </w:r>
      <w:r w:rsidR="00A87B21">
        <w:rPr>
          <w:lang w:val="lv-LV"/>
        </w:rPr>
        <w:t xml:space="preserve">Saskaņā ar </w:t>
      </w:r>
      <w:r w:rsidR="00425AE1">
        <w:rPr>
          <w:lang w:val="lv-LV"/>
        </w:rPr>
        <w:t>L</w:t>
      </w:r>
      <w:r w:rsidR="00A87B21">
        <w:rPr>
          <w:lang w:val="lv-LV"/>
        </w:rPr>
        <w:t>īgumu indeksācijas aprēķini veicami 36 dienu laikā pēc korekcijas perioda beigām, un savukārt norēķini – 56 dienu laikā pēc korekcijas summu aprēķināšanas.</w:t>
      </w:r>
      <w:r w:rsidR="00A87B21" w:rsidRPr="00A87B21">
        <w:rPr>
          <w:lang w:val="lv-LV"/>
        </w:rPr>
        <w:t xml:space="preserve"> </w:t>
      </w:r>
      <w:r w:rsidR="001E2592">
        <w:rPr>
          <w:lang w:val="lv-LV"/>
        </w:rPr>
        <w:t>Līdz 2012.gada oktobra</w:t>
      </w:r>
      <w:r w:rsidR="001E2592" w:rsidRPr="00F360F0">
        <w:rPr>
          <w:lang w:val="lv-LV"/>
        </w:rPr>
        <w:t xml:space="preserve"> </w:t>
      </w:r>
      <w:r w:rsidR="001E2592">
        <w:rPr>
          <w:lang w:val="lv-LV"/>
        </w:rPr>
        <w:t xml:space="preserve">sākumam </w:t>
      </w:r>
      <w:r w:rsidR="00A87B21" w:rsidRPr="00F360F0">
        <w:rPr>
          <w:lang w:val="lv-LV"/>
        </w:rPr>
        <w:t xml:space="preserve">NBA </w:t>
      </w:r>
      <w:r w:rsidR="001E2592">
        <w:rPr>
          <w:lang w:val="lv-LV"/>
        </w:rPr>
        <w:t xml:space="preserve">ir veikusi indeksācijas norēķinus par periodu līdz 2011.gada 1.ceturksnim (ieskaitot), bet </w:t>
      </w:r>
      <w:r w:rsidR="00A87B21" w:rsidRPr="00F360F0">
        <w:rPr>
          <w:lang w:val="lv-LV"/>
        </w:rPr>
        <w:t>nav veikusi indeksācijas norēķinus par 2011.gada 2., 3. un 4.ceturksni un 2012.gada 1.ceturksni, kā rezultātā ir izveidojies indeksācijas parāda uzkrājums 2</w:t>
      </w:r>
      <w:r w:rsidR="003A3198">
        <w:rPr>
          <w:lang w:val="lv-LV"/>
        </w:rPr>
        <w:t>,</w:t>
      </w:r>
      <w:r w:rsidR="00A87B21" w:rsidRPr="00F360F0">
        <w:rPr>
          <w:lang w:val="lv-LV"/>
        </w:rPr>
        <w:t>6</w:t>
      </w:r>
      <w:r w:rsidR="001E2592">
        <w:rPr>
          <w:lang w:val="lv-LV"/>
        </w:rPr>
        <w:t>37</w:t>
      </w:r>
      <w:r w:rsidR="003A3198">
        <w:rPr>
          <w:lang w:val="lv-LV"/>
        </w:rPr>
        <w:t xml:space="preserve"> miljoni </w:t>
      </w:r>
      <w:r w:rsidR="00A87B21" w:rsidRPr="00F360F0">
        <w:rPr>
          <w:lang w:val="lv-LV"/>
        </w:rPr>
        <w:t>latu apmērā.</w:t>
      </w:r>
      <w:proofErr w:type="gramStart"/>
      <w:r w:rsidR="003B4570">
        <w:rPr>
          <w:lang w:val="lv-LV"/>
        </w:rPr>
        <w:t xml:space="preserve"> </w:t>
      </w:r>
      <w:r w:rsidR="00EF0595">
        <w:rPr>
          <w:lang w:val="lv-LV"/>
        </w:rPr>
        <w:t xml:space="preserve"> </w:t>
      </w:r>
      <w:proofErr w:type="gramEnd"/>
      <w:r w:rsidR="003B4570" w:rsidRPr="003B4570">
        <w:rPr>
          <w:lang w:val="lv-LV"/>
        </w:rPr>
        <w:t>NBA rīcība atlikt indeksācijas piemērošanu ir balstīta uz viedokli</w:t>
      </w:r>
      <w:r w:rsidR="003B4570" w:rsidRPr="003B4570">
        <w:rPr>
          <w:vertAlign w:val="superscript"/>
          <w:lang w:val="lv-LV"/>
        </w:rPr>
        <w:t xml:space="preserve"> </w:t>
      </w:r>
      <w:r w:rsidR="003B4570" w:rsidRPr="003B4570">
        <w:rPr>
          <w:lang w:val="lv-LV"/>
        </w:rPr>
        <w:t>par sistēmisko kļūdu būvniecības izmaksu indeksu statistikas datu aprēķinos un lūgumu atlikt indeksācijas piemērošanu līdz apstākļu noskaidrošanai</w:t>
      </w:r>
      <w:r w:rsidR="003B4570" w:rsidRPr="00236471">
        <w:rPr>
          <w:lang w:val="lv-LV"/>
        </w:rPr>
        <w:t>.</w:t>
      </w:r>
      <w:r w:rsidR="00EF0595" w:rsidRPr="00236471">
        <w:rPr>
          <w:lang w:val="lv-LV"/>
        </w:rPr>
        <w:t xml:space="preserve"> NBA nav iesniegusi indeksācijas aprēķinu arī par 2012.gada 2.ceturksnī veiktajiem darbiem, </w:t>
      </w:r>
      <w:r w:rsidR="00E974A8" w:rsidRPr="00236471">
        <w:rPr>
          <w:lang w:val="lv-LV"/>
        </w:rPr>
        <w:t xml:space="preserve">tādēļ Kultūras ministrija </w:t>
      </w:r>
      <w:r w:rsidR="0044346B">
        <w:rPr>
          <w:lang w:val="lv-LV"/>
        </w:rPr>
        <w:t>2012.gada 13.novembra</w:t>
      </w:r>
      <w:r w:rsidR="00E974A8" w:rsidRPr="00236471">
        <w:rPr>
          <w:lang w:val="lv-LV"/>
        </w:rPr>
        <w:t xml:space="preserve"> vēstulē lū</w:t>
      </w:r>
      <w:r w:rsidR="00822FE9" w:rsidRPr="00236471">
        <w:rPr>
          <w:lang w:val="lv-LV"/>
        </w:rPr>
        <w:t xml:space="preserve">gusi </w:t>
      </w:r>
      <w:r w:rsidR="00E974A8" w:rsidRPr="00236471">
        <w:rPr>
          <w:lang w:val="lv-LV"/>
        </w:rPr>
        <w:t xml:space="preserve">aprēķinus veikt Hill </w:t>
      </w:r>
      <w:proofErr w:type="spellStart"/>
      <w:r w:rsidR="00E974A8" w:rsidRPr="00236471">
        <w:rPr>
          <w:lang w:val="lv-LV"/>
        </w:rPr>
        <w:t>International</w:t>
      </w:r>
      <w:proofErr w:type="spellEnd"/>
      <w:r w:rsidR="00822FE9" w:rsidRPr="00236471">
        <w:rPr>
          <w:lang w:val="lv-LV"/>
        </w:rPr>
        <w:t>,</w:t>
      </w:r>
      <w:r w:rsidR="00E974A8" w:rsidRPr="00236471">
        <w:rPr>
          <w:lang w:val="lv-LV"/>
        </w:rPr>
        <w:t xml:space="preserve"> un</w:t>
      </w:r>
      <w:r w:rsidR="00822FE9" w:rsidRPr="00236471">
        <w:rPr>
          <w:lang w:val="lv-LV"/>
        </w:rPr>
        <w:t xml:space="preserve"> brīdinājusi NBA par prasījumu attiecībā par indeksāciju </w:t>
      </w:r>
      <w:r w:rsidR="00425AE1" w:rsidRPr="00236471">
        <w:rPr>
          <w:lang w:val="lv-LV"/>
        </w:rPr>
        <w:t>L</w:t>
      </w:r>
      <w:r w:rsidR="00822FE9" w:rsidRPr="00236471">
        <w:rPr>
          <w:lang w:val="lv-LV"/>
        </w:rPr>
        <w:t>īgumā noteiktajā kārtībā. Savukārt attiecībā par p</w:t>
      </w:r>
      <w:r w:rsidR="00E974A8" w:rsidRPr="00236471">
        <w:rPr>
          <w:lang w:val="lv-LV"/>
        </w:rPr>
        <w:t>iemērojamie</w:t>
      </w:r>
      <w:r w:rsidR="00822FE9" w:rsidRPr="00236471">
        <w:rPr>
          <w:lang w:val="lv-LV"/>
        </w:rPr>
        <w:t>m</w:t>
      </w:r>
      <w:r w:rsidR="00E974A8" w:rsidRPr="00236471">
        <w:rPr>
          <w:lang w:val="lv-LV"/>
        </w:rPr>
        <w:t xml:space="preserve"> indeksi</w:t>
      </w:r>
      <w:r w:rsidR="00822FE9" w:rsidRPr="00236471">
        <w:rPr>
          <w:lang w:val="lv-LV"/>
        </w:rPr>
        <w:t>em</w:t>
      </w:r>
      <w:r w:rsidR="00E974A8" w:rsidRPr="00236471">
        <w:rPr>
          <w:lang w:val="lv-LV"/>
        </w:rPr>
        <w:t xml:space="preserve"> </w:t>
      </w:r>
      <w:r w:rsidR="00822FE9" w:rsidRPr="00236471">
        <w:rPr>
          <w:lang w:val="lv-LV"/>
        </w:rPr>
        <w:t xml:space="preserve">par </w:t>
      </w:r>
      <w:r w:rsidR="00E974A8" w:rsidRPr="00236471">
        <w:rPr>
          <w:lang w:val="lv-LV"/>
        </w:rPr>
        <w:t>2012.gada 3.ceturksni</w:t>
      </w:r>
      <w:r w:rsidR="00822FE9" w:rsidRPr="00236471">
        <w:rPr>
          <w:lang w:val="lv-LV"/>
        </w:rPr>
        <w:t xml:space="preserve"> Kultūras ministrija informē, ka tie</w:t>
      </w:r>
      <w:r w:rsidR="00E974A8" w:rsidRPr="00236471">
        <w:rPr>
          <w:lang w:val="lv-LV"/>
        </w:rPr>
        <w:t xml:space="preserve"> no CSP vēl nav saņemti.</w:t>
      </w:r>
    </w:p>
    <w:p w:rsidR="001E2592" w:rsidRDefault="004975DF" w:rsidP="001E2592">
      <w:pPr>
        <w:spacing w:after="120"/>
        <w:ind w:firstLine="720"/>
        <w:jc w:val="right"/>
        <w:rPr>
          <w:lang w:val="lv-LV"/>
        </w:rPr>
      </w:pPr>
      <w:r>
        <w:rPr>
          <w:lang w:val="lv-LV"/>
        </w:rPr>
        <w:t>Tabul</w:t>
      </w:r>
      <w:r w:rsidR="001E2592">
        <w:rPr>
          <w:lang w:val="lv-LV"/>
        </w:rPr>
        <w:t>a</w:t>
      </w:r>
      <w:r>
        <w:rPr>
          <w:lang w:val="lv-LV"/>
        </w:rPr>
        <w:t xml:space="preserve"> Nr.1</w:t>
      </w:r>
    </w:p>
    <w:p w:rsidR="00FB5E22" w:rsidRPr="000F664E" w:rsidRDefault="001E2592" w:rsidP="000F664E">
      <w:pPr>
        <w:spacing w:after="120"/>
        <w:jc w:val="both"/>
        <w:rPr>
          <w:lang w:val="lv-LV"/>
        </w:rPr>
      </w:pPr>
      <w:r w:rsidRPr="000F664E">
        <w:rPr>
          <w:i/>
          <w:lang w:val="lv-LV"/>
        </w:rPr>
        <w:t>LNB ēkas būvdarbu vērtība un izmaksu indeksācija (kopsavilkums)</w:t>
      </w:r>
      <w:r w:rsidR="004975DF" w:rsidRPr="000F664E">
        <w:rPr>
          <w:lang w:val="lv-LV"/>
        </w:rPr>
        <w:t xml:space="preserve">. </w:t>
      </w:r>
    </w:p>
    <w:p w:rsidR="00F360F0" w:rsidRDefault="00523287" w:rsidP="00F360F0">
      <w:pPr>
        <w:spacing w:after="120"/>
        <w:ind w:firstLine="720"/>
        <w:jc w:val="both"/>
        <w:rPr>
          <w:lang w:val="lv-LV"/>
        </w:rPr>
      </w:pPr>
      <w:r w:rsidRPr="00523287">
        <w:rPr>
          <w:noProof/>
          <w:lang w:val="lv-LV" w:eastAsia="lv-LV"/>
        </w:rPr>
        <w:drawing>
          <wp:inline distT="0" distB="0" distL="0" distR="0">
            <wp:extent cx="4900868" cy="5430741"/>
            <wp:effectExtent l="19050" t="0" r="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03773" cy="5433961"/>
                    </a:xfrm>
                    <a:prstGeom prst="rect">
                      <a:avLst/>
                    </a:prstGeom>
                    <a:noFill/>
                    <a:ln w="9525">
                      <a:noFill/>
                      <a:miter lim="800000"/>
                      <a:headEnd/>
                      <a:tailEnd/>
                    </a:ln>
                  </pic:spPr>
                </pic:pic>
              </a:graphicData>
            </a:graphic>
          </wp:inline>
        </w:drawing>
      </w:r>
    </w:p>
    <w:p w:rsidR="000F664E" w:rsidRDefault="003067EB" w:rsidP="00F360F0">
      <w:pPr>
        <w:spacing w:after="120"/>
        <w:ind w:firstLine="720"/>
        <w:jc w:val="both"/>
        <w:rPr>
          <w:u w:val="single"/>
          <w:lang w:val="lv-LV"/>
        </w:rPr>
      </w:pPr>
      <w:r w:rsidRPr="00DF6C59">
        <w:rPr>
          <w:u w:val="single"/>
          <w:lang w:val="lv-LV"/>
        </w:rPr>
        <w:lastRenderedPageBreak/>
        <w:t xml:space="preserve">2. </w:t>
      </w:r>
      <w:r w:rsidR="000F664E" w:rsidRPr="00DF6C59">
        <w:rPr>
          <w:u w:val="single"/>
          <w:lang w:val="lv-LV"/>
        </w:rPr>
        <w:t xml:space="preserve">Indeksācijas piemērošana </w:t>
      </w:r>
    </w:p>
    <w:p w:rsidR="00DF6C59" w:rsidRDefault="008704EA" w:rsidP="008704EA">
      <w:pPr>
        <w:ind w:firstLine="567"/>
        <w:jc w:val="both"/>
        <w:rPr>
          <w:lang w:val="lv-LV"/>
        </w:rPr>
      </w:pPr>
      <w:r>
        <w:rPr>
          <w:lang w:val="lv-LV"/>
        </w:rPr>
        <w:t>L</w:t>
      </w:r>
      <w:r w:rsidRPr="00DF6C59">
        <w:rPr>
          <w:lang w:val="lv-LV"/>
        </w:rPr>
        <w:t>īgum</w:t>
      </w:r>
      <w:r>
        <w:rPr>
          <w:lang w:val="lv-LV"/>
        </w:rPr>
        <w:t>ā</w:t>
      </w:r>
      <w:r w:rsidRPr="00DF6C59">
        <w:rPr>
          <w:lang w:val="lv-LV"/>
        </w:rPr>
        <w:t xml:space="preserve"> par L</w:t>
      </w:r>
      <w:r>
        <w:rPr>
          <w:lang w:val="lv-LV"/>
        </w:rPr>
        <w:t>NB ēkas</w:t>
      </w:r>
      <w:r w:rsidRPr="00DF6C59">
        <w:rPr>
          <w:lang w:val="lv-LV"/>
        </w:rPr>
        <w:t xml:space="preserve"> būvdarbiem noteiktā </w:t>
      </w:r>
      <w:r w:rsidRPr="008704EA">
        <w:rPr>
          <w:lang w:val="lv-LV"/>
        </w:rPr>
        <w:t xml:space="preserve">Akceptētā </w:t>
      </w:r>
      <w:r w:rsidR="00425AE1">
        <w:rPr>
          <w:lang w:val="lv-LV"/>
        </w:rPr>
        <w:t>L</w:t>
      </w:r>
      <w:r w:rsidRPr="008704EA">
        <w:rPr>
          <w:lang w:val="lv-LV"/>
        </w:rPr>
        <w:t>īguma</w:t>
      </w:r>
      <w:r w:rsidRPr="00DF6C59">
        <w:rPr>
          <w:lang w:val="lv-LV"/>
        </w:rPr>
        <w:t xml:space="preserve"> summa </w:t>
      </w:r>
      <w:r>
        <w:rPr>
          <w:lang w:val="lv-LV"/>
        </w:rPr>
        <w:t xml:space="preserve">ir </w:t>
      </w:r>
      <w:r w:rsidRPr="00DF6C59">
        <w:rPr>
          <w:lang w:val="lv-LV"/>
        </w:rPr>
        <w:t>135</w:t>
      </w:r>
      <w:r w:rsidR="003A3198">
        <w:rPr>
          <w:lang w:val="lv-LV"/>
        </w:rPr>
        <w:t>,</w:t>
      </w:r>
      <w:r w:rsidRPr="00DF6C59">
        <w:rPr>
          <w:lang w:val="lv-LV"/>
        </w:rPr>
        <w:t>302</w:t>
      </w:r>
      <w:r>
        <w:rPr>
          <w:lang w:val="lv-LV"/>
        </w:rPr>
        <w:t> </w:t>
      </w:r>
      <w:r w:rsidR="003A3198">
        <w:rPr>
          <w:lang w:val="lv-LV"/>
        </w:rPr>
        <w:t xml:space="preserve">miljoni </w:t>
      </w:r>
      <w:r w:rsidRPr="00DF6C59">
        <w:rPr>
          <w:lang w:val="lv-LV"/>
        </w:rPr>
        <w:t>lat</w:t>
      </w:r>
      <w:r w:rsidR="003A3198">
        <w:rPr>
          <w:lang w:val="lv-LV"/>
        </w:rPr>
        <w:t>u</w:t>
      </w:r>
      <w:r w:rsidRPr="00DF6C59">
        <w:rPr>
          <w:lang w:val="lv-LV"/>
        </w:rPr>
        <w:t xml:space="preserve">, ieskaitot PVN. </w:t>
      </w:r>
      <w:r>
        <w:rPr>
          <w:lang w:val="lv-LV"/>
        </w:rPr>
        <w:t>L</w:t>
      </w:r>
      <w:r w:rsidR="00DF6C59">
        <w:rPr>
          <w:lang w:val="lv-LV"/>
        </w:rPr>
        <w:t>īgumā</w:t>
      </w:r>
      <w:r w:rsidR="00D67EB9">
        <w:rPr>
          <w:lang w:val="lv-LV"/>
        </w:rPr>
        <w:t xml:space="preserve"> ir noteikts, ka </w:t>
      </w:r>
      <w:r>
        <w:rPr>
          <w:lang w:val="lv-LV"/>
        </w:rPr>
        <w:t>L</w:t>
      </w:r>
      <w:r w:rsidR="00D67EB9" w:rsidRPr="00D67EB9">
        <w:rPr>
          <w:lang w:val="lv-LV"/>
        </w:rPr>
        <w:t>īguma cena</w:t>
      </w:r>
      <w:r w:rsidR="00D67EB9" w:rsidRPr="00DF6C59">
        <w:rPr>
          <w:lang w:val="lv-LV"/>
        </w:rPr>
        <w:t xml:space="preserve"> ir būvdarbu cena, ko pasūtītājs maksā būvuzņēmējam, un tā ietver saskaņā ar </w:t>
      </w:r>
      <w:r w:rsidR="00425AE1">
        <w:rPr>
          <w:lang w:val="lv-LV"/>
        </w:rPr>
        <w:t>L</w:t>
      </w:r>
      <w:r w:rsidR="00D67EB9" w:rsidRPr="00DF6C59">
        <w:rPr>
          <w:lang w:val="lv-LV"/>
        </w:rPr>
        <w:t xml:space="preserve">īguma noteikumiem veiktās korekcijas. Līguma cena tiek koriģēta faktiski paveikto darbu uzmērījumu, projekta izmaiņu, izmaksu tehniski ekonomiskās izvērtēšanas, </w:t>
      </w:r>
      <w:proofErr w:type="spellStart"/>
      <w:r w:rsidR="00D67EB9" w:rsidRPr="00D67EB9">
        <w:rPr>
          <w:b/>
          <w:lang w:val="lv-LV"/>
        </w:rPr>
        <w:t>būvizmaksu</w:t>
      </w:r>
      <w:proofErr w:type="spellEnd"/>
      <w:r w:rsidR="00D67EB9" w:rsidRPr="00D67EB9">
        <w:rPr>
          <w:b/>
          <w:lang w:val="lv-LV"/>
        </w:rPr>
        <w:t xml:space="preserve"> indeksācijas</w:t>
      </w:r>
      <w:r w:rsidR="00D67EB9" w:rsidRPr="00DF6C59">
        <w:rPr>
          <w:lang w:val="lv-LV"/>
        </w:rPr>
        <w:t xml:space="preserve">, nodokļu likmju izmaiņu u.c. faktoru ietekmē. </w:t>
      </w:r>
      <w:r w:rsidR="00D67EB9" w:rsidRPr="00D67EB9">
        <w:rPr>
          <w:lang w:val="lv-LV"/>
        </w:rPr>
        <w:t xml:space="preserve">Šie faktori var gan paaugstināt, gan pazemināt </w:t>
      </w:r>
      <w:r>
        <w:rPr>
          <w:lang w:val="lv-LV"/>
        </w:rPr>
        <w:t>L</w:t>
      </w:r>
      <w:r w:rsidR="00D67EB9" w:rsidRPr="00D67EB9">
        <w:rPr>
          <w:lang w:val="lv-LV"/>
        </w:rPr>
        <w:t>īguma cenu.</w:t>
      </w:r>
      <w:r w:rsidR="00D67EB9">
        <w:rPr>
          <w:lang w:val="lv-LV"/>
        </w:rPr>
        <w:t xml:space="preserve"> </w:t>
      </w:r>
    </w:p>
    <w:p w:rsidR="00D26343" w:rsidRPr="00236471" w:rsidRDefault="00805A9E" w:rsidP="00A77181">
      <w:pPr>
        <w:ind w:firstLine="567"/>
        <w:jc w:val="both"/>
        <w:rPr>
          <w:lang w:val="lv-LV"/>
        </w:rPr>
      </w:pPr>
      <w:r w:rsidRPr="00805A9E">
        <w:rPr>
          <w:lang w:val="lv-LV"/>
        </w:rPr>
        <w:t>Pašlaik ir izpildīti 82% LNB ēkas būvdarbu apjoma</w:t>
      </w:r>
      <w:r>
        <w:rPr>
          <w:lang w:val="lv-LV"/>
        </w:rPr>
        <w:t xml:space="preserve"> </w:t>
      </w:r>
      <w:r w:rsidR="003A3198">
        <w:rPr>
          <w:lang w:val="lv-LV"/>
        </w:rPr>
        <w:t>un a</w:t>
      </w:r>
      <w:r w:rsidRPr="00805A9E">
        <w:rPr>
          <w:lang w:val="lv-LV"/>
        </w:rPr>
        <w:t xml:space="preserve">prēķini liecina, </w:t>
      </w:r>
      <w:r w:rsidR="00320751">
        <w:rPr>
          <w:lang w:val="lv-LV"/>
        </w:rPr>
        <w:t xml:space="preserve">ka </w:t>
      </w:r>
      <w:proofErr w:type="spellStart"/>
      <w:r w:rsidR="00A77181">
        <w:rPr>
          <w:lang w:val="lv-LV"/>
        </w:rPr>
        <w:t>būvizmaksu</w:t>
      </w:r>
      <w:proofErr w:type="spellEnd"/>
      <w:r w:rsidR="00A77181">
        <w:rPr>
          <w:lang w:val="lv-LV"/>
        </w:rPr>
        <w:t xml:space="preserve"> indeksācija </w:t>
      </w:r>
      <w:r w:rsidR="00425AE1">
        <w:rPr>
          <w:lang w:val="lv-LV"/>
        </w:rPr>
        <w:t>L</w:t>
      </w:r>
      <w:r w:rsidR="00A77181">
        <w:rPr>
          <w:lang w:val="lv-LV"/>
        </w:rPr>
        <w:t>īguma cenā do</w:t>
      </w:r>
      <w:r w:rsidR="00320751">
        <w:rPr>
          <w:lang w:val="lv-LV"/>
        </w:rPr>
        <w:t>s</w:t>
      </w:r>
      <w:r w:rsidR="00A77181">
        <w:rPr>
          <w:lang w:val="lv-LV"/>
        </w:rPr>
        <w:t xml:space="preserve"> Līguma cenas samazinājumu par 8,889 miljoniem latu, ko veido līdz 2012.gada oktobrim aprēķinātā indeksācija 7,689 miljoni latu un turpmākā indeksācijas prognoze līdz būvdarbu pabeigšanai 1,201 miljoni latu</w:t>
      </w:r>
      <w:r w:rsidR="00A47B3A">
        <w:rPr>
          <w:lang w:val="lv-LV"/>
        </w:rPr>
        <w:t xml:space="preserve"> (skat. tabulu Nr.2)</w:t>
      </w:r>
      <w:r w:rsidR="00A77181">
        <w:rPr>
          <w:lang w:val="lv-LV"/>
        </w:rPr>
        <w:t>.</w:t>
      </w:r>
      <w:r w:rsidR="00A77181" w:rsidRPr="00A77181">
        <w:rPr>
          <w:lang w:val="lv-LV"/>
        </w:rPr>
        <w:t xml:space="preserve"> </w:t>
      </w:r>
      <w:r w:rsidR="00037381" w:rsidRPr="00236471">
        <w:rPr>
          <w:lang w:val="lv-LV"/>
        </w:rPr>
        <w:t>Turpmākā indek</w:t>
      </w:r>
      <w:r w:rsidR="00D26343" w:rsidRPr="00236471">
        <w:rPr>
          <w:lang w:val="lv-LV"/>
        </w:rPr>
        <w:t>sācijas prognoze ir aprēķināta saskaņā ar formulu</w:t>
      </w:r>
      <w:r w:rsidR="00AA2E89" w:rsidRPr="00236471">
        <w:rPr>
          <w:lang w:val="lv-LV"/>
        </w:rPr>
        <w:t>:</w:t>
      </w:r>
    </w:p>
    <w:p w:rsidR="00D26343" w:rsidRPr="00236471" w:rsidRDefault="00AA2E89" w:rsidP="00AA2E89">
      <w:pPr>
        <w:ind w:firstLine="567"/>
        <w:jc w:val="center"/>
        <w:rPr>
          <w:lang w:val="lv-LV"/>
        </w:rPr>
      </w:pPr>
      <w:r w:rsidRPr="00236471">
        <w:rPr>
          <w:lang w:val="lv-LV"/>
        </w:rPr>
        <w:t>∆S = ∑(</w:t>
      </w:r>
      <w:proofErr w:type="spellStart"/>
      <w:r w:rsidRPr="00236471">
        <w:rPr>
          <w:lang w:val="lv-LV"/>
        </w:rPr>
        <w:t>S</w:t>
      </w:r>
      <w:r w:rsidRPr="00236471">
        <w:rPr>
          <w:vertAlign w:val="subscript"/>
          <w:lang w:val="lv-LV"/>
        </w:rPr>
        <w:t>n</w:t>
      </w:r>
      <w:proofErr w:type="spellEnd"/>
      <w:r w:rsidRPr="00236471">
        <w:rPr>
          <w:lang w:val="lv-LV"/>
        </w:rPr>
        <w:t xml:space="preserve"> × </w:t>
      </w:r>
      <w:proofErr w:type="spellStart"/>
      <w:r w:rsidRPr="00236471">
        <w:rPr>
          <w:lang w:val="lv-LV"/>
        </w:rPr>
        <w:t>B</w:t>
      </w:r>
      <w:r w:rsidRPr="00236471">
        <w:rPr>
          <w:vertAlign w:val="subscript"/>
          <w:lang w:val="lv-LV"/>
        </w:rPr>
        <w:t>n</w:t>
      </w:r>
      <w:proofErr w:type="spellEnd"/>
      <w:r w:rsidRPr="00236471">
        <w:rPr>
          <w:lang w:val="lv-LV"/>
        </w:rPr>
        <w:t>)</w:t>
      </w:r>
    </w:p>
    <w:p w:rsidR="00AA2E89" w:rsidRPr="00236471" w:rsidRDefault="00AA2E89" w:rsidP="00AA2E89">
      <w:pPr>
        <w:ind w:firstLine="567"/>
        <w:jc w:val="both"/>
        <w:rPr>
          <w:lang w:val="lv-LV"/>
        </w:rPr>
      </w:pPr>
      <w:r w:rsidRPr="00236471">
        <w:rPr>
          <w:lang w:val="lv-LV"/>
        </w:rPr>
        <w:t xml:space="preserve">kur ∆S </w:t>
      </w:r>
      <w:r w:rsidR="00B261D7" w:rsidRPr="00236471">
        <w:rPr>
          <w:lang w:val="lv-LV"/>
        </w:rPr>
        <w:t>–</w:t>
      </w:r>
      <w:r w:rsidRPr="00236471">
        <w:rPr>
          <w:lang w:val="lv-LV"/>
        </w:rPr>
        <w:t xml:space="preserve"> </w:t>
      </w:r>
      <w:r w:rsidR="00690A81" w:rsidRPr="00236471">
        <w:rPr>
          <w:lang w:val="lv-LV"/>
        </w:rPr>
        <w:t xml:space="preserve">kopējā </w:t>
      </w:r>
      <w:r w:rsidRPr="00236471">
        <w:rPr>
          <w:lang w:val="lv-LV"/>
        </w:rPr>
        <w:t xml:space="preserve">indeksācijas summa par 2012.gada 2., 3. un 4. ceturksni un 2013.gada 1. un 2.ceturksni; </w:t>
      </w:r>
    </w:p>
    <w:p w:rsidR="00B261D7" w:rsidRPr="00236471" w:rsidRDefault="00AA2E89" w:rsidP="00A77181">
      <w:pPr>
        <w:ind w:firstLine="567"/>
        <w:jc w:val="both"/>
        <w:rPr>
          <w:lang w:val="lv-LV"/>
        </w:rPr>
      </w:pPr>
      <w:proofErr w:type="spellStart"/>
      <w:r w:rsidRPr="00236471">
        <w:rPr>
          <w:lang w:val="lv-LV"/>
        </w:rPr>
        <w:t>S</w:t>
      </w:r>
      <w:r w:rsidRPr="00236471">
        <w:rPr>
          <w:vertAlign w:val="subscript"/>
          <w:lang w:val="lv-LV"/>
        </w:rPr>
        <w:t>n</w:t>
      </w:r>
      <w:proofErr w:type="spellEnd"/>
      <w:r w:rsidRPr="00236471">
        <w:rPr>
          <w:lang w:val="lv-LV"/>
        </w:rPr>
        <w:t xml:space="preserve"> </w:t>
      </w:r>
      <w:r w:rsidR="00B261D7" w:rsidRPr="00236471">
        <w:rPr>
          <w:lang w:val="lv-LV"/>
        </w:rPr>
        <w:t>–</w:t>
      </w:r>
      <w:r w:rsidRPr="00236471">
        <w:rPr>
          <w:lang w:val="lv-LV"/>
        </w:rPr>
        <w:t xml:space="preserve"> izpildīto darbu vērt</w:t>
      </w:r>
      <w:r w:rsidR="00B261D7" w:rsidRPr="00236471">
        <w:rPr>
          <w:lang w:val="lv-LV"/>
        </w:rPr>
        <w:t xml:space="preserve">ība </w:t>
      </w:r>
      <w:r w:rsidR="00690A81" w:rsidRPr="00236471">
        <w:rPr>
          <w:lang w:val="lv-LV"/>
        </w:rPr>
        <w:t xml:space="preserve">katrā </w:t>
      </w:r>
      <w:r w:rsidR="00B261D7" w:rsidRPr="00236471">
        <w:rPr>
          <w:lang w:val="lv-LV"/>
        </w:rPr>
        <w:t xml:space="preserve">ceturksnī saskaņā ar </w:t>
      </w:r>
      <w:r w:rsidR="00C8465F" w:rsidRPr="00236471">
        <w:rPr>
          <w:lang w:val="lv-LV"/>
        </w:rPr>
        <w:t xml:space="preserve">NBA izpildāmo darbu </w:t>
      </w:r>
      <w:r w:rsidR="00690A81" w:rsidRPr="00236471">
        <w:rPr>
          <w:lang w:val="lv-LV"/>
        </w:rPr>
        <w:t>grafiku;</w:t>
      </w:r>
      <w:r w:rsidR="00C8465F" w:rsidRPr="00236471">
        <w:rPr>
          <w:lang w:val="lv-LV"/>
        </w:rPr>
        <w:t xml:space="preserve"> </w:t>
      </w:r>
    </w:p>
    <w:p w:rsidR="00912C69" w:rsidRPr="00236471" w:rsidRDefault="00690A81" w:rsidP="00A77181">
      <w:pPr>
        <w:ind w:firstLine="567"/>
        <w:jc w:val="both"/>
        <w:rPr>
          <w:lang w:val="lv-LV"/>
        </w:rPr>
      </w:pPr>
      <w:proofErr w:type="spellStart"/>
      <w:r w:rsidRPr="00236471">
        <w:rPr>
          <w:lang w:val="lv-LV"/>
        </w:rPr>
        <w:t>B</w:t>
      </w:r>
      <w:r w:rsidRPr="00236471">
        <w:rPr>
          <w:vertAlign w:val="subscript"/>
          <w:lang w:val="lv-LV"/>
        </w:rPr>
        <w:t>n</w:t>
      </w:r>
      <w:proofErr w:type="spellEnd"/>
      <w:r w:rsidR="00C8465F" w:rsidRPr="00236471">
        <w:rPr>
          <w:lang w:val="lv-LV"/>
        </w:rPr>
        <w:t xml:space="preserve"> </w:t>
      </w:r>
      <w:r w:rsidRPr="00236471">
        <w:rPr>
          <w:lang w:val="lv-LV"/>
        </w:rPr>
        <w:t xml:space="preserve">– </w:t>
      </w:r>
      <w:r w:rsidR="00D125F1" w:rsidRPr="00236471">
        <w:rPr>
          <w:lang w:val="lv-LV"/>
        </w:rPr>
        <w:t>pielietot</w:t>
      </w:r>
      <w:r w:rsidR="00523287" w:rsidRPr="00236471">
        <w:rPr>
          <w:lang w:val="lv-LV"/>
        </w:rPr>
        <w:t xml:space="preserve">ā korekcijas (indeksācijas) koeficienta </w:t>
      </w:r>
      <w:r w:rsidR="00D125F1" w:rsidRPr="00236471">
        <w:rPr>
          <w:lang w:val="lv-LV"/>
        </w:rPr>
        <w:t xml:space="preserve">prognozētās </w:t>
      </w:r>
      <w:r w:rsidR="00C8465F" w:rsidRPr="00236471">
        <w:rPr>
          <w:lang w:val="lv-LV"/>
        </w:rPr>
        <w:t>vērtīb</w:t>
      </w:r>
      <w:r w:rsidR="00D125F1" w:rsidRPr="00236471">
        <w:rPr>
          <w:lang w:val="lv-LV"/>
        </w:rPr>
        <w:t xml:space="preserve">as. Pēdējā gada laikā indeksa </w:t>
      </w:r>
      <w:r w:rsidR="0044346B">
        <w:rPr>
          <w:lang w:val="lv-LV"/>
        </w:rPr>
        <w:t>„Būvniecība – pavisam</w:t>
      </w:r>
      <w:r w:rsidR="00523287" w:rsidRPr="00236471">
        <w:rPr>
          <w:lang w:val="lv-LV"/>
        </w:rPr>
        <w:t xml:space="preserve">” </w:t>
      </w:r>
      <w:r w:rsidR="00D125F1" w:rsidRPr="00236471">
        <w:rPr>
          <w:lang w:val="lv-LV"/>
        </w:rPr>
        <w:t xml:space="preserve">vidējais </w:t>
      </w:r>
      <w:r w:rsidR="00C8465F" w:rsidRPr="00236471">
        <w:rPr>
          <w:lang w:val="lv-LV"/>
        </w:rPr>
        <w:t>pieaugum</w:t>
      </w:r>
      <w:r w:rsidR="00D125F1" w:rsidRPr="00236471">
        <w:rPr>
          <w:lang w:val="lv-LV"/>
        </w:rPr>
        <w:t xml:space="preserve">s ir </w:t>
      </w:r>
      <w:r w:rsidR="00C8465F" w:rsidRPr="00236471">
        <w:rPr>
          <w:lang w:val="lv-LV"/>
        </w:rPr>
        <w:t>1,</w:t>
      </w:r>
      <w:r w:rsidR="00523287" w:rsidRPr="00236471">
        <w:rPr>
          <w:lang w:val="lv-LV"/>
        </w:rPr>
        <w:t>4</w:t>
      </w:r>
      <w:r w:rsidR="00C8465F" w:rsidRPr="00236471">
        <w:rPr>
          <w:lang w:val="lv-LV"/>
        </w:rPr>
        <w:t xml:space="preserve"> procentpunkti ceturksnī,</w:t>
      </w:r>
      <w:r w:rsidR="0058302D" w:rsidRPr="00236471">
        <w:rPr>
          <w:lang w:val="lv-LV"/>
        </w:rPr>
        <w:t xml:space="preserve"> un šāda indeksācijas koeficienta</w:t>
      </w:r>
      <w:r w:rsidR="00912C69" w:rsidRPr="00236471">
        <w:rPr>
          <w:lang w:val="lv-LV"/>
        </w:rPr>
        <w:t xml:space="preserve"> pieauguma dinamika tiek pielietota turpmāko indeks</w:t>
      </w:r>
      <w:r w:rsidR="00523287" w:rsidRPr="00236471">
        <w:rPr>
          <w:lang w:val="lv-LV"/>
        </w:rPr>
        <w:t>ācijas</w:t>
      </w:r>
      <w:r w:rsidR="00912C69" w:rsidRPr="00236471">
        <w:rPr>
          <w:lang w:val="lv-LV"/>
        </w:rPr>
        <w:t xml:space="preserve"> </w:t>
      </w:r>
      <w:r w:rsidR="0058302D" w:rsidRPr="00236471">
        <w:rPr>
          <w:lang w:val="lv-LV"/>
        </w:rPr>
        <w:t xml:space="preserve">prognozēto </w:t>
      </w:r>
      <w:r w:rsidR="00912C69" w:rsidRPr="00236471">
        <w:rPr>
          <w:lang w:val="lv-LV"/>
        </w:rPr>
        <w:t>vērtību aprēķināšanai.</w:t>
      </w:r>
      <w:r w:rsidR="0058302D" w:rsidRPr="00236471">
        <w:rPr>
          <w:lang w:val="lv-LV"/>
        </w:rPr>
        <w:t xml:space="preserve"> </w:t>
      </w:r>
    </w:p>
    <w:p w:rsidR="003B4570" w:rsidRPr="00C24979" w:rsidRDefault="004E0A40" w:rsidP="00A77181">
      <w:pPr>
        <w:ind w:firstLine="567"/>
        <w:jc w:val="both"/>
        <w:rPr>
          <w:u w:val="single"/>
          <w:lang w:val="lv-LV"/>
        </w:rPr>
      </w:pPr>
      <w:r w:rsidRPr="00C24979">
        <w:rPr>
          <w:rStyle w:val="spelle"/>
          <w:u w:val="single"/>
          <w:lang w:val="lv-LV"/>
        </w:rPr>
        <w:t xml:space="preserve">Indeksācijas piemērošana atbilstoši </w:t>
      </w:r>
      <w:r w:rsidR="00425AE1">
        <w:rPr>
          <w:rStyle w:val="spelle"/>
          <w:u w:val="single"/>
          <w:lang w:val="lv-LV"/>
        </w:rPr>
        <w:t>L</w:t>
      </w:r>
      <w:r w:rsidRPr="00C24979">
        <w:rPr>
          <w:rStyle w:val="spelle"/>
          <w:u w:val="single"/>
          <w:lang w:val="lv-LV"/>
        </w:rPr>
        <w:t>īgumam tiek īstenota kā Līguma cenas noteikšanas instruments</w:t>
      </w:r>
      <w:r w:rsidR="00AD755C" w:rsidRPr="00C24979">
        <w:rPr>
          <w:rStyle w:val="spelle"/>
          <w:u w:val="single"/>
          <w:lang w:val="lv-LV"/>
        </w:rPr>
        <w:t>,</w:t>
      </w:r>
      <w:r w:rsidRPr="00C24979">
        <w:rPr>
          <w:rStyle w:val="spelle"/>
          <w:u w:val="single"/>
          <w:lang w:val="lv-LV"/>
        </w:rPr>
        <w:t xml:space="preserve"> </w:t>
      </w:r>
      <w:r w:rsidR="005264A2" w:rsidRPr="00C24979">
        <w:rPr>
          <w:u w:val="single"/>
          <w:lang w:val="lv-LV"/>
        </w:rPr>
        <w:t xml:space="preserve">un </w:t>
      </w:r>
      <w:r w:rsidR="00AD755C" w:rsidRPr="00C24979">
        <w:rPr>
          <w:u w:val="single"/>
          <w:lang w:val="lv-LV"/>
        </w:rPr>
        <w:t xml:space="preserve">savukārt Līguma cena ir viena </w:t>
      </w:r>
      <w:r w:rsidR="005264A2" w:rsidRPr="00C24979">
        <w:rPr>
          <w:u w:val="single"/>
          <w:lang w:val="lv-LV"/>
        </w:rPr>
        <w:t>LNB projekta īstenošana</w:t>
      </w:r>
      <w:r w:rsidR="00AD755C" w:rsidRPr="00C24979">
        <w:rPr>
          <w:u w:val="single"/>
          <w:lang w:val="lv-LV"/>
        </w:rPr>
        <w:t xml:space="preserve">s </w:t>
      </w:r>
      <w:r w:rsidR="005264A2" w:rsidRPr="00C24979">
        <w:rPr>
          <w:u w:val="single"/>
          <w:lang w:val="lv-LV"/>
        </w:rPr>
        <w:t>i</w:t>
      </w:r>
      <w:r w:rsidR="00AD755C" w:rsidRPr="00C24979">
        <w:rPr>
          <w:u w:val="single"/>
          <w:lang w:val="lv-LV"/>
        </w:rPr>
        <w:t xml:space="preserve">zmaksu sastāvdaļām, kas ietilpst kopējā LNB projektam </w:t>
      </w:r>
      <w:r w:rsidR="005264A2" w:rsidRPr="00C24979">
        <w:rPr>
          <w:u w:val="single"/>
          <w:lang w:val="lv-LV"/>
        </w:rPr>
        <w:t xml:space="preserve">nepieciešamo </w:t>
      </w:r>
      <w:r w:rsidRPr="00C24979">
        <w:rPr>
          <w:u w:val="single"/>
          <w:lang w:val="lv-LV"/>
        </w:rPr>
        <w:t xml:space="preserve">finanšu </w:t>
      </w:r>
      <w:r w:rsidR="00AD755C" w:rsidRPr="00C24979">
        <w:rPr>
          <w:u w:val="single"/>
          <w:lang w:val="lv-LV"/>
        </w:rPr>
        <w:t>līdzekļu plānā.</w:t>
      </w:r>
    </w:p>
    <w:p w:rsidR="00320751" w:rsidRDefault="00FE6D2D" w:rsidP="00A77181">
      <w:pPr>
        <w:ind w:firstLine="567"/>
        <w:jc w:val="both"/>
        <w:rPr>
          <w:lang w:val="lv-LV"/>
        </w:rPr>
      </w:pPr>
      <w:r>
        <w:rPr>
          <w:lang w:val="lv-LV"/>
        </w:rPr>
        <w:t xml:space="preserve">Indeksācijas rezultātā iegūto </w:t>
      </w:r>
      <w:r w:rsidR="006904EC">
        <w:rPr>
          <w:lang w:val="lv-LV"/>
        </w:rPr>
        <w:t>L</w:t>
      </w:r>
      <w:r>
        <w:rPr>
          <w:lang w:val="lv-LV"/>
        </w:rPr>
        <w:t xml:space="preserve">īguma cenas samazinājumu </w:t>
      </w:r>
      <w:r w:rsidR="00A77181">
        <w:rPr>
          <w:lang w:val="lv-LV"/>
        </w:rPr>
        <w:t>nevar uzskatīt par ietaupījumu</w:t>
      </w:r>
      <w:r w:rsidR="00320751">
        <w:rPr>
          <w:lang w:val="lv-LV"/>
        </w:rPr>
        <w:t>,</w:t>
      </w:r>
      <w:r w:rsidR="006904EC">
        <w:rPr>
          <w:lang w:val="lv-LV"/>
        </w:rPr>
        <w:t xml:space="preserve"> kas izmantojams citiem mērķiem, jo </w:t>
      </w:r>
      <w:r w:rsidR="00C24979">
        <w:rPr>
          <w:lang w:val="lv-LV"/>
        </w:rPr>
        <w:t xml:space="preserve">tas tika plānots un </w:t>
      </w:r>
      <w:r w:rsidR="00A77181">
        <w:rPr>
          <w:lang w:val="lv-LV"/>
        </w:rPr>
        <w:t xml:space="preserve">iekļauts </w:t>
      </w:r>
      <w:r w:rsidR="00320751">
        <w:rPr>
          <w:lang w:val="lv-LV"/>
        </w:rPr>
        <w:t xml:space="preserve">būvdarbu </w:t>
      </w:r>
      <w:r w:rsidR="00425AE1">
        <w:rPr>
          <w:lang w:val="lv-LV"/>
        </w:rPr>
        <w:t>L</w:t>
      </w:r>
      <w:r w:rsidR="00A77181">
        <w:rPr>
          <w:lang w:val="lv-LV"/>
        </w:rPr>
        <w:t>īguma cen</w:t>
      </w:r>
      <w:r w:rsidR="00320751">
        <w:rPr>
          <w:lang w:val="lv-LV"/>
        </w:rPr>
        <w:t xml:space="preserve">as prognozē </w:t>
      </w:r>
      <w:r w:rsidR="008D17E4">
        <w:rPr>
          <w:lang w:val="lv-LV"/>
        </w:rPr>
        <w:t>jau 2010. gadā,</w:t>
      </w:r>
      <w:r w:rsidR="007B6CB5">
        <w:rPr>
          <w:lang w:val="lv-LV"/>
        </w:rPr>
        <w:t xml:space="preserve"> </w:t>
      </w:r>
      <w:r w:rsidR="00C24979">
        <w:rPr>
          <w:lang w:val="lv-LV"/>
        </w:rPr>
        <w:t xml:space="preserve">ar </w:t>
      </w:r>
      <w:r w:rsidR="006904EC" w:rsidRPr="00A748A4">
        <w:rPr>
          <w:lang w:val="lv-LV"/>
        </w:rPr>
        <w:t>Ministru kabineta</w:t>
      </w:r>
      <w:r w:rsidR="00A748A4" w:rsidRPr="00A748A4">
        <w:rPr>
          <w:lang w:val="lv-LV"/>
        </w:rPr>
        <w:t xml:space="preserve"> </w:t>
      </w:r>
      <w:r w:rsidR="006904EC" w:rsidRPr="00A748A4">
        <w:rPr>
          <w:lang w:val="lv-LV"/>
        </w:rPr>
        <w:t>2010.gada 5.augusta rīkojum</w:t>
      </w:r>
      <w:r w:rsidR="00A748A4">
        <w:rPr>
          <w:lang w:val="lv-LV"/>
        </w:rPr>
        <w:t>u</w:t>
      </w:r>
      <w:r w:rsidR="006904EC" w:rsidRPr="00A748A4">
        <w:rPr>
          <w:lang w:val="lv-LV"/>
        </w:rPr>
        <w:t xml:space="preserve"> Nr. 456</w:t>
      </w:r>
      <w:r w:rsidR="00A748A4">
        <w:rPr>
          <w:lang w:val="lv-LV"/>
        </w:rPr>
        <w:t xml:space="preserve"> „Par Latvijas Nacionālās bibliotēkas projekta turpmākās īstenošanas koncepciju” apstiprinātajā </w:t>
      </w:r>
      <w:r w:rsidR="00B75D3C">
        <w:rPr>
          <w:lang w:val="lv-LV"/>
        </w:rPr>
        <w:t>LNB projekta turpmākās īstenošanas koncepcij</w:t>
      </w:r>
      <w:r w:rsidR="00C24979">
        <w:rPr>
          <w:lang w:val="lv-LV"/>
        </w:rPr>
        <w:t>as variantā.</w:t>
      </w:r>
      <w:r w:rsidR="007B6CB5">
        <w:rPr>
          <w:lang w:val="lv-LV"/>
        </w:rPr>
        <w:t xml:space="preserve"> </w:t>
      </w:r>
    </w:p>
    <w:p w:rsidR="00320751" w:rsidRDefault="00320751" w:rsidP="00A77181">
      <w:pPr>
        <w:ind w:firstLine="567"/>
        <w:jc w:val="both"/>
        <w:rPr>
          <w:lang w:val="lv-LV"/>
        </w:rPr>
      </w:pPr>
    </w:p>
    <w:p w:rsidR="00DF6C59" w:rsidRPr="00D67EB9" w:rsidRDefault="003A3198" w:rsidP="00A77181">
      <w:pPr>
        <w:ind w:firstLine="567"/>
        <w:jc w:val="right"/>
        <w:rPr>
          <w:lang w:val="lv-LV"/>
        </w:rPr>
      </w:pPr>
      <w:r>
        <w:rPr>
          <w:lang w:val="lv-LV"/>
        </w:rPr>
        <w:t>Tabula Nr.2</w:t>
      </w:r>
    </w:p>
    <w:p w:rsidR="00DF6C59" w:rsidRPr="00C24979" w:rsidRDefault="00C24979" w:rsidP="00F360F0">
      <w:pPr>
        <w:spacing w:after="120"/>
        <w:ind w:firstLine="720"/>
        <w:jc w:val="both"/>
        <w:rPr>
          <w:i/>
          <w:lang w:val="lv-LV"/>
        </w:rPr>
      </w:pPr>
      <w:r w:rsidRPr="00C24979">
        <w:rPr>
          <w:i/>
          <w:lang w:val="lv-LV"/>
        </w:rPr>
        <w:t xml:space="preserve">LNB būvdarbu </w:t>
      </w:r>
      <w:r w:rsidR="00425AE1">
        <w:rPr>
          <w:i/>
          <w:lang w:val="lv-LV"/>
        </w:rPr>
        <w:t>L</w:t>
      </w:r>
      <w:r w:rsidRPr="00C24979">
        <w:rPr>
          <w:i/>
          <w:lang w:val="lv-LV"/>
        </w:rPr>
        <w:t>īguma cena</w:t>
      </w:r>
    </w:p>
    <w:p w:rsidR="000F664E" w:rsidRDefault="00361F8B" w:rsidP="00DF6C59">
      <w:pPr>
        <w:spacing w:after="120"/>
        <w:jc w:val="both"/>
        <w:rPr>
          <w:lang w:val="lv-LV"/>
        </w:rPr>
      </w:pPr>
      <w:r w:rsidRPr="00361F8B">
        <w:rPr>
          <w:noProof/>
          <w:lang w:val="lv-LV" w:eastAsia="lv-LV"/>
        </w:rPr>
        <w:drawing>
          <wp:inline distT="0" distB="0" distL="0" distR="0">
            <wp:extent cx="5732607" cy="2782957"/>
            <wp:effectExtent l="19050" t="0" r="1443" b="0"/>
            <wp:docPr id="6"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38306" cy="2785724"/>
                    </a:xfrm>
                    <a:prstGeom prst="rect">
                      <a:avLst/>
                    </a:prstGeom>
                    <a:noFill/>
                    <a:ln w="9525">
                      <a:noFill/>
                      <a:miter lim="800000"/>
                      <a:headEnd/>
                      <a:tailEnd/>
                    </a:ln>
                  </pic:spPr>
                </pic:pic>
              </a:graphicData>
            </a:graphic>
          </wp:inline>
        </w:drawing>
      </w:r>
      <w:r w:rsidRPr="00E0259B">
        <w:rPr>
          <w:lang w:val="lv-LV"/>
        </w:rPr>
        <w:t xml:space="preserve"> </w:t>
      </w:r>
    </w:p>
    <w:p w:rsidR="001B7EF5" w:rsidRPr="00682421" w:rsidRDefault="00B558AD" w:rsidP="001B7EF5">
      <w:pPr>
        <w:ind w:firstLine="720"/>
        <w:jc w:val="both"/>
        <w:rPr>
          <w:color w:val="C00000"/>
          <w:lang w:val="lv-LV"/>
        </w:rPr>
      </w:pPr>
      <w:r>
        <w:rPr>
          <w:lang w:val="lv-LV"/>
        </w:rPr>
        <w:t xml:space="preserve">Uz šo brīdi aprēķinātās indeksācijas vērtības un LNB projekta turpmākās īstenošanas koncepcijā prognozētās indeksācijas vērtības atšķirība ir izskaidrojama ar to, krīzes ietekmē </w:t>
      </w:r>
      <w:r>
        <w:rPr>
          <w:lang w:val="lv-LV"/>
        </w:rPr>
        <w:lastRenderedPageBreak/>
        <w:t xml:space="preserve">palēninājās būvdarbi un samazinājās </w:t>
      </w:r>
      <w:r w:rsidR="00361F8B">
        <w:rPr>
          <w:lang w:val="lv-LV"/>
        </w:rPr>
        <w:t xml:space="preserve">attiecīgajos periodos </w:t>
      </w:r>
      <w:r>
        <w:rPr>
          <w:lang w:val="lv-LV"/>
        </w:rPr>
        <w:t>indeksācijai piemērojamais būvdarbu apjoms, kā</w:t>
      </w:r>
      <w:r w:rsidR="00361F8B">
        <w:rPr>
          <w:lang w:val="lv-LV"/>
        </w:rPr>
        <w:t xml:space="preserve"> arī </w:t>
      </w:r>
      <w:r>
        <w:rPr>
          <w:lang w:val="lv-LV"/>
        </w:rPr>
        <w:t>faktiskie indeksi pieauga straujāk, nekā prognozēts</w:t>
      </w:r>
      <w:r w:rsidR="00361F8B">
        <w:rPr>
          <w:lang w:val="lv-LV"/>
        </w:rPr>
        <w:t>.</w:t>
      </w:r>
      <w:r>
        <w:rPr>
          <w:lang w:val="lv-LV"/>
        </w:rPr>
        <w:t xml:space="preserve"> </w:t>
      </w:r>
      <w:r w:rsidR="00361F8B">
        <w:rPr>
          <w:lang w:val="lv-LV"/>
        </w:rPr>
        <w:t xml:space="preserve">Kā redzams no tabulas Nr.2., </w:t>
      </w:r>
      <w:r w:rsidR="00425AE1">
        <w:rPr>
          <w:lang w:val="lv-LV"/>
        </w:rPr>
        <w:t>L</w:t>
      </w:r>
      <w:r w:rsidR="00361F8B">
        <w:rPr>
          <w:lang w:val="lv-LV"/>
        </w:rPr>
        <w:t xml:space="preserve">īguma cenu ir ietekmējušas izmaiņas </w:t>
      </w:r>
      <w:r w:rsidR="00562837">
        <w:rPr>
          <w:lang w:val="lv-LV"/>
        </w:rPr>
        <w:t xml:space="preserve">arī </w:t>
      </w:r>
      <w:r w:rsidR="00361F8B">
        <w:rPr>
          <w:lang w:val="lv-LV"/>
        </w:rPr>
        <w:t xml:space="preserve">citās </w:t>
      </w:r>
      <w:r w:rsidR="00425AE1">
        <w:rPr>
          <w:lang w:val="lv-LV"/>
        </w:rPr>
        <w:t>L</w:t>
      </w:r>
      <w:r w:rsidR="00361F8B">
        <w:rPr>
          <w:lang w:val="lv-LV"/>
        </w:rPr>
        <w:t xml:space="preserve">īguma cenas sastāvdaļās. </w:t>
      </w:r>
      <w:r w:rsidR="006E06BF" w:rsidRPr="00236471">
        <w:rPr>
          <w:lang w:val="lv-LV"/>
        </w:rPr>
        <w:t>Tā, piemēram, u</w:t>
      </w:r>
      <w:r w:rsidR="001B7EF5" w:rsidRPr="00236471">
        <w:rPr>
          <w:lang w:val="lv-LV"/>
        </w:rPr>
        <w:t xml:space="preserve">z Starptautiskās </w:t>
      </w:r>
      <w:proofErr w:type="spellStart"/>
      <w:r w:rsidR="001B7EF5" w:rsidRPr="00236471">
        <w:rPr>
          <w:lang w:val="lv-LV"/>
        </w:rPr>
        <w:t>inženierkonsultantu</w:t>
      </w:r>
      <w:proofErr w:type="spellEnd"/>
      <w:r w:rsidR="001B7EF5" w:rsidRPr="00236471">
        <w:rPr>
          <w:lang w:val="lv-LV"/>
        </w:rPr>
        <w:t xml:space="preserve"> federācijas (FIDIC) būvdarbu </w:t>
      </w:r>
      <w:r w:rsidR="00425AE1" w:rsidRPr="00236471">
        <w:rPr>
          <w:lang w:val="lv-LV"/>
        </w:rPr>
        <w:t>L</w:t>
      </w:r>
      <w:r w:rsidR="001B7EF5" w:rsidRPr="00236471">
        <w:rPr>
          <w:lang w:val="lv-LV"/>
        </w:rPr>
        <w:t>īguma noteikumu bāzes</w:t>
      </w:r>
      <w:r w:rsidR="00BB2C91" w:rsidRPr="00236471">
        <w:rPr>
          <w:lang w:val="lv-LV"/>
        </w:rPr>
        <w:t xml:space="preserve"> veidotā </w:t>
      </w:r>
      <w:r w:rsidR="00425AE1" w:rsidRPr="00236471">
        <w:rPr>
          <w:lang w:val="lv-LV"/>
        </w:rPr>
        <w:t>L</w:t>
      </w:r>
      <w:r w:rsidR="001B7EF5" w:rsidRPr="00236471">
        <w:rPr>
          <w:lang w:val="lv-LV"/>
        </w:rPr>
        <w:t>īgum</w:t>
      </w:r>
      <w:r w:rsidR="00BB2C91" w:rsidRPr="00236471">
        <w:rPr>
          <w:lang w:val="lv-LV"/>
        </w:rPr>
        <w:t>a 13.punkt</w:t>
      </w:r>
      <w:r w:rsidR="006E06BF" w:rsidRPr="00236471">
        <w:rPr>
          <w:lang w:val="lv-LV"/>
        </w:rPr>
        <w:t xml:space="preserve">s </w:t>
      </w:r>
      <w:r w:rsidR="00BB2C91" w:rsidRPr="00236471">
        <w:rPr>
          <w:lang w:val="lv-LV"/>
        </w:rPr>
        <w:t>paredz tiesības būvdarbu gaitā</w:t>
      </w:r>
      <w:r w:rsidR="006E06BF" w:rsidRPr="00236471">
        <w:rPr>
          <w:lang w:val="lv-LV"/>
        </w:rPr>
        <w:t xml:space="preserve"> veikt izmaiņas. Izmaiņas ievieš Inženieris </w:t>
      </w:r>
      <w:r w:rsidR="003C7DD5" w:rsidRPr="00236471">
        <w:rPr>
          <w:lang w:val="lv-LV"/>
        </w:rPr>
        <w:t xml:space="preserve">(Hill </w:t>
      </w:r>
      <w:proofErr w:type="spellStart"/>
      <w:r w:rsidR="003C7DD5" w:rsidRPr="00236471">
        <w:rPr>
          <w:lang w:val="lv-LV"/>
        </w:rPr>
        <w:t>International</w:t>
      </w:r>
      <w:proofErr w:type="spellEnd"/>
      <w:r w:rsidR="003C7DD5" w:rsidRPr="00236471">
        <w:rPr>
          <w:lang w:val="lv-LV"/>
        </w:rPr>
        <w:t xml:space="preserve">), </w:t>
      </w:r>
      <w:r w:rsidR="006E06BF" w:rsidRPr="00236471">
        <w:rPr>
          <w:lang w:val="lv-LV"/>
        </w:rPr>
        <w:t xml:space="preserve">ja izmainītie </w:t>
      </w:r>
      <w:r w:rsidR="003C7DD5" w:rsidRPr="00236471">
        <w:rPr>
          <w:lang w:val="lv-LV"/>
        </w:rPr>
        <w:t xml:space="preserve">tehniskie </w:t>
      </w:r>
      <w:r w:rsidR="006E06BF" w:rsidRPr="00236471">
        <w:rPr>
          <w:lang w:val="lv-LV"/>
        </w:rPr>
        <w:t xml:space="preserve">risinājumi </w:t>
      </w:r>
      <w:r w:rsidR="003C7DD5" w:rsidRPr="00236471">
        <w:rPr>
          <w:lang w:val="lv-LV"/>
        </w:rPr>
        <w:t xml:space="preserve">nodrošina labumu pasūtītājam (Kultūras ministrijai), piemēram, samazina būvdarbu izmaksas. nepazeminot </w:t>
      </w:r>
      <w:r w:rsidR="00581472" w:rsidRPr="00236471">
        <w:rPr>
          <w:lang w:val="lv-LV"/>
        </w:rPr>
        <w:t xml:space="preserve">kvalitāti. Līguma izpildes </w:t>
      </w:r>
      <w:r w:rsidR="003C7DD5" w:rsidRPr="00236471">
        <w:rPr>
          <w:lang w:val="lv-LV"/>
        </w:rPr>
        <w:t xml:space="preserve">gaitā </w:t>
      </w:r>
      <w:r w:rsidR="00581472" w:rsidRPr="00236471">
        <w:rPr>
          <w:lang w:val="lv-LV"/>
        </w:rPr>
        <w:t xml:space="preserve">izmaiņu veikšanai tiek izdoti t.s. izmaiņu pieprasījumi, kuru rezultātā sākotnējie </w:t>
      </w:r>
      <w:r w:rsidR="00425AE1" w:rsidRPr="00236471">
        <w:rPr>
          <w:lang w:val="lv-LV"/>
        </w:rPr>
        <w:t>projekta</w:t>
      </w:r>
      <w:r w:rsidR="00581472" w:rsidRPr="00236471">
        <w:rPr>
          <w:lang w:val="lv-LV"/>
        </w:rPr>
        <w:t xml:space="preserve"> </w:t>
      </w:r>
      <w:r w:rsidR="00682421" w:rsidRPr="00236471">
        <w:rPr>
          <w:lang w:val="lv-LV"/>
        </w:rPr>
        <w:t>risinājumi</w:t>
      </w:r>
      <w:r w:rsidR="00581472" w:rsidRPr="00236471">
        <w:rPr>
          <w:lang w:val="lv-LV"/>
        </w:rPr>
        <w:t xml:space="preserve"> tiek aizstāti ar </w:t>
      </w:r>
      <w:r w:rsidR="00682421" w:rsidRPr="00236471">
        <w:rPr>
          <w:lang w:val="lv-LV"/>
        </w:rPr>
        <w:t>izmainītajiem risinājumiem.</w:t>
      </w:r>
      <w:r w:rsidR="0058302D" w:rsidRPr="00236471">
        <w:rPr>
          <w:lang w:val="lv-LV"/>
        </w:rPr>
        <w:t xml:space="preserve"> Jāpiezīmē, ka Līguma cenas progno</w:t>
      </w:r>
      <w:r w:rsidR="00166608" w:rsidRPr="00236471">
        <w:rPr>
          <w:lang w:val="lv-LV"/>
        </w:rPr>
        <w:t>ze tiek precizēta reizi mēnesī.</w:t>
      </w:r>
      <w:r w:rsidR="0058302D">
        <w:rPr>
          <w:color w:val="C00000"/>
          <w:lang w:val="lv-LV"/>
        </w:rPr>
        <w:t xml:space="preserve"> </w:t>
      </w:r>
      <w:r w:rsidR="00682421" w:rsidRPr="00682421">
        <w:rPr>
          <w:color w:val="C00000"/>
          <w:lang w:val="lv-LV"/>
        </w:rPr>
        <w:t xml:space="preserve">  </w:t>
      </w:r>
    </w:p>
    <w:p w:rsidR="00C859B8" w:rsidRDefault="005376EC" w:rsidP="005376EC">
      <w:pPr>
        <w:spacing w:after="120"/>
        <w:ind w:firstLine="720"/>
        <w:jc w:val="both"/>
        <w:rPr>
          <w:lang w:val="lv-LV"/>
        </w:rPr>
      </w:pPr>
      <w:r>
        <w:rPr>
          <w:lang w:val="lv-LV"/>
        </w:rPr>
        <w:t>Līguma cena</w:t>
      </w:r>
      <w:r w:rsidR="00C859B8">
        <w:rPr>
          <w:lang w:val="lv-LV"/>
        </w:rPr>
        <w:t xml:space="preserve"> </w:t>
      </w:r>
      <w:r>
        <w:rPr>
          <w:lang w:val="lv-LV"/>
        </w:rPr>
        <w:t xml:space="preserve">un </w:t>
      </w:r>
      <w:r w:rsidR="00C859B8">
        <w:rPr>
          <w:lang w:val="lv-LV"/>
        </w:rPr>
        <w:t xml:space="preserve">LNB projektam nepieciešamo līdzekļu </w:t>
      </w:r>
      <w:r>
        <w:rPr>
          <w:lang w:val="lv-LV"/>
        </w:rPr>
        <w:t xml:space="preserve">apjoms </w:t>
      </w:r>
      <w:r w:rsidR="00C859B8">
        <w:rPr>
          <w:lang w:val="lv-LV"/>
        </w:rPr>
        <w:t>nav saistām</w:t>
      </w:r>
      <w:r>
        <w:rPr>
          <w:lang w:val="lv-LV"/>
        </w:rPr>
        <w:t>s ar jautājumu par i</w:t>
      </w:r>
      <w:r w:rsidR="00394404">
        <w:rPr>
          <w:lang w:val="lv-LV"/>
        </w:rPr>
        <w:t xml:space="preserve">ndeksācijas </w:t>
      </w:r>
      <w:r>
        <w:rPr>
          <w:lang w:val="lv-LV"/>
        </w:rPr>
        <w:t xml:space="preserve">norēķiniem. </w:t>
      </w:r>
      <w:r w:rsidR="00C859B8">
        <w:rPr>
          <w:lang w:val="lv-LV"/>
        </w:rPr>
        <w:t xml:space="preserve">Kultūras ministrija nekad nav pieļāvusi </w:t>
      </w:r>
      <w:r>
        <w:rPr>
          <w:lang w:val="lv-LV"/>
        </w:rPr>
        <w:t xml:space="preserve">līgumā noteikto </w:t>
      </w:r>
      <w:r w:rsidR="00C859B8">
        <w:rPr>
          <w:lang w:val="lv-LV"/>
        </w:rPr>
        <w:t>indeksācijas nosacījumu izslēgšanu vai pārskatīšanu</w:t>
      </w:r>
      <w:r w:rsidR="00182C0D">
        <w:rPr>
          <w:lang w:val="lv-LV"/>
        </w:rPr>
        <w:t xml:space="preserve"> un to, ka indeksācijas summas </w:t>
      </w:r>
      <w:r w:rsidR="00DD6E68">
        <w:rPr>
          <w:lang w:val="lv-LV"/>
        </w:rPr>
        <w:t>netiks samaksātas</w:t>
      </w:r>
      <w:r w:rsidR="00C859B8">
        <w:rPr>
          <w:lang w:val="lv-LV"/>
        </w:rPr>
        <w:t>.</w:t>
      </w:r>
    </w:p>
    <w:p w:rsidR="00362BBD" w:rsidRDefault="00362BBD" w:rsidP="00F360F0">
      <w:pPr>
        <w:spacing w:after="120"/>
        <w:ind w:firstLine="720"/>
        <w:jc w:val="both"/>
        <w:rPr>
          <w:lang w:val="lv-LV"/>
        </w:rPr>
      </w:pPr>
    </w:p>
    <w:p w:rsidR="000F664E" w:rsidRPr="00362BBD" w:rsidRDefault="00B75D3C" w:rsidP="00F360F0">
      <w:pPr>
        <w:spacing w:after="120"/>
        <w:ind w:firstLine="720"/>
        <w:jc w:val="both"/>
        <w:rPr>
          <w:u w:val="single"/>
          <w:lang w:val="lv-LV"/>
        </w:rPr>
      </w:pPr>
      <w:r w:rsidRPr="00362BBD">
        <w:rPr>
          <w:u w:val="single"/>
          <w:lang w:val="lv-LV"/>
        </w:rPr>
        <w:t xml:space="preserve">3. Indeksācijas </w:t>
      </w:r>
      <w:r w:rsidR="00394404">
        <w:rPr>
          <w:u w:val="single"/>
          <w:lang w:val="lv-LV"/>
        </w:rPr>
        <w:t>parāda risinājums</w:t>
      </w:r>
    </w:p>
    <w:p w:rsidR="00362BBD" w:rsidRPr="00362BBD" w:rsidRDefault="00362BBD" w:rsidP="00362BBD">
      <w:pPr>
        <w:ind w:firstLine="567"/>
        <w:jc w:val="both"/>
        <w:rPr>
          <w:lang w:val="lv-LV"/>
        </w:rPr>
      </w:pPr>
      <w:r w:rsidRPr="00362BBD">
        <w:rPr>
          <w:lang w:val="lv-LV"/>
        </w:rPr>
        <w:t xml:space="preserve">Attiecībā uz būvdarbu indeksācijas </w:t>
      </w:r>
      <w:r w:rsidR="005A7BB4">
        <w:rPr>
          <w:lang w:val="lv-LV"/>
        </w:rPr>
        <w:t xml:space="preserve">rezultātā izveidojušos </w:t>
      </w:r>
      <w:r w:rsidRPr="00362BBD">
        <w:rPr>
          <w:lang w:val="lv-LV"/>
        </w:rPr>
        <w:t xml:space="preserve">parāda atgūšanu Kultūras ministrija 2012.gada 2.oktobrī LNB ēkas būvdarbu </w:t>
      </w:r>
      <w:r w:rsidR="00425AE1">
        <w:rPr>
          <w:lang w:val="lv-LV"/>
        </w:rPr>
        <w:t>Līgumā noteiktajā kārtībā (L</w:t>
      </w:r>
      <w:r w:rsidRPr="00362BBD">
        <w:rPr>
          <w:lang w:val="lv-LV"/>
        </w:rPr>
        <w:t xml:space="preserve">īguma 2.5.punkts) ir iesniegusi </w:t>
      </w:r>
      <w:r w:rsidRPr="005A7BB4">
        <w:rPr>
          <w:u w:val="single"/>
          <w:lang w:val="lv-LV"/>
        </w:rPr>
        <w:t>prasījumu</w:t>
      </w:r>
      <w:r w:rsidRPr="00362BBD">
        <w:rPr>
          <w:lang w:val="lv-LV"/>
        </w:rPr>
        <w:t xml:space="preserve"> NBA un Inženierim Hill</w:t>
      </w:r>
      <w:r w:rsidR="00425AE1">
        <w:rPr>
          <w:lang w:val="lv-LV"/>
        </w:rPr>
        <w:t xml:space="preserve"> </w:t>
      </w:r>
      <w:proofErr w:type="spellStart"/>
      <w:r w:rsidR="00425AE1">
        <w:rPr>
          <w:lang w:val="lv-LV"/>
        </w:rPr>
        <w:t>International</w:t>
      </w:r>
      <w:proofErr w:type="spellEnd"/>
      <w:r w:rsidR="00425AE1">
        <w:rPr>
          <w:lang w:val="lv-LV"/>
        </w:rPr>
        <w:t xml:space="preserve"> N.V. Saskaņā ar L</w:t>
      </w:r>
      <w:r w:rsidRPr="00362BBD">
        <w:rPr>
          <w:lang w:val="lv-LV"/>
        </w:rPr>
        <w:t>īguma noteikumu 3.5.punktu Inženierim ir jāpanāk vienošanās starp pusēm vai, gadījumā, ja vienošanos nav iespējams panākt, jāpieņem lēmums par Kultūras ministrijas tiesībām šajā jautājumā. Pašlaik turpinās sarunas, lai vienotos par parāda atmaksas kārtību. NBA jau ir veicis vienu maksājumu</w:t>
      </w:r>
      <w:r w:rsidR="00570EB7">
        <w:rPr>
          <w:lang w:val="lv-LV"/>
        </w:rPr>
        <w:t xml:space="preserve"> 100 tūkst. latu apmērā</w:t>
      </w:r>
      <w:r w:rsidRPr="00362BBD">
        <w:rPr>
          <w:lang w:val="lv-LV"/>
        </w:rPr>
        <w:t xml:space="preserve"> indeksācijas parāda atmaksai. </w:t>
      </w:r>
      <w:r w:rsidR="00682421" w:rsidRPr="00236471">
        <w:rPr>
          <w:lang w:val="lv-LV"/>
        </w:rPr>
        <w:t>NBA šo maksājumu ir norādījis kā daļēju indeksācijas atmaksu par 2011.gada 2.ceturksni.</w:t>
      </w:r>
    </w:p>
    <w:p w:rsidR="00362BBD" w:rsidRDefault="005A7BB4" w:rsidP="00362BBD">
      <w:pPr>
        <w:ind w:firstLine="567"/>
        <w:jc w:val="both"/>
        <w:rPr>
          <w:lang w:val="lv-LV"/>
        </w:rPr>
      </w:pPr>
      <w:r>
        <w:rPr>
          <w:lang w:val="lv-LV"/>
        </w:rPr>
        <w:t xml:space="preserve">Lai nodrošinātu </w:t>
      </w:r>
      <w:r w:rsidR="00425AE1">
        <w:rPr>
          <w:lang w:val="lv-LV"/>
        </w:rPr>
        <w:t>L</w:t>
      </w:r>
      <w:r>
        <w:rPr>
          <w:lang w:val="lv-LV"/>
        </w:rPr>
        <w:t xml:space="preserve">īguma izpildi attiecībā uz indeksācijas </w:t>
      </w:r>
      <w:r w:rsidR="000227A8">
        <w:rPr>
          <w:lang w:val="lv-LV"/>
        </w:rPr>
        <w:t>norēķiniem</w:t>
      </w:r>
      <w:r>
        <w:rPr>
          <w:lang w:val="lv-LV"/>
        </w:rPr>
        <w:t xml:space="preserve">, </w:t>
      </w:r>
      <w:r w:rsidR="00362BBD" w:rsidRPr="00362BBD">
        <w:rPr>
          <w:lang w:val="lv-LV"/>
        </w:rPr>
        <w:t xml:space="preserve">Kultūras ministrijas </w:t>
      </w:r>
      <w:r w:rsidR="00362BBD">
        <w:rPr>
          <w:lang w:val="lv-LV"/>
        </w:rPr>
        <w:t xml:space="preserve">rīcībā ir </w:t>
      </w:r>
      <w:r w:rsidR="000227A8">
        <w:rPr>
          <w:lang w:val="lv-LV"/>
        </w:rPr>
        <w:t>divi spēcīgi instrumenti, kuri līdz minimumam samazina risku par indeksācijas parāda atgūšanu</w:t>
      </w:r>
      <w:r>
        <w:rPr>
          <w:lang w:val="lv-LV"/>
        </w:rPr>
        <w:t>:</w:t>
      </w:r>
    </w:p>
    <w:p w:rsidR="00F360F0" w:rsidRPr="000227A8" w:rsidRDefault="00562837" w:rsidP="000227A8">
      <w:pPr>
        <w:pStyle w:val="Sarakstarindkopa"/>
        <w:numPr>
          <w:ilvl w:val="0"/>
          <w:numId w:val="2"/>
        </w:numPr>
        <w:jc w:val="both"/>
        <w:rPr>
          <w:lang w:val="lv-LV"/>
        </w:rPr>
      </w:pPr>
      <w:r>
        <w:rPr>
          <w:lang w:val="lv-LV"/>
        </w:rPr>
        <w:t xml:space="preserve">Saskaņā ar </w:t>
      </w:r>
      <w:r w:rsidR="00425AE1">
        <w:rPr>
          <w:lang w:val="lv-LV"/>
        </w:rPr>
        <w:t>L</w:t>
      </w:r>
      <w:r>
        <w:rPr>
          <w:lang w:val="lv-LV"/>
        </w:rPr>
        <w:t xml:space="preserve">īgumu NBA </w:t>
      </w:r>
      <w:r w:rsidRPr="00236471">
        <w:rPr>
          <w:lang w:val="lv-LV"/>
        </w:rPr>
        <w:t xml:space="preserve">iesniegtā </w:t>
      </w:r>
      <w:r w:rsidR="00DF3AE9" w:rsidRPr="00236471">
        <w:rPr>
          <w:lang w:val="lv-LV"/>
        </w:rPr>
        <w:t xml:space="preserve">un 2012.gada 25.oktobrī atjaunotā </w:t>
      </w:r>
      <w:r w:rsidR="00425AE1" w:rsidRPr="00236471">
        <w:rPr>
          <w:lang w:val="lv-LV"/>
        </w:rPr>
        <w:t>L</w:t>
      </w:r>
      <w:r w:rsidR="00362BBD" w:rsidRPr="00236471">
        <w:rPr>
          <w:lang w:val="lv-LV"/>
        </w:rPr>
        <w:t>īguma</w:t>
      </w:r>
      <w:r w:rsidR="00362BBD" w:rsidRPr="000227A8">
        <w:rPr>
          <w:lang w:val="lv-LV"/>
        </w:rPr>
        <w:t xml:space="preserve"> izpildes nodrošinājuma bankas garantij</w:t>
      </w:r>
      <w:r w:rsidR="005A7BB4" w:rsidRPr="000227A8">
        <w:rPr>
          <w:lang w:val="lv-LV"/>
        </w:rPr>
        <w:t>a 3 miljonu latu apmērā</w:t>
      </w:r>
      <w:r w:rsidR="000227A8">
        <w:rPr>
          <w:lang w:val="lv-LV"/>
        </w:rPr>
        <w:t xml:space="preserve">. </w:t>
      </w:r>
      <w:r w:rsidR="00CD663F">
        <w:rPr>
          <w:lang w:val="lv-LV"/>
        </w:rPr>
        <w:t xml:space="preserve">Garantija dod tiesības Kultūras ministrijai saņemt no bankas summu, kas tai pienākas sakarā ar </w:t>
      </w:r>
      <w:r w:rsidR="00425AE1">
        <w:rPr>
          <w:lang w:val="lv-LV"/>
        </w:rPr>
        <w:t>L</w:t>
      </w:r>
      <w:r w:rsidR="00CD663F">
        <w:rPr>
          <w:lang w:val="lv-LV"/>
        </w:rPr>
        <w:t xml:space="preserve">īguma nepildīšanu no </w:t>
      </w:r>
      <w:r w:rsidR="00A41EB8">
        <w:rPr>
          <w:lang w:val="lv-LV"/>
        </w:rPr>
        <w:t>NBA</w:t>
      </w:r>
      <w:r w:rsidR="00CD663F">
        <w:rPr>
          <w:lang w:val="lv-LV"/>
        </w:rPr>
        <w:t xml:space="preserve"> puses;</w:t>
      </w:r>
      <w:r w:rsidR="005A7BB4" w:rsidRPr="000227A8">
        <w:rPr>
          <w:lang w:val="lv-LV"/>
        </w:rPr>
        <w:t xml:space="preserve"> </w:t>
      </w:r>
    </w:p>
    <w:p w:rsidR="005A7BB4" w:rsidRPr="000227A8" w:rsidRDefault="00425AE1" w:rsidP="000227A8">
      <w:pPr>
        <w:pStyle w:val="Sarakstarindkopa"/>
        <w:numPr>
          <w:ilvl w:val="0"/>
          <w:numId w:val="2"/>
        </w:numPr>
        <w:jc w:val="both"/>
        <w:rPr>
          <w:lang w:val="lv-LV"/>
        </w:rPr>
      </w:pPr>
      <w:r>
        <w:rPr>
          <w:lang w:val="lv-LV"/>
        </w:rPr>
        <w:t>Saskaņā ar L</w:t>
      </w:r>
      <w:r w:rsidR="008D17E4" w:rsidRPr="000227A8">
        <w:rPr>
          <w:lang w:val="lv-LV"/>
        </w:rPr>
        <w:t>īgum</w:t>
      </w:r>
      <w:r w:rsidR="00562837">
        <w:rPr>
          <w:lang w:val="lv-LV"/>
        </w:rPr>
        <w:t>u</w:t>
      </w:r>
      <w:r w:rsidR="008D17E4" w:rsidRPr="000227A8">
        <w:rPr>
          <w:lang w:val="lv-LV"/>
        </w:rPr>
        <w:t xml:space="preserve"> </w:t>
      </w:r>
      <w:r w:rsidR="00CD663F">
        <w:rPr>
          <w:lang w:val="lv-LV"/>
        </w:rPr>
        <w:t xml:space="preserve">veiktais </w:t>
      </w:r>
      <w:r w:rsidR="008D17E4" w:rsidRPr="000227A8">
        <w:rPr>
          <w:lang w:val="lv-LV"/>
        </w:rPr>
        <w:t xml:space="preserve">ieturējums </w:t>
      </w:r>
      <w:r w:rsidR="000227A8">
        <w:rPr>
          <w:lang w:val="lv-LV"/>
        </w:rPr>
        <w:t xml:space="preserve">6,2 miljonu latu apmērā, kas </w:t>
      </w:r>
      <w:r w:rsidR="00CD663F">
        <w:rPr>
          <w:lang w:val="lv-LV"/>
        </w:rPr>
        <w:t>ir paredzēts būvdarbu garantijas perioda nodrošināšan</w:t>
      </w:r>
      <w:r w:rsidR="007B6CB5">
        <w:rPr>
          <w:lang w:val="lv-LV"/>
        </w:rPr>
        <w:t>a</w:t>
      </w:r>
      <w:r w:rsidR="00CD663F">
        <w:rPr>
          <w:lang w:val="lv-LV"/>
        </w:rPr>
        <w:t>i</w:t>
      </w:r>
      <w:r w:rsidR="007B6CB5" w:rsidRPr="00236471">
        <w:rPr>
          <w:lang w:val="lv-LV"/>
        </w:rPr>
        <w:t xml:space="preserve">. </w:t>
      </w:r>
      <w:r w:rsidR="00652318" w:rsidRPr="00236471">
        <w:rPr>
          <w:lang w:val="lv-LV"/>
        </w:rPr>
        <w:t xml:space="preserve">Saskaņā ar </w:t>
      </w:r>
      <w:r w:rsidRPr="00236471">
        <w:rPr>
          <w:lang w:val="lv-LV"/>
        </w:rPr>
        <w:t>L</w:t>
      </w:r>
      <w:r w:rsidR="00652318" w:rsidRPr="00236471">
        <w:rPr>
          <w:lang w:val="lv-LV"/>
        </w:rPr>
        <w:t xml:space="preserve">īguma 14.3. apakšpunktu Kultūras ministrija no katra kārtējā maksājuma ir ieturējusi 10%, līdz ieturējumu summa sasniedz 5% no Līguma summas. </w:t>
      </w:r>
      <w:r w:rsidR="007B6CB5" w:rsidRPr="00236471">
        <w:rPr>
          <w:lang w:val="lv-LV"/>
        </w:rPr>
        <w:t xml:space="preserve">Kultūras ministrijai </w:t>
      </w:r>
      <w:r w:rsidR="000E409D" w:rsidRPr="00236471">
        <w:rPr>
          <w:lang w:val="lv-LV"/>
        </w:rPr>
        <w:t xml:space="preserve">saskaņā ar </w:t>
      </w:r>
      <w:r w:rsidRPr="00236471">
        <w:rPr>
          <w:lang w:val="lv-LV"/>
        </w:rPr>
        <w:t>L</w:t>
      </w:r>
      <w:r w:rsidR="000E409D" w:rsidRPr="00236471">
        <w:rPr>
          <w:lang w:val="lv-LV"/>
        </w:rPr>
        <w:t>īguma 14.9. apakšpunktu ieturējuma naudas pirmā puse ir jāatdod pēc būvdarbu nodošanas – pieņemšanas akta parakstīšanas, bet otra puse pēc garantijas perioda beigām</w:t>
      </w:r>
      <w:r w:rsidR="0054497C" w:rsidRPr="00236471">
        <w:rPr>
          <w:lang w:val="lv-LV"/>
        </w:rPr>
        <w:t>,</w:t>
      </w:r>
      <w:r w:rsidR="000E409D" w:rsidRPr="00236471">
        <w:rPr>
          <w:lang w:val="lv-LV"/>
        </w:rPr>
        <w:t xml:space="preserve"> kas </w:t>
      </w:r>
      <w:r w:rsidR="0054497C" w:rsidRPr="00236471">
        <w:rPr>
          <w:lang w:val="lv-LV"/>
        </w:rPr>
        <w:t xml:space="preserve">saskaņā ar </w:t>
      </w:r>
      <w:r w:rsidRPr="00236471">
        <w:rPr>
          <w:lang w:val="lv-LV"/>
        </w:rPr>
        <w:t>L</w:t>
      </w:r>
      <w:r w:rsidR="0054497C" w:rsidRPr="00236471">
        <w:rPr>
          <w:lang w:val="lv-LV"/>
        </w:rPr>
        <w:t xml:space="preserve">īgumu ir divi gadi. Ja garantijas periodā kāds darbs ir palicis neizpildīts, atdodamā uzkrājuma summa ir samazināma par neizpildīto darbu vērtību. </w:t>
      </w:r>
    </w:p>
    <w:p w:rsidR="00562837" w:rsidRDefault="00A41EB8" w:rsidP="007B6CB5">
      <w:pPr>
        <w:ind w:firstLine="567"/>
        <w:jc w:val="both"/>
        <w:rPr>
          <w:lang w:val="lv-LV"/>
        </w:rPr>
      </w:pPr>
      <w:r>
        <w:rPr>
          <w:lang w:val="lv-LV"/>
        </w:rPr>
        <w:t xml:space="preserve">Kultūras ministrijas rīcībā esošā ieturējuma izmantošanu kā avotu indeksācijas atgūšanai savās vēstulēs </w:t>
      </w:r>
      <w:proofErr w:type="spellStart"/>
      <w:r>
        <w:rPr>
          <w:lang w:val="lv-LV"/>
        </w:rPr>
        <w:t>vairākkārt</w:t>
      </w:r>
      <w:proofErr w:type="spellEnd"/>
      <w:r>
        <w:rPr>
          <w:lang w:val="lv-LV"/>
        </w:rPr>
        <w:t xml:space="preserve"> ir norādījis NBA. </w:t>
      </w:r>
      <w:r w:rsidR="007D165D">
        <w:rPr>
          <w:lang w:val="lv-LV"/>
        </w:rPr>
        <w:t>G</w:t>
      </w:r>
      <w:r w:rsidR="000878EB">
        <w:rPr>
          <w:lang w:val="lv-LV"/>
        </w:rPr>
        <w:t xml:space="preserve">adījumā, ja NBA </w:t>
      </w:r>
      <w:r w:rsidR="007D165D">
        <w:rPr>
          <w:lang w:val="lv-LV"/>
        </w:rPr>
        <w:t xml:space="preserve">līdz būvdarbu pabeigšanai </w:t>
      </w:r>
      <w:r w:rsidR="000878EB">
        <w:rPr>
          <w:lang w:val="lv-LV"/>
        </w:rPr>
        <w:t>nebūs pilnībā atmaksājis Kultūras ministrijai visas tai pienākošās indeksācijas summas</w:t>
      </w:r>
      <w:r w:rsidR="007D165D">
        <w:rPr>
          <w:lang w:val="lv-LV"/>
        </w:rPr>
        <w:t>, Kultūras ministrija šīs summas atskaitīs no ieturējuma naudas</w:t>
      </w:r>
      <w:r w:rsidR="007D165D" w:rsidRPr="00236471">
        <w:rPr>
          <w:lang w:val="lv-LV"/>
        </w:rPr>
        <w:t>.</w:t>
      </w:r>
      <w:r w:rsidR="00DE035A" w:rsidRPr="00236471">
        <w:rPr>
          <w:lang w:val="lv-LV"/>
        </w:rPr>
        <w:t xml:space="preserve"> Ši</w:t>
      </w:r>
      <w:r w:rsidR="00425AE1" w:rsidRPr="00236471">
        <w:rPr>
          <w:lang w:val="lv-LV"/>
        </w:rPr>
        <w:t>m nolūkam paredzēts papildināt L</w:t>
      </w:r>
      <w:r w:rsidR="00DE035A" w:rsidRPr="00236471">
        <w:rPr>
          <w:lang w:val="lv-LV"/>
        </w:rPr>
        <w:t>īguma 14.9.apakšpunktu ar nosacījumu, ka nesamaksātās indeksācijas summas tiek ieturētas no ieturējuma pirmās puses atmaksas.</w:t>
      </w:r>
      <w:r w:rsidR="00DE035A" w:rsidRPr="00DE035A">
        <w:rPr>
          <w:color w:val="C00000"/>
          <w:lang w:val="lv-LV"/>
        </w:rPr>
        <w:t xml:space="preserve"> </w:t>
      </w:r>
      <w:r w:rsidR="00945464">
        <w:rPr>
          <w:lang w:val="lv-LV"/>
        </w:rPr>
        <w:t>S</w:t>
      </w:r>
      <w:r>
        <w:rPr>
          <w:lang w:val="lv-LV"/>
        </w:rPr>
        <w:t>arun</w:t>
      </w:r>
      <w:r w:rsidR="00945464">
        <w:rPr>
          <w:lang w:val="lv-LV"/>
        </w:rPr>
        <w:t>a</w:t>
      </w:r>
      <w:r>
        <w:rPr>
          <w:lang w:val="lv-LV"/>
        </w:rPr>
        <w:t>s par indeksācijas</w:t>
      </w:r>
      <w:r w:rsidR="00945464">
        <w:rPr>
          <w:lang w:val="lv-LV"/>
        </w:rPr>
        <w:t xml:space="preserve"> parāda atmaksas kārtību paredzēts pabeigt līdz š.g. 19.novembrim</w:t>
      </w:r>
      <w:r w:rsidR="000878EB">
        <w:rPr>
          <w:lang w:val="lv-LV"/>
        </w:rPr>
        <w:t xml:space="preserve">. </w:t>
      </w:r>
      <w:r w:rsidR="00945464">
        <w:rPr>
          <w:lang w:val="lv-LV"/>
        </w:rPr>
        <w:t xml:space="preserve"> </w:t>
      </w:r>
    </w:p>
    <w:p w:rsidR="00562837" w:rsidRDefault="00562837" w:rsidP="007B6CB5">
      <w:pPr>
        <w:ind w:firstLine="567"/>
        <w:jc w:val="both"/>
        <w:rPr>
          <w:lang w:val="lv-LV"/>
        </w:rPr>
      </w:pPr>
    </w:p>
    <w:p w:rsidR="00F360F0" w:rsidRDefault="00562837" w:rsidP="007B6CB5">
      <w:pPr>
        <w:ind w:firstLine="567"/>
        <w:jc w:val="both"/>
        <w:rPr>
          <w:lang w:val="lv-LV"/>
        </w:rPr>
      </w:pPr>
      <w:r>
        <w:rPr>
          <w:u w:val="single"/>
          <w:lang w:val="lv-LV"/>
        </w:rPr>
        <w:t>4</w:t>
      </w:r>
      <w:r w:rsidRPr="00362BBD">
        <w:rPr>
          <w:u w:val="single"/>
          <w:lang w:val="lv-LV"/>
        </w:rPr>
        <w:t xml:space="preserve">. </w:t>
      </w:r>
      <w:r w:rsidR="00570EB7">
        <w:rPr>
          <w:u w:val="single"/>
          <w:lang w:val="lv-LV"/>
        </w:rPr>
        <w:t>Kopsavilkuma s</w:t>
      </w:r>
      <w:r>
        <w:rPr>
          <w:u w:val="single"/>
          <w:lang w:val="lv-LV"/>
        </w:rPr>
        <w:t>ecinājumi</w:t>
      </w:r>
      <w:r w:rsidR="00945464">
        <w:rPr>
          <w:lang w:val="lv-LV"/>
        </w:rPr>
        <w:t xml:space="preserve"> </w:t>
      </w:r>
    </w:p>
    <w:p w:rsidR="00562837" w:rsidRDefault="00562837" w:rsidP="007B6CB5">
      <w:pPr>
        <w:ind w:firstLine="567"/>
        <w:jc w:val="both"/>
        <w:rPr>
          <w:lang w:val="lv-LV"/>
        </w:rPr>
      </w:pPr>
    </w:p>
    <w:p w:rsidR="00F4512A" w:rsidRDefault="00317A67" w:rsidP="00570EB7">
      <w:pPr>
        <w:spacing w:after="120"/>
        <w:ind w:firstLine="567"/>
        <w:jc w:val="both"/>
        <w:rPr>
          <w:lang w:val="lv-LV"/>
        </w:rPr>
      </w:pPr>
      <w:r>
        <w:rPr>
          <w:lang w:val="lv-LV"/>
        </w:rPr>
        <w:t xml:space="preserve">1) </w:t>
      </w:r>
      <w:r w:rsidR="00F4512A">
        <w:rPr>
          <w:lang w:val="lv-LV"/>
        </w:rPr>
        <w:t xml:space="preserve">Ievērojot, ka </w:t>
      </w:r>
      <w:r w:rsidR="00D64D1E">
        <w:rPr>
          <w:lang w:val="lv-LV"/>
        </w:rPr>
        <w:t xml:space="preserve">saskaņā ar </w:t>
      </w:r>
      <w:r w:rsidR="00425AE1">
        <w:rPr>
          <w:lang w:val="lv-LV"/>
        </w:rPr>
        <w:t>L</w:t>
      </w:r>
      <w:r w:rsidR="00F4512A">
        <w:rPr>
          <w:lang w:val="lv-LV"/>
        </w:rPr>
        <w:t>īgum</w:t>
      </w:r>
      <w:r w:rsidR="00D64D1E">
        <w:rPr>
          <w:lang w:val="lv-LV"/>
        </w:rPr>
        <w:t>u</w:t>
      </w:r>
      <w:r w:rsidR="00F4512A">
        <w:rPr>
          <w:lang w:val="lv-LV"/>
        </w:rPr>
        <w:t xml:space="preserve"> piemērojamie CSP indeksi </w:t>
      </w:r>
      <w:r w:rsidR="00D64D1E">
        <w:rPr>
          <w:lang w:val="lv-LV"/>
        </w:rPr>
        <w:t xml:space="preserve">kopš 2009.gada 1.ceturkšņa </w:t>
      </w:r>
      <w:r w:rsidR="00F4512A">
        <w:rPr>
          <w:lang w:val="lv-LV"/>
        </w:rPr>
        <w:t>ir negatīvi, i</w:t>
      </w:r>
      <w:r w:rsidR="00562837">
        <w:rPr>
          <w:lang w:val="lv-LV"/>
        </w:rPr>
        <w:t xml:space="preserve">ndeksācija </w:t>
      </w:r>
      <w:r w:rsidR="00425AE1">
        <w:rPr>
          <w:lang w:val="lv-LV"/>
        </w:rPr>
        <w:t>kā būvdarbu L</w:t>
      </w:r>
      <w:r w:rsidR="00F4512A">
        <w:rPr>
          <w:lang w:val="lv-LV"/>
        </w:rPr>
        <w:t xml:space="preserve">īguma </w:t>
      </w:r>
      <w:r w:rsidR="00562837">
        <w:rPr>
          <w:lang w:val="lv-LV"/>
        </w:rPr>
        <w:t>cen</w:t>
      </w:r>
      <w:r w:rsidR="00F4512A">
        <w:rPr>
          <w:lang w:val="lv-LV"/>
        </w:rPr>
        <w:t xml:space="preserve">as sastāvdaļa samazina LNB būvdarbu </w:t>
      </w:r>
      <w:r w:rsidR="00425AE1">
        <w:rPr>
          <w:lang w:val="lv-LV"/>
        </w:rPr>
        <w:t>L</w:t>
      </w:r>
      <w:r w:rsidR="00F4512A">
        <w:rPr>
          <w:lang w:val="lv-LV"/>
        </w:rPr>
        <w:t>īguma ce</w:t>
      </w:r>
      <w:r w:rsidR="00570EB7">
        <w:rPr>
          <w:lang w:val="lv-LV"/>
        </w:rPr>
        <w:t xml:space="preserve">nu un līdz ar to LNB īstenošanas izmaksas. </w:t>
      </w:r>
    </w:p>
    <w:p w:rsidR="00570EB7" w:rsidRDefault="00570EB7" w:rsidP="00570EB7">
      <w:pPr>
        <w:spacing w:after="120"/>
        <w:ind w:firstLine="567"/>
        <w:jc w:val="both"/>
        <w:rPr>
          <w:lang w:val="lv-LV"/>
        </w:rPr>
      </w:pPr>
      <w:r>
        <w:rPr>
          <w:lang w:val="lv-LV"/>
        </w:rPr>
        <w:t xml:space="preserve">2) </w:t>
      </w:r>
      <w:r w:rsidR="00F4512A">
        <w:rPr>
          <w:lang w:val="lv-LV"/>
        </w:rPr>
        <w:t xml:space="preserve">Indeksācijas radītais samazinājums </w:t>
      </w:r>
      <w:r w:rsidR="00317A67">
        <w:rPr>
          <w:lang w:val="lv-LV"/>
        </w:rPr>
        <w:t xml:space="preserve">tiek izmantots citām LNB projekta aktivitātēm, plānojot LNB projekta īstenošanai nepieciešamo </w:t>
      </w:r>
      <w:r>
        <w:rPr>
          <w:lang w:val="lv-LV"/>
        </w:rPr>
        <w:t>finansējumu.</w:t>
      </w:r>
    </w:p>
    <w:p w:rsidR="00F56883" w:rsidRDefault="00570EB7" w:rsidP="00570EB7">
      <w:pPr>
        <w:spacing w:after="120"/>
        <w:ind w:firstLine="567"/>
        <w:jc w:val="both"/>
        <w:rPr>
          <w:lang w:val="lv-LV"/>
        </w:rPr>
      </w:pPr>
      <w:r>
        <w:rPr>
          <w:lang w:val="lv-LV"/>
        </w:rPr>
        <w:t>3) Kultūras ministrija</w:t>
      </w:r>
      <w:r w:rsidR="00EE5E45">
        <w:rPr>
          <w:lang w:val="lv-LV"/>
        </w:rPr>
        <w:t xml:space="preserve">s prasījuma rezultātā </w:t>
      </w:r>
      <w:r w:rsidR="00921EBA">
        <w:rPr>
          <w:lang w:val="lv-LV"/>
        </w:rPr>
        <w:t xml:space="preserve">ir uzsākta indeksācijas parāda atgūšana un tiek plānots, ka indeksācijas norēķini tiks pabeigti līdz būvdarbu pabeigšanai. </w:t>
      </w:r>
      <w:r w:rsidR="00E0259B">
        <w:rPr>
          <w:lang w:val="lv-LV"/>
        </w:rPr>
        <w:t xml:space="preserve">Līdz ar to prognozējams, ka no NBA ieturētais </w:t>
      </w:r>
      <w:r w:rsidR="00132D2E">
        <w:rPr>
          <w:lang w:val="lv-LV"/>
        </w:rPr>
        <w:t xml:space="preserve">un Kultūras ministrijas rīcībā </w:t>
      </w:r>
      <w:r w:rsidR="00E0259B">
        <w:rPr>
          <w:lang w:val="lv-LV"/>
        </w:rPr>
        <w:t xml:space="preserve">6,2 miljonu latu uzkrājums pēc </w:t>
      </w:r>
      <w:r w:rsidR="00921EBA">
        <w:rPr>
          <w:lang w:val="lv-LV"/>
        </w:rPr>
        <w:t>būvdarbu</w:t>
      </w:r>
      <w:r w:rsidR="00E0259B">
        <w:rPr>
          <w:lang w:val="lv-LV"/>
        </w:rPr>
        <w:t xml:space="preserve"> pabeigšanas </w:t>
      </w:r>
      <w:r w:rsidR="00132D2E">
        <w:rPr>
          <w:lang w:val="lv-LV"/>
        </w:rPr>
        <w:t xml:space="preserve">nepieciešamajā apjomā </w:t>
      </w:r>
      <w:r w:rsidR="00E0259B">
        <w:rPr>
          <w:lang w:val="lv-LV"/>
        </w:rPr>
        <w:t>varēs tikt izmantots kā garantijas saistību nodrošinājums un pēc garantijas termiņa beigām atmaksāts atpakaļ NBA. Tādējādi K</w:t>
      </w:r>
      <w:r w:rsidR="00132D2E">
        <w:rPr>
          <w:lang w:val="lv-LV"/>
        </w:rPr>
        <w:t xml:space="preserve">ultūras ministrijai </w:t>
      </w:r>
      <w:r w:rsidR="00E0259B">
        <w:rPr>
          <w:lang w:val="lv-LV"/>
        </w:rPr>
        <w:t>nebūs nepieciešams atvilkt indeksācijas summu no</w:t>
      </w:r>
      <w:r w:rsidR="00132D2E">
        <w:rPr>
          <w:lang w:val="lv-LV"/>
        </w:rPr>
        <w:t xml:space="preserve"> tās</w:t>
      </w:r>
      <w:r w:rsidR="00F56883">
        <w:rPr>
          <w:lang w:val="lv-LV"/>
        </w:rPr>
        <w:t xml:space="preserve"> rīcībā esoš</w:t>
      </w:r>
      <w:r w:rsidR="00132D2E">
        <w:rPr>
          <w:lang w:val="lv-LV"/>
        </w:rPr>
        <w:t>ā ieturējuma</w:t>
      </w:r>
      <w:r w:rsidR="00F56883">
        <w:rPr>
          <w:lang w:val="lv-LV"/>
        </w:rPr>
        <w:t xml:space="preserve">. </w:t>
      </w:r>
    </w:p>
    <w:p w:rsidR="00562837" w:rsidRDefault="00F4512A" w:rsidP="007B6CB5">
      <w:pPr>
        <w:ind w:firstLine="567"/>
        <w:jc w:val="both"/>
        <w:rPr>
          <w:lang w:val="lv-LV"/>
        </w:rPr>
      </w:pPr>
      <w:r>
        <w:rPr>
          <w:lang w:val="lv-LV"/>
        </w:rPr>
        <w:t xml:space="preserve"> </w:t>
      </w:r>
    </w:p>
    <w:p w:rsidR="00D9640A" w:rsidRPr="007357AE" w:rsidRDefault="00D9640A" w:rsidP="00570EB7">
      <w:pPr>
        <w:jc w:val="both"/>
        <w:rPr>
          <w:b/>
          <w:sz w:val="28"/>
          <w:szCs w:val="28"/>
          <w:lang w:val="lv-LV"/>
        </w:rPr>
      </w:pPr>
    </w:p>
    <w:p w:rsidR="00D9640A" w:rsidRPr="007357AE" w:rsidRDefault="00D9640A" w:rsidP="00D9640A">
      <w:pPr>
        <w:tabs>
          <w:tab w:val="left" w:pos="284"/>
          <w:tab w:val="left" w:pos="709"/>
          <w:tab w:val="left" w:pos="6840"/>
        </w:tabs>
        <w:jc w:val="both"/>
        <w:rPr>
          <w:sz w:val="28"/>
          <w:szCs w:val="28"/>
          <w:lang w:val="lv-LV"/>
        </w:rPr>
      </w:pPr>
      <w:r w:rsidRPr="007357AE">
        <w:rPr>
          <w:sz w:val="28"/>
          <w:szCs w:val="28"/>
          <w:lang w:val="lv-LV"/>
        </w:rPr>
        <w:t xml:space="preserve">  </w:t>
      </w:r>
    </w:p>
    <w:p w:rsidR="00D9640A" w:rsidRPr="00512037" w:rsidRDefault="00D9640A" w:rsidP="00D9640A">
      <w:pPr>
        <w:tabs>
          <w:tab w:val="left" w:pos="284"/>
          <w:tab w:val="left" w:pos="709"/>
          <w:tab w:val="left" w:pos="6521"/>
        </w:tabs>
        <w:jc w:val="both"/>
        <w:rPr>
          <w:lang w:val="lv-LV"/>
        </w:rPr>
      </w:pPr>
      <w:r w:rsidRPr="00512037">
        <w:rPr>
          <w:lang w:val="lv-LV"/>
        </w:rPr>
        <w:t xml:space="preserve">      Kultūras ministre </w:t>
      </w:r>
      <w:r w:rsidRPr="00512037">
        <w:rPr>
          <w:lang w:val="lv-LV"/>
        </w:rPr>
        <w:tab/>
      </w:r>
      <w:proofErr w:type="spellStart"/>
      <w:r w:rsidRPr="00512037">
        <w:rPr>
          <w:lang w:val="lv-LV"/>
        </w:rPr>
        <w:t>Ž.Jaunzeme</w:t>
      </w:r>
      <w:proofErr w:type="spellEnd"/>
      <w:r w:rsidRPr="00512037">
        <w:rPr>
          <w:lang w:val="lv-LV"/>
        </w:rPr>
        <w:t xml:space="preserve"> – </w:t>
      </w:r>
      <w:proofErr w:type="spellStart"/>
      <w:r w:rsidRPr="00512037">
        <w:rPr>
          <w:lang w:val="lv-LV"/>
        </w:rPr>
        <w:t>Grende</w:t>
      </w:r>
      <w:proofErr w:type="spellEnd"/>
      <w:r w:rsidRPr="00512037">
        <w:rPr>
          <w:lang w:val="lv-LV"/>
        </w:rPr>
        <w:t xml:space="preserve">       </w:t>
      </w:r>
    </w:p>
    <w:p w:rsidR="00D9640A" w:rsidRPr="00512037" w:rsidRDefault="00D9640A" w:rsidP="00D9640A">
      <w:pPr>
        <w:tabs>
          <w:tab w:val="left" w:pos="284"/>
          <w:tab w:val="left" w:pos="709"/>
          <w:tab w:val="left" w:pos="7020"/>
        </w:tabs>
        <w:jc w:val="both"/>
        <w:rPr>
          <w:lang w:val="lv-LV"/>
        </w:rPr>
      </w:pPr>
    </w:p>
    <w:p w:rsidR="00512037" w:rsidRDefault="00D9640A" w:rsidP="00D9640A">
      <w:pPr>
        <w:tabs>
          <w:tab w:val="left" w:pos="284"/>
          <w:tab w:val="left" w:pos="360"/>
          <w:tab w:val="left" w:pos="540"/>
          <w:tab w:val="left" w:pos="709"/>
          <w:tab w:val="left" w:pos="6521"/>
        </w:tabs>
        <w:rPr>
          <w:lang w:val="lv-LV"/>
        </w:rPr>
      </w:pPr>
      <w:r w:rsidRPr="00512037">
        <w:rPr>
          <w:lang w:val="lv-LV"/>
        </w:rPr>
        <w:t xml:space="preserve">  </w:t>
      </w:r>
    </w:p>
    <w:p w:rsidR="00D9640A" w:rsidRPr="00512037" w:rsidRDefault="00D9640A" w:rsidP="00D9640A">
      <w:pPr>
        <w:tabs>
          <w:tab w:val="left" w:pos="284"/>
          <w:tab w:val="left" w:pos="360"/>
          <w:tab w:val="left" w:pos="540"/>
          <w:tab w:val="left" w:pos="709"/>
          <w:tab w:val="left" w:pos="6521"/>
        </w:tabs>
        <w:rPr>
          <w:lang w:val="lv-LV"/>
        </w:rPr>
      </w:pPr>
      <w:r w:rsidRPr="00512037">
        <w:rPr>
          <w:lang w:val="lv-LV"/>
        </w:rPr>
        <w:t xml:space="preserve">    Vīza: Valsts sekretār</w:t>
      </w:r>
      <w:r w:rsidR="00054614">
        <w:rPr>
          <w:lang w:val="lv-LV"/>
        </w:rPr>
        <w:t>s</w:t>
      </w:r>
      <w:r w:rsidRPr="00512037">
        <w:rPr>
          <w:lang w:val="lv-LV"/>
        </w:rPr>
        <w:tab/>
      </w:r>
      <w:r w:rsidR="00054614">
        <w:rPr>
          <w:lang w:val="lv-LV"/>
        </w:rPr>
        <w:t>G.Puķītis</w:t>
      </w:r>
    </w:p>
    <w:p w:rsidR="00D9640A" w:rsidRPr="00570EB7" w:rsidRDefault="00D9640A" w:rsidP="00D9640A">
      <w:pPr>
        <w:pStyle w:val="naisf"/>
        <w:spacing w:before="0" w:after="0"/>
        <w:ind w:firstLine="0"/>
        <w:rPr>
          <w:bCs/>
        </w:rPr>
      </w:pPr>
    </w:p>
    <w:p w:rsidR="00D9640A" w:rsidRDefault="00D9640A" w:rsidP="00D9640A">
      <w:pPr>
        <w:pStyle w:val="naisf"/>
        <w:spacing w:before="0" w:after="0"/>
        <w:ind w:firstLine="0"/>
        <w:rPr>
          <w:bCs/>
        </w:rPr>
      </w:pPr>
    </w:p>
    <w:p w:rsidR="00D9640A" w:rsidRPr="00512037" w:rsidRDefault="00D9640A" w:rsidP="00D9640A">
      <w:pPr>
        <w:rPr>
          <w:lang w:val="lv-LV"/>
        </w:rPr>
      </w:pPr>
    </w:p>
    <w:p w:rsidR="00D9640A" w:rsidRPr="00512037" w:rsidRDefault="00AE63B8" w:rsidP="00D9640A">
      <w:pPr>
        <w:rPr>
          <w:lang w:val="lv-LV"/>
        </w:rPr>
      </w:pPr>
      <w:r>
        <w:rPr>
          <w:lang w:val="lv-LV"/>
        </w:rPr>
        <w:t>1</w:t>
      </w:r>
      <w:r w:rsidR="00D64D1E">
        <w:rPr>
          <w:lang w:val="lv-LV"/>
        </w:rPr>
        <w:t>5</w:t>
      </w:r>
      <w:r w:rsidR="00D9640A" w:rsidRPr="00512037">
        <w:rPr>
          <w:lang w:val="lv-LV"/>
        </w:rPr>
        <w:t>.1</w:t>
      </w:r>
      <w:r w:rsidR="00512037">
        <w:rPr>
          <w:lang w:val="lv-LV"/>
        </w:rPr>
        <w:t>1</w:t>
      </w:r>
      <w:r w:rsidR="00D9640A" w:rsidRPr="00512037">
        <w:rPr>
          <w:lang w:val="lv-LV"/>
        </w:rPr>
        <w:t>.2012.</w:t>
      </w:r>
    </w:p>
    <w:p w:rsidR="00D9640A" w:rsidRPr="00512037" w:rsidRDefault="00CC0C06" w:rsidP="00D9640A">
      <w:pPr>
        <w:rPr>
          <w:lang w:val="lv-LV"/>
        </w:rPr>
      </w:pPr>
      <w:fldSimple w:instr=" NUMWORDS   \* MERGEFORMAT ">
        <w:r w:rsidR="00921EBA" w:rsidRPr="00921EBA">
          <w:rPr>
            <w:noProof/>
            <w:lang w:val="lv-LV"/>
          </w:rPr>
          <w:t>1253</w:t>
        </w:r>
      </w:fldSimple>
    </w:p>
    <w:p w:rsidR="00D9640A" w:rsidRPr="00512037" w:rsidRDefault="00D9640A" w:rsidP="00D9640A">
      <w:pPr>
        <w:rPr>
          <w:noProof/>
          <w:lang w:val="lv-LV"/>
        </w:rPr>
      </w:pPr>
      <w:r w:rsidRPr="00512037">
        <w:rPr>
          <w:noProof/>
          <w:lang w:val="lv-LV"/>
        </w:rPr>
        <w:t xml:space="preserve">I.Builis </w:t>
      </w:r>
    </w:p>
    <w:p w:rsidR="00D9640A" w:rsidRPr="00512037" w:rsidRDefault="00D9640A" w:rsidP="00D9640A">
      <w:pPr>
        <w:jc w:val="both"/>
        <w:rPr>
          <w:lang w:val="lv-LV"/>
        </w:rPr>
      </w:pPr>
      <w:r w:rsidRPr="00512037">
        <w:rPr>
          <w:lang w:val="lv-LV"/>
        </w:rPr>
        <w:t>Tālr. 67330282, fakss 67330293</w:t>
      </w:r>
    </w:p>
    <w:p w:rsidR="00D9640A" w:rsidRPr="00512037" w:rsidRDefault="00CC0C06" w:rsidP="00D9640A">
      <w:pPr>
        <w:spacing w:after="200" w:line="276" w:lineRule="auto"/>
        <w:rPr>
          <w:noProof/>
          <w:lang w:val="lv-LV"/>
        </w:rPr>
      </w:pPr>
      <w:hyperlink r:id="rId10" w:history="1">
        <w:r w:rsidR="00D9640A" w:rsidRPr="00512037">
          <w:rPr>
            <w:rStyle w:val="Hipersaite"/>
            <w:lang w:val="lv-LV"/>
          </w:rPr>
          <w:t>Indrikis.Builis@km.gov.lv</w:t>
        </w:r>
      </w:hyperlink>
    </w:p>
    <w:p w:rsidR="00D9640A" w:rsidRPr="006D25EA" w:rsidRDefault="00D9640A" w:rsidP="00D9640A">
      <w:pPr>
        <w:rPr>
          <w:lang w:val="lv-LV"/>
        </w:rPr>
      </w:pPr>
    </w:p>
    <w:p w:rsidR="00CE1557" w:rsidRPr="00D9640A" w:rsidRDefault="00CE1557">
      <w:pPr>
        <w:rPr>
          <w:lang w:val="lv-LV"/>
        </w:rPr>
      </w:pPr>
    </w:p>
    <w:sectPr w:rsidR="00CE1557" w:rsidRPr="00D9640A" w:rsidSect="00DF4B39">
      <w:headerReference w:type="default" r:id="rId11"/>
      <w:footerReference w:type="default" r:id="rId12"/>
      <w:pgSz w:w="11907" w:h="16840" w:code="9"/>
      <w:pgMar w:top="1418" w:right="1134" w:bottom="1134" w:left="1701" w:header="720" w:footer="907"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45" w:rsidRDefault="00EE5E45" w:rsidP="00E652F6">
      <w:r>
        <w:separator/>
      </w:r>
    </w:p>
  </w:endnote>
  <w:endnote w:type="continuationSeparator" w:id="0">
    <w:p w:rsidR="00EE5E45" w:rsidRDefault="00EE5E45" w:rsidP="00E65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45" w:rsidRPr="00776145" w:rsidRDefault="00EE5E45" w:rsidP="005376EC">
    <w:pPr>
      <w:pStyle w:val="Kjene"/>
      <w:spacing w:before="120"/>
      <w:jc w:val="both"/>
      <w:rPr>
        <w:sz w:val="22"/>
        <w:szCs w:val="22"/>
      </w:rPr>
    </w:pPr>
    <w:fldSimple w:instr=" FILENAME   \* MERGEFORMAT ">
      <w:r w:rsidR="00921EBA" w:rsidRPr="00921EBA">
        <w:rPr>
          <w:noProof/>
          <w:sz w:val="22"/>
          <w:szCs w:val="22"/>
        </w:rPr>
        <w:t>KMzinoj_151112_indeksacija_LNB.docx</w:t>
      </w:r>
    </w:fldSimple>
    <w:r w:rsidRPr="00776145">
      <w:rPr>
        <w:sz w:val="22"/>
        <w:szCs w:val="22"/>
      </w:rPr>
      <w:t>; Informatīvais ziņojums „Par Latvijas Nacionālās bibliotēkas ēkas būvdarbu līgumā paredzētās izmaksu indeksācijas piemērošanu”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45" w:rsidRDefault="00EE5E45" w:rsidP="00E652F6">
      <w:r>
        <w:separator/>
      </w:r>
    </w:p>
  </w:footnote>
  <w:footnote w:type="continuationSeparator" w:id="0">
    <w:p w:rsidR="00EE5E45" w:rsidRDefault="00EE5E45" w:rsidP="00E65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030"/>
      <w:docPartObj>
        <w:docPartGallery w:val="Page Numbers (Top of Page)"/>
        <w:docPartUnique/>
      </w:docPartObj>
    </w:sdtPr>
    <w:sdtEndPr>
      <w:rPr>
        <w:sz w:val="24"/>
        <w:szCs w:val="24"/>
      </w:rPr>
    </w:sdtEndPr>
    <w:sdtContent>
      <w:p w:rsidR="00EE5E45" w:rsidRPr="00DF4B39" w:rsidRDefault="00EE5E45">
        <w:pPr>
          <w:pStyle w:val="Galvene"/>
          <w:jc w:val="center"/>
          <w:rPr>
            <w:sz w:val="24"/>
            <w:szCs w:val="24"/>
          </w:rPr>
        </w:pPr>
        <w:r w:rsidRPr="00DF4B39">
          <w:rPr>
            <w:sz w:val="24"/>
            <w:szCs w:val="24"/>
          </w:rPr>
          <w:fldChar w:fldCharType="begin"/>
        </w:r>
        <w:r w:rsidRPr="00DF4B39">
          <w:rPr>
            <w:sz w:val="24"/>
            <w:szCs w:val="24"/>
          </w:rPr>
          <w:instrText xml:space="preserve"> PAGE   \* MERGEFORMAT </w:instrText>
        </w:r>
        <w:r w:rsidRPr="00DF4B39">
          <w:rPr>
            <w:sz w:val="24"/>
            <w:szCs w:val="24"/>
          </w:rPr>
          <w:fldChar w:fldCharType="separate"/>
        </w:r>
        <w:r w:rsidR="00921EBA">
          <w:rPr>
            <w:noProof/>
            <w:sz w:val="24"/>
            <w:szCs w:val="24"/>
          </w:rPr>
          <w:t>5</w:t>
        </w:r>
        <w:r w:rsidRPr="00DF4B39">
          <w:rPr>
            <w:sz w:val="24"/>
            <w:szCs w:val="24"/>
          </w:rPr>
          <w:fldChar w:fldCharType="end"/>
        </w:r>
      </w:p>
    </w:sdtContent>
  </w:sdt>
  <w:p w:rsidR="00EE5E45" w:rsidRDefault="00EE5E4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445B"/>
    <w:multiLevelType w:val="hybridMultilevel"/>
    <w:tmpl w:val="476684CC"/>
    <w:lvl w:ilvl="0" w:tplc="04260011">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79795E7B"/>
    <w:multiLevelType w:val="hybridMultilevel"/>
    <w:tmpl w:val="ACA85F40"/>
    <w:lvl w:ilvl="0" w:tplc="FF1C9A84">
      <w:numFmt w:val="bullet"/>
      <w:lvlText w:val="-"/>
      <w:lvlJc w:val="left"/>
      <w:pPr>
        <w:ind w:left="1287" w:hanging="360"/>
      </w:pPr>
      <w:rPr>
        <w:rFonts w:ascii="Arial" w:eastAsia="Times New Roman" w:hAnsi="Arial" w:cs="Aria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9640A"/>
    <w:rsid w:val="000227A8"/>
    <w:rsid w:val="00037381"/>
    <w:rsid w:val="00054614"/>
    <w:rsid w:val="000878EB"/>
    <w:rsid w:val="00087AFB"/>
    <w:rsid w:val="000E409D"/>
    <w:rsid w:val="000F664E"/>
    <w:rsid w:val="00132D2E"/>
    <w:rsid w:val="0015633A"/>
    <w:rsid w:val="00166608"/>
    <w:rsid w:val="00182C0D"/>
    <w:rsid w:val="00197095"/>
    <w:rsid w:val="001B7EF5"/>
    <w:rsid w:val="001E2592"/>
    <w:rsid w:val="00224029"/>
    <w:rsid w:val="00236471"/>
    <w:rsid w:val="002647A2"/>
    <w:rsid w:val="00290752"/>
    <w:rsid w:val="002B6160"/>
    <w:rsid w:val="002C7727"/>
    <w:rsid w:val="003067EB"/>
    <w:rsid w:val="00317A67"/>
    <w:rsid w:val="00320751"/>
    <w:rsid w:val="00361F8B"/>
    <w:rsid w:val="00362BBD"/>
    <w:rsid w:val="00394404"/>
    <w:rsid w:val="003A3198"/>
    <w:rsid w:val="003B4570"/>
    <w:rsid w:val="003C7DD5"/>
    <w:rsid w:val="003D11AE"/>
    <w:rsid w:val="003D276B"/>
    <w:rsid w:val="00425AE1"/>
    <w:rsid w:val="00430660"/>
    <w:rsid w:val="0044346B"/>
    <w:rsid w:val="00451616"/>
    <w:rsid w:val="004975DF"/>
    <w:rsid w:val="004A3E13"/>
    <w:rsid w:val="004E0A40"/>
    <w:rsid w:val="00512037"/>
    <w:rsid w:val="00523287"/>
    <w:rsid w:val="005264A2"/>
    <w:rsid w:val="00530C8C"/>
    <w:rsid w:val="005376EC"/>
    <w:rsid w:val="0054497C"/>
    <w:rsid w:val="00556404"/>
    <w:rsid w:val="00562837"/>
    <w:rsid w:val="00570EB7"/>
    <w:rsid w:val="005813CD"/>
    <w:rsid w:val="00581472"/>
    <w:rsid w:val="0058302D"/>
    <w:rsid w:val="005A7BB4"/>
    <w:rsid w:val="005D4448"/>
    <w:rsid w:val="00652318"/>
    <w:rsid w:val="00682421"/>
    <w:rsid w:val="006904EC"/>
    <w:rsid w:val="00690A81"/>
    <w:rsid w:val="006E06BF"/>
    <w:rsid w:val="006F21E7"/>
    <w:rsid w:val="0071618C"/>
    <w:rsid w:val="00772F31"/>
    <w:rsid w:val="00776145"/>
    <w:rsid w:val="0079794E"/>
    <w:rsid w:val="007B6CB5"/>
    <w:rsid w:val="007D165D"/>
    <w:rsid w:val="00801261"/>
    <w:rsid w:val="00802EC4"/>
    <w:rsid w:val="00805A9E"/>
    <w:rsid w:val="008133D9"/>
    <w:rsid w:val="00822FE9"/>
    <w:rsid w:val="008704EA"/>
    <w:rsid w:val="008B49EE"/>
    <w:rsid w:val="008C20BC"/>
    <w:rsid w:val="008D17E4"/>
    <w:rsid w:val="008D38DC"/>
    <w:rsid w:val="00912C69"/>
    <w:rsid w:val="00917702"/>
    <w:rsid w:val="00921EBA"/>
    <w:rsid w:val="00945464"/>
    <w:rsid w:val="009B7ED5"/>
    <w:rsid w:val="00A166DE"/>
    <w:rsid w:val="00A41EB8"/>
    <w:rsid w:val="00A47B3A"/>
    <w:rsid w:val="00A748A4"/>
    <w:rsid w:val="00A77181"/>
    <w:rsid w:val="00A87B21"/>
    <w:rsid w:val="00AA2E89"/>
    <w:rsid w:val="00AA302C"/>
    <w:rsid w:val="00AD755C"/>
    <w:rsid w:val="00AE224B"/>
    <w:rsid w:val="00AE63B8"/>
    <w:rsid w:val="00B0231C"/>
    <w:rsid w:val="00B261D7"/>
    <w:rsid w:val="00B558AD"/>
    <w:rsid w:val="00B72AAE"/>
    <w:rsid w:val="00B75D3C"/>
    <w:rsid w:val="00B8677A"/>
    <w:rsid w:val="00BB01BF"/>
    <w:rsid w:val="00BB2C91"/>
    <w:rsid w:val="00C002A7"/>
    <w:rsid w:val="00C00896"/>
    <w:rsid w:val="00C16892"/>
    <w:rsid w:val="00C24979"/>
    <w:rsid w:val="00C35517"/>
    <w:rsid w:val="00C82A0C"/>
    <w:rsid w:val="00C8465F"/>
    <w:rsid w:val="00C859B8"/>
    <w:rsid w:val="00CC0C06"/>
    <w:rsid w:val="00CC120E"/>
    <w:rsid w:val="00CC39CC"/>
    <w:rsid w:val="00CD663F"/>
    <w:rsid w:val="00CE1557"/>
    <w:rsid w:val="00CF1F38"/>
    <w:rsid w:val="00D10E0C"/>
    <w:rsid w:val="00D125F1"/>
    <w:rsid w:val="00D26343"/>
    <w:rsid w:val="00D37909"/>
    <w:rsid w:val="00D62C3E"/>
    <w:rsid w:val="00D64D1E"/>
    <w:rsid w:val="00D67EB9"/>
    <w:rsid w:val="00D83B86"/>
    <w:rsid w:val="00D9640A"/>
    <w:rsid w:val="00DD6E68"/>
    <w:rsid w:val="00DE035A"/>
    <w:rsid w:val="00DF3AE9"/>
    <w:rsid w:val="00DF4B39"/>
    <w:rsid w:val="00DF6C59"/>
    <w:rsid w:val="00E0259B"/>
    <w:rsid w:val="00E652F6"/>
    <w:rsid w:val="00E974A8"/>
    <w:rsid w:val="00EE5E45"/>
    <w:rsid w:val="00EF0595"/>
    <w:rsid w:val="00F13431"/>
    <w:rsid w:val="00F360F0"/>
    <w:rsid w:val="00F4512A"/>
    <w:rsid w:val="00F51970"/>
    <w:rsid w:val="00F56883"/>
    <w:rsid w:val="00F66F2C"/>
    <w:rsid w:val="00FB5E22"/>
    <w:rsid w:val="00FC228F"/>
    <w:rsid w:val="00FC4089"/>
    <w:rsid w:val="00FE6D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9640A"/>
    <w:pPr>
      <w:spacing w:after="0" w:line="240" w:lineRule="auto"/>
    </w:pPr>
    <w:rPr>
      <w:rFonts w:ascii="Times New Roman" w:eastAsia="Times New Roman" w:hAnsi="Times New Roman" w:cs="Times New Roman"/>
      <w:sz w:val="24"/>
      <w:szCs w:val="24"/>
      <w:lang w:val="en-GB"/>
    </w:rPr>
  </w:style>
  <w:style w:type="paragraph" w:styleId="Virsraksts4">
    <w:name w:val="heading 4"/>
    <w:basedOn w:val="Parastais"/>
    <w:link w:val="Virsraksts4Rakstz"/>
    <w:uiPriority w:val="99"/>
    <w:qFormat/>
    <w:rsid w:val="006904EC"/>
    <w:pPr>
      <w:spacing w:before="100" w:beforeAutospacing="1" w:after="100" w:afterAutospacing="1"/>
      <w:jc w:val="both"/>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D9640A"/>
    <w:pPr>
      <w:tabs>
        <w:tab w:val="center" w:pos="4153"/>
        <w:tab w:val="right" w:pos="8306"/>
      </w:tabs>
    </w:pPr>
    <w:rPr>
      <w:sz w:val="26"/>
      <w:szCs w:val="20"/>
      <w:lang w:val="lv-LV"/>
    </w:rPr>
  </w:style>
  <w:style w:type="character" w:customStyle="1" w:styleId="GalveneRakstz">
    <w:name w:val="Galvene Rakstz."/>
    <w:basedOn w:val="Noklusjumarindkopasfonts"/>
    <w:link w:val="Galvene"/>
    <w:uiPriority w:val="99"/>
    <w:rsid w:val="00D9640A"/>
    <w:rPr>
      <w:rFonts w:ascii="Times New Roman" w:eastAsia="Times New Roman" w:hAnsi="Times New Roman" w:cs="Times New Roman"/>
      <w:sz w:val="26"/>
      <w:szCs w:val="20"/>
    </w:rPr>
  </w:style>
  <w:style w:type="paragraph" w:styleId="Kjene">
    <w:name w:val="footer"/>
    <w:basedOn w:val="Parastais"/>
    <w:link w:val="KjeneRakstz"/>
    <w:uiPriority w:val="99"/>
    <w:rsid w:val="00D9640A"/>
    <w:pPr>
      <w:tabs>
        <w:tab w:val="center" w:pos="4153"/>
        <w:tab w:val="right" w:pos="8306"/>
      </w:tabs>
    </w:pPr>
    <w:rPr>
      <w:sz w:val="26"/>
      <w:szCs w:val="20"/>
      <w:lang w:val="lv-LV"/>
    </w:rPr>
  </w:style>
  <w:style w:type="character" w:customStyle="1" w:styleId="KjeneRakstz">
    <w:name w:val="Kājene Rakstz."/>
    <w:basedOn w:val="Noklusjumarindkopasfonts"/>
    <w:link w:val="Kjene"/>
    <w:uiPriority w:val="99"/>
    <w:rsid w:val="00D9640A"/>
    <w:rPr>
      <w:rFonts w:ascii="Times New Roman" w:eastAsia="Times New Roman" w:hAnsi="Times New Roman" w:cs="Times New Roman"/>
      <w:sz w:val="26"/>
      <w:szCs w:val="20"/>
    </w:rPr>
  </w:style>
  <w:style w:type="paragraph" w:customStyle="1" w:styleId="naisf">
    <w:name w:val="naisf"/>
    <w:basedOn w:val="Parastais"/>
    <w:rsid w:val="00D9640A"/>
    <w:pPr>
      <w:spacing w:before="75" w:after="75"/>
      <w:ind w:firstLine="375"/>
      <w:jc w:val="both"/>
    </w:pPr>
    <w:rPr>
      <w:lang w:val="lv-LV" w:eastAsia="lv-LV"/>
    </w:rPr>
  </w:style>
  <w:style w:type="character" w:styleId="Hipersaite">
    <w:name w:val="Hyperlink"/>
    <w:basedOn w:val="Noklusjumarindkopasfonts"/>
    <w:uiPriority w:val="99"/>
    <w:unhideWhenUsed/>
    <w:rsid w:val="00D9640A"/>
    <w:rPr>
      <w:color w:val="0000FF"/>
      <w:u w:val="single"/>
    </w:rPr>
  </w:style>
  <w:style w:type="character" w:customStyle="1" w:styleId="spelle">
    <w:name w:val="spelle"/>
    <w:basedOn w:val="Noklusjumarindkopasfonts"/>
    <w:rsid w:val="00D62C3E"/>
  </w:style>
  <w:style w:type="paragraph" w:styleId="Balonteksts">
    <w:name w:val="Balloon Text"/>
    <w:basedOn w:val="Parastais"/>
    <w:link w:val="BalontekstsRakstz"/>
    <w:uiPriority w:val="99"/>
    <w:semiHidden/>
    <w:unhideWhenUsed/>
    <w:rsid w:val="007761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76145"/>
    <w:rPr>
      <w:rFonts w:ascii="Tahoma" w:eastAsia="Times New Roman" w:hAnsi="Tahoma" w:cs="Tahoma"/>
      <w:sz w:val="16"/>
      <w:szCs w:val="16"/>
      <w:lang w:val="en-GB"/>
    </w:rPr>
  </w:style>
  <w:style w:type="paragraph" w:styleId="Sarakstarindkopa">
    <w:name w:val="List Paragraph"/>
    <w:basedOn w:val="Parastais"/>
    <w:uiPriority w:val="34"/>
    <w:qFormat/>
    <w:rsid w:val="000227A8"/>
    <w:pPr>
      <w:ind w:left="720"/>
      <w:contextualSpacing/>
    </w:pPr>
  </w:style>
  <w:style w:type="paragraph" w:styleId="Beiguvresteksts">
    <w:name w:val="endnote text"/>
    <w:basedOn w:val="Parastais"/>
    <w:link w:val="BeiguvrestekstsRakstz"/>
    <w:rsid w:val="003B4570"/>
    <w:rPr>
      <w:sz w:val="20"/>
      <w:szCs w:val="20"/>
      <w:lang w:val="lv-LV"/>
    </w:rPr>
  </w:style>
  <w:style w:type="character" w:customStyle="1" w:styleId="BeiguvrestekstsRakstz">
    <w:name w:val="Beigu vēres teksts Rakstz."/>
    <w:basedOn w:val="Noklusjumarindkopasfonts"/>
    <w:link w:val="Beiguvresteksts"/>
    <w:rsid w:val="003B4570"/>
    <w:rPr>
      <w:rFonts w:ascii="Times New Roman" w:eastAsia="Times New Roman" w:hAnsi="Times New Roman" w:cs="Times New Roman"/>
      <w:sz w:val="20"/>
      <w:szCs w:val="20"/>
    </w:rPr>
  </w:style>
  <w:style w:type="character" w:styleId="Beiguvresatsauce">
    <w:name w:val="endnote reference"/>
    <w:basedOn w:val="Noklusjumarindkopasfonts"/>
    <w:rsid w:val="003B4570"/>
    <w:rPr>
      <w:vertAlign w:val="superscript"/>
    </w:rPr>
  </w:style>
  <w:style w:type="character" w:customStyle="1" w:styleId="Virsraksts4Rakstz">
    <w:name w:val="Virsraksts 4 Rakstz."/>
    <w:basedOn w:val="Noklusjumarindkopasfonts"/>
    <w:link w:val="Virsraksts4"/>
    <w:uiPriority w:val="99"/>
    <w:rsid w:val="006904EC"/>
    <w:rPr>
      <w:rFonts w:ascii="Times New Roman" w:eastAsia="Times New Roman" w:hAnsi="Times New Roman" w:cs="Times New Roman"/>
      <w:b/>
      <w:bCs/>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drikis.Builis@km.gov.lv"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1299</TotalTime>
  <Pages>5</Pages>
  <Words>1273</Words>
  <Characters>8836</Characters>
  <Application>Microsoft Office Word</Application>
  <DocSecurity>0</DocSecurity>
  <Lines>160</Lines>
  <Paragraphs>45</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Indriķis Builis</dc:creator>
  <cp:lastModifiedBy>Indriķis Builis</cp:lastModifiedBy>
  <cp:revision>25</cp:revision>
  <cp:lastPrinted>2012-11-16T10:41:00Z</cp:lastPrinted>
  <dcterms:created xsi:type="dcterms:W3CDTF">2012-11-07T09:21:00Z</dcterms:created>
  <dcterms:modified xsi:type="dcterms:W3CDTF">2012-11-16T10:42:00Z</dcterms:modified>
</cp:coreProperties>
</file>