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3B" w:rsidRDefault="00B444D3" w:rsidP="008F3341">
      <w:pPr>
        <w:jc w:val="center"/>
        <w:rPr>
          <w:b/>
          <w:bCs/>
          <w:szCs w:val="28"/>
          <w:lang w:eastAsia="lv-LV"/>
        </w:rPr>
      </w:pPr>
      <w:bookmarkStart w:id="0" w:name="OLE_LINK1"/>
      <w:bookmarkStart w:id="1" w:name="OLE_LINK2"/>
      <w:r>
        <w:rPr>
          <w:b/>
          <w:bCs/>
          <w:szCs w:val="28"/>
          <w:lang w:eastAsia="lv-LV"/>
        </w:rPr>
        <w:t>Rīkojuma projekta</w:t>
      </w:r>
      <w:r w:rsidR="001A513B">
        <w:rPr>
          <w:b/>
          <w:bCs/>
          <w:szCs w:val="28"/>
          <w:lang w:eastAsia="lv-LV"/>
        </w:rPr>
        <w:t xml:space="preserve"> „</w:t>
      </w:r>
      <w:r>
        <w:rPr>
          <w:b/>
          <w:bCs/>
          <w:szCs w:val="28"/>
        </w:rPr>
        <w:t>Grozījums</w:t>
      </w:r>
      <w:r w:rsidRPr="00785843">
        <w:rPr>
          <w:b/>
          <w:bCs/>
          <w:szCs w:val="28"/>
        </w:rPr>
        <w:t xml:space="preserve"> </w:t>
      </w:r>
      <w:r w:rsidRPr="00785843">
        <w:rPr>
          <w:b/>
          <w:szCs w:val="28"/>
        </w:rPr>
        <w:t>Ministru kabineta 2011.gada 12.decembra rīkojumā Nr. 647 „Par koncepciju „Publiskās pieejamības nodrošināšana informācijai par lobētājiem””</w:t>
      </w:r>
      <w:r>
        <w:rPr>
          <w:b/>
          <w:szCs w:val="28"/>
        </w:rPr>
        <w:t>”</w:t>
      </w:r>
      <w:r w:rsidR="001A513B">
        <w:rPr>
          <w:b/>
          <w:bCs/>
          <w:szCs w:val="28"/>
          <w:lang w:eastAsia="lv-LV"/>
        </w:rPr>
        <w:t xml:space="preserve"> sākotnējās ietekmes novērtējuma ziņojums (anotācija)</w:t>
      </w:r>
    </w:p>
    <w:bookmarkEnd w:id="0"/>
    <w:bookmarkEnd w:id="1"/>
    <w:p w:rsidR="00A91CB7" w:rsidRPr="004C18F7" w:rsidRDefault="00A91CB7" w:rsidP="001A513B">
      <w:pPr>
        <w:jc w:val="center"/>
        <w:rPr>
          <w:sz w:val="24"/>
          <w:szCs w:val="24"/>
          <w:lang w:eastAsia="lv-LV"/>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752"/>
        <w:gridCol w:w="2278"/>
        <w:gridCol w:w="4115"/>
      </w:tblGrid>
      <w:tr w:rsidR="001A513B" w:rsidRPr="002B4434" w:rsidTr="000F3780">
        <w:trPr>
          <w:tblCellSpacing w:w="0" w:type="dxa"/>
        </w:trPr>
        <w:tc>
          <w:tcPr>
            <w:tcW w:w="9669" w:type="dxa"/>
            <w:gridSpan w:val="4"/>
            <w:tcBorders>
              <w:top w:val="outset" w:sz="6" w:space="0" w:color="auto"/>
              <w:bottom w:val="outset" w:sz="6" w:space="0" w:color="auto"/>
            </w:tcBorders>
            <w:vAlign w:val="center"/>
          </w:tcPr>
          <w:p w:rsidR="001A513B" w:rsidRPr="002B4434" w:rsidRDefault="001A513B" w:rsidP="00C91E26">
            <w:pPr>
              <w:spacing w:before="100" w:beforeAutospacing="1" w:after="100" w:afterAutospacing="1"/>
              <w:rPr>
                <w:szCs w:val="28"/>
                <w:lang w:eastAsia="lv-LV"/>
              </w:rPr>
            </w:pPr>
            <w:r w:rsidRPr="002B4434">
              <w:rPr>
                <w:b/>
                <w:bCs/>
                <w:szCs w:val="28"/>
                <w:lang w:eastAsia="lv-LV"/>
              </w:rPr>
              <w:t> I. Tiesību akta projekta izstrādes nepieciešamība</w:t>
            </w:r>
          </w:p>
        </w:tc>
      </w:tr>
      <w:tr w:rsidR="004A6713" w:rsidRPr="00C62577" w:rsidTr="000F3780">
        <w:trPr>
          <w:trHeight w:val="630"/>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Pamatojums</w:t>
            </w:r>
          </w:p>
        </w:tc>
        <w:tc>
          <w:tcPr>
            <w:tcW w:w="6393" w:type="dxa"/>
            <w:gridSpan w:val="2"/>
            <w:tcBorders>
              <w:top w:val="outset" w:sz="6" w:space="0" w:color="auto"/>
              <w:left w:val="outset" w:sz="6" w:space="0" w:color="auto"/>
              <w:bottom w:val="outset" w:sz="6" w:space="0" w:color="auto"/>
            </w:tcBorders>
          </w:tcPr>
          <w:p w:rsidR="00B444D3" w:rsidRPr="00523C03" w:rsidRDefault="00B444D3" w:rsidP="00B444D3">
            <w:pPr>
              <w:pStyle w:val="BodyText"/>
              <w:jc w:val="left"/>
              <w:rPr>
                <w:szCs w:val="28"/>
              </w:rPr>
            </w:pPr>
            <w:r w:rsidRPr="00523C03">
              <w:rPr>
                <w:szCs w:val="28"/>
              </w:rPr>
              <w:t xml:space="preserve">Ministru kabineta 2011.gada 6.decembra </w:t>
            </w:r>
            <w:proofErr w:type="spellStart"/>
            <w:r w:rsidRPr="00523C03">
              <w:rPr>
                <w:szCs w:val="28"/>
              </w:rPr>
              <w:t>protokollēmums</w:t>
            </w:r>
            <w:proofErr w:type="spellEnd"/>
            <w:r w:rsidRPr="00523C03">
              <w:rPr>
                <w:szCs w:val="28"/>
              </w:rPr>
              <w:t xml:space="preserve"> Nr.72 </w:t>
            </w:r>
            <w:bookmarkStart w:id="2" w:name="33"/>
            <w:r w:rsidRPr="00523C03">
              <w:rPr>
                <w:szCs w:val="28"/>
              </w:rPr>
              <w:t>33</w:t>
            </w:r>
            <w:bookmarkEnd w:id="2"/>
            <w:r w:rsidRPr="00523C03">
              <w:rPr>
                <w:szCs w:val="28"/>
              </w:rPr>
              <w:t>.§ (TA-2581, TA-176);</w:t>
            </w:r>
          </w:p>
          <w:p w:rsidR="00B444D3" w:rsidRPr="00523C03" w:rsidRDefault="00B444D3" w:rsidP="00B444D3">
            <w:pPr>
              <w:jc w:val="both"/>
              <w:outlineLvl w:val="0"/>
              <w:rPr>
                <w:szCs w:val="28"/>
              </w:rPr>
            </w:pPr>
          </w:p>
          <w:p w:rsidR="00B74559" w:rsidRPr="00C62577" w:rsidRDefault="00B444D3" w:rsidP="00B444D3">
            <w:pPr>
              <w:jc w:val="both"/>
              <w:outlineLvl w:val="0"/>
              <w:rPr>
                <w:bCs/>
                <w:kern w:val="36"/>
                <w:szCs w:val="28"/>
                <w:lang w:eastAsia="lv-LV"/>
              </w:rPr>
            </w:pPr>
            <w:r w:rsidRPr="00523C03">
              <w:rPr>
                <w:szCs w:val="28"/>
              </w:rPr>
              <w:t>Ministru kabineta 2011.gada 12.decembra rīkojuma Nr. 647 „Par koncepciju „Publiskās pieejamības nodrošināšana informācijai par lobētājiem”” 3.punkts</w:t>
            </w:r>
            <w:r w:rsidRPr="00523C03">
              <w:rPr>
                <w:bCs/>
                <w:kern w:val="36"/>
                <w:szCs w:val="28"/>
                <w:lang w:eastAsia="lv-LV"/>
              </w:rPr>
              <w:t>.</w:t>
            </w:r>
          </w:p>
        </w:tc>
      </w:tr>
      <w:tr w:rsidR="004A6713" w:rsidRPr="00C62577" w:rsidTr="000F3780">
        <w:trPr>
          <w:trHeight w:val="472"/>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2.</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0F3780" w:rsidRDefault="00B444D3" w:rsidP="000F3780">
            <w:pPr>
              <w:jc w:val="both"/>
              <w:rPr>
                <w:szCs w:val="28"/>
              </w:rPr>
            </w:pPr>
            <w:r w:rsidRPr="00A92567">
              <w:rPr>
                <w:szCs w:val="28"/>
              </w:rPr>
              <w:t xml:space="preserve">Ministru kabineta 2011.gada 6.decembra sēdē (Nr.72 33.§) </w:t>
            </w:r>
            <w:r>
              <w:rPr>
                <w:szCs w:val="28"/>
              </w:rPr>
              <w:t xml:space="preserve">tika apstiprināta </w:t>
            </w:r>
            <w:r w:rsidRPr="00523C03">
              <w:rPr>
                <w:szCs w:val="28"/>
              </w:rPr>
              <w:t>Korupcijas n</w:t>
            </w:r>
            <w:r>
              <w:rPr>
                <w:szCs w:val="28"/>
              </w:rPr>
              <w:t>ovēršanas un apkarošanas biroja</w:t>
            </w:r>
            <w:r w:rsidRPr="00523C03">
              <w:rPr>
                <w:szCs w:val="28"/>
              </w:rPr>
              <w:t xml:space="preserve"> (turpmāk – Birojs)</w:t>
            </w:r>
            <w:r>
              <w:rPr>
                <w:szCs w:val="28"/>
              </w:rPr>
              <w:t xml:space="preserve"> izstrādātā</w:t>
            </w:r>
            <w:proofErr w:type="gramStart"/>
            <w:r w:rsidRPr="00523C03">
              <w:rPr>
                <w:szCs w:val="28"/>
              </w:rPr>
              <w:t xml:space="preserve"> </w:t>
            </w:r>
            <w:r>
              <w:rPr>
                <w:szCs w:val="28"/>
              </w:rPr>
              <w:t xml:space="preserve"> </w:t>
            </w:r>
            <w:proofErr w:type="gramEnd"/>
            <w:r w:rsidRPr="00523C03">
              <w:rPr>
                <w:szCs w:val="28"/>
              </w:rPr>
              <w:t>koncepcij</w:t>
            </w:r>
            <w:r>
              <w:rPr>
                <w:szCs w:val="28"/>
              </w:rPr>
              <w:t>a</w:t>
            </w:r>
            <w:r w:rsidRPr="00523C03">
              <w:rPr>
                <w:szCs w:val="28"/>
              </w:rPr>
              <w:t xml:space="preserve"> „Publiskās pieejamības nodrošināšana informācijai par lobētājiem”</w:t>
            </w:r>
            <w:r>
              <w:rPr>
                <w:szCs w:val="28"/>
              </w:rPr>
              <w:t xml:space="preserve"> (turpmāk – Koncepcija), to nostiprinot </w:t>
            </w:r>
            <w:r w:rsidRPr="00523C03">
              <w:rPr>
                <w:szCs w:val="28"/>
              </w:rPr>
              <w:t>Ministru kabinet</w:t>
            </w:r>
            <w:r>
              <w:rPr>
                <w:szCs w:val="28"/>
              </w:rPr>
              <w:t>a</w:t>
            </w:r>
            <w:r w:rsidRPr="00523C03">
              <w:rPr>
                <w:szCs w:val="28"/>
              </w:rPr>
              <w:t xml:space="preserve"> 2011.gada 12.decembra rīkojumā Nr. 647 „Par koncepciju „Publiskās pieejamības nodrošināšana informācijai par lobētājiem””</w:t>
            </w:r>
            <w:r>
              <w:rPr>
                <w:szCs w:val="28"/>
              </w:rPr>
              <w:t>, vienlaikus uzdodot</w:t>
            </w:r>
            <w:r w:rsidRPr="00523C03">
              <w:rPr>
                <w:szCs w:val="28"/>
              </w:rPr>
              <w:t xml:space="preserve"> </w:t>
            </w:r>
            <w:r>
              <w:rPr>
                <w:szCs w:val="28"/>
              </w:rPr>
              <w:t>Birojam</w:t>
            </w:r>
            <w:r w:rsidRPr="00523C03">
              <w:rPr>
                <w:szCs w:val="28"/>
              </w:rPr>
              <w:t xml:space="preserve"> </w:t>
            </w:r>
            <w:r>
              <w:rPr>
                <w:szCs w:val="28"/>
              </w:rPr>
              <w:t>izstrādāt likumprojektu, kurā tiktu definēta lobēšana un noteikta lobētāju atklātība</w:t>
            </w:r>
            <w:r w:rsidRPr="00523C03">
              <w:rPr>
                <w:szCs w:val="28"/>
              </w:rPr>
              <w:t>.</w:t>
            </w:r>
          </w:p>
          <w:p w:rsidR="00B444D3" w:rsidRPr="00C62577" w:rsidRDefault="00B444D3" w:rsidP="000F3780">
            <w:pPr>
              <w:jc w:val="both"/>
              <w:rPr>
                <w:rStyle w:val="spelle"/>
                <w:szCs w:val="28"/>
              </w:rPr>
            </w:pPr>
            <w:r>
              <w:rPr>
                <w:szCs w:val="28"/>
              </w:rPr>
              <w:t>Izpildot Ministru kabineta uzdoto, Birojs ir izstrādājis likumprojektu „Lobēšanas atklātības likums”</w:t>
            </w:r>
            <w:r w:rsidR="009C3EB7">
              <w:rPr>
                <w:szCs w:val="28"/>
              </w:rPr>
              <w:t xml:space="preserve"> (turpmāk – Likumprojekts)</w:t>
            </w:r>
            <w:r>
              <w:rPr>
                <w:szCs w:val="28"/>
              </w:rPr>
              <w:t>, tomēr tā iesniegšana Ministru kabinetā noteiktajā termiņā, kas ir 2012.gada 1.</w:t>
            </w:r>
            <w:r w:rsidR="009C3EB7">
              <w:rPr>
                <w:szCs w:val="28"/>
              </w:rPr>
              <w:t>septembris</w:t>
            </w:r>
            <w:r>
              <w:rPr>
                <w:szCs w:val="28"/>
              </w:rPr>
              <w:t xml:space="preserve">, nav iespējams, jo likumprojektu </w:t>
            </w:r>
            <w:r w:rsidR="009C3EB7">
              <w:rPr>
                <w:szCs w:val="28"/>
              </w:rPr>
              <w:t>pagaidām nav izdevies</w:t>
            </w:r>
            <w:r>
              <w:rPr>
                <w:szCs w:val="28"/>
              </w:rPr>
              <w:t xml:space="preserve"> saskaņot ar</w:t>
            </w:r>
            <w:r w:rsidR="009C3EB7">
              <w:rPr>
                <w:szCs w:val="28"/>
              </w:rPr>
              <w:t xml:space="preserve"> daudzām ieinteresētajām institūcijām, kuru izteikto iebildumu skaits ir ļoti liels</w:t>
            </w:r>
            <w:r>
              <w:rPr>
                <w:szCs w:val="28"/>
              </w:rPr>
              <w:t>.</w:t>
            </w:r>
          </w:p>
          <w:p w:rsidR="000F3780" w:rsidRPr="00C62577" w:rsidRDefault="000F3780" w:rsidP="000F3780">
            <w:pPr>
              <w:pStyle w:val="naisf"/>
              <w:spacing w:before="0" w:after="0"/>
              <w:ind w:firstLine="720"/>
              <w:rPr>
                <w:strike/>
                <w:color w:val="FF0000"/>
                <w:sz w:val="28"/>
                <w:szCs w:val="28"/>
                <w:lang w:val="lv-LV" w:eastAsia="lv-LV"/>
              </w:rPr>
            </w:pPr>
            <w:r w:rsidRPr="00C62577">
              <w:rPr>
                <w:bCs/>
                <w:kern w:val="36"/>
                <w:sz w:val="28"/>
                <w:szCs w:val="28"/>
                <w:lang w:val="lv-LV" w:eastAsia="lv-LV"/>
              </w:rPr>
              <w:t xml:space="preserve"> </w:t>
            </w:r>
            <w:r w:rsidR="009C3EB7">
              <w:rPr>
                <w:bCs/>
                <w:kern w:val="36"/>
                <w:sz w:val="28"/>
                <w:szCs w:val="28"/>
                <w:lang w:val="lv-LV" w:eastAsia="lv-LV"/>
              </w:rPr>
              <w:t>Lai Likumprojektu būtu iespējams iesniegt Ministru kabinetā maksimāli kvalitatīvu un ar iespēju robežās saskaņotu ar visām ieinteresētajām institūcijām, tajā skaitā nevalstiskajām organizācijām un sociālajiem partneriem, ir nepieciešams pagarināt Likumprojekta iesniegšanas Ministru kabinetā termiņu, jo dotajā termiņā to izpildīt nav iespējams.</w:t>
            </w:r>
          </w:p>
        </w:tc>
      </w:tr>
      <w:tr w:rsidR="004A6713" w:rsidRPr="00C62577" w:rsidTr="000F3780">
        <w:trPr>
          <w:trHeight w:val="1071"/>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3.</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jc w:val="both"/>
              <w:rPr>
                <w:szCs w:val="28"/>
                <w:lang w:eastAsia="lv-LV"/>
              </w:rPr>
            </w:pPr>
            <w:r>
              <w:rPr>
                <w:i/>
                <w:iCs/>
              </w:rPr>
              <w:t>Projekts šo jomu neskar</w:t>
            </w:r>
          </w:p>
        </w:tc>
      </w:tr>
      <w:tr w:rsidR="004A6713" w:rsidRPr="00C62577" w:rsidTr="000F3780">
        <w:trPr>
          <w:trHeight w:val="384"/>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4.</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201649" w:rsidRPr="00C62577" w:rsidRDefault="00B444D3" w:rsidP="009C3EB7">
            <w:pPr>
              <w:rPr>
                <w:szCs w:val="28"/>
                <w:lang w:eastAsia="lv-LV"/>
              </w:rPr>
            </w:pPr>
            <w:r>
              <w:rPr>
                <w:szCs w:val="28"/>
              </w:rPr>
              <w:t>Rīkojuma projekts paredz noteikt, ka termiņš, kādā Biroja izstrādātais likumprojekts</w:t>
            </w:r>
            <w:r w:rsidR="00402FED">
              <w:rPr>
                <w:szCs w:val="28"/>
              </w:rPr>
              <w:t xml:space="preserve"> „Lobēšanas atklātības </w:t>
            </w:r>
            <w:r w:rsidR="00402FED">
              <w:rPr>
                <w:szCs w:val="28"/>
              </w:rPr>
              <w:lastRenderedPageBreak/>
              <w:t>likums”</w:t>
            </w:r>
            <w:r>
              <w:rPr>
                <w:szCs w:val="28"/>
              </w:rPr>
              <w:t xml:space="preserve"> iesniedzams Ministru kabinetā, tiek pagarināts līdz 2012.gada </w:t>
            </w:r>
            <w:r w:rsidR="009C3EB7">
              <w:rPr>
                <w:szCs w:val="28"/>
              </w:rPr>
              <w:t>31.decembrim</w:t>
            </w:r>
            <w:r>
              <w:rPr>
                <w:szCs w:val="28"/>
              </w:rPr>
              <w:t xml:space="preserve">. </w:t>
            </w:r>
            <w:r w:rsidR="009C3EB7">
              <w:rPr>
                <w:szCs w:val="28"/>
              </w:rPr>
              <w:t>Tādējādi būs pietiekoši daudz laika, lai atrastu kompromisu ar institūcijām, kuras šobrīd nav gatavas saskaņot Likumprojektu, neatbalstot tā tālāku virzību. Kā arī, lai izvērtētu iespējamus uzlabojumus pašreiz izstrādātajām normām, lai Likumprojekts būtu kvalitatīvs un sasniegtu Koncepcijā izvirzītos mērķus.</w:t>
            </w:r>
          </w:p>
        </w:tc>
      </w:tr>
      <w:tr w:rsidR="004A6713" w:rsidRPr="00C62577" w:rsidTr="000F3780">
        <w:trPr>
          <w:trHeight w:val="476"/>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lastRenderedPageBreak/>
              <w:t> 5.</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rPr>
                <w:szCs w:val="28"/>
                <w:lang w:eastAsia="lv-LV"/>
              </w:rPr>
            </w:pPr>
            <w:r>
              <w:rPr>
                <w:i/>
                <w:iCs/>
              </w:rPr>
              <w:t>Projekts šo jomu neskar</w:t>
            </w:r>
            <w:r w:rsidRPr="00C62577">
              <w:rPr>
                <w:szCs w:val="28"/>
                <w:lang w:eastAsia="lv-LV"/>
              </w:rPr>
              <w:t xml:space="preserve"> </w:t>
            </w:r>
          </w:p>
        </w:tc>
      </w:tr>
      <w:tr w:rsidR="004A6713" w:rsidRPr="00C62577" w:rsidTr="000F3780">
        <w:trPr>
          <w:trHeight w:val="1340"/>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6.</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1A513B" w:rsidRPr="00C62577" w:rsidRDefault="00B444D3" w:rsidP="00B444D3">
            <w:pPr>
              <w:spacing w:before="100" w:beforeAutospacing="1" w:after="100" w:afterAutospacing="1"/>
              <w:jc w:val="both"/>
              <w:rPr>
                <w:szCs w:val="28"/>
                <w:lang w:eastAsia="lv-LV"/>
              </w:rPr>
            </w:pPr>
            <w:r>
              <w:rPr>
                <w:szCs w:val="28"/>
                <w:lang w:eastAsia="lv-LV"/>
              </w:rPr>
              <w:t>Rīkojuma projekts ir pēc būtības ir tehniskais tiesību aktu projekts, un ar to tiek grozīts tikai termiņš. Birojs uzskata, ka sabiedrības līdzdalība šādam tehniskam grozījumam nav nepieciešama.</w:t>
            </w:r>
          </w:p>
        </w:tc>
      </w:tr>
      <w:tr w:rsidR="004A6713" w:rsidRPr="00C62577" w:rsidTr="000F3780">
        <w:trPr>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7.</w:t>
            </w:r>
          </w:p>
        </w:tc>
        <w:tc>
          <w:tcPr>
            <w:tcW w:w="2752"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 informācija</w:t>
            </w:r>
          </w:p>
        </w:tc>
        <w:tc>
          <w:tcPr>
            <w:tcW w:w="6393" w:type="dxa"/>
            <w:gridSpan w:val="2"/>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Nav</w:t>
            </w:r>
          </w:p>
        </w:tc>
      </w:tr>
      <w:tr w:rsidR="001A513B" w:rsidRPr="00C62577" w:rsidTr="000F3780">
        <w:trPr>
          <w:tblCellSpacing w:w="0" w:type="dxa"/>
        </w:trPr>
        <w:tc>
          <w:tcPr>
            <w:tcW w:w="9669" w:type="dxa"/>
            <w:gridSpan w:val="4"/>
            <w:tcBorders>
              <w:top w:val="outset" w:sz="6" w:space="0" w:color="auto"/>
              <w:bottom w:val="outset" w:sz="6" w:space="0" w:color="auto"/>
            </w:tcBorders>
            <w:vAlign w:val="center"/>
          </w:tcPr>
          <w:p w:rsidR="001A513B" w:rsidRPr="00C62577" w:rsidRDefault="001A513B" w:rsidP="00A91CB7">
            <w:pPr>
              <w:spacing w:before="100" w:beforeAutospacing="1" w:after="100" w:afterAutospacing="1"/>
              <w:rPr>
                <w:b/>
                <w:szCs w:val="28"/>
                <w:lang w:eastAsia="lv-LV"/>
              </w:rPr>
            </w:pPr>
            <w:r w:rsidRPr="00C62577">
              <w:rPr>
                <w:szCs w:val="28"/>
                <w:lang w:eastAsia="lv-LV"/>
              </w:rPr>
              <w:t>  </w:t>
            </w:r>
            <w:r w:rsidRPr="00C62577">
              <w:rPr>
                <w:b/>
                <w:szCs w:val="28"/>
                <w:lang w:eastAsia="lv-LV"/>
              </w:rPr>
              <w:t>II. Tiesību akta projekta ietekme uz sabiedrību</w:t>
            </w:r>
          </w:p>
        </w:tc>
      </w:tr>
      <w:tr w:rsidR="004A6713" w:rsidRPr="00C62577" w:rsidTr="000F3780">
        <w:trPr>
          <w:trHeight w:val="46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Sabiedrības mērķgrupa</w:t>
            </w:r>
          </w:p>
        </w:tc>
        <w:tc>
          <w:tcPr>
            <w:tcW w:w="4115" w:type="dxa"/>
            <w:tcBorders>
              <w:top w:val="outset" w:sz="6" w:space="0" w:color="auto"/>
              <w:left w:val="outset" w:sz="6" w:space="0" w:color="auto"/>
              <w:bottom w:val="outset" w:sz="6" w:space="0" w:color="auto"/>
            </w:tcBorders>
          </w:tcPr>
          <w:p w:rsidR="001A513B" w:rsidRPr="00C62577" w:rsidRDefault="00B444D3" w:rsidP="000F3780">
            <w:pPr>
              <w:spacing w:before="100" w:beforeAutospacing="1" w:after="100" w:afterAutospacing="1"/>
              <w:jc w:val="both"/>
              <w:rPr>
                <w:szCs w:val="28"/>
                <w:lang w:eastAsia="lv-LV"/>
              </w:rPr>
            </w:pPr>
            <w:r>
              <w:rPr>
                <w:szCs w:val="28"/>
                <w:lang w:eastAsia="lv-LV"/>
              </w:rPr>
              <w:t>Rīkojuma projekts attiecas tikai uz Biroju un tam doto uzdevumu izstrādāt likumprojektu.</w:t>
            </w:r>
            <w:r w:rsidR="001A513B" w:rsidRPr="00C62577">
              <w:rPr>
                <w:szCs w:val="28"/>
                <w:lang w:eastAsia="lv-LV"/>
              </w:rPr>
              <w:t xml:space="preserve"> </w:t>
            </w:r>
          </w:p>
        </w:tc>
      </w:tr>
      <w:tr w:rsidR="004A6713" w:rsidRPr="00C62577" w:rsidTr="000F3780">
        <w:trPr>
          <w:trHeight w:val="523"/>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2.</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Citas sabiedrības grupas (bez mērķgrupas), kuras tiesiskais regulējums arī ietekmē vai varētu ietekmēt</w:t>
            </w:r>
          </w:p>
        </w:tc>
        <w:tc>
          <w:tcPr>
            <w:tcW w:w="4115"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jc w:val="both"/>
              <w:rPr>
                <w:szCs w:val="28"/>
                <w:lang w:eastAsia="lv-LV"/>
              </w:rPr>
            </w:pPr>
            <w:r w:rsidRPr="00C62577">
              <w:rPr>
                <w:szCs w:val="28"/>
                <w:lang w:eastAsia="lv-LV"/>
              </w:rPr>
              <w:t> </w:t>
            </w:r>
            <w:r w:rsidR="00F4131F">
              <w:rPr>
                <w:i/>
                <w:iCs/>
              </w:rPr>
              <w:t>Projekts šo jomu neskar</w:t>
            </w:r>
          </w:p>
        </w:tc>
      </w:tr>
      <w:tr w:rsidR="004A6713" w:rsidRPr="00C62577" w:rsidTr="000F3780">
        <w:trPr>
          <w:trHeight w:val="51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3.</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jc w:val="both"/>
              <w:rPr>
                <w:szCs w:val="28"/>
                <w:lang w:eastAsia="lv-LV"/>
              </w:rPr>
            </w:pPr>
            <w:r w:rsidRPr="00C62577">
              <w:rPr>
                <w:szCs w:val="28"/>
                <w:lang w:eastAsia="lv-LV"/>
              </w:rPr>
              <w:t>Likumprojekts tiks īstenots esošā finansējuma ietvaros, tāpēc papildu finansējums no valsts budžeta nav nepieciešams.</w:t>
            </w:r>
          </w:p>
        </w:tc>
      </w:tr>
      <w:tr w:rsidR="004A6713" w:rsidRPr="00C62577" w:rsidTr="000F3780">
        <w:trPr>
          <w:trHeight w:val="51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4.</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jc w:val="both"/>
              <w:rPr>
                <w:szCs w:val="28"/>
                <w:lang w:eastAsia="lv-LV"/>
              </w:rPr>
            </w:pPr>
            <w:r>
              <w:rPr>
                <w:i/>
                <w:iCs/>
              </w:rPr>
              <w:t>Projekts šo jomu neskar</w:t>
            </w:r>
          </w:p>
        </w:tc>
      </w:tr>
      <w:tr w:rsidR="004A6713" w:rsidRPr="00C62577" w:rsidTr="000F3780">
        <w:trPr>
          <w:trHeight w:val="531"/>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5.</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jc w:val="both"/>
              <w:rPr>
                <w:szCs w:val="28"/>
                <w:lang w:eastAsia="lv-LV"/>
              </w:rPr>
            </w:pPr>
            <w:r>
              <w:rPr>
                <w:i/>
                <w:iCs/>
              </w:rPr>
              <w:t>Projekts šo jomu neskar</w:t>
            </w:r>
          </w:p>
        </w:tc>
      </w:tr>
      <w:tr w:rsidR="004A6713" w:rsidRPr="00C62577" w:rsidTr="000F3780">
        <w:trPr>
          <w:trHeight w:val="357"/>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6.</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rPr>
                <w:szCs w:val="28"/>
                <w:lang w:eastAsia="lv-LV"/>
              </w:rPr>
            </w:pPr>
            <w:r>
              <w:rPr>
                <w:i/>
                <w:iCs/>
              </w:rPr>
              <w:t>Projekts šo jomu neskar</w:t>
            </w:r>
          </w:p>
        </w:tc>
      </w:tr>
      <w:tr w:rsidR="004A6713" w:rsidRPr="00C62577" w:rsidTr="000F3780">
        <w:trPr>
          <w:tblCellSpacing w:w="0" w:type="dxa"/>
        </w:trPr>
        <w:tc>
          <w:tcPr>
            <w:tcW w:w="52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7.</w:t>
            </w:r>
          </w:p>
        </w:tc>
        <w:tc>
          <w:tcPr>
            <w:tcW w:w="5030" w:type="dxa"/>
            <w:gridSpan w:val="2"/>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 informācija</w:t>
            </w:r>
          </w:p>
        </w:tc>
        <w:tc>
          <w:tcPr>
            <w:tcW w:w="4115"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Nav</w:t>
            </w:r>
          </w:p>
        </w:tc>
      </w:tr>
    </w:tbl>
    <w:p w:rsidR="00A91CB7" w:rsidRPr="00C62577" w:rsidRDefault="001A513B" w:rsidP="001A513B">
      <w:pPr>
        <w:spacing w:before="100" w:beforeAutospacing="1" w:after="100" w:afterAutospacing="1"/>
        <w:rPr>
          <w:szCs w:val="28"/>
          <w:lang w:eastAsia="lv-LV"/>
        </w:rPr>
      </w:pPr>
      <w:r w:rsidRPr="00C62577">
        <w:rPr>
          <w:szCs w:val="28"/>
          <w:lang w:eastAsia="lv-LV"/>
        </w:rPr>
        <w:t> Anotācijas</w:t>
      </w:r>
      <w:r w:rsidR="00A91CB7" w:rsidRPr="00C62577">
        <w:rPr>
          <w:szCs w:val="28"/>
          <w:lang w:eastAsia="lv-LV"/>
        </w:rPr>
        <w:t xml:space="preserve"> </w:t>
      </w:r>
      <w:r w:rsidRPr="00C62577">
        <w:rPr>
          <w:szCs w:val="28"/>
          <w:lang w:eastAsia="lv-LV"/>
        </w:rPr>
        <w:t>III, V un VI sadaļa – nav attiecināms.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1A513B" w:rsidRPr="00C62577" w:rsidTr="00C91E26">
        <w:trPr>
          <w:tblCellSpacing w:w="0" w:type="dxa"/>
        </w:trPr>
        <w:tc>
          <w:tcPr>
            <w:tcW w:w="9101" w:type="dxa"/>
            <w:gridSpan w:val="3"/>
            <w:tcBorders>
              <w:top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b/>
                <w:bCs/>
                <w:szCs w:val="28"/>
                <w:lang w:eastAsia="lv-LV"/>
              </w:rPr>
              <w:t> IV. Tiesību akta projekta ietekme uz spēkā esošo tiesību normu sistēmu</w:t>
            </w:r>
          </w:p>
        </w:tc>
      </w:tr>
      <w:tr w:rsidR="001A513B" w:rsidRPr="00C62577"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1A513B" w:rsidRPr="00C62577" w:rsidRDefault="00F4131F" w:rsidP="00C91E26">
            <w:pPr>
              <w:jc w:val="both"/>
              <w:rPr>
                <w:b/>
                <w:bCs/>
                <w:szCs w:val="28"/>
                <w:lang w:eastAsia="lv-LV"/>
              </w:rPr>
            </w:pPr>
            <w:r>
              <w:rPr>
                <w:i/>
                <w:iCs/>
              </w:rPr>
              <w:t>Projekts šo jomu neskar</w:t>
            </w:r>
          </w:p>
        </w:tc>
      </w:tr>
      <w:tr w:rsidR="001A513B" w:rsidRPr="00C62577" w:rsidTr="00C91E26">
        <w:trPr>
          <w:tblCellSpacing w:w="0" w:type="dxa"/>
        </w:trPr>
        <w:tc>
          <w:tcPr>
            <w:tcW w:w="9101" w:type="dxa"/>
            <w:gridSpan w:val="3"/>
            <w:tcBorders>
              <w:top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b/>
                <w:bCs/>
                <w:szCs w:val="28"/>
                <w:lang w:eastAsia="lv-LV"/>
              </w:rPr>
              <w:t> VII. Tiesību akta projekta izpildes nodrošināšana un tās ietekme uz institūcijām</w:t>
            </w:r>
          </w:p>
        </w:tc>
      </w:tr>
      <w:tr w:rsidR="001A513B" w:rsidRPr="00C62577"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xml:space="preserve"> Projekta izpildē iesaistītās </w:t>
            </w:r>
            <w:r w:rsidRPr="00C62577">
              <w:rPr>
                <w:szCs w:val="28"/>
                <w:lang w:eastAsia="lv-LV"/>
              </w:rPr>
              <w:lastRenderedPageBreak/>
              <w:t>institūcijas</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jc w:val="both"/>
              <w:rPr>
                <w:szCs w:val="28"/>
                <w:lang w:eastAsia="lv-LV"/>
              </w:rPr>
            </w:pPr>
            <w:r w:rsidRPr="00C62577">
              <w:rPr>
                <w:szCs w:val="28"/>
                <w:lang w:eastAsia="lv-LV"/>
              </w:rPr>
              <w:lastRenderedPageBreak/>
              <w:t xml:space="preserve"> Jaunas valsts un pašvaldību institūcijas </w:t>
            </w:r>
            <w:r w:rsidRPr="00C62577">
              <w:rPr>
                <w:szCs w:val="28"/>
                <w:lang w:eastAsia="lv-LV"/>
              </w:rPr>
              <w:lastRenderedPageBreak/>
              <w:t>netiks radītas, kā arī netiks paplašinātas esošo institūciju funkcijas.</w:t>
            </w:r>
          </w:p>
        </w:tc>
      </w:tr>
      <w:tr w:rsidR="001A513B" w:rsidRPr="00C62577" w:rsidTr="00C91E26">
        <w:trPr>
          <w:trHeight w:val="463"/>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lastRenderedPageBreak/>
              <w:t> 2.</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w:t>
            </w:r>
            <w:r w:rsidR="00F4131F">
              <w:rPr>
                <w:i/>
                <w:iCs/>
              </w:rPr>
              <w:t>Projekts šo jomu neskar</w:t>
            </w:r>
          </w:p>
        </w:tc>
      </w:tr>
      <w:tr w:rsidR="001A513B" w:rsidRPr="00C62577" w:rsidTr="00C91E26">
        <w:trPr>
          <w:trHeight w:val="725"/>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3.</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institucionālo struktūru.</w:t>
            </w:r>
          </w:p>
          <w:p w:rsidR="001A513B" w:rsidRPr="00C62577" w:rsidRDefault="001A513B" w:rsidP="00C91E26">
            <w:pPr>
              <w:spacing w:before="100" w:beforeAutospacing="1" w:after="100" w:afterAutospacing="1"/>
              <w:rPr>
                <w:szCs w:val="28"/>
                <w:lang w:eastAsia="lv-LV"/>
              </w:rPr>
            </w:pPr>
            <w:r w:rsidRPr="00C62577">
              <w:rPr>
                <w:szCs w:val="28"/>
                <w:lang w:eastAsia="lv-LV"/>
              </w:rPr>
              <w:t>Jaunu institūciju izveide</w:t>
            </w:r>
          </w:p>
        </w:tc>
        <w:tc>
          <w:tcPr>
            <w:tcW w:w="4667" w:type="dxa"/>
            <w:tcBorders>
              <w:top w:val="outset" w:sz="6" w:space="0" w:color="auto"/>
              <w:left w:val="outset" w:sz="6" w:space="0" w:color="auto"/>
              <w:bottom w:val="outset" w:sz="6" w:space="0" w:color="auto"/>
            </w:tcBorders>
          </w:tcPr>
          <w:p w:rsidR="001A513B" w:rsidRPr="00C62577" w:rsidRDefault="008F3341" w:rsidP="00C91E26">
            <w:pPr>
              <w:spacing w:before="100" w:beforeAutospacing="1" w:after="100" w:afterAutospacing="1"/>
              <w:rPr>
                <w:szCs w:val="28"/>
                <w:lang w:eastAsia="lv-LV"/>
              </w:rPr>
            </w:pPr>
            <w:r w:rsidRPr="00C62577">
              <w:rPr>
                <w:szCs w:val="28"/>
                <w:lang w:eastAsia="lv-LV"/>
              </w:rPr>
              <w:t>Pārvaldes institucionālā struktūra netiks mainīta</w:t>
            </w:r>
            <w:r w:rsidR="001A513B" w:rsidRPr="00C62577">
              <w:rPr>
                <w:szCs w:val="28"/>
                <w:lang w:eastAsia="lv-LV"/>
              </w:rPr>
              <w:t xml:space="preserve">. </w:t>
            </w:r>
          </w:p>
        </w:tc>
      </w:tr>
      <w:tr w:rsidR="001A513B" w:rsidRPr="00C62577" w:rsidTr="00C91E26">
        <w:trPr>
          <w:trHeight w:val="780"/>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4.</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institucionālo struktūru.</w:t>
            </w:r>
          </w:p>
          <w:p w:rsidR="001A513B" w:rsidRPr="00C62577" w:rsidRDefault="001A513B" w:rsidP="00C91E26">
            <w:pPr>
              <w:spacing w:before="100" w:beforeAutospacing="1" w:after="100" w:afterAutospacing="1"/>
              <w:rPr>
                <w:szCs w:val="28"/>
                <w:lang w:eastAsia="lv-LV"/>
              </w:rPr>
            </w:pPr>
            <w:r w:rsidRPr="00C62577">
              <w:rPr>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1A513B" w:rsidRPr="00C62577" w:rsidRDefault="00F4131F" w:rsidP="00C91E26">
            <w:pPr>
              <w:spacing w:before="100" w:beforeAutospacing="1" w:after="100" w:afterAutospacing="1"/>
              <w:rPr>
                <w:szCs w:val="28"/>
                <w:lang w:eastAsia="lv-LV"/>
              </w:rPr>
            </w:pPr>
            <w:r>
              <w:rPr>
                <w:i/>
                <w:iCs/>
              </w:rPr>
              <w:t>Projekts šo jomu neskar</w:t>
            </w:r>
          </w:p>
        </w:tc>
      </w:tr>
      <w:tr w:rsidR="001A513B" w:rsidRPr="00C62577" w:rsidTr="00C91E26">
        <w:trPr>
          <w:trHeight w:val="703"/>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Projekta izpildes ietekme uz pārvaldes institucionālo struktūru.</w:t>
            </w:r>
          </w:p>
          <w:p w:rsidR="001A513B" w:rsidRPr="00C62577" w:rsidRDefault="001A513B" w:rsidP="00C91E26">
            <w:pPr>
              <w:spacing w:before="100" w:beforeAutospacing="1" w:after="100" w:afterAutospacing="1"/>
              <w:rPr>
                <w:szCs w:val="28"/>
                <w:lang w:eastAsia="lv-LV"/>
              </w:rPr>
            </w:pPr>
            <w:r w:rsidRPr="00C62577">
              <w:rPr>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w:t>
            </w:r>
            <w:r w:rsidR="00F4131F">
              <w:rPr>
                <w:i/>
                <w:iCs/>
              </w:rPr>
              <w:t>Projekts šo jomu neskar</w:t>
            </w:r>
          </w:p>
        </w:tc>
      </w:tr>
      <w:tr w:rsidR="001A513B" w:rsidRPr="00C62577" w:rsidTr="00C91E26">
        <w:trPr>
          <w:trHeight w:val="476"/>
          <w:tblCellSpacing w:w="0" w:type="dxa"/>
        </w:trPr>
        <w:tc>
          <w:tcPr>
            <w:tcW w:w="504" w:type="dxa"/>
            <w:tcBorders>
              <w:top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Cita informācija</w:t>
            </w:r>
          </w:p>
        </w:tc>
        <w:tc>
          <w:tcPr>
            <w:tcW w:w="4667" w:type="dxa"/>
            <w:tcBorders>
              <w:top w:val="outset" w:sz="6" w:space="0" w:color="auto"/>
              <w:left w:val="outset" w:sz="6" w:space="0" w:color="auto"/>
              <w:bottom w:val="outset" w:sz="6" w:space="0" w:color="auto"/>
            </w:tcBorders>
          </w:tcPr>
          <w:p w:rsidR="001A513B" w:rsidRPr="00C62577" w:rsidRDefault="001A513B" w:rsidP="00C91E26">
            <w:pPr>
              <w:spacing w:before="100" w:beforeAutospacing="1" w:after="100" w:afterAutospacing="1"/>
              <w:rPr>
                <w:szCs w:val="28"/>
                <w:lang w:eastAsia="lv-LV"/>
              </w:rPr>
            </w:pPr>
            <w:r w:rsidRPr="00C62577">
              <w:rPr>
                <w:szCs w:val="28"/>
                <w:lang w:eastAsia="lv-LV"/>
              </w:rPr>
              <w:t> Nav</w:t>
            </w:r>
          </w:p>
        </w:tc>
      </w:tr>
    </w:tbl>
    <w:p w:rsidR="003B044D" w:rsidRDefault="001A513B" w:rsidP="00A91CB7">
      <w:pPr>
        <w:spacing w:before="100" w:beforeAutospacing="1" w:after="100" w:afterAutospacing="1"/>
        <w:rPr>
          <w:szCs w:val="28"/>
          <w:lang w:eastAsia="lv-LV"/>
        </w:rPr>
      </w:pPr>
      <w:r w:rsidRPr="002B4434">
        <w:rPr>
          <w:szCs w:val="28"/>
          <w:lang w:eastAsia="lv-LV"/>
        </w:rPr>
        <w:t> </w:t>
      </w:r>
    </w:p>
    <w:p w:rsidR="001A513B" w:rsidRPr="00DB01F7" w:rsidRDefault="001A513B" w:rsidP="00A91CB7">
      <w:pPr>
        <w:spacing w:before="100" w:beforeAutospacing="1" w:after="100" w:afterAutospacing="1"/>
        <w:rPr>
          <w:szCs w:val="28"/>
        </w:rPr>
      </w:pPr>
      <w:r w:rsidRPr="002B4434">
        <w:rPr>
          <w:szCs w:val="28"/>
        </w:rPr>
        <w:t>Ministru prezidents</w:t>
      </w:r>
      <w:r w:rsidRPr="002B4434">
        <w:rPr>
          <w:szCs w:val="28"/>
        </w:rPr>
        <w:tab/>
      </w:r>
      <w:r w:rsidRPr="002B4434">
        <w:rPr>
          <w:szCs w:val="28"/>
        </w:rPr>
        <w:tab/>
      </w:r>
      <w:r w:rsidRPr="002B4434">
        <w:rPr>
          <w:szCs w:val="28"/>
        </w:rPr>
        <w:tab/>
      </w:r>
      <w:r w:rsidRPr="002B4434">
        <w:rPr>
          <w:szCs w:val="28"/>
        </w:rPr>
        <w:tab/>
      </w:r>
      <w:r w:rsidRPr="002B4434">
        <w:rPr>
          <w:szCs w:val="28"/>
        </w:rPr>
        <w:tab/>
      </w:r>
      <w:r w:rsidRPr="002B4434">
        <w:rPr>
          <w:szCs w:val="28"/>
        </w:rPr>
        <w:tab/>
        <w:t>V.Dombrovskis</w:t>
      </w:r>
      <w:r w:rsidRPr="00DB01F7">
        <w:rPr>
          <w:szCs w:val="28"/>
        </w:rPr>
        <w:tab/>
      </w:r>
    </w:p>
    <w:p w:rsidR="003B044D" w:rsidRDefault="003B044D" w:rsidP="001A513B">
      <w:pPr>
        <w:pStyle w:val="Header"/>
        <w:rPr>
          <w:szCs w:val="28"/>
        </w:rPr>
      </w:pPr>
    </w:p>
    <w:p w:rsidR="003B044D" w:rsidRDefault="003B044D" w:rsidP="001A513B">
      <w:pPr>
        <w:pStyle w:val="Header"/>
        <w:rPr>
          <w:szCs w:val="28"/>
        </w:rPr>
      </w:pPr>
    </w:p>
    <w:p w:rsidR="001A513B" w:rsidRDefault="001A513B" w:rsidP="001A513B">
      <w:pPr>
        <w:pStyle w:val="Header"/>
      </w:pPr>
      <w:r w:rsidRPr="00DB01F7">
        <w:rPr>
          <w:szCs w:val="28"/>
        </w:rPr>
        <w:t>Viz</w:t>
      </w:r>
      <w:r>
        <w:rPr>
          <w:szCs w:val="28"/>
        </w:rPr>
        <w:t xml:space="preserve">ē </w:t>
      </w:r>
      <w:r>
        <w:t xml:space="preserve">Korupcijas novēršanas un </w:t>
      </w:r>
    </w:p>
    <w:p w:rsidR="001A513B" w:rsidRDefault="002127A6" w:rsidP="001A513B">
      <w:pPr>
        <w:pStyle w:val="Header"/>
      </w:pPr>
      <w:r>
        <w:t>apkarošanas biroja priekšniek</w:t>
      </w:r>
      <w:r w:rsidR="000F3780">
        <w:t>s</w:t>
      </w:r>
      <w:r w:rsidR="001A513B">
        <w:t xml:space="preserve"> </w:t>
      </w:r>
      <w:r w:rsidR="001A513B">
        <w:tab/>
      </w:r>
      <w:proofErr w:type="gramStart"/>
      <w:r w:rsidR="001A513B">
        <w:t xml:space="preserve">                                </w:t>
      </w:r>
      <w:r>
        <w:t xml:space="preserve"> </w:t>
      </w:r>
      <w:r w:rsidR="001A513B">
        <w:t xml:space="preserve">    </w:t>
      </w:r>
      <w:proofErr w:type="spellStart"/>
      <w:proofErr w:type="gramEnd"/>
      <w:r w:rsidR="000F3780">
        <w:t>J.Streļčenoks</w:t>
      </w:r>
      <w:proofErr w:type="spellEnd"/>
      <w:r w:rsidR="001A513B">
        <w:tab/>
      </w:r>
      <w:r w:rsidR="001A513B">
        <w:tab/>
      </w:r>
    </w:p>
    <w:p w:rsidR="00A91CB7" w:rsidRDefault="00A91CB7" w:rsidP="001A513B">
      <w:pPr>
        <w:jc w:val="both"/>
        <w:rPr>
          <w:sz w:val="20"/>
          <w:szCs w:val="20"/>
        </w:rPr>
      </w:pPr>
    </w:p>
    <w:p w:rsidR="003B044D" w:rsidRDefault="003B044D" w:rsidP="001A513B">
      <w:pPr>
        <w:jc w:val="both"/>
        <w:rPr>
          <w:sz w:val="20"/>
          <w:szCs w:val="20"/>
        </w:rPr>
      </w:pPr>
    </w:p>
    <w:p w:rsidR="003B044D" w:rsidRDefault="003B044D" w:rsidP="001A513B">
      <w:pPr>
        <w:jc w:val="both"/>
        <w:rPr>
          <w:sz w:val="20"/>
          <w:szCs w:val="20"/>
        </w:rPr>
      </w:pPr>
    </w:p>
    <w:p w:rsidR="003B044D" w:rsidRDefault="003B044D" w:rsidP="001A513B">
      <w:pPr>
        <w:jc w:val="both"/>
        <w:rPr>
          <w:sz w:val="20"/>
          <w:szCs w:val="20"/>
        </w:rPr>
      </w:pPr>
    </w:p>
    <w:p w:rsidR="003B044D" w:rsidRDefault="003B044D" w:rsidP="001A513B">
      <w:pPr>
        <w:jc w:val="both"/>
        <w:rPr>
          <w:sz w:val="20"/>
          <w:szCs w:val="20"/>
        </w:rPr>
      </w:pPr>
    </w:p>
    <w:p w:rsidR="003B044D" w:rsidRDefault="003B044D" w:rsidP="001A513B">
      <w:pPr>
        <w:jc w:val="both"/>
        <w:rPr>
          <w:sz w:val="20"/>
          <w:szCs w:val="20"/>
        </w:rPr>
      </w:pPr>
    </w:p>
    <w:p w:rsidR="003B044D" w:rsidRDefault="003B044D" w:rsidP="001A513B">
      <w:pPr>
        <w:jc w:val="both"/>
        <w:rPr>
          <w:sz w:val="20"/>
          <w:szCs w:val="20"/>
        </w:rPr>
      </w:pPr>
      <w:bookmarkStart w:id="3" w:name="_GoBack"/>
      <w:bookmarkEnd w:id="3"/>
    </w:p>
    <w:p w:rsidR="003B044D" w:rsidRDefault="003B044D" w:rsidP="001A513B">
      <w:pPr>
        <w:jc w:val="both"/>
        <w:rPr>
          <w:sz w:val="20"/>
          <w:szCs w:val="20"/>
        </w:rPr>
      </w:pPr>
    </w:p>
    <w:p w:rsidR="003B044D" w:rsidRDefault="003B044D" w:rsidP="001A513B">
      <w:pPr>
        <w:jc w:val="both"/>
        <w:rPr>
          <w:sz w:val="20"/>
          <w:szCs w:val="20"/>
        </w:rPr>
      </w:pPr>
    </w:p>
    <w:p w:rsidR="003B044D" w:rsidRDefault="003B044D" w:rsidP="001A513B">
      <w:pPr>
        <w:jc w:val="both"/>
        <w:rPr>
          <w:sz w:val="20"/>
          <w:szCs w:val="20"/>
        </w:rPr>
      </w:pPr>
    </w:p>
    <w:p w:rsidR="001A513B" w:rsidRDefault="00742201" w:rsidP="001A513B">
      <w:pPr>
        <w:jc w:val="both"/>
        <w:rPr>
          <w:sz w:val="20"/>
          <w:szCs w:val="20"/>
        </w:rPr>
      </w:pPr>
      <w:r>
        <w:rPr>
          <w:sz w:val="20"/>
          <w:szCs w:val="20"/>
        </w:rPr>
        <w:fldChar w:fldCharType="begin"/>
      </w:r>
      <w:r w:rsidR="001A513B">
        <w:rPr>
          <w:sz w:val="20"/>
          <w:szCs w:val="20"/>
        </w:rPr>
        <w:instrText xml:space="preserve"> TIME \@ "yyyy.MM.dd." </w:instrText>
      </w:r>
      <w:r>
        <w:rPr>
          <w:sz w:val="20"/>
          <w:szCs w:val="20"/>
        </w:rPr>
        <w:fldChar w:fldCharType="separate"/>
      </w:r>
      <w:r w:rsidR="006578EF">
        <w:rPr>
          <w:noProof/>
          <w:sz w:val="20"/>
          <w:szCs w:val="20"/>
        </w:rPr>
        <w:t>2012.09.27.</w:t>
      </w:r>
      <w:r>
        <w:rPr>
          <w:sz w:val="20"/>
          <w:szCs w:val="20"/>
        </w:rPr>
        <w:fldChar w:fldCharType="end"/>
      </w:r>
    </w:p>
    <w:p w:rsidR="00C6527D" w:rsidRDefault="009C3EB7" w:rsidP="001A513B">
      <w:pPr>
        <w:rPr>
          <w:sz w:val="20"/>
          <w:szCs w:val="20"/>
        </w:rPr>
      </w:pPr>
      <w:r>
        <w:rPr>
          <w:sz w:val="20"/>
          <w:szCs w:val="20"/>
        </w:rPr>
        <w:t>548</w:t>
      </w:r>
    </w:p>
    <w:p w:rsidR="001A513B" w:rsidRPr="009E7230" w:rsidRDefault="001A513B" w:rsidP="001A513B">
      <w:pPr>
        <w:rPr>
          <w:sz w:val="20"/>
          <w:szCs w:val="20"/>
        </w:rPr>
      </w:pPr>
      <w:proofErr w:type="spellStart"/>
      <w:r w:rsidRPr="009E7230">
        <w:rPr>
          <w:sz w:val="20"/>
          <w:szCs w:val="20"/>
        </w:rPr>
        <w:t>A.Strīķeris</w:t>
      </w:r>
      <w:proofErr w:type="spellEnd"/>
      <w:r w:rsidR="00A91CB7">
        <w:rPr>
          <w:sz w:val="20"/>
          <w:szCs w:val="20"/>
        </w:rPr>
        <w:t xml:space="preserve">, </w:t>
      </w:r>
      <w:r w:rsidRPr="009E7230">
        <w:rPr>
          <w:sz w:val="20"/>
          <w:szCs w:val="20"/>
        </w:rPr>
        <w:t>67356165-231</w:t>
      </w:r>
    </w:p>
    <w:p w:rsidR="001A513B" w:rsidRPr="009E7230" w:rsidRDefault="007A447D" w:rsidP="001A513B">
      <w:pPr>
        <w:rPr>
          <w:sz w:val="20"/>
          <w:szCs w:val="20"/>
        </w:rPr>
      </w:pPr>
      <w:hyperlink r:id="rId9" w:history="1">
        <w:r w:rsidR="001A513B" w:rsidRPr="009E7230">
          <w:rPr>
            <w:rStyle w:val="Hyperlink"/>
            <w:sz w:val="20"/>
            <w:szCs w:val="20"/>
          </w:rPr>
          <w:t>alvils.strikeris@knab.gov.lv</w:t>
        </w:r>
      </w:hyperlink>
    </w:p>
    <w:sectPr w:rsidR="001A513B" w:rsidRPr="009E7230" w:rsidSect="00C91E26">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7D" w:rsidRDefault="007A447D">
      <w:r>
        <w:separator/>
      </w:r>
    </w:p>
  </w:endnote>
  <w:endnote w:type="continuationSeparator" w:id="0">
    <w:p w:rsidR="007A447D" w:rsidRDefault="007A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402FED" w:rsidRDefault="00402FED" w:rsidP="00402FED">
    <w:pPr>
      <w:jc w:val="center"/>
      <w:rPr>
        <w:b/>
        <w:bCs/>
        <w:sz w:val="22"/>
        <w:lang w:eastAsia="lv-LV"/>
      </w:rPr>
    </w:pPr>
    <w:r w:rsidRPr="00402FED">
      <w:rPr>
        <w:sz w:val="20"/>
        <w:szCs w:val="20"/>
      </w:rPr>
      <w:t>KNABAnot_</w:t>
    </w:r>
    <w:r w:rsidR="009C3EB7">
      <w:rPr>
        <w:sz w:val="20"/>
        <w:szCs w:val="20"/>
      </w:rPr>
      <w:t>0609</w:t>
    </w:r>
    <w:r>
      <w:rPr>
        <w:sz w:val="20"/>
        <w:szCs w:val="20"/>
      </w:rPr>
      <w:t>12</w:t>
    </w:r>
    <w:r w:rsidRPr="00402FED">
      <w:rPr>
        <w:sz w:val="20"/>
        <w:szCs w:val="20"/>
      </w:rPr>
      <w:t>;</w:t>
    </w:r>
    <w:r w:rsidRPr="008F3341">
      <w:rPr>
        <w:sz w:val="22"/>
      </w:rPr>
      <w:t xml:space="preserve"> </w:t>
    </w:r>
    <w:r w:rsidRPr="00402FED">
      <w:rPr>
        <w:bCs/>
        <w:sz w:val="20"/>
        <w:szCs w:val="20"/>
        <w:lang w:eastAsia="lv-LV"/>
      </w:rPr>
      <w:t>Rīkojuma projekta „</w:t>
    </w:r>
    <w:r w:rsidRPr="00402FED">
      <w:rPr>
        <w:bCs/>
        <w:sz w:val="20"/>
        <w:szCs w:val="20"/>
      </w:rPr>
      <w:t xml:space="preserve">Grozījums </w:t>
    </w:r>
    <w:r w:rsidRPr="00402FED">
      <w:rPr>
        <w:sz w:val="20"/>
        <w:szCs w:val="20"/>
      </w:rPr>
      <w:t>Ministru kabineta 2011.gada 12.decembra rīkojumā Nr. 647 „Par koncepciju „Publiskās pieejamības nodrošināšana informācijai par lobētājiem”””</w:t>
    </w:r>
    <w:r w:rsidRPr="00402FED">
      <w:rPr>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8F3341" w:rsidRDefault="001A513B" w:rsidP="008F3341">
    <w:pPr>
      <w:jc w:val="center"/>
      <w:rPr>
        <w:b/>
        <w:bCs/>
        <w:sz w:val="22"/>
        <w:lang w:eastAsia="lv-LV"/>
      </w:rPr>
    </w:pPr>
    <w:r w:rsidRPr="00402FED">
      <w:rPr>
        <w:sz w:val="20"/>
        <w:szCs w:val="20"/>
      </w:rPr>
      <w:t>KNABAnot_</w:t>
    </w:r>
    <w:r w:rsidR="009869D7">
      <w:rPr>
        <w:sz w:val="20"/>
        <w:szCs w:val="20"/>
      </w:rPr>
      <w:t>0609</w:t>
    </w:r>
    <w:r w:rsidR="00402FED">
      <w:rPr>
        <w:sz w:val="20"/>
        <w:szCs w:val="20"/>
      </w:rPr>
      <w:t>12</w:t>
    </w:r>
    <w:r w:rsidRPr="00402FED">
      <w:rPr>
        <w:sz w:val="20"/>
        <w:szCs w:val="20"/>
      </w:rPr>
      <w:t>;</w:t>
    </w:r>
    <w:r w:rsidRPr="008F3341">
      <w:rPr>
        <w:sz w:val="22"/>
      </w:rPr>
      <w:t xml:space="preserve"> </w:t>
    </w:r>
    <w:r w:rsidR="00402FED" w:rsidRPr="00402FED">
      <w:rPr>
        <w:bCs/>
        <w:sz w:val="20"/>
        <w:szCs w:val="20"/>
        <w:lang w:eastAsia="lv-LV"/>
      </w:rPr>
      <w:t>Rīkojuma projekta „</w:t>
    </w:r>
    <w:r w:rsidR="00402FED" w:rsidRPr="00402FED">
      <w:rPr>
        <w:bCs/>
        <w:sz w:val="20"/>
        <w:szCs w:val="20"/>
      </w:rPr>
      <w:t xml:space="preserve">Grozījums </w:t>
    </w:r>
    <w:r w:rsidR="00402FED" w:rsidRPr="00402FED">
      <w:rPr>
        <w:sz w:val="20"/>
        <w:szCs w:val="20"/>
      </w:rPr>
      <w:t>Ministru kabineta 2011.gada 12.decembra rīkojumā Nr. 647 „Par koncepciju „Publiskās pieejamības nodrošināšana informācijai par lobētājiem”””</w:t>
    </w:r>
    <w:r w:rsidR="00402FED" w:rsidRPr="00402FED">
      <w:rPr>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7D" w:rsidRDefault="007A447D">
      <w:r>
        <w:separator/>
      </w:r>
    </w:p>
  </w:footnote>
  <w:footnote w:type="continuationSeparator" w:id="0">
    <w:p w:rsidR="007A447D" w:rsidRDefault="007A4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E93EE0" w:rsidRDefault="00742201">
    <w:pPr>
      <w:pStyle w:val="Header"/>
      <w:jc w:val="center"/>
      <w:rPr>
        <w:sz w:val="24"/>
        <w:szCs w:val="24"/>
      </w:rPr>
    </w:pPr>
    <w:r w:rsidRPr="00E93EE0">
      <w:rPr>
        <w:sz w:val="24"/>
        <w:szCs w:val="24"/>
      </w:rPr>
      <w:fldChar w:fldCharType="begin"/>
    </w:r>
    <w:r w:rsidR="001A513B" w:rsidRPr="00E93EE0">
      <w:rPr>
        <w:sz w:val="24"/>
        <w:szCs w:val="24"/>
      </w:rPr>
      <w:instrText xml:space="preserve"> PAGE   \* MERGEFORMAT </w:instrText>
    </w:r>
    <w:r w:rsidRPr="00E93EE0">
      <w:rPr>
        <w:sz w:val="24"/>
        <w:szCs w:val="24"/>
      </w:rPr>
      <w:fldChar w:fldCharType="separate"/>
    </w:r>
    <w:r w:rsidR="006578EF">
      <w:rPr>
        <w:noProof/>
        <w:sz w:val="24"/>
        <w:szCs w:val="24"/>
      </w:rPr>
      <w:t>2</w:t>
    </w:r>
    <w:r w:rsidRPr="00E93EE0">
      <w:rPr>
        <w:sz w:val="24"/>
        <w:szCs w:val="24"/>
      </w:rPr>
      <w:fldChar w:fldCharType="end"/>
    </w:r>
  </w:p>
  <w:p w:rsidR="00C91E26" w:rsidRDefault="00C91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5D7"/>
    <w:multiLevelType w:val="hybridMultilevel"/>
    <w:tmpl w:val="971A4850"/>
    <w:lvl w:ilvl="0" w:tplc="A2B6BEA6">
      <w:start w:val="1"/>
      <w:numFmt w:val="decimal"/>
      <w:lvlText w:val="4.3.%1."/>
      <w:lvlJc w:val="left"/>
      <w:pPr>
        <w:tabs>
          <w:tab w:val="num" w:pos="1211"/>
        </w:tabs>
        <w:ind w:left="1211" w:hanging="360"/>
      </w:pPr>
      <w:rPr>
        <w:rFonts w:cs="Times New Roman" w:hint="default"/>
        <w:b w:val="0"/>
      </w:rPr>
    </w:lvl>
    <w:lvl w:ilvl="1" w:tplc="04260019">
      <w:start w:val="1"/>
      <w:numFmt w:val="lowerLetter"/>
      <w:lvlText w:val="%2."/>
      <w:lvlJc w:val="left"/>
      <w:pPr>
        <w:tabs>
          <w:tab w:val="num" w:pos="589"/>
        </w:tabs>
        <w:ind w:left="589" w:hanging="360"/>
      </w:pPr>
      <w:rPr>
        <w:rFonts w:cs="Times New Roman"/>
      </w:rPr>
    </w:lvl>
    <w:lvl w:ilvl="2" w:tplc="0426001B" w:tentative="1">
      <w:start w:val="1"/>
      <w:numFmt w:val="lowerRoman"/>
      <w:lvlText w:val="%3."/>
      <w:lvlJc w:val="right"/>
      <w:pPr>
        <w:tabs>
          <w:tab w:val="num" w:pos="1309"/>
        </w:tabs>
        <w:ind w:left="1309" w:hanging="180"/>
      </w:pPr>
      <w:rPr>
        <w:rFonts w:cs="Times New Roman"/>
      </w:rPr>
    </w:lvl>
    <w:lvl w:ilvl="3" w:tplc="0426000F" w:tentative="1">
      <w:start w:val="1"/>
      <w:numFmt w:val="decimal"/>
      <w:lvlText w:val="%4."/>
      <w:lvlJc w:val="left"/>
      <w:pPr>
        <w:tabs>
          <w:tab w:val="num" w:pos="2029"/>
        </w:tabs>
        <w:ind w:left="2029" w:hanging="360"/>
      </w:pPr>
      <w:rPr>
        <w:rFonts w:cs="Times New Roman"/>
      </w:rPr>
    </w:lvl>
    <w:lvl w:ilvl="4" w:tplc="04260019" w:tentative="1">
      <w:start w:val="1"/>
      <w:numFmt w:val="lowerLetter"/>
      <w:lvlText w:val="%5."/>
      <w:lvlJc w:val="left"/>
      <w:pPr>
        <w:tabs>
          <w:tab w:val="num" w:pos="2749"/>
        </w:tabs>
        <w:ind w:left="2749" w:hanging="360"/>
      </w:pPr>
      <w:rPr>
        <w:rFonts w:cs="Times New Roman"/>
      </w:rPr>
    </w:lvl>
    <w:lvl w:ilvl="5" w:tplc="0426001B" w:tentative="1">
      <w:start w:val="1"/>
      <w:numFmt w:val="lowerRoman"/>
      <w:lvlText w:val="%6."/>
      <w:lvlJc w:val="right"/>
      <w:pPr>
        <w:tabs>
          <w:tab w:val="num" w:pos="3469"/>
        </w:tabs>
        <w:ind w:left="3469" w:hanging="180"/>
      </w:pPr>
      <w:rPr>
        <w:rFonts w:cs="Times New Roman"/>
      </w:rPr>
    </w:lvl>
    <w:lvl w:ilvl="6" w:tplc="0426000F" w:tentative="1">
      <w:start w:val="1"/>
      <w:numFmt w:val="decimal"/>
      <w:lvlText w:val="%7."/>
      <w:lvlJc w:val="left"/>
      <w:pPr>
        <w:tabs>
          <w:tab w:val="num" w:pos="4189"/>
        </w:tabs>
        <w:ind w:left="4189" w:hanging="360"/>
      </w:pPr>
      <w:rPr>
        <w:rFonts w:cs="Times New Roman"/>
      </w:rPr>
    </w:lvl>
    <w:lvl w:ilvl="7" w:tplc="04260019" w:tentative="1">
      <w:start w:val="1"/>
      <w:numFmt w:val="lowerLetter"/>
      <w:lvlText w:val="%8."/>
      <w:lvlJc w:val="left"/>
      <w:pPr>
        <w:tabs>
          <w:tab w:val="num" w:pos="4909"/>
        </w:tabs>
        <w:ind w:left="4909" w:hanging="360"/>
      </w:pPr>
      <w:rPr>
        <w:rFonts w:cs="Times New Roman"/>
      </w:rPr>
    </w:lvl>
    <w:lvl w:ilvl="8" w:tplc="0426001B" w:tentative="1">
      <w:start w:val="1"/>
      <w:numFmt w:val="lowerRoman"/>
      <w:lvlText w:val="%9."/>
      <w:lvlJc w:val="right"/>
      <w:pPr>
        <w:tabs>
          <w:tab w:val="num" w:pos="5629"/>
        </w:tabs>
        <w:ind w:left="56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B"/>
    <w:rsid w:val="00013679"/>
    <w:rsid w:val="0002024B"/>
    <w:rsid w:val="00052137"/>
    <w:rsid w:val="00061E5C"/>
    <w:rsid w:val="00095623"/>
    <w:rsid w:val="000D3677"/>
    <w:rsid w:val="000D5FB7"/>
    <w:rsid w:val="000E20FE"/>
    <w:rsid w:val="000F3780"/>
    <w:rsid w:val="001244CF"/>
    <w:rsid w:val="001272CD"/>
    <w:rsid w:val="00131C67"/>
    <w:rsid w:val="001417E6"/>
    <w:rsid w:val="00174BF8"/>
    <w:rsid w:val="00174DDC"/>
    <w:rsid w:val="001A513B"/>
    <w:rsid w:val="001B7EFF"/>
    <w:rsid w:val="001C37C3"/>
    <w:rsid w:val="001C55AE"/>
    <w:rsid w:val="00201649"/>
    <w:rsid w:val="00202E13"/>
    <w:rsid w:val="002127A6"/>
    <w:rsid w:val="0022714D"/>
    <w:rsid w:val="002271B8"/>
    <w:rsid w:val="00253A67"/>
    <w:rsid w:val="00292D09"/>
    <w:rsid w:val="002A420D"/>
    <w:rsid w:val="002A440E"/>
    <w:rsid w:val="002A6E67"/>
    <w:rsid w:val="002B7693"/>
    <w:rsid w:val="002C448A"/>
    <w:rsid w:val="002E56A7"/>
    <w:rsid w:val="00302925"/>
    <w:rsid w:val="003033CC"/>
    <w:rsid w:val="00303D0C"/>
    <w:rsid w:val="003061E7"/>
    <w:rsid w:val="00331C6A"/>
    <w:rsid w:val="00342713"/>
    <w:rsid w:val="003449A3"/>
    <w:rsid w:val="003860A4"/>
    <w:rsid w:val="00395D50"/>
    <w:rsid w:val="003A1486"/>
    <w:rsid w:val="003A2E52"/>
    <w:rsid w:val="003A3601"/>
    <w:rsid w:val="003A55FF"/>
    <w:rsid w:val="003B044D"/>
    <w:rsid w:val="003C5890"/>
    <w:rsid w:val="003E3A9C"/>
    <w:rsid w:val="00402FED"/>
    <w:rsid w:val="004064CE"/>
    <w:rsid w:val="00423697"/>
    <w:rsid w:val="00434C87"/>
    <w:rsid w:val="004360DD"/>
    <w:rsid w:val="00441C5A"/>
    <w:rsid w:val="004500CE"/>
    <w:rsid w:val="00472587"/>
    <w:rsid w:val="00485D80"/>
    <w:rsid w:val="004A6713"/>
    <w:rsid w:val="004C6B3D"/>
    <w:rsid w:val="004E2044"/>
    <w:rsid w:val="004F43A7"/>
    <w:rsid w:val="0053004E"/>
    <w:rsid w:val="0055666C"/>
    <w:rsid w:val="00557EDD"/>
    <w:rsid w:val="00593462"/>
    <w:rsid w:val="005B0460"/>
    <w:rsid w:val="005D654F"/>
    <w:rsid w:val="006002E3"/>
    <w:rsid w:val="00611744"/>
    <w:rsid w:val="0062125E"/>
    <w:rsid w:val="006337AB"/>
    <w:rsid w:val="006578EF"/>
    <w:rsid w:val="006718F7"/>
    <w:rsid w:val="006A40B3"/>
    <w:rsid w:val="006B138D"/>
    <w:rsid w:val="006B59D9"/>
    <w:rsid w:val="006E6954"/>
    <w:rsid w:val="0071789E"/>
    <w:rsid w:val="00723049"/>
    <w:rsid w:val="00726E4A"/>
    <w:rsid w:val="00732564"/>
    <w:rsid w:val="00742201"/>
    <w:rsid w:val="0075261B"/>
    <w:rsid w:val="00761DEB"/>
    <w:rsid w:val="007655AD"/>
    <w:rsid w:val="00771B68"/>
    <w:rsid w:val="0077227D"/>
    <w:rsid w:val="007772D4"/>
    <w:rsid w:val="00780F98"/>
    <w:rsid w:val="00794ACD"/>
    <w:rsid w:val="007A447D"/>
    <w:rsid w:val="007F628D"/>
    <w:rsid w:val="0083470C"/>
    <w:rsid w:val="00834DD8"/>
    <w:rsid w:val="00856F03"/>
    <w:rsid w:val="00866BD3"/>
    <w:rsid w:val="00886387"/>
    <w:rsid w:val="008A51EC"/>
    <w:rsid w:val="008A7108"/>
    <w:rsid w:val="008B07BE"/>
    <w:rsid w:val="008D63F3"/>
    <w:rsid w:val="008F3341"/>
    <w:rsid w:val="00942E34"/>
    <w:rsid w:val="00950A86"/>
    <w:rsid w:val="00976A1A"/>
    <w:rsid w:val="009869D7"/>
    <w:rsid w:val="00987E00"/>
    <w:rsid w:val="009929FD"/>
    <w:rsid w:val="009B3CD2"/>
    <w:rsid w:val="009C019A"/>
    <w:rsid w:val="009C3EB7"/>
    <w:rsid w:val="009C7CBC"/>
    <w:rsid w:val="009D2C9A"/>
    <w:rsid w:val="009F5B79"/>
    <w:rsid w:val="00A01A3A"/>
    <w:rsid w:val="00A30DDF"/>
    <w:rsid w:val="00A54700"/>
    <w:rsid w:val="00A72374"/>
    <w:rsid w:val="00A76619"/>
    <w:rsid w:val="00A76F17"/>
    <w:rsid w:val="00A8008D"/>
    <w:rsid w:val="00A80118"/>
    <w:rsid w:val="00A91CB7"/>
    <w:rsid w:val="00A95650"/>
    <w:rsid w:val="00AA00B5"/>
    <w:rsid w:val="00AA0D44"/>
    <w:rsid w:val="00AA45F0"/>
    <w:rsid w:val="00AE59C9"/>
    <w:rsid w:val="00AE77A6"/>
    <w:rsid w:val="00B00038"/>
    <w:rsid w:val="00B02FE2"/>
    <w:rsid w:val="00B16FC7"/>
    <w:rsid w:val="00B40161"/>
    <w:rsid w:val="00B444D3"/>
    <w:rsid w:val="00B5194C"/>
    <w:rsid w:val="00B670C6"/>
    <w:rsid w:val="00B74559"/>
    <w:rsid w:val="00B8206C"/>
    <w:rsid w:val="00BC3CFA"/>
    <w:rsid w:val="00BD6BC3"/>
    <w:rsid w:val="00C13F23"/>
    <w:rsid w:val="00C36FA0"/>
    <w:rsid w:val="00C62577"/>
    <w:rsid w:val="00C6527D"/>
    <w:rsid w:val="00C65CB9"/>
    <w:rsid w:val="00C91E26"/>
    <w:rsid w:val="00CB4E63"/>
    <w:rsid w:val="00CC0373"/>
    <w:rsid w:val="00CD33CA"/>
    <w:rsid w:val="00CE734C"/>
    <w:rsid w:val="00CF139E"/>
    <w:rsid w:val="00CF240A"/>
    <w:rsid w:val="00CF32F3"/>
    <w:rsid w:val="00D04B29"/>
    <w:rsid w:val="00D228EB"/>
    <w:rsid w:val="00D924FC"/>
    <w:rsid w:val="00D95E66"/>
    <w:rsid w:val="00DA2B80"/>
    <w:rsid w:val="00DD27C7"/>
    <w:rsid w:val="00DD3F6C"/>
    <w:rsid w:val="00DE29D6"/>
    <w:rsid w:val="00DF210C"/>
    <w:rsid w:val="00E07E7A"/>
    <w:rsid w:val="00E25B4B"/>
    <w:rsid w:val="00E273E4"/>
    <w:rsid w:val="00E74EE0"/>
    <w:rsid w:val="00EA21AC"/>
    <w:rsid w:val="00EB3F85"/>
    <w:rsid w:val="00ED1B19"/>
    <w:rsid w:val="00EE6548"/>
    <w:rsid w:val="00EF0DE7"/>
    <w:rsid w:val="00F10BE2"/>
    <w:rsid w:val="00F1212B"/>
    <w:rsid w:val="00F329C1"/>
    <w:rsid w:val="00F3322D"/>
    <w:rsid w:val="00F4131F"/>
    <w:rsid w:val="00F6668C"/>
    <w:rsid w:val="00F71E30"/>
    <w:rsid w:val="00F902FB"/>
    <w:rsid w:val="00F90B84"/>
    <w:rsid w:val="00F93DF0"/>
    <w:rsid w:val="00FB4691"/>
    <w:rsid w:val="00FC52BE"/>
    <w:rsid w:val="00FE1E10"/>
    <w:rsid w:val="00FF0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 w:type="paragraph" w:styleId="BodyText">
    <w:name w:val="Body Text"/>
    <w:basedOn w:val="Normal"/>
    <w:link w:val="BodyTextChar"/>
    <w:rsid w:val="00B444D3"/>
    <w:pPr>
      <w:jc w:val="both"/>
    </w:pPr>
    <w:rPr>
      <w:szCs w:val="20"/>
      <w:lang w:eastAsia="lv-LV"/>
    </w:rPr>
  </w:style>
  <w:style w:type="character" w:customStyle="1" w:styleId="BodyTextChar">
    <w:name w:val="Body Text Char"/>
    <w:basedOn w:val="DefaultParagraphFont"/>
    <w:link w:val="BodyText"/>
    <w:rsid w:val="00B444D3"/>
    <w:rPr>
      <w:rFonts w:ascii="Times New Roman" w:eastAsia="Times New Roman" w:hAnsi="Times New Roman" w:cs="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customStyle="1" w:styleId="naisf">
    <w:name w:val="naisf"/>
    <w:basedOn w:val="Normal"/>
    <w:uiPriority w:val="99"/>
    <w:rsid w:val="006B59D9"/>
    <w:pPr>
      <w:spacing w:before="107" w:after="107"/>
      <w:ind w:firstLine="537"/>
      <w:jc w:val="both"/>
    </w:pPr>
    <w:rPr>
      <w:sz w:val="24"/>
      <w:szCs w:val="24"/>
      <w:lang w:val="en-US"/>
    </w:rPr>
  </w:style>
  <w:style w:type="paragraph" w:styleId="BodyText">
    <w:name w:val="Body Text"/>
    <w:basedOn w:val="Normal"/>
    <w:link w:val="BodyTextChar"/>
    <w:rsid w:val="00B444D3"/>
    <w:pPr>
      <w:jc w:val="both"/>
    </w:pPr>
    <w:rPr>
      <w:szCs w:val="20"/>
      <w:lang w:eastAsia="lv-LV"/>
    </w:rPr>
  </w:style>
  <w:style w:type="character" w:customStyle="1" w:styleId="BodyTextChar">
    <w:name w:val="Body Text Char"/>
    <w:basedOn w:val="DefaultParagraphFont"/>
    <w:link w:val="BodyText"/>
    <w:rsid w:val="00B444D3"/>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vils.strikeris@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C1C9-8240-43CB-8BA2-699115D1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523</Words>
  <Characters>4248</Characters>
  <Application>Microsoft Office Word</Application>
  <DocSecurity>0</DocSecurity>
  <Lines>202</Lines>
  <Paragraphs>95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Titova</dc:creator>
  <cp:lastModifiedBy>Alvils Strīķeris</cp:lastModifiedBy>
  <cp:revision>6</cp:revision>
  <cp:lastPrinted>2012-09-27T07:50:00Z</cp:lastPrinted>
  <dcterms:created xsi:type="dcterms:W3CDTF">2012-06-11T11:20:00Z</dcterms:created>
  <dcterms:modified xsi:type="dcterms:W3CDTF">2012-09-27T07:50:00Z</dcterms:modified>
</cp:coreProperties>
</file>