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8D" w:rsidRPr="00742965" w:rsidRDefault="00F20C8D" w:rsidP="00DA5E5D">
      <w:pPr>
        <w:jc w:val="center"/>
        <w:rPr>
          <w:b/>
          <w:sz w:val="28"/>
          <w:szCs w:val="28"/>
        </w:rPr>
      </w:pPr>
      <w:r w:rsidRPr="00FD6336">
        <w:rPr>
          <w:b/>
          <w:sz w:val="28"/>
          <w:szCs w:val="28"/>
        </w:rPr>
        <w:t>Ministru kabineta noteikumu „</w:t>
      </w:r>
      <w:r w:rsidRPr="00742965">
        <w:rPr>
          <w:b/>
          <w:sz w:val="28"/>
          <w:szCs w:val="28"/>
        </w:rPr>
        <w:t xml:space="preserve">Grozījumi Ministru kabineta 2003.gada </w:t>
      </w:r>
      <w:r>
        <w:rPr>
          <w:b/>
          <w:sz w:val="28"/>
          <w:szCs w:val="28"/>
        </w:rPr>
        <w:t xml:space="preserve">3.jūnija </w:t>
      </w:r>
      <w:r w:rsidRPr="00742965">
        <w:rPr>
          <w:b/>
          <w:sz w:val="28"/>
          <w:szCs w:val="28"/>
        </w:rPr>
        <w:t>noteikumos Nr.2</w:t>
      </w:r>
      <w:r>
        <w:rPr>
          <w:b/>
          <w:sz w:val="28"/>
          <w:szCs w:val="28"/>
        </w:rPr>
        <w:t>91</w:t>
      </w:r>
      <w:r w:rsidRPr="00742965">
        <w:rPr>
          <w:b/>
          <w:sz w:val="28"/>
          <w:szCs w:val="28"/>
        </w:rPr>
        <w:t xml:space="preserve"> „</w:t>
      </w:r>
      <w:r>
        <w:rPr>
          <w:b/>
          <w:sz w:val="28"/>
          <w:szCs w:val="28"/>
        </w:rPr>
        <w:t>Prasības sociālo pakalpojumu sniedzējiem</w:t>
      </w:r>
      <w:r w:rsidRPr="00742965">
        <w:rPr>
          <w:b/>
          <w:sz w:val="28"/>
          <w:szCs w:val="28"/>
        </w:rPr>
        <w:t>”</w:t>
      </w:r>
      <w:r>
        <w:rPr>
          <w:b/>
          <w:sz w:val="28"/>
          <w:szCs w:val="28"/>
        </w:rPr>
        <w:t>”</w:t>
      </w:r>
    </w:p>
    <w:p w:rsidR="00F20C8D" w:rsidRDefault="00F20C8D" w:rsidP="00B76D85">
      <w:pPr>
        <w:jc w:val="center"/>
        <w:rPr>
          <w:b/>
          <w:sz w:val="28"/>
          <w:szCs w:val="28"/>
        </w:rPr>
      </w:pPr>
      <w:r w:rsidRPr="00461048">
        <w:rPr>
          <w:b/>
          <w:sz w:val="28"/>
          <w:szCs w:val="28"/>
        </w:rPr>
        <w:t xml:space="preserve">sākotnējās ietekmes novērtējuma </w:t>
      </w:r>
      <w:smartTag w:uri="schemas-tilde-lv/tildestengine" w:element="veidnes">
        <w:smartTagPr>
          <w:attr w:name="baseform" w:val="ziņojum|s"/>
          <w:attr w:name="id" w:val="-1"/>
          <w:attr w:name="text" w:val="ziņojums"/>
        </w:smartTagPr>
        <w:r w:rsidRPr="00461048">
          <w:rPr>
            <w:b/>
            <w:sz w:val="28"/>
            <w:szCs w:val="28"/>
          </w:rPr>
          <w:t>ziņojums</w:t>
        </w:r>
      </w:smartTag>
      <w:r w:rsidRPr="00AC181D">
        <w:rPr>
          <w:b/>
          <w:sz w:val="28"/>
          <w:szCs w:val="28"/>
        </w:rPr>
        <w:t xml:space="preserve"> (anotācija)</w:t>
      </w:r>
    </w:p>
    <w:p w:rsidR="00F20C8D" w:rsidRDefault="00F20C8D"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232"/>
        <w:gridCol w:w="6659"/>
      </w:tblGrid>
      <w:tr w:rsidR="00F20C8D" w:rsidRPr="00B76D85" w:rsidTr="00CE6881">
        <w:tc>
          <w:tcPr>
            <w:tcW w:w="5000" w:type="pct"/>
            <w:gridSpan w:val="3"/>
          </w:tcPr>
          <w:p w:rsidR="00F20C8D" w:rsidRPr="00CE6881" w:rsidRDefault="00F20C8D" w:rsidP="00CE6881">
            <w:pPr>
              <w:jc w:val="center"/>
              <w:rPr>
                <w:b/>
              </w:rPr>
            </w:pPr>
            <w:r w:rsidRPr="00CE6881">
              <w:rPr>
                <w:b/>
              </w:rPr>
              <w:t xml:space="preserve">I Tiesību </w:t>
            </w:r>
            <w:smartTag w:uri="schemas-tilde-lv/tildestengine" w:element="veidnes">
              <w:smartTagPr>
                <w:attr w:name="baseform" w:val="akt|s"/>
                <w:attr w:name="id" w:val="-1"/>
                <w:attr w:name="text" w:val="akta"/>
              </w:smartTagPr>
              <w:r w:rsidRPr="00CE6881">
                <w:rPr>
                  <w:b/>
                </w:rPr>
                <w:t>akta</w:t>
              </w:r>
            </w:smartTag>
            <w:r w:rsidRPr="00CE6881">
              <w:rPr>
                <w:b/>
              </w:rPr>
              <w:t xml:space="preserve"> projekta izstrādes nepieciešamība</w:t>
            </w:r>
          </w:p>
        </w:tc>
      </w:tr>
      <w:tr w:rsidR="00F20C8D" w:rsidRPr="003F27FC" w:rsidTr="00CE6881">
        <w:tc>
          <w:tcPr>
            <w:tcW w:w="213" w:type="pct"/>
          </w:tcPr>
          <w:p w:rsidR="00F20C8D" w:rsidRPr="0040379C" w:rsidRDefault="00F20C8D" w:rsidP="00B76D85">
            <w:r w:rsidRPr="0040379C">
              <w:t>1.</w:t>
            </w:r>
          </w:p>
        </w:tc>
        <w:tc>
          <w:tcPr>
            <w:tcW w:w="1202" w:type="pct"/>
          </w:tcPr>
          <w:p w:rsidR="00F20C8D" w:rsidRPr="0040379C" w:rsidRDefault="00F20C8D" w:rsidP="00B76D85">
            <w:r w:rsidRPr="0040379C">
              <w:t>Pamatojums</w:t>
            </w:r>
          </w:p>
        </w:tc>
        <w:tc>
          <w:tcPr>
            <w:tcW w:w="3585" w:type="pct"/>
          </w:tcPr>
          <w:p w:rsidR="00F20C8D" w:rsidRPr="00D675AA" w:rsidRDefault="00F20C8D" w:rsidP="00CE6881">
            <w:pPr>
              <w:jc w:val="both"/>
            </w:pPr>
            <w:r>
              <w:t xml:space="preserve">2009.gada 7.maija un 2010.gada 7.oktobra </w:t>
            </w:r>
            <w:r w:rsidRPr="0040379C">
              <w:t>grozījumi Sociālo pakalpoju</w:t>
            </w:r>
            <w:r>
              <w:t>mu un sociālās palīdzības likumā.</w:t>
            </w:r>
          </w:p>
        </w:tc>
      </w:tr>
      <w:tr w:rsidR="00F20C8D" w:rsidRPr="003F27FC" w:rsidTr="00CE6881">
        <w:tc>
          <w:tcPr>
            <w:tcW w:w="213" w:type="pct"/>
          </w:tcPr>
          <w:p w:rsidR="00F20C8D" w:rsidRPr="0040379C" w:rsidRDefault="00F20C8D" w:rsidP="00B76D85">
            <w:r w:rsidRPr="0040379C">
              <w:t xml:space="preserve">2. </w:t>
            </w:r>
          </w:p>
        </w:tc>
        <w:tc>
          <w:tcPr>
            <w:tcW w:w="1202" w:type="pct"/>
          </w:tcPr>
          <w:p w:rsidR="00F20C8D" w:rsidRPr="0040379C" w:rsidRDefault="00F20C8D" w:rsidP="00B76D85">
            <w:r w:rsidRPr="0040379C">
              <w:t>Pašreizējā situācija un problēmas</w:t>
            </w:r>
          </w:p>
        </w:tc>
        <w:tc>
          <w:tcPr>
            <w:tcW w:w="3585" w:type="pct"/>
          </w:tcPr>
          <w:p w:rsidR="00F20C8D" w:rsidRDefault="00F20C8D" w:rsidP="005A1AB7">
            <w:pPr>
              <w:pStyle w:val="naisf"/>
              <w:spacing w:before="0" w:after="0"/>
              <w:ind w:firstLine="374"/>
            </w:pPr>
            <w:r>
              <w:t xml:space="preserve">Sociālo pakalpojumu un sociālās palīdzības likumā ir veiktas izmaiņas </w:t>
            </w:r>
            <w:r w:rsidRPr="00DA5E5D">
              <w:t>(spēkā no10.11.2010.</w:t>
            </w:r>
            <w:r>
              <w:t xml:space="preserve">) – </w:t>
            </w:r>
            <w:r w:rsidRPr="00DA5E5D">
              <w:t>likuma 4.panta sept</w:t>
            </w:r>
            <w:r>
              <w:t>ītā</w:t>
            </w:r>
            <w:r w:rsidRPr="00DA5E5D">
              <w:t xml:space="preserve"> daļ</w:t>
            </w:r>
            <w:r>
              <w:t>ā,</w:t>
            </w:r>
            <w:r w:rsidRPr="00DA5E5D">
              <w:t xml:space="preserve"> kas nosaka personas ar prognozējamu invaliditāti tiesības saņemt Invaliditātes likumā (spēkā no </w:t>
            </w:r>
            <w:r>
              <w:t>01.01.2011.)</w:t>
            </w:r>
            <w:r w:rsidRPr="00DA5E5D">
              <w:t xml:space="preserve"> noteiktos sociālos pakalpojumus, 7.panta 1.</w:t>
            </w:r>
            <w:r>
              <w:t>punktā,</w:t>
            </w:r>
            <w:r w:rsidRPr="00DA5E5D">
              <w:t xml:space="preserve"> </w:t>
            </w:r>
            <w:r>
              <w:t>kas nosaka klienta pienākumu</w:t>
            </w:r>
            <w:r w:rsidRPr="00DA5E5D">
              <w:t xml:space="preserve"> aktīvi iesaistīties savas problēmas risināšanā, pildot līdzdarbības pienākumus, tajā skaitā piedaloties sociālās rehabilitācijas pasākumos darba un sociālo prasmju saglabāšanai, atjaunošanai un apgūšanai, kā arī 31.panta ceturtajā daļā noteikto attiecīb</w:t>
            </w:r>
            <w:r w:rsidRPr="0040379C">
              <w:t xml:space="preserve">ā uz institūciju un </w:t>
            </w:r>
            <w:r>
              <w:t xml:space="preserve">Valsts sociālās apdrošināšanas aģentūras (turpmāk – </w:t>
            </w:r>
            <w:r w:rsidRPr="0040379C">
              <w:t>VSAA</w:t>
            </w:r>
            <w:r>
              <w:t>)</w:t>
            </w:r>
            <w:r w:rsidRPr="0040379C">
              <w:t xml:space="preserve"> savstarpējo sadarbību samaksas par pakalpojumu institūcijā nodrošināšanai no klienta pensijas, piemaksām pie pensijas</w:t>
            </w:r>
            <w:r>
              <w:t xml:space="preserve"> </w:t>
            </w:r>
            <w:r w:rsidRPr="0040379C">
              <w:t xml:space="preserve">vai </w:t>
            </w:r>
            <w:r>
              <w:t>valsts</w:t>
            </w:r>
            <w:r w:rsidRPr="0040379C">
              <w:t xml:space="preserve"> pabalst</w:t>
            </w:r>
            <w:r>
              <w:t xml:space="preserve">iem. Līdz ar to </w:t>
            </w:r>
            <w:r w:rsidRPr="003E33EC">
              <w:t>Ministru kabineta 2003.gada 3.jūnija noteikumos Nr.291 „Prasības sociālo pakalpojumu sniedzējiem” (</w:t>
            </w:r>
            <w:r w:rsidRPr="0040379C">
              <w:t>turpmāk – noteikumi)</w:t>
            </w:r>
            <w:r>
              <w:t xml:space="preserve"> daļā, kas skar</w:t>
            </w:r>
            <w:r w:rsidRPr="0040379C">
              <w:t xml:space="preserve"> prasības </w:t>
            </w:r>
            <w:r>
              <w:t>attiecīgajiem sociālo pakalpojumu sniedzējiem, nepieciešami precizējumi atbilstoši likuma normām</w:t>
            </w:r>
            <w:r w:rsidRPr="0040379C">
              <w:t>.</w:t>
            </w:r>
            <w:r>
              <w:t xml:space="preserve"> </w:t>
            </w:r>
          </w:p>
          <w:p w:rsidR="00F20C8D" w:rsidRDefault="00F20C8D" w:rsidP="005A1AB7">
            <w:pPr>
              <w:pStyle w:val="naisf"/>
              <w:spacing w:before="0" w:after="0"/>
              <w:ind w:firstLine="374"/>
            </w:pPr>
            <w:r>
              <w:t>Bāriņtiesas saskaņā ar Ministru kabineta 2006.gada 19.decembra noteikumu Nr.1037 „Bāriņtiesu darbības noteikumi” VII sadaļu „Riska novērtēšana bērna aprūpes tiesību atņemšanas un atjaunošanas lietās un aizbildņa atcelšanas lietās” paredzēto, riska novērtēšanā pieaicina speciālistus un citu institūciju pārstāvjus, kas parasti ir pašvaldību sociālo dienestu pārstāvji. Sociālo dienestu sociālie darbinieki savā sociālā darba praksē izmanto iepriekš minēto noteikumu 2.pielikumā esošos riska novērtēšanas kritērijus, interpretējot tos atbilstoši vajadzībai. Veicot sarunas ar sociālo dienestu pārstāvjiem, tika atbalstīta ideja, ka šos kritērijus nepieciešams ieviest arī sociālajos dienestos. Bērnu tiesību aizsardzības inspekcija 2010.gada oktobrī un novembrī organizēja apmācību seminārus un aicināja uz tiem sociālos darbiniekus.</w:t>
            </w:r>
          </w:p>
          <w:p w:rsidR="00F20C8D" w:rsidRDefault="00F20C8D" w:rsidP="005A1AB7">
            <w:pPr>
              <w:pStyle w:val="naisf"/>
              <w:spacing w:before="0" w:after="0"/>
              <w:ind w:firstLine="374"/>
            </w:pPr>
            <w:r>
              <w:t xml:space="preserve">Līdz šim noteikumi nenoteica atsevišķu pakalpojuma sniedzēju dokumentu uzglabāšanas termiņus. Līdz ar to, šobrīd faktiski nav vienota regulējuma minētajā jautājumā. Dokumentu uzglabāšanas termiņus katra institūcija nosaka pati un saskaņo ar Valsts arhīvu ģenerāldirekciju. Esošā praksē jau ir ieviests, ka ilgstošas sociālās aprūpes un sociālās rehabilitācijas institūciju klientu lietas glabā 10 gadus, bet klientu žurnālus 75 gadus. Ar labklājības ministra 1999.gada 16.decembra rīkojumu „Par vienota parauga veidlapu bāreņu aprūpes centriem, specializētajiem bērnu sociālās aprūpes centriem specializētiem valsts sociālās aprūpes centriem un pansionātiem apstiprināšanu” tika apstiprinātas bērnu sociālās aprūpes institūciju un sociālās aprūpes institūcijas iemītnieku reģistrācijas žurnāla veidlapas. Tā kā labklājības ministra rīkojumi nav saistoši privātajām un pašvaldību institūcijām, tad žurnālus šīs iestādes veidoja pēc sava parauga, dažkārt stipri atšķirīgas. </w:t>
            </w:r>
          </w:p>
          <w:p w:rsidR="00F20C8D" w:rsidRDefault="00F20C8D" w:rsidP="00313A11">
            <w:pPr>
              <w:ind w:left="12"/>
              <w:jc w:val="both"/>
            </w:pPr>
            <w:r>
              <w:t xml:space="preserve">Veicot pārbaudes ilgstošas sociālās aprūpes un sociālās rehabilitācijas institūcijās, tika konstatēts, ka institūcijas rehabilitācijas plānus, kas tiek izmantoti </w:t>
            </w:r>
            <w:r w:rsidRPr="00313A11">
              <w:t xml:space="preserve">ikdienas </w:t>
            </w:r>
            <w:r>
              <w:t xml:space="preserve">darbā ar klientu, ievieto vienā lietā ar dokumentiem, kas tiek izmantoti tikai retumis. Līdz ar to, reti izmantojamie bet personas tālākajā dzīvē  nozīmīgie dokumenti, tiek nobružāti, un tos vēlams glabāt atsevišķi. Individuālās sociālās aprūpes un sociālās rehabilitācijas plānu lietderīgāk veidot atsevišķi un glabāt kā atsevišķu nomenklatūras lieta. Iepriekš minētie plāni katrā pakalpojumu sniedzējā institūcijā tiek izstrādāti un lietoti ikdienā un to lietošanas nepieciešamība faktiski izbeidzas līdz ar procesa izbeigšanu. </w:t>
            </w:r>
          </w:p>
          <w:p w:rsidR="00F20C8D" w:rsidRDefault="00F20C8D" w:rsidP="00313A11">
            <w:pPr>
              <w:ind w:left="12"/>
              <w:jc w:val="both"/>
            </w:pPr>
            <w:r>
              <w:t xml:space="preserve">Normatīvajos aktos nav noteiktas prasības tādām sociālo pakalpojumu institūcijām, kas veidotas saskaņā ar Bērnu tiesību aizsardzības likumā noteikto (bērnu mani, patversmes) vai pilngadīgo personu īslaicīgai aprūpei (piemēram, pansijas). Līdz ar to institūcijas, lai arī nereti sniedz sociālo pakalpojumu ilgstošā periodā, izvairās arī no ilgstošas sociālās aprūpes un sociālās rehabilitācijas pakalpojumu sniedzējiem noteiktajām prasībām, lai gan rakstiski sniedzot tādu pašu pakalpojumu. Lai nebūtu jāveido jaunas nodaļas īslaicīgu sociālo pakalpojumu sniedzējiem, noteikumus var papildināt ar norādi, ka tiem ir saistošas tās pašas prasības, kas ilgstoša sociālā pakalpojuma sniedzējam.  </w:t>
            </w:r>
          </w:p>
          <w:p w:rsidR="00F20C8D" w:rsidRPr="004439CD" w:rsidRDefault="00F20C8D" w:rsidP="005A1AB7">
            <w:pPr>
              <w:pStyle w:val="naisf"/>
              <w:spacing w:before="0" w:after="0"/>
              <w:ind w:firstLine="374"/>
            </w:pPr>
            <w:r>
              <w:t xml:space="preserve">Tāpat, pamatojoties uz ieviesto praksi, noteikumu atsevišķas normas nepieciešams precizēt atbilstoši reālajām veicamajām darbībām, pārvēršot labās prakses piemērus par tiesiska regulējuma normām un nodrošinot analogu institūciju vienādu darbību. </w:t>
            </w:r>
          </w:p>
        </w:tc>
      </w:tr>
      <w:tr w:rsidR="00F20C8D" w:rsidRPr="003F27FC" w:rsidTr="00CE6881">
        <w:tc>
          <w:tcPr>
            <w:tcW w:w="213" w:type="pct"/>
          </w:tcPr>
          <w:p w:rsidR="00F20C8D" w:rsidRPr="0040379C" w:rsidRDefault="00F20C8D" w:rsidP="00B76D85">
            <w:r w:rsidRPr="0040379C">
              <w:t xml:space="preserve">3. </w:t>
            </w:r>
          </w:p>
        </w:tc>
        <w:tc>
          <w:tcPr>
            <w:tcW w:w="1202" w:type="pct"/>
          </w:tcPr>
          <w:p w:rsidR="00F20C8D" w:rsidRPr="0040379C" w:rsidRDefault="00F20C8D" w:rsidP="00B76D85">
            <w:r w:rsidRPr="0040379C">
              <w:t>Saistītie politikas ietekmes novērtējumi un pētījumi</w:t>
            </w:r>
          </w:p>
        </w:tc>
        <w:tc>
          <w:tcPr>
            <w:tcW w:w="3585" w:type="pct"/>
          </w:tcPr>
          <w:p w:rsidR="00F20C8D" w:rsidRPr="00C552F4" w:rsidRDefault="00F20C8D" w:rsidP="00CE6881">
            <w:pPr>
              <w:jc w:val="both"/>
            </w:pPr>
            <w:r w:rsidRPr="00C552F4">
              <w:rPr>
                <w:color w:val="000000"/>
              </w:rPr>
              <w:t>Projekts šo jomu neskar</w:t>
            </w:r>
            <w:r w:rsidRPr="00C552F4">
              <w:t xml:space="preserve">. </w:t>
            </w:r>
          </w:p>
        </w:tc>
      </w:tr>
      <w:tr w:rsidR="00F20C8D" w:rsidRPr="003F27FC" w:rsidTr="00CE6881">
        <w:tc>
          <w:tcPr>
            <w:tcW w:w="213" w:type="pct"/>
          </w:tcPr>
          <w:p w:rsidR="00F20C8D" w:rsidRPr="0040379C" w:rsidRDefault="00F20C8D" w:rsidP="00B76D85">
            <w:r w:rsidRPr="0040379C">
              <w:t>4.</w:t>
            </w:r>
          </w:p>
        </w:tc>
        <w:tc>
          <w:tcPr>
            <w:tcW w:w="1202" w:type="pct"/>
          </w:tcPr>
          <w:p w:rsidR="00F20C8D" w:rsidRPr="0040379C" w:rsidRDefault="00F20C8D" w:rsidP="00B76D85">
            <w:r w:rsidRPr="0040379C">
              <w:t>Tiesiskā regulējuma mērķis un būtība</w:t>
            </w:r>
          </w:p>
        </w:tc>
        <w:tc>
          <w:tcPr>
            <w:tcW w:w="3585" w:type="pct"/>
          </w:tcPr>
          <w:p w:rsidR="00F20C8D" w:rsidRDefault="00F20C8D" w:rsidP="003E33EC">
            <w:r w:rsidRPr="0040379C">
              <w:t xml:space="preserve">Ministru kabineta </w:t>
            </w:r>
            <w:r w:rsidRPr="004439CD">
              <w:t>noteikumu „Grozījumi Ministru kabineta 2003.gada 3.jūnija noteikumos Nr.291 „Prasības sociālo pakalpojumu sniedzējiem””</w:t>
            </w:r>
            <w:r>
              <w:t xml:space="preserve"> </w:t>
            </w:r>
            <w:r w:rsidRPr="004439CD">
              <w:t>(turpmāk – grozījumi) mērķis</w:t>
            </w:r>
            <w:r w:rsidRPr="00DA5E5D">
              <w:t xml:space="preserve"> ir saskaņot noteikumu normas ar </w:t>
            </w:r>
            <w:r>
              <w:t xml:space="preserve">Sociālo pakalpojumu un sociālas palīdzības likuma (turpmāk – likums), Invaliditātes likuma normām, noteikt prasības jaunu sociālo pakalpojumu sniedzējiem, kā arī precizēt atsevišķas noteikumu normas atbilstoši esošajai praksei. </w:t>
            </w:r>
          </w:p>
          <w:p w:rsidR="00F20C8D" w:rsidRDefault="00F20C8D" w:rsidP="003E33EC">
            <w:r>
              <w:t xml:space="preserve">Grozījumi atrisina anotācijas 2.punktā minētās problēmas: </w:t>
            </w:r>
          </w:p>
          <w:p w:rsidR="00F20C8D" w:rsidRDefault="00F20C8D" w:rsidP="00612DB4">
            <w:pPr>
              <w:numPr>
                <w:ilvl w:val="0"/>
                <w:numId w:val="24"/>
              </w:numPr>
              <w:tabs>
                <w:tab w:val="clear" w:pos="360"/>
                <w:tab w:val="num" w:pos="372"/>
              </w:tabs>
              <w:ind w:left="12" w:firstLine="0"/>
              <w:jc w:val="both"/>
            </w:pPr>
            <w:r>
              <w:t xml:space="preserve">iekļaujot grozījumos prasību sociālo pakalpojumu sniedzējam klienta lietas glabāt 10 gadus, tiek nepārprotami ieviesta sistēma, kas izslēgs iespēju pielietot citus dokumentu glabāšanas termiņu, tādējādi izslēdzot arī risku nepamatoti apgrūtināt Valsts arhīvu ar dokumentu, kuriem nav ietekmes uz personas turpmāku dzīvi vai pierādījumu vērtības, uzglabāšanu. Nepieprasītos bērna personu apliecinošos dokumentus (pasi, dzimšanas apliecību)  uzglabā 75 gadus  (grozījumu 1., 9. punkts); </w:t>
            </w:r>
          </w:p>
          <w:p w:rsidR="00F20C8D" w:rsidRDefault="00F20C8D" w:rsidP="00612DB4">
            <w:pPr>
              <w:numPr>
                <w:ilvl w:val="0"/>
                <w:numId w:val="24"/>
              </w:numPr>
              <w:tabs>
                <w:tab w:val="clear" w:pos="360"/>
                <w:tab w:val="num" w:pos="372"/>
              </w:tabs>
              <w:ind w:left="12" w:firstLine="0"/>
              <w:jc w:val="both"/>
            </w:pPr>
            <w:r>
              <w:t>noteikumu V nodaļas nosaukumā vārdi „pieaugušas personas” tiek aizstāti ar vārdiem „pilngadīgas personas”, lai saskaņotu noteikumus ar likumā lietoto terminu attiecībā uz ilgstošas sociālās aprūpes un sociālās rehabilitācijas pakalpojumiem, bet noteikumu 26.punkta redakcijā tiek dota norāde uz to, ka turpmākajā tekstā tiek lietots saīsinājums „Pieaugušas personas, lai nebūtu jāmaina visas nodaļas punkti (grozījumu 2., 13., 13. punkts);</w:t>
            </w:r>
          </w:p>
          <w:p w:rsidR="00F20C8D" w:rsidRDefault="00F20C8D" w:rsidP="004E4AFA">
            <w:pPr>
              <w:numPr>
                <w:ilvl w:val="0"/>
                <w:numId w:val="24"/>
              </w:numPr>
              <w:tabs>
                <w:tab w:val="clear" w:pos="360"/>
                <w:tab w:val="num" w:pos="372"/>
              </w:tabs>
              <w:ind w:left="12" w:firstLine="0"/>
              <w:jc w:val="both"/>
            </w:pPr>
            <w:r>
              <w:t>vienkāršota klientu iepazīstināšana ar pašvaldības saistošajiem noteikumiem (grozījumu 3.punkts);</w:t>
            </w:r>
          </w:p>
          <w:p w:rsidR="00F20C8D" w:rsidRDefault="00F20C8D" w:rsidP="003F1A86">
            <w:pPr>
              <w:numPr>
                <w:ilvl w:val="0"/>
                <w:numId w:val="24"/>
              </w:numPr>
              <w:tabs>
                <w:tab w:val="clear" w:pos="360"/>
                <w:tab w:val="num" w:pos="372"/>
              </w:tabs>
              <w:ind w:left="12" w:firstLine="0"/>
              <w:jc w:val="both"/>
            </w:pPr>
            <w:r>
              <w:t xml:space="preserve">grozījumi paredz, ka pašvaldību sociālā dienesta sociāliem darbiniekiem, kuri strādā ar ģimenēm ar bērniem, turpmāk ir nepieciešamas zināšanas un prasmes riska novērtēšanas jautājumos. Minētās zināšanas sociālie darbinieki var iegūt Bērnu tiesību aizsardzības inspekcijas organizētajos apmācību semināros vai arī apgūstot nepieciešamās prasmes, veicot profesionālos pienākumus sadarbībā ar sociālo dienestu vai Bāriņtiesu darbiniekiem, kuri ir apguvuši apmācības kursu. Šajā gadījumā sociālajam darbiniekam nav dokumentāli jāpierāda kursa apguve, bet gan jāmāk izmantot noteikumu pielikumos esošā metode -1. un 2. pielikums, kuros ir attiecīgais kritēriju un anketas paraugs, kā arī ne nepieciešami līdzekļi darbinieku apmācībai (noteikumu 4., 6. punkts);  </w:t>
            </w:r>
          </w:p>
          <w:p w:rsidR="00F20C8D" w:rsidRDefault="00F20C8D" w:rsidP="003F1A86">
            <w:pPr>
              <w:numPr>
                <w:ilvl w:val="0"/>
                <w:numId w:val="24"/>
              </w:numPr>
              <w:tabs>
                <w:tab w:val="clear" w:pos="360"/>
                <w:tab w:val="num" w:pos="372"/>
              </w:tabs>
              <w:ind w:left="12" w:firstLine="0"/>
              <w:jc w:val="both"/>
            </w:pPr>
            <w:r>
              <w:t xml:space="preserve">grozījumi saskaņo noteikumu 8.4.apakšpunktu ar likuma normu, paredzot sociālā dienesta klienta pienākumu iesaistīties sociālās rehabilitācijas pasākumos darba un sociālo prasmju saglabāšanai, atjaunošanai, apgūšanai (grozījumu 5., 15.punkts); </w:t>
            </w:r>
          </w:p>
          <w:p w:rsidR="00F20C8D" w:rsidRDefault="00F20C8D" w:rsidP="003F1A86">
            <w:pPr>
              <w:numPr>
                <w:ilvl w:val="0"/>
                <w:numId w:val="24"/>
              </w:numPr>
              <w:tabs>
                <w:tab w:val="clear" w:pos="360"/>
                <w:tab w:val="num" w:pos="372"/>
              </w:tabs>
              <w:ind w:left="12" w:firstLine="0"/>
              <w:jc w:val="both"/>
            </w:pPr>
            <w:r>
              <w:t>grozījumi saskaņo noteikumus ar Invaliditātes likumā pieredzēto - sociālā dienesta pienākumu izstrādāt un realizēt personām ar invaliditāti individuālo rehabilitācijas plānu (grozījumu 6.punkts);</w:t>
            </w:r>
          </w:p>
          <w:p w:rsidR="00F20C8D" w:rsidRDefault="00F20C8D" w:rsidP="00D65266">
            <w:pPr>
              <w:numPr>
                <w:ilvl w:val="0"/>
                <w:numId w:val="24"/>
              </w:numPr>
              <w:tabs>
                <w:tab w:val="clear" w:pos="360"/>
                <w:tab w:val="num" w:pos="372"/>
              </w:tabs>
              <w:ind w:left="12" w:firstLine="0"/>
              <w:jc w:val="both"/>
            </w:pPr>
            <w:r>
              <w:t xml:space="preserve">tiek noteikts, ka īslaicīgu sociālās aprūpes un sociālās  rehabilitācijas pakalpojumu sniedzēji ievēro tās pašas prasības, kādas ir ilgstošas sociālās aprūpes un sociālās rehabilitācijas pakalpojumu sniedzējiem (grozījumu 7., 14.punkts); </w:t>
            </w:r>
          </w:p>
          <w:p w:rsidR="00F20C8D" w:rsidRDefault="00F20C8D" w:rsidP="00D65266">
            <w:pPr>
              <w:numPr>
                <w:ilvl w:val="0"/>
                <w:numId w:val="24"/>
              </w:numPr>
              <w:tabs>
                <w:tab w:val="clear" w:pos="360"/>
                <w:tab w:val="num" w:pos="372"/>
              </w:tabs>
              <w:ind w:left="12" w:firstLine="0"/>
              <w:jc w:val="both"/>
            </w:pPr>
            <w:r>
              <w:t>tiek noteikts, ka klientu reģistri (iepriekš saskaņā ar labklājības ministra 1999.gada 16.decembra rīkojumu „Par vienota parauga veidlapu bāreņu aprūpes centriem, specializētajiem bērnu sociālās aprūpes centriem specializētiem valsts sociālās aprūpes centriem un pansionātiem apstiprināšanu saukti „žurnāli”) ilgstošas sociālās aprūpes un sociālās rehabilitācijas institūcijās tiek uzglabāti 75 gadus (grozījumu 10., 19.punkts);</w:t>
            </w:r>
          </w:p>
          <w:p w:rsidR="00F20C8D" w:rsidRDefault="00F20C8D" w:rsidP="00D65266">
            <w:pPr>
              <w:numPr>
                <w:ilvl w:val="0"/>
                <w:numId w:val="24"/>
              </w:numPr>
              <w:tabs>
                <w:tab w:val="clear" w:pos="360"/>
                <w:tab w:val="num" w:pos="372"/>
              </w:tabs>
              <w:ind w:left="12" w:firstLine="0"/>
              <w:jc w:val="both"/>
            </w:pPr>
            <w:r>
              <w:t>redakcionāli precizētas individuālā sociālās aprūpes vai sociālās rehabilitācijas plāna sastāvdaļas un noteikts, ka tos glabātā kā atsevišķu nomenklatūras lietu (grozījumu 8., 11., 18., 19., 24., 25.punkts);</w:t>
            </w:r>
          </w:p>
          <w:p w:rsidR="00F20C8D" w:rsidRDefault="00F20C8D" w:rsidP="00D65266">
            <w:pPr>
              <w:numPr>
                <w:ilvl w:val="0"/>
                <w:numId w:val="24"/>
              </w:numPr>
              <w:tabs>
                <w:tab w:val="clear" w:pos="360"/>
                <w:tab w:val="num" w:pos="372"/>
              </w:tabs>
              <w:ind w:left="12" w:firstLine="0"/>
              <w:jc w:val="both"/>
            </w:pPr>
            <w:r>
              <w:t>precizēta ilgstošas sociālās aprūpes un sociālās rehabilitācijas institūciju sadarbība ar VSAA klientu pensiju, piemaksu pie pensijas, valsts pabalstu jautājumos, nodrošinot likuma 31.pantā noteikto(grozījumu 16.punkts);</w:t>
            </w:r>
          </w:p>
          <w:p w:rsidR="00F20C8D" w:rsidRPr="007E1156" w:rsidRDefault="00F20C8D" w:rsidP="00B53AC3">
            <w:pPr>
              <w:numPr>
                <w:ilvl w:val="0"/>
                <w:numId w:val="24"/>
              </w:numPr>
              <w:tabs>
                <w:tab w:val="clear" w:pos="360"/>
                <w:tab w:val="num" w:pos="372"/>
              </w:tabs>
              <w:ind w:left="12" w:firstLine="0"/>
              <w:jc w:val="both"/>
            </w:pPr>
            <w:r w:rsidRPr="007E1156">
              <w:t>papildināts, ka pilngadīgo aprūpes institūcijai jāpievieno personas lietai to dokumentu kopijas,  kas apliecina invaliditātes vai VSAA izmaksu (iepriekš bija un tikai par valsts pe</w:t>
            </w:r>
            <w:r>
              <w:t>nsijām) piešķišanu (grozījumu 17</w:t>
            </w:r>
            <w:r w:rsidRPr="007E1156">
              <w:t xml:space="preserve">.punkts); </w:t>
            </w:r>
          </w:p>
          <w:p w:rsidR="00F20C8D" w:rsidRDefault="00F20C8D" w:rsidP="00B53AC3">
            <w:pPr>
              <w:numPr>
                <w:ilvl w:val="0"/>
                <w:numId w:val="24"/>
              </w:numPr>
              <w:tabs>
                <w:tab w:val="clear" w:pos="360"/>
                <w:tab w:val="num" w:pos="372"/>
              </w:tabs>
              <w:ind w:left="12" w:firstLine="0"/>
              <w:jc w:val="both"/>
            </w:pPr>
            <w:r>
              <w:t xml:space="preserve"> precizētas prasības sociālās rehabilitācijas no prettiesiskām darbībām cietušajiem bērniem pakalpojumu institūcijā sniedzējiem (grozījumu 20.punkts);</w:t>
            </w:r>
          </w:p>
          <w:p w:rsidR="00F20C8D" w:rsidRDefault="00F20C8D" w:rsidP="003F1A86">
            <w:pPr>
              <w:numPr>
                <w:ilvl w:val="0"/>
                <w:numId w:val="24"/>
              </w:numPr>
              <w:tabs>
                <w:tab w:val="clear" w:pos="360"/>
                <w:tab w:val="num" w:pos="372"/>
              </w:tabs>
              <w:ind w:left="12" w:firstLine="0"/>
              <w:jc w:val="both"/>
            </w:pPr>
            <w:r>
              <w:t xml:space="preserve">papildināti noteikumi ar prasību aprūpes mājās pakalpojumu sniedzējam sniegt pārskatu par sniegto pakalpojumu un tā izmaksām (grozījumu 21.punkts); </w:t>
            </w:r>
          </w:p>
          <w:p w:rsidR="00F20C8D" w:rsidRPr="00FF5AA7" w:rsidRDefault="00F20C8D" w:rsidP="005A1AB7">
            <w:pPr>
              <w:numPr>
                <w:ilvl w:val="0"/>
                <w:numId w:val="24"/>
              </w:numPr>
              <w:tabs>
                <w:tab w:val="clear" w:pos="360"/>
                <w:tab w:val="num" w:pos="372"/>
              </w:tabs>
              <w:ind w:left="12" w:firstLine="0"/>
              <w:jc w:val="both"/>
            </w:pPr>
            <w:r>
              <w:t xml:space="preserve">noteiktas prasības jaunam pakalpojumam - suņa pavadoņa pakalpojumam, kas tiek ieviests saskaņā ar Invaliditātes likumā noteikto (grozījumu 27. punkts). </w:t>
            </w:r>
          </w:p>
        </w:tc>
      </w:tr>
      <w:tr w:rsidR="00F20C8D" w:rsidRPr="003F27FC" w:rsidTr="00CE6881">
        <w:tc>
          <w:tcPr>
            <w:tcW w:w="213" w:type="pct"/>
          </w:tcPr>
          <w:p w:rsidR="00F20C8D" w:rsidRPr="0040379C" w:rsidRDefault="00F20C8D" w:rsidP="00B76D85">
            <w:r w:rsidRPr="0040379C">
              <w:t>5.</w:t>
            </w:r>
          </w:p>
        </w:tc>
        <w:tc>
          <w:tcPr>
            <w:tcW w:w="1202" w:type="pct"/>
          </w:tcPr>
          <w:p w:rsidR="00F20C8D" w:rsidRPr="0040379C" w:rsidRDefault="00F20C8D" w:rsidP="00B76D85">
            <w:r w:rsidRPr="0040379C">
              <w:t>Projekta izstrādē iesaistītās institūcijas</w:t>
            </w:r>
          </w:p>
        </w:tc>
        <w:tc>
          <w:tcPr>
            <w:tcW w:w="3585" w:type="pct"/>
          </w:tcPr>
          <w:p w:rsidR="00F20C8D" w:rsidRPr="0040379C" w:rsidRDefault="00F20C8D" w:rsidP="00CE6881">
            <w:pPr>
              <w:jc w:val="both"/>
            </w:pPr>
            <w:r>
              <w:t>Valsts bērnu tiesību aizsardzības inspekcija, VSAA, sociālie dienesti (organizējot tematiskas diskusijas vai konsultācijas par konkrētām tēmām).</w:t>
            </w:r>
          </w:p>
        </w:tc>
      </w:tr>
      <w:tr w:rsidR="00F20C8D" w:rsidRPr="003F27FC" w:rsidTr="00CE6881">
        <w:tc>
          <w:tcPr>
            <w:tcW w:w="213" w:type="pct"/>
          </w:tcPr>
          <w:p w:rsidR="00F20C8D" w:rsidRPr="0040379C" w:rsidRDefault="00F20C8D" w:rsidP="00B76D85">
            <w:r w:rsidRPr="0040379C">
              <w:t>6.</w:t>
            </w:r>
          </w:p>
        </w:tc>
        <w:tc>
          <w:tcPr>
            <w:tcW w:w="1202" w:type="pct"/>
          </w:tcPr>
          <w:p w:rsidR="00F20C8D" w:rsidRPr="0040379C" w:rsidRDefault="00F20C8D" w:rsidP="00B76D85">
            <w:r w:rsidRPr="0040379C">
              <w:t>Iemesli, kādēļ netika nodrošināta sabiedrības līdzdalība</w:t>
            </w:r>
          </w:p>
        </w:tc>
        <w:tc>
          <w:tcPr>
            <w:tcW w:w="3585" w:type="pct"/>
          </w:tcPr>
          <w:p w:rsidR="00F20C8D" w:rsidRPr="0040379C" w:rsidRDefault="00F20C8D" w:rsidP="00CE6881">
            <w:pPr>
              <w:jc w:val="both"/>
            </w:pPr>
            <w:r w:rsidRPr="00C552F4">
              <w:rPr>
                <w:color w:val="000000"/>
              </w:rPr>
              <w:t>Projekts šo jomu neskar</w:t>
            </w:r>
            <w:r w:rsidRPr="00C552F4">
              <w:t>.</w:t>
            </w:r>
          </w:p>
        </w:tc>
      </w:tr>
      <w:tr w:rsidR="00F20C8D" w:rsidRPr="003F27FC" w:rsidTr="00CE6881">
        <w:tc>
          <w:tcPr>
            <w:tcW w:w="213" w:type="pct"/>
          </w:tcPr>
          <w:p w:rsidR="00F20C8D" w:rsidRPr="0040379C" w:rsidRDefault="00F20C8D" w:rsidP="00B76D85">
            <w:r w:rsidRPr="0040379C">
              <w:t xml:space="preserve">7. </w:t>
            </w:r>
          </w:p>
        </w:tc>
        <w:tc>
          <w:tcPr>
            <w:tcW w:w="1202" w:type="pct"/>
          </w:tcPr>
          <w:p w:rsidR="00F20C8D" w:rsidRPr="0040379C" w:rsidRDefault="00F20C8D" w:rsidP="00B76D85">
            <w:r w:rsidRPr="0040379C">
              <w:t>Cita informācija</w:t>
            </w:r>
          </w:p>
        </w:tc>
        <w:tc>
          <w:tcPr>
            <w:tcW w:w="3585" w:type="pct"/>
          </w:tcPr>
          <w:p w:rsidR="00F20C8D" w:rsidRPr="0040379C" w:rsidRDefault="00F20C8D" w:rsidP="00CE6881">
            <w:pPr>
              <w:jc w:val="both"/>
            </w:pPr>
            <w:r w:rsidRPr="0040379C">
              <w:t>Nav.</w:t>
            </w:r>
          </w:p>
        </w:tc>
      </w:tr>
    </w:tbl>
    <w:p w:rsidR="00F20C8D" w:rsidRDefault="00F20C8D"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232"/>
        <w:gridCol w:w="6659"/>
      </w:tblGrid>
      <w:tr w:rsidR="00F20C8D" w:rsidRPr="00B76D85" w:rsidTr="00CE6881">
        <w:tc>
          <w:tcPr>
            <w:tcW w:w="9287" w:type="dxa"/>
            <w:gridSpan w:val="3"/>
          </w:tcPr>
          <w:p w:rsidR="00F20C8D" w:rsidRPr="00CE6881" w:rsidRDefault="00F20C8D" w:rsidP="00CE6881">
            <w:pPr>
              <w:jc w:val="center"/>
              <w:rPr>
                <w:b/>
              </w:rPr>
            </w:pPr>
            <w:r w:rsidRPr="00CE6881">
              <w:rPr>
                <w:b/>
              </w:rPr>
              <w:t>II Tiesību akta projekta ietekme uz sabiedrību</w:t>
            </w:r>
          </w:p>
        </w:tc>
      </w:tr>
      <w:tr w:rsidR="00F20C8D" w:rsidRPr="003F27FC" w:rsidTr="00CE6881">
        <w:tc>
          <w:tcPr>
            <w:tcW w:w="396" w:type="dxa"/>
          </w:tcPr>
          <w:p w:rsidR="00F20C8D" w:rsidRPr="0040379C" w:rsidRDefault="00F20C8D" w:rsidP="00242D7D">
            <w:r w:rsidRPr="0040379C">
              <w:t>1.</w:t>
            </w:r>
          </w:p>
        </w:tc>
        <w:tc>
          <w:tcPr>
            <w:tcW w:w="2232" w:type="dxa"/>
          </w:tcPr>
          <w:p w:rsidR="00F20C8D" w:rsidRPr="0040379C" w:rsidRDefault="00F20C8D" w:rsidP="00242D7D">
            <w:r w:rsidRPr="0040379C">
              <w:t>Sabiedrības mērķgrupa</w:t>
            </w:r>
          </w:p>
        </w:tc>
        <w:tc>
          <w:tcPr>
            <w:tcW w:w="6659" w:type="dxa"/>
          </w:tcPr>
          <w:p w:rsidR="00F20C8D" w:rsidRPr="00CE6881" w:rsidRDefault="00F20C8D" w:rsidP="00CE6881">
            <w:pPr>
              <w:jc w:val="both"/>
              <w:rPr>
                <w:i/>
              </w:rPr>
            </w:pPr>
            <w:r>
              <w:t xml:space="preserve">Sociālo pakalpojumu saņēmēji, apmēram 30 tūkstoši, sociālo pakalpojumu sniedzēji (gan publiskais sektors, gan privātais sektors), apmēram 650 sociālo pakalpojumu sniedzēji. </w:t>
            </w:r>
          </w:p>
        </w:tc>
      </w:tr>
      <w:tr w:rsidR="00F20C8D" w:rsidRPr="003F27FC" w:rsidTr="00CE6881">
        <w:tc>
          <w:tcPr>
            <w:tcW w:w="396" w:type="dxa"/>
          </w:tcPr>
          <w:p w:rsidR="00F20C8D" w:rsidRPr="0040379C" w:rsidRDefault="00F20C8D" w:rsidP="00242D7D">
            <w:r w:rsidRPr="0040379C">
              <w:t xml:space="preserve">2. </w:t>
            </w:r>
          </w:p>
        </w:tc>
        <w:tc>
          <w:tcPr>
            <w:tcW w:w="2232" w:type="dxa"/>
          </w:tcPr>
          <w:p w:rsidR="00F20C8D" w:rsidRPr="0040379C" w:rsidRDefault="00F20C8D" w:rsidP="00242D7D">
            <w:r w:rsidRPr="0040379C">
              <w:t>Citas sabiedrības grupas (bez mērķgrupas), kuras tiesiskais regulējuma arī ietekmē vai varētu ietekmēt</w:t>
            </w:r>
          </w:p>
        </w:tc>
        <w:tc>
          <w:tcPr>
            <w:tcW w:w="6659" w:type="dxa"/>
          </w:tcPr>
          <w:p w:rsidR="00F20C8D" w:rsidRPr="0040379C" w:rsidRDefault="00F20C8D" w:rsidP="00CE6881">
            <w:pPr>
              <w:jc w:val="both"/>
            </w:pPr>
            <w:r>
              <w:rPr>
                <w:iCs/>
              </w:rPr>
              <w:t xml:space="preserve">Personu ģimenes locekļi ģimenēs, kurās personas saņems suņa pavadoņa pakalpojumus. Ģimenes locekļu skaitu nav iespējams noteikt, jo nav iespējams paredzēt, cik ģimenes locekļu ir pakalpojumu saņēmēja ģimenē. </w:t>
            </w:r>
          </w:p>
        </w:tc>
      </w:tr>
      <w:tr w:rsidR="00F20C8D" w:rsidRPr="003F27FC" w:rsidTr="00CE6881">
        <w:tc>
          <w:tcPr>
            <w:tcW w:w="396" w:type="dxa"/>
          </w:tcPr>
          <w:p w:rsidR="00F20C8D" w:rsidRPr="0040379C" w:rsidRDefault="00F20C8D" w:rsidP="00242D7D">
            <w:r w:rsidRPr="0040379C">
              <w:t xml:space="preserve">3. </w:t>
            </w:r>
          </w:p>
        </w:tc>
        <w:tc>
          <w:tcPr>
            <w:tcW w:w="2232" w:type="dxa"/>
          </w:tcPr>
          <w:p w:rsidR="00F20C8D" w:rsidRPr="0040379C" w:rsidRDefault="00F20C8D" w:rsidP="00242D7D">
            <w:r w:rsidRPr="0040379C">
              <w:t>Tiesiskā regulējuma finansiālā ietekme</w:t>
            </w:r>
          </w:p>
        </w:tc>
        <w:tc>
          <w:tcPr>
            <w:tcW w:w="6659" w:type="dxa"/>
          </w:tcPr>
          <w:p w:rsidR="00F20C8D" w:rsidRPr="00CE6881" w:rsidRDefault="00F20C8D" w:rsidP="00CE6881">
            <w:pPr>
              <w:jc w:val="both"/>
              <w:rPr>
                <w:iCs/>
              </w:rPr>
            </w:pPr>
            <w:r w:rsidRPr="00C552F4">
              <w:rPr>
                <w:color w:val="000000"/>
              </w:rPr>
              <w:t>Projekt</w:t>
            </w:r>
            <w:r>
              <w:rPr>
                <w:color w:val="000000"/>
              </w:rPr>
              <w:t xml:space="preserve">s </w:t>
            </w:r>
            <w:r w:rsidRPr="00C552F4">
              <w:rPr>
                <w:color w:val="000000"/>
              </w:rPr>
              <w:t>šo jomu neskar</w:t>
            </w:r>
            <w:r w:rsidRPr="00C552F4">
              <w:t>.</w:t>
            </w:r>
          </w:p>
        </w:tc>
      </w:tr>
      <w:tr w:rsidR="00F20C8D" w:rsidRPr="003F27FC" w:rsidTr="00CE6881">
        <w:tc>
          <w:tcPr>
            <w:tcW w:w="396" w:type="dxa"/>
          </w:tcPr>
          <w:p w:rsidR="00F20C8D" w:rsidRPr="0040379C" w:rsidRDefault="00F20C8D" w:rsidP="00242D7D">
            <w:r w:rsidRPr="0040379C">
              <w:t>4.</w:t>
            </w:r>
          </w:p>
        </w:tc>
        <w:tc>
          <w:tcPr>
            <w:tcW w:w="2232" w:type="dxa"/>
          </w:tcPr>
          <w:p w:rsidR="00F20C8D" w:rsidRPr="0040379C" w:rsidRDefault="00F20C8D" w:rsidP="00242D7D">
            <w:r w:rsidRPr="0040379C">
              <w:t>Tiesiskā regulējuma nefinansiālā ietekme</w:t>
            </w:r>
          </w:p>
        </w:tc>
        <w:tc>
          <w:tcPr>
            <w:tcW w:w="6659" w:type="dxa"/>
          </w:tcPr>
          <w:p w:rsidR="00F20C8D" w:rsidRDefault="00F20C8D" w:rsidP="00CE6881">
            <w:pPr>
              <w:jc w:val="both"/>
            </w:pPr>
            <w:r>
              <w:t>Tiek samazināts risks, ka sociālo pakalpojumu sniedzējas institūcijas nepamatoti nodod glabāšanai Valsts arhīvā klientu lietas</w:t>
            </w:r>
            <w:r w:rsidRPr="008D1A35">
              <w:t>.</w:t>
            </w:r>
            <w:r>
              <w:t xml:space="preserve"> Privātajā sektorā tiek nodrošināta vienota klientu sociālās aprūpes un sociālās rehabilitācijas plānu sagatavošana un dokumentu glabāšana. </w:t>
            </w:r>
          </w:p>
          <w:p w:rsidR="00F20C8D" w:rsidRPr="008D1A35" w:rsidRDefault="00F20C8D" w:rsidP="00CE6881">
            <w:pPr>
              <w:jc w:val="both"/>
            </w:pPr>
            <w:r>
              <w:t xml:space="preserve">Tiek nodrošināta vienāda sociālās aprūpes un sociālās rehabilitācijas pakalpojumu sniegšana neatkarīgi no tā, vai institūcija sociālo pakalpojumu sniedz īslaicīgā vai ilgstošā laika periodā. </w:t>
            </w:r>
          </w:p>
        </w:tc>
      </w:tr>
      <w:tr w:rsidR="00F20C8D" w:rsidRPr="003F27FC" w:rsidTr="00CE6881">
        <w:tc>
          <w:tcPr>
            <w:tcW w:w="396" w:type="dxa"/>
          </w:tcPr>
          <w:p w:rsidR="00F20C8D" w:rsidRPr="0040379C" w:rsidRDefault="00F20C8D" w:rsidP="00242D7D">
            <w:r w:rsidRPr="0040379C">
              <w:t>5.</w:t>
            </w:r>
          </w:p>
        </w:tc>
        <w:tc>
          <w:tcPr>
            <w:tcW w:w="2232" w:type="dxa"/>
          </w:tcPr>
          <w:p w:rsidR="00F20C8D" w:rsidRPr="0040379C" w:rsidRDefault="00F20C8D" w:rsidP="00242D7D">
            <w:r w:rsidRPr="0040379C">
              <w:t>Administratīvās procedūras raksturojums</w:t>
            </w:r>
          </w:p>
        </w:tc>
        <w:tc>
          <w:tcPr>
            <w:tcW w:w="6659" w:type="dxa"/>
          </w:tcPr>
          <w:p w:rsidR="00F20C8D" w:rsidRPr="00CE6881" w:rsidRDefault="00F20C8D" w:rsidP="00CE6881">
            <w:pPr>
              <w:jc w:val="both"/>
              <w:rPr>
                <w:i/>
              </w:rPr>
            </w:pPr>
            <w:r w:rsidRPr="00CE6881">
              <w:t>VSAA funkcijas veic esošo funkciju ietvaros</w:t>
            </w:r>
            <w:r>
              <w:t>,</w:t>
            </w:r>
            <w:r w:rsidRPr="00CE6881">
              <w:t xml:space="preserve"> pamatojoties uz grozījumiem Sociālo pakalpojumu un sociālās palīdzības likumā, kas stājās spēkā 2009.gadā 1.jūlijā.</w:t>
            </w:r>
            <w:r>
              <w:t xml:space="preserve"> Pašvaldību sociālie dienesti funkcijas veic esošo funkciju ietvaros, pamatojoties uz Sociālo pakalpojumu un sociālās palīdzības likumā un Invaliditātes likumā noteikto. Sociālo pakalpojumu sniedzēji savas funkcijas veic sniedzamā pakalpojuma ietvaros saskaņā ar Invaliditātes likumā vai sociālo pakalpojumu sniegšanas līgumos paredzēto. </w:t>
            </w:r>
          </w:p>
        </w:tc>
      </w:tr>
      <w:tr w:rsidR="00F20C8D" w:rsidRPr="003F27FC" w:rsidTr="00CE6881">
        <w:tc>
          <w:tcPr>
            <w:tcW w:w="396" w:type="dxa"/>
          </w:tcPr>
          <w:p w:rsidR="00F20C8D" w:rsidRPr="0040379C" w:rsidRDefault="00F20C8D" w:rsidP="00242D7D">
            <w:r w:rsidRPr="0040379C">
              <w:t>6.</w:t>
            </w:r>
          </w:p>
        </w:tc>
        <w:tc>
          <w:tcPr>
            <w:tcW w:w="2232" w:type="dxa"/>
          </w:tcPr>
          <w:p w:rsidR="00F20C8D" w:rsidRPr="0040379C" w:rsidRDefault="00F20C8D" w:rsidP="00242D7D">
            <w:r w:rsidRPr="0040379C">
              <w:t>Administratīvo izmaksu monetārs novērtējums</w:t>
            </w:r>
          </w:p>
        </w:tc>
        <w:tc>
          <w:tcPr>
            <w:tcW w:w="6659" w:type="dxa"/>
          </w:tcPr>
          <w:p w:rsidR="00F20C8D" w:rsidRPr="0040379C" w:rsidRDefault="00F20C8D" w:rsidP="00CE6881">
            <w:pPr>
              <w:jc w:val="both"/>
            </w:pPr>
            <w:r w:rsidRPr="00C552F4">
              <w:rPr>
                <w:color w:val="000000"/>
              </w:rPr>
              <w:t>Projekts šo jomu neskar</w:t>
            </w:r>
            <w:r w:rsidRPr="00C552F4">
              <w:t>.</w:t>
            </w:r>
            <w:r w:rsidRPr="00CE6881">
              <w:rPr>
                <w:iCs/>
              </w:rPr>
              <w:t xml:space="preserve"> </w:t>
            </w:r>
          </w:p>
        </w:tc>
      </w:tr>
      <w:tr w:rsidR="00F20C8D" w:rsidRPr="003F27FC" w:rsidTr="00CE6881">
        <w:tc>
          <w:tcPr>
            <w:tcW w:w="396" w:type="dxa"/>
          </w:tcPr>
          <w:p w:rsidR="00F20C8D" w:rsidRPr="0040379C" w:rsidRDefault="00F20C8D" w:rsidP="00242D7D">
            <w:r w:rsidRPr="0040379C">
              <w:t xml:space="preserve">7. </w:t>
            </w:r>
          </w:p>
        </w:tc>
        <w:tc>
          <w:tcPr>
            <w:tcW w:w="2232" w:type="dxa"/>
          </w:tcPr>
          <w:p w:rsidR="00F20C8D" w:rsidRPr="0040379C" w:rsidRDefault="00F20C8D" w:rsidP="00242D7D">
            <w:r w:rsidRPr="0040379C">
              <w:t>Cita informācija</w:t>
            </w:r>
          </w:p>
        </w:tc>
        <w:tc>
          <w:tcPr>
            <w:tcW w:w="6659" w:type="dxa"/>
          </w:tcPr>
          <w:p w:rsidR="00F20C8D" w:rsidRPr="0040379C" w:rsidRDefault="00F20C8D" w:rsidP="00CE6881">
            <w:pPr>
              <w:jc w:val="both"/>
            </w:pPr>
            <w:r w:rsidRPr="0040379C">
              <w:t>Nav.</w:t>
            </w:r>
          </w:p>
        </w:tc>
      </w:tr>
    </w:tbl>
    <w:p w:rsidR="00F20C8D" w:rsidRDefault="00F20C8D" w:rsidP="00B76D85">
      <w:pPr>
        <w:jc w:val="center"/>
      </w:pPr>
    </w:p>
    <w:p w:rsidR="00F20C8D" w:rsidRDefault="00F20C8D" w:rsidP="00D37FF0">
      <w:pPr>
        <w:pStyle w:val="NormalWeb"/>
        <w:spacing w:before="0" w:beforeAutospacing="0" w:after="0" w:afterAutospacing="0"/>
        <w:rPr>
          <w:rFonts w:ascii="Times New Roman" w:hAnsi="Times New Roman"/>
          <w:sz w:val="28"/>
          <w:szCs w:val="28"/>
        </w:rPr>
      </w:pPr>
      <w:r w:rsidRPr="00D37FF0">
        <w:rPr>
          <w:rFonts w:ascii="Times New Roman" w:hAnsi="Times New Roman"/>
          <w:sz w:val="28"/>
          <w:szCs w:val="28"/>
        </w:rPr>
        <w:t xml:space="preserve">Anotācijas </w:t>
      </w:r>
      <w:r>
        <w:rPr>
          <w:rFonts w:ascii="Times New Roman" w:hAnsi="Times New Roman"/>
          <w:sz w:val="28"/>
          <w:szCs w:val="28"/>
        </w:rPr>
        <w:t xml:space="preserve">III, IV un </w:t>
      </w:r>
      <w:r w:rsidRPr="00154102">
        <w:rPr>
          <w:rFonts w:ascii="Times New Roman" w:hAnsi="Times New Roman"/>
          <w:sz w:val="28"/>
          <w:szCs w:val="28"/>
        </w:rPr>
        <w:t xml:space="preserve">V - </w:t>
      </w:r>
      <w:r w:rsidRPr="00154102">
        <w:rPr>
          <w:rFonts w:ascii="Times New Roman" w:hAnsi="Times New Roman"/>
          <w:color w:val="000000"/>
          <w:sz w:val="28"/>
          <w:szCs w:val="28"/>
        </w:rPr>
        <w:t>projekts šo jomu neskar</w:t>
      </w:r>
      <w:r w:rsidRPr="00154102">
        <w:rPr>
          <w:rFonts w:ascii="Times New Roman" w:hAnsi="Times New Roman"/>
          <w:sz w:val="28"/>
          <w:szCs w:val="28"/>
        </w:rPr>
        <w:t>.</w:t>
      </w:r>
      <w:r w:rsidRPr="00D37FF0">
        <w:rPr>
          <w:rFonts w:ascii="Times New Roman" w:hAnsi="Times New Roman"/>
          <w:sz w:val="28"/>
          <w:szCs w:val="28"/>
        </w:rPr>
        <w:t xml:space="preserve"> </w:t>
      </w:r>
    </w:p>
    <w:p w:rsidR="00F20C8D" w:rsidRDefault="00F20C8D" w:rsidP="00E957C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72"/>
        <w:gridCol w:w="5819"/>
      </w:tblGrid>
      <w:tr w:rsidR="00F20C8D" w:rsidRPr="00043389" w:rsidTr="00F0717F">
        <w:tc>
          <w:tcPr>
            <w:tcW w:w="9287" w:type="dxa"/>
            <w:gridSpan w:val="3"/>
          </w:tcPr>
          <w:p w:rsidR="00F20C8D" w:rsidRPr="00F0717F" w:rsidRDefault="00F20C8D" w:rsidP="00F0717F">
            <w:pPr>
              <w:jc w:val="center"/>
              <w:rPr>
                <w:b/>
              </w:rPr>
            </w:pPr>
            <w:r w:rsidRPr="00F0717F">
              <w:rPr>
                <w:b/>
              </w:rPr>
              <w:t>VI Sabiedrības līdzdalība un šīs līdzdalības rezultāti</w:t>
            </w:r>
          </w:p>
        </w:tc>
      </w:tr>
      <w:tr w:rsidR="00F20C8D" w:rsidRPr="00B76D85" w:rsidTr="00F0717F">
        <w:tc>
          <w:tcPr>
            <w:tcW w:w="396" w:type="dxa"/>
          </w:tcPr>
          <w:p w:rsidR="00F20C8D" w:rsidRPr="00B76D85" w:rsidRDefault="00F20C8D" w:rsidP="003A488D">
            <w:r>
              <w:t xml:space="preserve">1. </w:t>
            </w:r>
          </w:p>
        </w:tc>
        <w:tc>
          <w:tcPr>
            <w:tcW w:w="3072" w:type="dxa"/>
          </w:tcPr>
          <w:p w:rsidR="00F20C8D" w:rsidRPr="00F0717F" w:rsidRDefault="00F20C8D" w:rsidP="00F0717F">
            <w:pPr>
              <w:pStyle w:val="naiskr"/>
              <w:spacing w:before="0" w:after="0"/>
              <w:ind w:left="57" w:right="57"/>
            </w:pPr>
            <w:r w:rsidRPr="00F0717F">
              <w:rPr>
                <w:sz w:val="22"/>
                <w:szCs w:val="22"/>
              </w:rPr>
              <w:t>Sabiedrības informēšana par projekta izstrādes uzsākšanu</w:t>
            </w:r>
          </w:p>
        </w:tc>
        <w:tc>
          <w:tcPr>
            <w:tcW w:w="5819" w:type="dxa"/>
          </w:tcPr>
          <w:p w:rsidR="00F20C8D" w:rsidRPr="00E957C2" w:rsidRDefault="00F20C8D" w:rsidP="00F0717F">
            <w:pPr>
              <w:jc w:val="both"/>
            </w:pPr>
            <w:r>
              <w:t>Sabiedrības pārstāvji tika informēti šī gada septembrī un oktobrī, aicinot atsevišķas sabiedriskās organizācijas piedalīties grozījumu izstrādē un sniegt savus priekšlikumus par izstrādātā dokumenta projektu.</w:t>
            </w:r>
          </w:p>
        </w:tc>
      </w:tr>
      <w:tr w:rsidR="00F20C8D" w:rsidRPr="00B76D85" w:rsidTr="00F0717F">
        <w:tc>
          <w:tcPr>
            <w:tcW w:w="396" w:type="dxa"/>
          </w:tcPr>
          <w:p w:rsidR="00F20C8D" w:rsidRPr="00B76D85" w:rsidRDefault="00F20C8D" w:rsidP="003A488D">
            <w:r>
              <w:t xml:space="preserve">2. </w:t>
            </w:r>
          </w:p>
        </w:tc>
        <w:tc>
          <w:tcPr>
            <w:tcW w:w="3072" w:type="dxa"/>
          </w:tcPr>
          <w:p w:rsidR="00F20C8D" w:rsidRPr="00F0717F" w:rsidRDefault="00F20C8D" w:rsidP="00F0717F">
            <w:pPr>
              <w:pStyle w:val="naiskr"/>
              <w:spacing w:before="0" w:after="0"/>
              <w:ind w:left="57" w:right="57"/>
            </w:pPr>
            <w:r w:rsidRPr="00F0717F">
              <w:rPr>
                <w:sz w:val="22"/>
                <w:szCs w:val="22"/>
              </w:rPr>
              <w:t xml:space="preserve">Sabiedrības līdzdalība projekta izstrādē </w:t>
            </w:r>
          </w:p>
        </w:tc>
        <w:tc>
          <w:tcPr>
            <w:tcW w:w="5819" w:type="dxa"/>
          </w:tcPr>
          <w:p w:rsidR="00F20C8D" w:rsidRPr="0007178C" w:rsidRDefault="00F20C8D" w:rsidP="00F0717F">
            <w:pPr>
              <w:pStyle w:val="naisf"/>
              <w:spacing w:before="0" w:after="0"/>
              <w:ind w:firstLine="0"/>
            </w:pPr>
            <w:r w:rsidRPr="0007178C">
              <w:t xml:space="preserve">Grozījumu izstrādē tika pieaicināta Latvijas </w:t>
            </w:r>
            <w:r>
              <w:t>N</w:t>
            </w:r>
            <w:r w:rsidRPr="0007178C">
              <w:t xml:space="preserve">eredzīgo biedrība, </w:t>
            </w:r>
            <w:r w:rsidRPr="00F0717F">
              <w:rPr>
                <w:color w:val="000000"/>
              </w:rPr>
              <w:t>nodibinājums „</w:t>
            </w:r>
            <w:r w:rsidRPr="00F0717F">
              <w:rPr>
                <w:rStyle w:val="Emphasis"/>
                <w:b w:val="0"/>
                <w:color w:val="000000"/>
              </w:rPr>
              <w:t>Centrs Dardedze</w:t>
            </w:r>
            <w:r w:rsidRPr="00F0717F">
              <w:rPr>
                <w:color w:val="000000"/>
              </w:rPr>
              <w:t xml:space="preserve">”. Minētās organizācijas tika izvēlētas kā organizācijas, kuras pārstāv neredzīgo personu un vardarbībā cietušo bērnu intereses. </w:t>
            </w:r>
          </w:p>
          <w:p w:rsidR="00F20C8D" w:rsidRPr="00E957C2" w:rsidRDefault="00F20C8D" w:rsidP="00F0717F">
            <w:pPr>
              <w:jc w:val="both"/>
            </w:pPr>
            <w:r>
              <w:t>Organizācijām tika nosūtīts grozījumu projekts un lūgts sniegt priekšlikumus</w:t>
            </w:r>
          </w:p>
        </w:tc>
      </w:tr>
      <w:tr w:rsidR="00F20C8D" w:rsidRPr="00B76D85" w:rsidTr="00F0717F">
        <w:tc>
          <w:tcPr>
            <w:tcW w:w="396" w:type="dxa"/>
          </w:tcPr>
          <w:p w:rsidR="00F20C8D" w:rsidRPr="00B76D85" w:rsidRDefault="00F20C8D" w:rsidP="003A488D">
            <w:r>
              <w:t>3.</w:t>
            </w:r>
          </w:p>
        </w:tc>
        <w:tc>
          <w:tcPr>
            <w:tcW w:w="3072" w:type="dxa"/>
          </w:tcPr>
          <w:p w:rsidR="00F20C8D" w:rsidRPr="00F0717F" w:rsidRDefault="00F20C8D" w:rsidP="00F0717F">
            <w:pPr>
              <w:pStyle w:val="naiskr"/>
              <w:spacing w:before="0" w:after="0"/>
              <w:ind w:left="57" w:right="57"/>
            </w:pPr>
            <w:r w:rsidRPr="00F0717F">
              <w:rPr>
                <w:sz w:val="22"/>
                <w:szCs w:val="22"/>
              </w:rPr>
              <w:t xml:space="preserve">Sabiedrības līdzdalības rezultāti </w:t>
            </w:r>
          </w:p>
        </w:tc>
        <w:tc>
          <w:tcPr>
            <w:tcW w:w="5819" w:type="dxa"/>
          </w:tcPr>
          <w:p w:rsidR="00F20C8D" w:rsidRDefault="00F20C8D" w:rsidP="007038EF">
            <w:pPr>
              <w:pStyle w:val="naisf"/>
              <w:spacing w:before="0" w:after="0"/>
            </w:pPr>
            <w:r>
              <w:t xml:space="preserve">Ar nodibinājumu „Centrs Dardedze” tika organizēta diskusija par noteikumiem un normām, kuras būtu būtiskas un jāiekļauj grozījumos. Pēc apspriesto priekšlikumu iekļaušanas grozījumos dokuments tika nosūtīts iebildumu un priekšlikumu sniegšanai. Grozījumi tika atbalstīti bez papildus iebildumiem vai priekšlikumiem. </w:t>
            </w:r>
          </w:p>
          <w:p w:rsidR="00F20C8D" w:rsidRPr="00E957C2" w:rsidRDefault="00F20C8D" w:rsidP="007038EF">
            <w:pPr>
              <w:jc w:val="both"/>
            </w:pPr>
            <w:r>
              <w:t xml:space="preserve">Latvijas neredzīgo biedrībai tikai jautāts viedoklis par jaunas sadaļas par suņa pavadoņa pakalpojumu iekļaušanu. Labklājības ministrijas priekšlikums tika atbalstīts un ieteikti redakcionāli labojumi. </w:t>
            </w:r>
          </w:p>
        </w:tc>
      </w:tr>
      <w:tr w:rsidR="00F20C8D" w:rsidRPr="00B76D85" w:rsidTr="00F0717F">
        <w:tc>
          <w:tcPr>
            <w:tcW w:w="396" w:type="dxa"/>
          </w:tcPr>
          <w:p w:rsidR="00F20C8D" w:rsidRPr="00B76D85" w:rsidRDefault="00F20C8D" w:rsidP="003A488D">
            <w:r>
              <w:t>4.</w:t>
            </w:r>
          </w:p>
        </w:tc>
        <w:tc>
          <w:tcPr>
            <w:tcW w:w="3072" w:type="dxa"/>
          </w:tcPr>
          <w:p w:rsidR="00F20C8D" w:rsidRPr="00F0717F" w:rsidRDefault="00F20C8D" w:rsidP="00F0717F">
            <w:pPr>
              <w:pStyle w:val="naiskr"/>
              <w:spacing w:before="0" w:after="0"/>
              <w:ind w:left="57" w:right="57"/>
            </w:pPr>
            <w:r w:rsidRPr="00F0717F">
              <w:rPr>
                <w:sz w:val="22"/>
                <w:szCs w:val="22"/>
              </w:rPr>
              <w:t>Saeimas un ekspertu līdzdalība</w:t>
            </w:r>
          </w:p>
        </w:tc>
        <w:tc>
          <w:tcPr>
            <w:tcW w:w="5819" w:type="dxa"/>
          </w:tcPr>
          <w:p w:rsidR="00F20C8D" w:rsidRPr="00E957C2" w:rsidRDefault="00F20C8D" w:rsidP="00F0717F">
            <w:pPr>
              <w:jc w:val="both"/>
            </w:pPr>
            <w:r>
              <w:t xml:space="preserve">Izstrādājot grozījumus, tika ņemti vērā tie priekšlikumi un viedokļi, kas tika izteikti Invaliditātes likuma apspriešanas gaitā (jautājumos par personu ar prognozējamu invaliditāti un suņa pavadoņa pakalpojumu). Līdz ar to atsevišķas </w:t>
            </w:r>
            <w:r w:rsidRPr="00E957C2">
              <w:t>konsultācijas ar Saeimas komisiju</w:t>
            </w:r>
            <w:r>
              <w:t xml:space="preserve">, </w:t>
            </w:r>
            <w:r w:rsidRPr="00E957C2">
              <w:t>apakškomisiju (vai atsevišķiem Saeimas deputātiem)</w:t>
            </w:r>
            <w:r>
              <w:t xml:space="preserve"> vai</w:t>
            </w:r>
            <w:r w:rsidRPr="00E957C2">
              <w:t xml:space="preserve"> ekspertiem</w:t>
            </w:r>
            <w:r>
              <w:t xml:space="preserve"> netika organizētas.  </w:t>
            </w:r>
          </w:p>
        </w:tc>
      </w:tr>
      <w:tr w:rsidR="00F20C8D" w:rsidRPr="00B76D85" w:rsidTr="00F0717F">
        <w:tc>
          <w:tcPr>
            <w:tcW w:w="396" w:type="dxa"/>
          </w:tcPr>
          <w:p w:rsidR="00F20C8D" w:rsidRPr="00B76D85" w:rsidRDefault="00F20C8D" w:rsidP="003A488D">
            <w:r>
              <w:t>5.</w:t>
            </w:r>
          </w:p>
        </w:tc>
        <w:tc>
          <w:tcPr>
            <w:tcW w:w="3072" w:type="dxa"/>
          </w:tcPr>
          <w:p w:rsidR="00F20C8D" w:rsidRPr="00F0717F" w:rsidRDefault="00F20C8D" w:rsidP="00F0717F">
            <w:pPr>
              <w:pStyle w:val="naiskr"/>
              <w:spacing w:before="0" w:after="0"/>
              <w:ind w:left="57" w:right="57"/>
            </w:pPr>
            <w:r w:rsidRPr="00F0717F">
              <w:rPr>
                <w:sz w:val="22"/>
                <w:szCs w:val="22"/>
              </w:rPr>
              <w:t>Cita informācija</w:t>
            </w:r>
          </w:p>
          <w:p w:rsidR="00F20C8D" w:rsidRPr="00F0717F" w:rsidRDefault="00F20C8D" w:rsidP="00F0717F">
            <w:pPr>
              <w:pStyle w:val="naiskr"/>
              <w:spacing w:before="0" w:after="0"/>
              <w:ind w:left="57" w:right="57"/>
            </w:pPr>
          </w:p>
        </w:tc>
        <w:tc>
          <w:tcPr>
            <w:tcW w:w="5819" w:type="dxa"/>
          </w:tcPr>
          <w:p w:rsidR="00F20C8D" w:rsidRPr="00E957C2" w:rsidRDefault="00F20C8D" w:rsidP="00F0717F">
            <w:pPr>
              <w:jc w:val="both"/>
            </w:pPr>
            <w:r w:rsidRPr="00F0717F">
              <w:rPr>
                <w:sz w:val="22"/>
                <w:szCs w:val="22"/>
              </w:rPr>
              <w:t>Nav</w:t>
            </w:r>
          </w:p>
        </w:tc>
      </w:tr>
      <w:tr w:rsidR="00F20C8D" w:rsidRPr="00194614" w:rsidTr="00CE6881">
        <w:tc>
          <w:tcPr>
            <w:tcW w:w="9287" w:type="dxa"/>
            <w:gridSpan w:val="3"/>
          </w:tcPr>
          <w:p w:rsidR="00F20C8D" w:rsidRPr="00CE6881" w:rsidRDefault="00F20C8D" w:rsidP="00CE6881">
            <w:pPr>
              <w:jc w:val="center"/>
              <w:rPr>
                <w:b/>
              </w:rPr>
            </w:pPr>
            <w:r w:rsidRPr="00CE6881">
              <w:rPr>
                <w:b/>
              </w:rPr>
              <w:t>VII Tiesību akta projekta izpildes nodrošināšana un tās ietekme uz institūcijām</w:t>
            </w:r>
          </w:p>
        </w:tc>
      </w:tr>
      <w:tr w:rsidR="00F20C8D" w:rsidRPr="00B76D85" w:rsidTr="00CE6881">
        <w:tc>
          <w:tcPr>
            <w:tcW w:w="396" w:type="dxa"/>
          </w:tcPr>
          <w:p w:rsidR="00F20C8D" w:rsidRPr="00B76D85" w:rsidRDefault="00F20C8D" w:rsidP="00242D7D">
            <w:r>
              <w:t xml:space="preserve">1. </w:t>
            </w:r>
          </w:p>
        </w:tc>
        <w:tc>
          <w:tcPr>
            <w:tcW w:w="3072" w:type="dxa"/>
          </w:tcPr>
          <w:p w:rsidR="00F20C8D" w:rsidRPr="00CE6881" w:rsidRDefault="00F20C8D" w:rsidP="00242D7D">
            <w:r w:rsidRPr="00CE6881">
              <w:rPr>
                <w:sz w:val="22"/>
                <w:szCs w:val="22"/>
              </w:rPr>
              <w:t>Projekta izpildē iesaistītās institūcijas</w:t>
            </w:r>
          </w:p>
        </w:tc>
        <w:tc>
          <w:tcPr>
            <w:tcW w:w="5819" w:type="dxa"/>
          </w:tcPr>
          <w:p w:rsidR="00F20C8D" w:rsidRPr="0040379C" w:rsidRDefault="00F20C8D" w:rsidP="00CE6881">
            <w:pPr>
              <w:jc w:val="both"/>
            </w:pPr>
            <w:r w:rsidRPr="00CE6881">
              <w:rPr>
                <w:iCs/>
              </w:rPr>
              <w:t>VSAA</w:t>
            </w:r>
            <w:r>
              <w:rPr>
                <w:iCs/>
              </w:rPr>
              <w:t xml:space="preserve"> (jautājumos par pensiju un valsts pabalstu izmaksām), pašvaldību sociālie dienesti, sociālo pakalpojumu sniedzēji (gan publiskais sektors, gan privātais sektors). </w:t>
            </w:r>
          </w:p>
        </w:tc>
      </w:tr>
      <w:tr w:rsidR="00F20C8D" w:rsidRPr="00B76D85" w:rsidTr="00CE6881">
        <w:tc>
          <w:tcPr>
            <w:tcW w:w="396" w:type="dxa"/>
          </w:tcPr>
          <w:p w:rsidR="00F20C8D" w:rsidRPr="00B76D85" w:rsidRDefault="00F20C8D" w:rsidP="00242D7D">
            <w:r>
              <w:t xml:space="preserve">2. </w:t>
            </w:r>
          </w:p>
        </w:tc>
        <w:tc>
          <w:tcPr>
            <w:tcW w:w="3072" w:type="dxa"/>
          </w:tcPr>
          <w:p w:rsidR="00F20C8D" w:rsidRPr="00CE6881" w:rsidRDefault="00F20C8D" w:rsidP="00242D7D">
            <w:r w:rsidRPr="00CE6881">
              <w:rPr>
                <w:sz w:val="22"/>
                <w:szCs w:val="22"/>
              </w:rPr>
              <w:t>Projekta izpildes ietekme uz pārvaldes funkcijām</w:t>
            </w:r>
          </w:p>
        </w:tc>
        <w:tc>
          <w:tcPr>
            <w:tcW w:w="5819" w:type="dxa"/>
          </w:tcPr>
          <w:p w:rsidR="00F20C8D" w:rsidRPr="00CE6881" w:rsidRDefault="00F20C8D" w:rsidP="00CE6881">
            <w:pPr>
              <w:jc w:val="both"/>
              <w:rPr>
                <w:i/>
              </w:rPr>
            </w:pPr>
            <w:r w:rsidRPr="0040379C">
              <w:t>VSAA</w:t>
            </w:r>
            <w:r>
              <w:t xml:space="preserve"> un pašvaldību sociālie dienesti visus pienākumus pilda esošo </w:t>
            </w:r>
            <w:r w:rsidRPr="0040379C">
              <w:t>funkciju ietvaros</w:t>
            </w:r>
            <w:r>
              <w:t>, grozījumi jaunus pienākumus nerada, tikai saskaņo noteikumus ar citiem tiesību aktiem</w:t>
            </w:r>
            <w:r w:rsidRPr="0040379C">
              <w:t>.</w:t>
            </w:r>
          </w:p>
        </w:tc>
      </w:tr>
      <w:tr w:rsidR="00F20C8D" w:rsidRPr="00B76D85" w:rsidTr="00CE6881">
        <w:tc>
          <w:tcPr>
            <w:tcW w:w="396" w:type="dxa"/>
          </w:tcPr>
          <w:p w:rsidR="00F20C8D" w:rsidRPr="00B76D85" w:rsidRDefault="00F20C8D" w:rsidP="00242D7D">
            <w:r>
              <w:t>3.</w:t>
            </w:r>
          </w:p>
        </w:tc>
        <w:tc>
          <w:tcPr>
            <w:tcW w:w="3072" w:type="dxa"/>
          </w:tcPr>
          <w:p w:rsidR="00F20C8D" w:rsidRPr="00CE6881" w:rsidRDefault="00F20C8D" w:rsidP="00242D7D">
            <w:r w:rsidRPr="00CE6881">
              <w:rPr>
                <w:sz w:val="22"/>
                <w:szCs w:val="22"/>
              </w:rPr>
              <w:t>Projekta izpildes ietekme uz pārvaldes institucionālo struktūru.</w:t>
            </w:r>
          </w:p>
          <w:p w:rsidR="00F20C8D" w:rsidRPr="00CE6881" w:rsidRDefault="00F20C8D" w:rsidP="00242D7D">
            <w:r w:rsidRPr="00CE6881">
              <w:rPr>
                <w:sz w:val="22"/>
                <w:szCs w:val="22"/>
              </w:rPr>
              <w:t>Jaunu institūciju izveide.</w:t>
            </w:r>
          </w:p>
        </w:tc>
        <w:tc>
          <w:tcPr>
            <w:tcW w:w="5819" w:type="dxa"/>
          </w:tcPr>
          <w:p w:rsidR="00F20C8D" w:rsidRPr="0040379C" w:rsidRDefault="00F20C8D" w:rsidP="00CE6881">
            <w:pPr>
              <w:jc w:val="both"/>
            </w:pPr>
            <w:r w:rsidRPr="00C552F4">
              <w:rPr>
                <w:color w:val="000000"/>
              </w:rPr>
              <w:t>Projekts šo jomu neskar</w:t>
            </w:r>
            <w:r w:rsidRPr="00C552F4">
              <w:t>.</w:t>
            </w:r>
          </w:p>
        </w:tc>
      </w:tr>
      <w:tr w:rsidR="00F20C8D" w:rsidRPr="00B76D85" w:rsidTr="00CE6881">
        <w:tc>
          <w:tcPr>
            <w:tcW w:w="396" w:type="dxa"/>
          </w:tcPr>
          <w:p w:rsidR="00F20C8D" w:rsidRPr="00B76D85" w:rsidRDefault="00F20C8D" w:rsidP="00242D7D">
            <w:r>
              <w:t>4.</w:t>
            </w:r>
          </w:p>
        </w:tc>
        <w:tc>
          <w:tcPr>
            <w:tcW w:w="3072" w:type="dxa"/>
          </w:tcPr>
          <w:p w:rsidR="00F20C8D" w:rsidRPr="00CE6881" w:rsidRDefault="00F20C8D" w:rsidP="00242D7D">
            <w:r w:rsidRPr="00CE6881">
              <w:rPr>
                <w:sz w:val="22"/>
                <w:szCs w:val="22"/>
              </w:rPr>
              <w:t>Projekta izpildes ietekme uz pārvaldes institucionālo struktūru.</w:t>
            </w:r>
          </w:p>
          <w:p w:rsidR="00F20C8D" w:rsidRPr="00CE6881" w:rsidRDefault="00F20C8D" w:rsidP="00242D7D">
            <w:r w:rsidRPr="00CE6881">
              <w:rPr>
                <w:sz w:val="22"/>
                <w:szCs w:val="22"/>
              </w:rPr>
              <w:t>Esošo institūciju likvidācija.</w:t>
            </w:r>
          </w:p>
        </w:tc>
        <w:tc>
          <w:tcPr>
            <w:tcW w:w="5819" w:type="dxa"/>
          </w:tcPr>
          <w:p w:rsidR="00F20C8D" w:rsidRPr="0040379C" w:rsidRDefault="00F20C8D" w:rsidP="00CE6881">
            <w:pPr>
              <w:jc w:val="both"/>
            </w:pPr>
            <w:r w:rsidRPr="00C552F4">
              <w:rPr>
                <w:color w:val="000000"/>
              </w:rPr>
              <w:t>Projekts šo jomu neskar</w:t>
            </w:r>
            <w:r w:rsidRPr="00C552F4">
              <w:t>.</w:t>
            </w:r>
          </w:p>
        </w:tc>
      </w:tr>
      <w:tr w:rsidR="00F20C8D" w:rsidRPr="00B76D85" w:rsidTr="00CE6881">
        <w:tc>
          <w:tcPr>
            <w:tcW w:w="396" w:type="dxa"/>
          </w:tcPr>
          <w:p w:rsidR="00F20C8D" w:rsidRPr="00B76D85" w:rsidRDefault="00F20C8D" w:rsidP="00242D7D">
            <w:r>
              <w:t>5.</w:t>
            </w:r>
          </w:p>
        </w:tc>
        <w:tc>
          <w:tcPr>
            <w:tcW w:w="3072" w:type="dxa"/>
          </w:tcPr>
          <w:p w:rsidR="00F20C8D" w:rsidRPr="00CE6881" w:rsidRDefault="00F20C8D" w:rsidP="00242D7D">
            <w:r w:rsidRPr="00CE6881">
              <w:rPr>
                <w:sz w:val="22"/>
                <w:szCs w:val="22"/>
              </w:rPr>
              <w:t>Projekta izpildes ietekme uz pārvaldes institucionālo struktūru.</w:t>
            </w:r>
          </w:p>
          <w:p w:rsidR="00F20C8D" w:rsidRPr="00CE6881" w:rsidRDefault="00F20C8D" w:rsidP="00242D7D">
            <w:r w:rsidRPr="00CE6881">
              <w:rPr>
                <w:sz w:val="22"/>
                <w:szCs w:val="22"/>
              </w:rPr>
              <w:t>Esošo institūciju reorganizācija.</w:t>
            </w:r>
          </w:p>
        </w:tc>
        <w:tc>
          <w:tcPr>
            <w:tcW w:w="5819" w:type="dxa"/>
          </w:tcPr>
          <w:p w:rsidR="00F20C8D" w:rsidRPr="0040379C" w:rsidRDefault="00F20C8D" w:rsidP="00CE6881">
            <w:pPr>
              <w:jc w:val="both"/>
            </w:pPr>
            <w:r w:rsidRPr="00C552F4">
              <w:rPr>
                <w:color w:val="000000"/>
              </w:rPr>
              <w:t>Projekts šo jomu neskar</w:t>
            </w:r>
            <w:r w:rsidRPr="00C552F4">
              <w:t>.</w:t>
            </w:r>
          </w:p>
        </w:tc>
      </w:tr>
      <w:tr w:rsidR="00F20C8D" w:rsidRPr="00B76D85" w:rsidTr="00CE6881">
        <w:tc>
          <w:tcPr>
            <w:tcW w:w="396" w:type="dxa"/>
          </w:tcPr>
          <w:p w:rsidR="00F20C8D" w:rsidRDefault="00F20C8D" w:rsidP="00242D7D">
            <w:r>
              <w:t xml:space="preserve">6. </w:t>
            </w:r>
          </w:p>
        </w:tc>
        <w:tc>
          <w:tcPr>
            <w:tcW w:w="3072" w:type="dxa"/>
          </w:tcPr>
          <w:p w:rsidR="00F20C8D" w:rsidRPr="00CE6881" w:rsidRDefault="00F20C8D" w:rsidP="00242D7D">
            <w:r w:rsidRPr="00CE6881">
              <w:rPr>
                <w:sz w:val="22"/>
                <w:szCs w:val="22"/>
              </w:rPr>
              <w:t>Cita informācija</w:t>
            </w:r>
          </w:p>
        </w:tc>
        <w:tc>
          <w:tcPr>
            <w:tcW w:w="5819" w:type="dxa"/>
          </w:tcPr>
          <w:p w:rsidR="00F20C8D" w:rsidRPr="007258BA" w:rsidRDefault="00F20C8D" w:rsidP="00CE6881">
            <w:pPr>
              <w:jc w:val="both"/>
            </w:pPr>
            <w:r w:rsidRPr="00CE6881">
              <w:rPr>
                <w:sz w:val="22"/>
                <w:szCs w:val="22"/>
              </w:rPr>
              <w:t>Nav.</w:t>
            </w:r>
          </w:p>
        </w:tc>
      </w:tr>
    </w:tbl>
    <w:p w:rsidR="00F20C8D" w:rsidRDefault="00F20C8D" w:rsidP="00B76D85">
      <w:pPr>
        <w:jc w:val="center"/>
      </w:pPr>
    </w:p>
    <w:p w:rsidR="00F20C8D" w:rsidRDefault="00F20C8D" w:rsidP="00B76D85">
      <w:pPr>
        <w:jc w:val="center"/>
      </w:pPr>
    </w:p>
    <w:p w:rsidR="00F20C8D" w:rsidRDefault="00F20C8D" w:rsidP="00B76D85">
      <w:pPr>
        <w:jc w:val="center"/>
      </w:pPr>
    </w:p>
    <w:p w:rsidR="00F20C8D" w:rsidRDefault="00F20C8D" w:rsidP="00B76D85">
      <w:pPr>
        <w:jc w:val="center"/>
      </w:pPr>
    </w:p>
    <w:p w:rsidR="00F20C8D" w:rsidRPr="008207C1" w:rsidRDefault="00F20C8D" w:rsidP="00194614">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t xml:space="preserve">I.Jurševska          </w:t>
      </w:r>
    </w:p>
    <w:p w:rsidR="00F20C8D" w:rsidRDefault="00F20C8D" w:rsidP="00194614">
      <w:pPr>
        <w:rPr>
          <w:sz w:val="28"/>
          <w:szCs w:val="28"/>
        </w:rPr>
      </w:pPr>
    </w:p>
    <w:p w:rsidR="00F20C8D" w:rsidRDefault="00F20C8D" w:rsidP="00194614">
      <w:pPr>
        <w:rPr>
          <w:sz w:val="28"/>
          <w:szCs w:val="28"/>
        </w:rPr>
      </w:pPr>
    </w:p>
    <w:p w:rsidR="00F20C8D" w:rsidRDefault="00F20C8D" w:rsidP="00194614">
      <w:pPr>
        <w:rPr>
          <w:sz w:val="28"/>
          <w:szCs w:val="28"/>
        </w:rPr>
      </w:pPr>
    </w:p>
    <w:p w:rsidR="00F20C8D" w:rsidRDefault="00F20C8D" w:rsidP="00194614">
      <w:pPr>
        <w:rPr>
          <w:sz w:val="28"/>
          <w:szCs w:val="28"/>
        </w:rPr>
      </w:pPr>
    </w:p>
    <w:p w:rsidR="00F20C8D" w:rsidRPr="00F51388" w:rsidRDefault="00F20C8D" w:rsidP="00ED6B9B">
      <w:pPr>
        <w:pStyle w:val="Footer"/>
        <w:tabs>
          <w:tab w:val="clear" w:pos="4153"/>
          <w:tab w:val="clear" w:pos="8306"/>
        </w:tabs>
      </w:pPr>
      <w:r w:rsidRPr="00F51388">
        <w:t>19.01.2011., 14:</w:t>
      </w:r>
      <w:r>
        <w:t>2</w:t>
      </w:r>
      <w:r w:rsidRPr="00F51388">
        <w:t xml:space="preserve">9, </w:t>
      </w:r>
    </w:p>
    <w:p w:rsidR="00F20C8D" w:rsidRPr="00F51388" w:rsidRDefault="00F20C8D" w:rsidP="00ED6B9B">
      <w:pPr>
        <w:pStyle w:val="Footer"/>
        <w:tabs>
          <w:tab w:val="clear" w:pos="4153"/>
          <w:tab w:val="clear" w:pos="8306"/>
        </w:tabs>
      </w:pPr>
      <w:r>
        <w:t>1720</w:t>
      </w:r>
    </w:p>
    <w:p w:rsidR="00F20C8D" w:rsidRPr="00F51388" w:rsidRDefault="00F20C8D" w:rsidP="007819DB">
      <w:pPr>
        <w:pStyle w:val="Footer"/>
        <w:tabs>
          <w:tab w:val="clear" w:pos="4153"/>
          <w:tab w:val="clear" w:pos="8306"/>
        </w:tabs>
      </w:pPr>
      <w:r w:rsidRPr="00F51388">
        <w:t xml:space="preserve">Elvīra Grabovska </w:t>
      </w:r>
    </w:p>
    <w:p w:rsidR="00F20C8D" w:rsidRPr="00F51388" w:rsidRDefault="00F20C8D" w:rsidP="00F51388">
      <w:pPr>
        <w:pStyle w:val="Footer"/>
        <w:tabs>
          <w:tab w:val="clear" w:pos="4153"/>
          <w:tab w:val="clear" w:pos="8306"/>
        </w:tabs>
      </w:pPr>
      <w:r w:rsidRPr="00F51388">
        <w:t xml:space="preserve">Tālrunis 67021671 </w:t>
      </w:r>
    </w:p>
    <w:p w:rsidR="00F20C8D" w:rsidRPr="00F51388" w:rsidRDefault="00F20C8D" w:rsidP="00F51388">
      <w:r w:rsidRPr="00F51388">
        <w:t>Fakss 67021678</w:t>
      </w:r>
    </w:p>
    <w:p w:rsidR="00F20C8D" w:rsidRPr="00F51388" w:rsidRDefault="00F20C8D" w:rsidP="007819DB">
      <w:pPr>
        <w:pStyle w:val="Footer"/>
        <w:tabs>
          <w:tab w:val="clear" w:pos="4153"/>
          <w:tab w:val="clear" w:pos="8306"/>
        </w:tabs>
      </w:pPr>
      <w:hyperlink r:id="rId7" w:history="1">
        <w:r w:rsidRPr="00F51388">
          <w:rPr>
            <w:rStyle w:val="Hyperlink"/>
            <w:color w:val="auto"/>
          </w:rPr>
          <w:t>Elvira.Grabovska@lm.gov.lv</w:t>
        </w:r>
      </w:hyperlink>
    </w:p>
    <w:p w:rsidR="00F20C8D" w:rsidRPr="00F51388" w:rsidRDefault="00F20C8D" w:rsidP="007819DB">
      <w:pPr>
        <w:pStyle w:val="Footer"/>
        <w:tabs>
          <w:tab w:val="clear" w:pos="4153"/>
          <w:tab w:val="clear" w:pos="8306"/>
        </w:tabs>
      </w:pPr>
    </w:p>
    <w:p w:rsidR="00F20C8D" w:rsidRPr="00F51388" w:rsidRDefault="00F20C8D" w:rsidP="007819DB">
      <w:pPr>
        <w:pStyle w:val="Footer"/>
        <w:tabs>
          <w:tab w:val="clear" w:pos="4153"/>
          <w:tab w:val="clear" w:pos="8306"/>
        </w:tabs>
      </w:pPr>
    </w:p>
    <w:p w:rsidR="00F20C8D" w:rsidRDefault="00F20C8D" w:rsidP="00B53AC3">
      <w:pPr>
        <w:jc w:val="center"/>
      </w:pPr>
    </w:p>
    <w:sectPr w:rsidR="00F20C8D" w:rsidSect="0046104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8D" w:rsidRDefault="00F20C8D">
      <w:r>
        <w:separator/>
      </w:r>
    </w:p>
  </w:endnote>
  <w:endnote w:type="continuationSeparator" w:id="0">
    <w:p w:rsidR="00F20C8D" w:rsidRDefault="00F20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8D" w:rsidRPr="00FD6336" w:rsidRDefault="00F20C8D" w:rsidP="00FD6336">
    <w:pPr>
      <w:rPr>
        <w:sz w:val="20"/>
        <w:szCs w:val="20"/>
      </w:rPr>
    </w:pPr>
    <w:r>
      <w:rPr>
        <w:sz w:val="20"/>
        <w:szCs w:val="20"/>
      </w:rPr>
      <w:t>LMAnot_190111</w:t>
    </w:r>
    <w:r w:rsidRPr="00FD6336">
      <w:rPr>
        <w:sz w:val="20"/>
        <w:szCs w:val="20"/>
      </w:rPr>
      <w:t xml:space="preserve">; Grozījumi </w:t>
    </w:r>
    <w:r w:rsidRPr="003E33EC">
      <w:rPr>
        <w:sz w:val="20"/>
        <w:szCs w:val="20"/>
      </w:rPr>
      <w:t>Ministru kabineta 2003.gada 3.jūnija noteikumos Nr.291 „Prasības sociālo pakalpojumu sniedzējiem”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8D" w:rsidRPr="003E33EC" w:rsidRDefault="00F20C8D" w:rsidP="00FD6336">
    <w:pPr>
      <w:rPr>
        <w:sz w:val="20"/>
        <w:szCs w:val="20"/>
      </w:rPr>
    </w:pPr>
    <w:r>
      <w:rPr>
        <w:sz w:val="20"/>
        <w:szCs w:val="20"/>
      </w:rPr>
      <w:t>LMAnot_190111</w:t>
    </w:r>
    <w:r w:rsidRPr="00FD6336">
      <w:rPr>
        <w:sz w:val="20"/>
        <w:szCs w:val="20"/>
      </w:rPr>
      <w:t xml:space="preserve">; Grozījumi </w:t>
    </w:r>
    <w:r w:rsidRPr="003E33EC">
      <w:rPr>
        <w:sz w:val="20"/>
        <w:szCs w:val="20"/>
      </w:rPr>
      <w:t>Ministru kabineta 2003.gada 3.jūnija noteikumos Nr.291 „Prasības sociālo pakalpojumu sniedzējiem”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8D" w:rsidRDefault="00F20C8D">
      <w:r>
        <w:separator/>
      </w:r>
    </w:p>
  </w:footnote>
  <w:footnote w:type="continuationSeparator" w:id="0">
    <w:p w:rsidR="00F20C8D" w:rsidRDefault="00F20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8D" w:rsidRDefault="00F20C8D"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C8D" w:rsidRDefault="00F20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8D" w:rsidRDefault="00F20C8D"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20C8D" w:rsidRDefault="00F20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F45D3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606BED0"/>
    <w:lvl w:ilvl="0">
      <w:numFmt w:val="bullet"/>
      <w:lvlText w:val="*"/>
      <w:lvlJc w:val="left"/>
    </w:lvl>
  </w:abstractNum>
  <w:abstractNum w:abstractNumId="2">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3D471226"/>
    <w:multiLevelType w:val="hybridMultilevel"/>
    <w:tmpl w:val="0D1E7688"/>
    <w:lvl w:ilvl="0" w:tplc="0426000F">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A55178D"/>
    <w:multiLevelType w:val="hybridMultilevel"/>
    <w:tmpl w:val="B14090A0"/>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3"/>
  </w:num>
  <w:num w:numId="24">
    <w:abstractNumId w:val="4"/>
  </w:num>
  <w:num w:numId="25">
    <w:abstractNumId w:val="0"/>
  </w:num>
  <w:num w:numId="26">
    <w:abstractNumId w:val="1"/>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D85"/>
    <w:rsid w:val="0000087E"/>
    <w:rsid w:val="0000131A"/>
    <w:rsid w:val="000013D1"/>
    <w:rsid w:val="00014889"/>
    <w:rsid w:val="000351F0"/>
    <w:rsid w:val="00036794"/>
    <w:rsid w:val="000421AB"/>
    <w:rsid w:val="00042CC9"/>
    <w:rsid w:val="00043389"/>
    <w:rsid w:val="0006002A"/>
    <w:rsid w:val="0006411B"/>
    <w:rsid w:val="00065FDF"/>
    <w:rsid w:val="0007178C"/>
    <w:rsid w:val="00074BFF"/>
    <w:rsid w:val="00084CB0"/>
    <w:rsid w:val="000C4CCD"/>
    <w:rsid w:val="000D3A68"/>
    <w:rsid w:val="000E1117"/>
    <w:rsid w:val="000F63CE"/>
    <w:rsid w:val="0010005B"/>
    <w:rsid w:val="00111A99"/>
    <w:rsid w:val="001130EC"/>
    <w:rsid w:val="00113721"/>
    <w:rsid w:val="00115437"/>
    <w:rsid w:val="0012151E"/>
    <w:rsid w:val="00137222"/>
    <w:rsid w:val="00144AE5"/>
    <w:rsid w:val="00154102"/>
    <w:rsid w:val="0016201F"/>
    <w:rsid w:val="00166534"/>
    <w:rsid w:val="00170E63"/>
    <w:rsid w:val="00175494"/>
    <w:rsid w:val="00194614"/>
    <w:rsid w:val="001A24F7"/>
    <w:rsid w:val="001A3841"/>
    <w:rsid w:val="001B0418"/>
    <w:rsid w:val="001C67A6"/>
    <w:rsid w:val="00201290"/>
    <w:rsid w:val="002175D9"/>
    <w:rsid w:val="00221B84"/>
    <w:rsid w:val="002220BB"/>
    <w:rsid w:val="0022698A"/>
    <w:rsid w:val="00231EC5"/>
    <w:rsid w:val="00241C34"/>
    <w:rsid w:val="00242D7D"/>
    <w:rsid w:val="00252213"/>
    <w:rsid w:val="00272393"/>
    <w:rsid w:val="00273F99"/>
    <w:rsid w:val="00275C5E"/>
    <w:rsid w:val="002A5140"/>
    <w:rsid w:val="002B37A6"/>
    <w:rsid w:val="002B445A"/>
    <w:rsid w:val="002C48DD"/>
    <w:rsid w:val="002D59A8"/>
    <w:rsid w:val="002E224D"/>
    <w:rsid w:val="002E6A5E"/>
    <w:rsid w:val="00311F0D"/>
    <w:rsid w:val="003128A1"/>
    <w:rsid w:val="003135B2"/>
    <w:rsid w:val="00313A11"/>
    <w:rsid w:val="003152A5"/>
    <w:rsid w:val="00322221"/>
    <w:rsid w:val="00352E86"/>
    <w:rsid w:val="00382FD9"/>
    <w:rsid w:val="0038480D"/>
    <w:rsid w:val="003869A8"/>
    <w:rsid w:val="003A435B"/>
    <w:rsid w:val="003A488D"/>
    <w:rsid w:val="003B629D"/>
    <w:rsid w:val="003C0605"/>
    <w:rsid w:val="003C572A"/>
    <w:rsid w:val="003C7EC2"/>
    <w:rsid w:val="003D1FAD"/>
    <w:rsid w:val="003E33EC"/>
    <w:rsid w:val="003F1A86"/>
    <w:rsid w:val="003F27FC"/>
    <w:rsid w:val="0040379C"/>
    <w:rsid w:val="00421529"/>
    <w:rsid w:val="0042517E"/>
    <w:rsid w:val="004252D8"/>
    <w:rsid w:val="00431FAB"/>
    <w:rsid w:val="004439CD"/>
    <w:rsid w:val="00461048"/>
    <w:rsid w:val="00475CF1"/>
    <w:rsid w:val="00480310"/>
    <w:rsid w:val="00487C98"/>
    <w:rsid w:val="004A03BB"/>
    <w:rsid w:val="004A6806"/>
    <w:rsid w:val="004C0849"/>
    <w:rsid w:val="004C3D71"/>
    <w:rsid w:val="004C5C1C"/>
    <w:rsid w:val="004D22BA"/>
    <w:rsid w:val="004D24CE"/>
    <w:rsid w:val="004D77DC"/>
    <w:rsid w:val="004E4AFA"/>
    <w:rsid w:val="004E7BB9"/>
    <w:rsid w:val="004F156B"/>
    <w:rsid w:val="004F3FA3"/>
    <w:rsid w:val="00506F2C"/>
    <w:rsid w:val="00511FDB"/>
    <w:rsid w:val="0051235A"/>
    <w:rsid w:val="00515435"/>
    <w:rsid w:val="005257BA"/>
    <w:rsid w:val="005422D4"/>
    <w:rsid w:val="00542C64"/>
    <w:rsid w:val="005438FE"/>
    <w:rsid w:val="00554CD8"/>
    <w:rsid w:val="0056509E"/>
    <w:rsid w:val="005718F9"/>
    <w:rsid w:val="00572E9F"/>
    <w:rsid w:val="00577603"/>
    <w:rsid w:val="005805BC"/>
    <w:rsid w:val="005A1AB7"/>
    <w:rsid w:val="005A63F4"/>
    <w:rsid w:val="005E320C"/>
    <w:rsid w:val="005E33AA"/>
    <w:rsid w:val="005F1AA2"/>
    <w:rsid w:val="005F2CFC"/>
    <w:rsid w:val="005F3AFE"/>
    <w:rsid w:val="00612DB4"/>
    <w:rsid w:val="00630B60"/>
    <w:rsid w:val="00640D39"/>
    <w:rsid w:val="00665778"/>
    <w:rsid w:val="00670A6B"/>
    <w:rsid w:val="0068651F"/>
    <w:rsid w:val="00692F42"/>
    <w:rsid w:val="00695242"/>
    <w:rsid w:val="006A61C6"/>
    <w:rsid w:val="006A6223"/>
    <w:rsid w:val="006B42B8"/>
    <w:rsid w:val="006C0CCD"/>
    <w:rsid w:val="006C6C71"/>
    <w:rsid w:val="006C7C63"/>
    <w:rsid w:val="006D2EEA"/>
    <w:rsid w:val="006D6B4A"/>
    <w:rsid w:val="006E5419"/>
    <w:rsid w:val="006E74DB"/>
    <w:rsid w:val="006F6E53"/>
    <w:rsid w:val="007021A0"/>
    <w:rsid w:val="00703439"/>
    <w:rsid w:val="007038EF"/>
    <w:rsid w:val="00704C57"/>
    <w:rsid w:val="00722AE8"/>
    <w:rsid w:val="007258BA"/>
    <w:rsid w:val="00726D75"/>
    <w:rsid w:val="00741A78"/>
    <w:rsid w:val="00742965"/>
    <w:rsid w:val="007513BD"/>
    <w:rsid w:val="007757B6"/>
    <w:rsid w:val="007819DB"/>
    <w:rsid w:val="007873D9"/>
    <w:rsid w:val="007927D1"/>
    <w:rsid w:val="007A782A"/>
    <w:rsid w:val="007C0F2C"/>
    <w:rsid w:val="007E1156"/>
    <w:rsid w:val="007E78D8"/>
    <w:rsid w:val="007F35D0"/>
    <w:rsid w:val="008028B0"/>
    <w:rsid w:val="0081518D"/>
    <w:rsid w:val="00815240"/>
    <w:rsid w:val="008207C1"/>
    <w:rsid w:val="00821AAF"/>
    <w:rsid w:val="0083795A"/>
    <w:rsid w:val="00837E95"/>
    <w:rsid w:val="008512D8"/>
    <w:rsid w:val="008576EC"/>
    <w:rsid w:val="0086214F"/>
    <w:rsid w:val="0087521C"/>
    <w:rsid w:val="00881C5C"/>
    <w:rsid w:val="00884065"/>
    <w:rsid w:val="00895264"/>
    <w:rsid w:val="00895B62"/>
    <w:rsid w:val="008975DC"/>
    <w:rsid w:val="008A3CAC"/>
    <w:rsid w:val="008A5DA1"/>
    <w:rsid w:val="008B1B7E"/>
    <w:rsid w:val="008B48A9"/>
    <w:rsid w:val="008C1660"/>
    <w:rsid w:val="008D0100"/>
    <w:rsid w:val="008D1A35"/>
    <w:rsid w:val="008D48C8"/>
    <w:rsid w:val="008D75C8"/>
    <w:rsid w:val="009028B3"/>
    <w:rsid w:val="009103AD"/>
    <w:rsid w:val="00911DA5"/>
    <w:rsid w:val="00914566"/>
    <w:rsid w:val="009334F8"/>
    <w:rsid w:val="00946B4E"/>
    <w:rsid w:val="009478DC"/>
    <w:rsid w:val="00954168"/>
    <w:rsid w:val="009545C6"/>
    <w:rsid w:val="00954E96"/>
    <w:rsid w:val="0095728B"/>
    <w:rsid w:val="00966185"/>
    <w:rsid w:val="00970C22"/>
    <w:rsid w:val="009974A0"/>
    <w:rsid w:val="009A10F3"/>
    <w:rsid w:val="009B014A"/>
    <w:rsid w:val="009B01C4"/>
    <w:rsid w:val="009B128A"/>
    <w:rsid w:val="009B7CB1"/>
    <w:rsid w:val="009C32FB"/>
    <w:rsid w:val="009E2A09"/>
    <w:rsid w:val="009E7334"/>
    <w:rsid w:val="009F443B"/>
    <w:rsid w:val="00A060D8"/>
    <w:rsid w:val="00A33530"/>
    <w:rsid w:val="00A353A8"/>
    <w:rsid w:val="00A36979"/>
    <w:rsid w:val="00A57BAA"/>
    <w:rsid w:val="00A62175"/>
    <w:rsid w:val="00A66EE7"/>
    <w:rsid w:val="00A81499"/>
    <w:rsid w:val="00A86C7B"/>
    <w:rsid w:val="00AA0E65"/>
    <w:rsid w:val="00AA667E"/>
    <w:rsid w:val="00AB7BF1"/>
    <w:rsid w:val="00AC181D"/>
    <w:rsid w:val="00AC7CC3"/>
    <w:rsid w:val="00AC7D99"/>
    <w:rsid w:val="00AD2366"/>
    <w:rsid w:val="00AE6F34"/>
    <w:rsid w:val="00AF5B99"/>
    <w:rsid w:val="00AF7AD1"/>
    <w:rsid w:val="00B01EFA"/>
    <w:rsid w:val="00B02B3B"/>
    <w:rsid w:val="00B0356C"/>
    <w:rsid w:val="00B15268"/>
    <w:rsid w:val="00B445F0"/>
    <w:rsid w:val="00B45D73"/>
    <w:rsid w:val="00B53AC3"/>
    <w:rsid w:val="00B61D11"/>
    <w:rsid w:val="00B76D85"/>
    <w:rsid w:val="00B92E07"/>
    <w:rsid w:val="00BA4959"/>
    <w:rsid w:val="00BA6E66"/>
    <w:rsid w:val="00BB0A82"/>
    <w:rsid w:val="00BB2DF6"/>
    <w:rsid w:val="00BC4041"/>
    <w:rsid w:val="00BC7D49"/>
    <w:rsid w:val="00BE469B"/>
    <w:rsid w:val="00BF229F"/>
    <w:rsid w:val="00BF45DC"/>
    <w:rsid w:val="00BF6269"/>
    <w:rsid w:val="00BF6A0E"/>
    <w:rsid w:val="00BF6B93"/>
    <w:rsid w:val="00BF7080"/>
    <w:rsid w:val="00C01716"/>
    <w:rsid w:val="00C0363B"/>
    <w:rsid w:val="00C20B91"/>
    <w:rsid w:val="00C22B23"/>
    <w:rsid w:val="00C47107"/>
    <w:rsid w:val="00C51021"/>
    <w:rsid w:val="00C52C95"/>
    <w:rsid w:val="00C552F4"/>
    <w:rsid w:val="00C57680"/>
    <w:rsid w:val="00C75BEB"/>
    <w:rsid w:val="00C90E38"/>
    <w:rsid w:val="00C921D4"/>
    <w:rsid w:val="00C94F31"/>
    <w:rsid w:val="00CA2FAF"/>
    <w:rsid w:val="00CB55EA"/>
    <w:rsid w:val="00CC7A38"/>
    <w:rsid w:val="00CD08C1"/>
    <w:rsid w:val="00CD5718"/>
    <w:rsid w:val="00CE6881"/>
    <w:rsid w:val="00CF51BF"/>
    <w:rsid w:val="00D03EAF"/>
    <w:rsid w:val="00D0766C"/>
    <w:rsid w:val="00D15741"/>
    <w:rsid w:val="00D15AEE"/>
    <w:rsid w:val="00D203FF"/>
    <w:rsid w:val="00D252DC"/>
    <w:rsid w:val="00D268AC"/>
    <w:rsid w:val="00D31433"/>
    <w:rsid w:val="00D32804"/>
    <w:rsid w:val="00D37FF0"/>
    <w:rsid w:val="00D47E59"/>
    <w:rsid w:val="00D608F8"/>
    <w:rsid w:val="00D62ABC"/>
    <w:rsid w:val="00D65266"/>
    <w:rsid w:val="00D675AA"/>
    <w:rsid w:val="00D71DDE"/>
    <w:rsid w:val="00D814E2"/>
    <w:rsid w:val="00D836CE"/>
    <w:rsid w:val="00D84E14"/>
    <w:rsid w:val="00D861CD"/>
    <w:rsid w:val="00D96F90"/>
    <w:rsid w:val="00DA4527"/>
    <w:rsid w:val="00DA5E5D"/>
    <w:rsid w:val="00DB4594"/>
    <w:rsid w:val="00DC1222"/>
    <w:rsid w:val="00DC1D36"/>
    <w:rsid w:val="00DD3829"/>
    <w:rsid w:val="00DE42E3"/>
    <w:rsid w:val="00DF5E9F"/>
    <w:rsid w:val="00DF61E3"/>
    <w:rsid w:val="00E11889"/>
    <w:rsid w:val="00E471B8"/>
    <w:rsid w:val="00E50AB0"/>
    <w:rsid w:val="00E67F50"/>
    <w:rsid w:val="00E73443"/>
    <w:rsid w:val="00E776E8"/>
    <w:rsid w:val="00E81FF1"/>
    <w:rsid w:val="00E83C51"/>
    <w:rsid w:val="00E9063C"/>
    <w:rsid w:val="00E957C2"/>
    <w:rsid w:val="00EA558E"/>
    <w:rsid w:val="00EB60C1"/>
    <w:rsid w:val="00EC2626"/>
    <w:rsid w:val="00ED3175"/>
    <w:rsid w:val="00ED6B9B"/>
    <w:rsid w:val="00EE64A9"/>
    <w:rsid w:val="00F0717F"/>
    <w:rsid w:val="00F14C72"/>
    <w:rsid w:val="00F161F7"/>
    <w:rsid w:val="00F169FA"/>
    <w:rsid w:val="00F204E9"/>
    <w:rsid w:val="00F20C8D"/>
    <w:rsid w:val="00F22D4E"/>
    <w:rsid w:val="00F30846"/>
    <w:rsid w:val="00F35A68"/>
    <w:rsid w:val="00F51388"/>
    <w:rsid w:val="00F61F50"/>
    <w:rsid w:val="00F652D5"/>
    <w:rsid w:val="00F65C34"/>
    <w:rsid w:val="00F73512"/>
    <w:rsid w:val="00F85304"/>
    <w:rsid w:val="00FA3A4D"/>
    <w:rsid w:val="00FA5460"/>
    <w:rsid w:val="00FC797D"/>
    <w:rsid w:val="00FD39EE"/>
    <w:rsid w:val="00FD6336"/>
    <w:rsid w:val="00FD6DD0"/>
    <w:rsid w:val="00FE2C50"/>
    <w:rsid w:val="00FE5D00"/>
    <w:rsid w:val="00FF50CB"/>
    <w:rsid w:val="00FF5AA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E0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92E0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2E0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92E0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92E07"/>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szCs w:val="24"/>
      <w:lang w:val="lv-LV" w:eastAsia="lv-LV" w:bidi="ar-SA"/>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szCs w:val="24"/>
      <w:lang w:val="lv-LV" w:eastAsia="lv-LV" w:bidi="ar-SA"/>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B92E07"/>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E07"/>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bidi="ar-SA"/>
    </w:rPr>
  </w:style>
  <w:style w:type="paragraph" w:customStyle="1" w:styleId="naislab">
    <w:name w:val="naislab"/>
    <w:basedOn w:val="Normal"/>
    <w:uiPriority w:val="99"/>
    <w:rsid w:val="00FD6336"/>
    <w:pPr>
      <w:spacing w:before="63" w:after="63"/>
      <w:jc w:val="right"/>
    </w:pPr>
  </w:style>
  <w:style w:type="character" w:styleId="Hyperlink">
    <w:name w:val="Hyperlink"/>
    <w:basedOn w:val="DefaultParagraphFont"/>
    <w:uiPriority w:val="99"/>
    <w:rsid w:val="00D861CD"/>
    <w:rPr>
      <w:rFonts w:cs="Times New Roman"/>
      <w:color w:val="0000FF"/>
      <w:u w:val="single"/>
    </w:rPr>
  </w:style>
  <w:style w:type="paragraph" w:styleId="NormalWeb">
    <w:name w:val="Normal (Web)"/>
    <w:basedOn w:val="Normal"/>
    <w:uiPriority w:val="99"/>
    <w:rsid w:val="00970C22"/>
    <w:pPr>
      <w:spacing w:before="100" w:beforeAutospacing="1" w:after="100" w:afterAutospacing="1"/>
    </w:pPr>
    <w:rPr>
      <w:rFonts w:ascii="Verdana" w:hAnsi="Verdana"/>
      <w:sz w:val="20"/>
      <w:szCs w:val="20"/>
    </w:rPr>
  </w:style>
  <w:style w:type="character" w:styleId="Strong">
    <w:name w:val="Strong"/>
    <w:basedOn w:val="DefaultParagraphFont"/>
    <w:uiPriority w:val="99"/>
    <w:qFormat/>
    <w:rsid w:val="00970C22"/>
    <w:rPr>
      <w:rFonts w:cs="Times New Roman"/>
      <w:b/>
      <w:bCs/>
    </w:rPr>
  </w:style>
  <w:style w:type="paragraph" w:customStyle="1" w:styleId="naispant">
    <w:name w:val="naispant"/>
    <w:basedOn w:val="Normal"/>
    <w:uiPriority w:val="99"/>
    <w:rsid w:val="00B01EFA"/>
    <w:pPr>
      <w:spacing w:before="316" w:after="79"/>
      <w:ind w:left="396" w:firstLine="396"/>
      <w:jc w:val="both"/>
    </w:pPr>
    <w:rPr>
      <w:b/>
      <w:bCs/>
    </w:rPr>
  </w:style>
  <w:style w:type="character" w:styleId="CommentReference">
    <w:name w:val="annotation reference"/>
    <w:basedOn w:val="DefaultParagraphFont"/>
    <w:uiPriority w:val="99"/>
    <w:semiHidden/>
    <w:rsid w:val="005F2CFC"/>
    <w:rPr>
      <w:rFonts w:cs="Times New Roman"/>
      <w:sz w:val="16"/>
      <w:szCs w:val="16"/>
    </w:rPr>
  </w:style>
  <w:style w:type="paragraph" w:styleId="CommentSubject">
    <w:name w:val="annotation subject"/>
    <w:basedOn w:val="CommentText"/>
    <w:next w:val="CommentText"/>
    <w:link w:val="CommentSubjectChar"/>
    <w:uiPriority w:val="99"/>
    <w:semiHidden/>
    <w:rsid w:val="005F2CFC"/>
    <w:rPr>
      <w:b/>
      <w:bCs/>
    </w:rPr>
  </w:style>
  <w:style w:type="character" w:customStyle="1" w:styleId="CommentSubjectChar">
    <w:name w:val="Comment Subject Char"/>
    <w:basedOn w:val="CommentTextChar"/>
    <w:link w:val="CommentSubject"/>
    <w:uiPriority w:val="99"/>
    <w:semiHidden/>
    <w:locked/>
    <w:rsid w:val="00B92E07"/>
    <w:rPr>
      <w:b/>
      <w:bCs/>
    </w:rPr>
  </w:style>
  <w:style w:type="character" w:styleId="Emphasis">
    <w:name w:val="Emphasis"/>
    <w:basedOn w:val="DefaultParagraphFont"/>
    <w:uiPriority w:val="99"/>
    <w:qFormat/>
    <w:locked/>
    <w:rsid w:val="003A435B"/>
    <w:rPr>
      <w:rFonts w:cs="Times New Roman"/>
      <w:b/>
      <w:bCs/>
    </w:rPr>
  </w:style>
  <w:style w:type="paragraph" w:styleId="ListBullet">
    <w:name w:val="List Bullet"/>
    <w:basedOn w:val="Normal"/>
    <w:uiPriority w:val="99"/>
    <w:rsid w:val="00D814E2"/>
    <w:pPr>
      <w:numPr>
        <w:numId w:val="5"/>
      </w:numPr>
    </w:pPr>
  </w:style>
</w:styles>
</file>

<file path=word/webSettings.xml><?xml version="1.0" encoding="utf-8"?>
<w:webSettings xmlns:r="http://schemas.openxmlformats.org/officeDocument/2006/relationships" xmlns:w="http://schemas.openxmlformats.org/wordprocessingml/2006/main">
  <w:divs>
    <w:div w:id="11883491">
      <w:marLeft w:val="0"/>
      <w:marRight w:val="0"/>
      <w:marTop w:val="0"/>
      <w:marBottom w:val="0"/>
      <w:divBdr>
        <w:top w:val="none" w:sz="0" w:space="0" w:color="auto"/>
        <w:left w:val="none" w:sz="0" w:space="0" w:color="auto"/>
        <w:bottom w:val="none" w:sz="0" w:space="0" w:color="auto"/>
        <w:right w:val="none" w:sz="0" w:space="0" w:color="auto"/>
      </w:divBdr>
      <w:divsChild>
        <w:div w:id="1188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vira.Grabov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672</TotalTime>
  <Pages>6</Pages>
  <Words>1735</Words>
  <Characters>12687</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Grozijumi Ministru kabineta 2003.gada 3. jūnija noteikumos  Nr. 291 "Prasības sociālo pakalpojumu sniedzējiem"</dc:title>
  <dc:subject>Anotācija</dc:subject>
  <dc:creator>Elvīra Grabovska </dc:creator>
  <cp:keywords/>
  <dc:description>tālrunis 67021671, fakss 67021678, e-pasts: Elvira.Grabovska@lm.gov.lv</dc:description>
  <cp:lastModifiedBy>elvirag</cp:lastModifiedBy>
  <cp:revision>24</cp:revision>
  <cp:lastPrinted>2011-01-07T12:33:00Z</cp:lastPrinted>
  <dcterms:created xsi:type="dcterms:W3CDTF">2010-11-05T10:02:00Z</dcterms:created>
  <dcterms:modified xsi:type="dcterms:W3CDTF">2011-01-19T12:29:00Z</dcterms:modified>
</cp:coreProperties>
</file>