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bookmarkStart w:id="0" w:name="_Toc364079061"/>
      <w:bookmarkStart w:id="1" w:name="_Toc364079197"/>
      <w:bookmarkStart w:id="2" w:name="_Toc364079062"/>
      <w:bookmarkStart w:id="3" w:name="_Toc364079198"/>
      <w:bookmarkStart w:id="4" w:name="_Toc364079063"/>
      <w:bookmarkStart w:id="5" w:name="_Toc364079199"/>
      <w:bookmarkStart w:id="6" w:name="_Toc364079070"/>
      <w:bookmarkStart w:id="7" w:name="_Toc364079206"/>
      <w:bookmarkStart w:id="8" w:name="_Toc364079072"/>
      <w:bookmarkStart w:id="9" w:name="_Toc364079208"/>
      <w:bookmarkStart w:id="10" w:name="_Toc364079073"/>
      <w:bookmarkStart w:id="11" w:name="_Toc364079209"/>
      <w:bookmarkStart w:id="12" w:name="_Toc364079080"/>
      <w:bookmarkStart w:id="13" w:name="_Toc364079216"/>
      <w:bookmarkStart w:id="14" w:name="_Toc364079082"/>
      <w:bookmarkStart w:id="15" w:name="_Toc364079218"/>
      <w:bookmarkStart w:id="16" w:name="_Toc364079083"/>
      <w:bookmarkStart w:id="17" w:name="_Toc364079219"/>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r w:rsidRPr="0063727B">
        <w:rPr>
          <w:rFonts w:ascii="Times New Roman" w:hAnsi="Times New Roman" w:cs="Times New Roman"/>
          <w:b/>
          <w:bCs/>
          <w:sz w:val="24"/>
          <w:szCs w:val="24"/>
        </w:rPr>
        <w:t xml:space="preserve">Informatīvais ziņojums </w:t>
      </w: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8"/>
          <w:szCs w:val="28"/>
        </w:rPr>
      </w:pPr>
      <w:r w:rsidRPr="0063727B">
        <w:rPr>
          <w:rFonts w:ascii="Times New Roman" w:hAnsi="Times New Roman" w:cs="Times New Roman"/>
          <w:b/>
          <w:bCs/>
          <w:sz w:val="28"/>
          <w:szCs w:val="28"/>
        </w:rPr>
        <w:t>Priekšlikumi sociālās drošības sistēmas pilnveidošanai</w:t>
      </w: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p>
    <w:p w:rsidR="00343AF5" w:rsidRPr="0063727B" w:rsidRDefault="00343AF5" w:rsidP="00ED7FB6">
      <w:pPr>
        <w:autoSpaceDE w:val="0"/>
        <w:autoSpaceDN w:val="0"/>
        <w:adjustRightInd w:val="0"/>
        <w:spacing w:after="0" w:line="360" w:lineRule="auto"/>
        <w:jc w:val="center"/>
        <w:rPr>
          <w:rFonts w:ascii="Times New Roman" w:hAnsi="Times New Roman" w:cs="Times New Roman"/>
          <w:b/>
          <w:bCs/>
          <w:sz w:val="24"/>
          <w:szCs w:val="24"/>
        </w:rPr>
      </w:pPr>
      <w:r w:rsidRPr="0063727B">
        <w:rPr>
          <w:rFonts w:ascii="Times New Roman" w:hAnsi="Times New Roman" w:cs="Times New Roman"/>
          <w:b/>
          <w:bCs/>
          <w:sz w:val="24"/>
          <w:szCs w:val="24"/>
        </w:rPr>
        <w:t>Labklājības ministrija</w:t>
      </w:r>
    </w:p>
    <w:p w:rsidR="00343AF5" w:rsidRPr="0063727B" w:rsidRDefault="00343AF5" w:rsidP="00ED7FB6">
      <w:pPr>
        <w:autoSpaceDE w:val="0"/>
        <w:autoSpaceDN w:val="0"/>
        <w:adjustRightInd w:val="0"/>
        <w:spacing w:after="0" w:line="360" w:lineRule="auto"/>
        <w:jc w:val="center"/>
        <w:rPr>
          <w:rFonts w:ascii="Times New Roman" w:hAnsi="Times New Roman" w:cs="Times New Roman"/>
          <w:sz w:val="24"/>
          <w:szCs w:val="24"/>
        </w:rPr>
      </w:pPr>
      <w:r w:rsidRPr="0063727B">
        <w:rPr>
          <w:rFonts w:ascii="Times New Roman" w:hAnsi="Times New Roman" w:cs="Times New Roman"/>
          <w:b/>
          <w:bCs/>
          <w:sz w:val="24"/>
          <w:szCs w:val="24"/>
        </w:rPr>
        <w:t>2013</w:t>
      </w:r>
    </w:p>
    <w:p w:rsidR="005B373A" w:rsidRDefault="005B37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A78DA" w:rsidRDefault="008A78DA">
      <w:pPr>
        <w:spacing w:after="0" w:line="240" w:lineRule="auto"/>
        <w:rPr>
          <w:rFonts w:ascii="Times New Roman" w:hAnsi="Times New Roman" w:cs="Times New Roman"/>
          <w:b/>
          <w:bCs/>
          <w:sz w:val="24"/>
          <w:szCs w:val="24"/>
        </w:rPr>
        <w:sectPr w:rsidR="008A78DA" w:rsidSect="007948D7">
          <w:headerReference w:type="default" r:id="rId9"/>
          <w:footerReference w:type="default" r:id="rId10"/>
          <w:footerReference w:type="first" r:id="rId11"/>
          <w:pgSz w:w="11906" w:h="16838"/>
          <w:pgMar w:top="1134" w:right="1797" w:bottom="1134" w:left="1134" w:header="709" w:footer="709" w:gutter="0"/>
          <w:pgNumType w:start="1"/>
          <w:cols w:space="708"/>
          <w:titlePg/>
          <w:docGrid w:linePitch="360"/>
        </w:sectPr>
      </w:pPr>
    </w:p>
    <w:p w:rsidR="008A78DA" w:rsidRDefault="008A78DA">
      <w:pPr>
        <w:spacing w:after="0" w:line="240" w:lineRule="auto"/>
        <w:rPr>
          <w:rFonts w:ascii="Times New Roman" w:hAnsi="Times New Roman" w:cs="Times New Roman"/>
          <w:sz w:val="24"/>
          <w:szCs w:val="24"/>
        </w:rPr>
      </w:pPr>
    </w:p>
    <w:p w:rsidR="00343AF5" w:rsidRPr="0063727B" w:rsidRDefault="00343AF5" w:rsidP="004D51AF">
      <w:pPr>
        <w:pStyle w:val="TOCHeading"/>
        <w:spacing w:before="0" w:line="360" w:lineRule="auto"/>
        <w:jc w:val="center"/>
        <w:rPr>
          <w:rFonts w:ascii="Times New Roman" w:hAnsi="Times New Roman" w:cs="Times New Roman"/>
          <w:b w:val="0"/>
          <w:bCs w:val="0"/>
          <w:color w:val="auto"/>
          <w:sz w:val="24"/>
          <w:szCs w:val="24"/>
          <w:lang w:val="lv-LV"/>
        </w:rPr>
      </w:pPr>
      <w:r w:rsidRPr="0063727B">
        <w:rPr>
          <w:rFonts w:ascii="Times New Roman" w:hAnsi="Times New Roman" w:cs="Times New Roman"/>
          <w:b w:val="0"/>
          <w:bCs w:val="0"/>
          <w:color w:val="auto"/>
          <w:sz w:val="24"/>
          <w:szCs w:val="24"/>
          <w:lang w:val="lv-LV"/>
        </w:rPr>
        <w:t>SATURS</w:t>
      </w:r>
    </w:p>
    <w:p w:rsidR="00343AF5" w:rsidRPr="0063727B" w:rsidRDefault="00343AF5" w:rsidP="00166444">
      <w:pPr>
        <w:spacing w:after="0" w:line="360" w:lineRule="auto"/>
        <w:rPr>
          <w:rFonts w:ascii="Times New Roman" w:hAnsi="Times New Roman" w:cs="Times New Roman"/>
          <w:sz w:val="24"/>
          <w:szCs w:val="24"/>
          <w:lang w:eastAsia="ja-JP"/>
        </w:rPr>
      </w:pPr>
    </w:p>
    <w:p w:rsidR="004C4989" w:rsidRDefault="004C4989">
      <w:pPr>
        <w:pStyle w:val="TOC1"/>
        <w:tabs>
          <w:tab w:val="right" w:leader="dot" w:pos="8965"/>
        </w:tabs>
        <w:rPr>
          <w:rFonts w:eastAsiaTheme="minorEastAsia" w:cstheme="minorBidi"/>
          <w:b w:val="0"/>
          <w:bCs w:val="0"/>
          <w:caps w:val="0"/>
          <w:noProof/>
          <w:sz w:val="22"/>
          <w:szCs w:val="22"/>
          <w:lang w:eastAsia="lv-LV"/>
        </w:rPr>
      </w:pPr>
      <w:r>
        <w:rPr>
          <w:rFonts w:ascii="Times New Roman" w:hAnsi="Times New Roman" w:cs="Times New Roman"/>
          <w:b w:val="0"/>
          <w:bCs w:val="0"/>
          <w:sz w:val="24"/>
          <w:szCs w:val="24"/>
          <w:highlight w:val="yellow"/>
        </w:rPr>
        <w:fldChar w:fldCharType="begin"/>
      </w:r>
      <w:r>
        <w:rPr>
          <w:rFonts w:ascii="Times New Roman" w:hAnsi="Times New Roman" w:cs="Times New Roman"/>
          <w:b w:val="0"/>
          <w:bCs w:val="0"/>
          <w:sz w:val="24"/>
          <w:szCs w:val="24"/>
          <w:highlight w:val="yellow"/>
        </w:rPr>
        <w:instrText xml:space="preserve"> TOC \o "1-3" \h \z \u </w:instrText>
      </w:r>
      <w:r>
        <w:rPr>
          <w:rFonts w:ascii="Times New Roman" w:hAnsi="Times New Roman" w:cs="Times New Roman"/>
          <w:b w:val="0"/>
          <w:bCs w:val="0"/>
          <w:sz w:val="24"/>
          <w:szCs w:val="24"/>
          <w:highlight w:val="yellow"/>
        </w:rPr>
        <w:fldChar w:fldCharType="separate"/>
      </w:r>
      <w:hyperlink w:anchor="_Toc372812629" w:history="1">
        <w:r w:rsidRPr="005F033A">
          <w:rPr>
            <w:rStyle w:val="Hyperlink"/>
            <w:rFonts w:ascii="Times New Roman" w:hAnsi="Times New Roman" w:cs="Times New Roman"/>
            <w:noProof/>
          </w:rPr>
          <w:t>Ievads</w:t>
        </w:r>
        <w:r>
          <w:rPr>
            <w:noProof/>
            <w:webHidden/>
          </w:rPr>
          <w:tab/>
        </w:r>
        <w:r>
          <w:rPr>
            <w:noProof/>
            <w:webHidden/>
          </w:rPr>
          <w:fldChar w:fldCharType="begin"/>
        </w:r>
        <w:r>
          <w:rPr>
            <w:noProof/>
            <w:webHidden/>
          </w:rPr>
          <w:instrText xml:space="preserve"> PAGEREF _Toc372812629 \h </w:instrText>
        </w:r>
        <w:r>
          <w:rPr>
            <w:noProof/>
            <w:webHidden/>
          </w:rPr>
        </w:r>
        <w:r>
          <w:rPr>
            <w:noProof/>
            <w:webHidden/>
          </w:rPr>
          <w:fldChar w:fldCharType="separate"/>
        </w:r>
        <w:r>
          <w:rPr>
            <w:noProof/>
            <w:webHidden/>
          </w:rPr>
          <w:t>3</w:t>
        </w:r>
        <w:r>
          <w:rPr>
            <w:noProof/>
            <w:webHidden/>
          </w:rPr>
          <w:fldChar w:fldCharType="end"/>
        </w:r>
      </w:hyperlink>
    </w:p>
    <w:p w:rsidR="004C4989" w:rsidRDefault="004C4989">
      <w:pPr>
        <w:pStyle w:val="TOC1"/>
        <w:tabs>
          <w:tab w:val="left" w:pos="440"/>
          <w:tab w:val="right" w:leader="dot" w:pos="8965"/>
        </w:tabs>
        <w:rPr>
          <w:rFonts w:eastAsiaTheme="minorEastAsia" w:cstheme="minorBidi"/>
          <w:b w:val="0"/>
          <w:bCs w:val="0"/>
          <w:caps w:val="0"/>
          <w:noProof/>
          <w:sz w:val="22"/>
          <w:szCs w:val="22"/>
          <w:lang w:eastAsia="lv-LV"/>
        </w:rPr>
      </w:pPr>
      <w:hyperlink w:anchor="_Toc372812630" w:history="1">
        <w:r w:rsidRPr="005F033A">
          <w:rPr>
            <w:rStyle w:val="Hyperlink"/>
            <w:rFonts w:ascii="Times New Roman" w:hAnsi="Times New Roman" w:cs="Times New Roman"/>
            <w:noProof/>
          </w:rPr>
          <w:t>1.</w:t>
        </w:r>
        <w:r>
          <w:rPr>
            <w:rFonts w:eastAsiaTheme="minorEastAsia" w:cstheme="minorBidi"/>
            <w:b w:val="0"/>
            <w:bCs w:val="0"/>
            <w:caps w:val="0"/>
            <w:noProof/>
            <w:sz w:val="22"/>
            <w:szCs w:val="22"/>
            <w:lang w:eastAsia="lv-LV"/>
          </w:rPr>
          <w:tab/>
        </w:r>
        <w:r w:rsidRPr="005F033A">
          <w:rPr>
            <w:rStyle w:val="Hyperlink"/>
            <w:rFonts w:ascii="Times New Roman" w:hAnsi="Times New Roman" w:cs="Times New Roman"/>
            <w:noProof/>
          </w:rPr>
          <w:t>SITUĀCIJAS RAKSTUROJUMS</w:t>
        </w:r>
        <w:r>
          <w:rPr>
            <w:noProof/>
            <w:webHidden/>
          </w:rPr>
          <w:tab/>
        </w:r>
        <w:r>
          <w:rPr>
            <w:noProof/>
            <w:webHidden/>
          </w:rPr>
          <w:fldChar w:fldCharType="begin"/>
        </w:r>
        <w:r>
          <w:rPr>
            <w:noProof/>
            <w:webHidden/>
          </w:rPr>
          <w:instrText xml:space="preserve"> PAGEREF _Toc372812630 \h </w:instrText>
        </w:r>
        <w:r>
          <w:rPr>
            <w:noProof/>
            <w:webHidden/>
          </w:rPr>
        </w:r>
        <w:r>
          <w:rPr>
            <w:noProof/>
            <w:webHidden/>
          </w:rPr>
          <w:fldChar w:fldCharType="separate"/>
        </w:r>
        <w:r>
          <w:rPr>
            <w:noProof/>
            <w:webHidden/>
          </w:rPr>
          <w:t>6</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1" w:history="1">
        <w:r w:rsidRPr="005F033A">
          <w:rPr>
            <w:rStyle w:val="Hyperlink"/>
            <w:rFonts w:ascii="Times New Roman" w:hAnsi="Times New Roman" w:cs="Times New Roman"/>
            <w:noProof/>
          </w:rPr>
          <w:t>1.1.</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Nabadzība Latvijā</w:t>
        </w:r>
        <w:r>
          <w:rPr>
            <w:noProof/>
            <w:webHidden/>
          </w:rPr>
          <w:tab/>
        </w:r>
        <w:r>
          <w:rPr>
            <w:noProof/>
            <w:webHidden/>
          </w:rPr>
          <w:fldChar w:fldCharType="begin"/>
        </w:r>
        <w:r>
          <w:rPr>
            <w:noProof/>
            <w:webHidden/>
          </w:rPr>
          <w:instrText xml:space="preserve"> PAGEREF _Toc372812631 \h </w:instrText>
        </w:r>
        <w:r>
          <w:rPr>
            <w:noProof/>
            <w:webHidden/>
          </w:rPr>
        </w:r>
        <w:r>
          <w:rPr>
            <w:noProof/>
            <w:webHidden/>
          </w:rPr>
          <w:fldChar w:fldCharType="separate"/>
        </w:r>
        <w:r>
          <w:rPr>
            <w:noProof/>
            <w:webHidden/>
          </w:rPr>
          <w:t>6</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2" w:history="1">
        <w:r w:rsidRPr="005F033A">
          <w:rPr>
            <w:rStyle w:val="Hyperlink"/>
            <w:rFonts w:ascii="Times New Roman" w:hAnsi="Times New Roman" w:cs="Times New Roman"/>
            <w:noProof/>
          </w:rPr>
          <w:t>1.2.</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Minimālie ienākumu sliekšņi Latvijā</w:t>
        </w:r>
        <w:r>
          <w:rPr>
            <w:noProof/>
            <w:webHidden/>
          </w:rPr>
          <w:tab/>
        </w:r>
        <w:r>
          <w:rPr>
            <w:noProof/>
            <w:webHidden/>
          </w:rPr>
          <w:fldChar w:fldCharType="begin"/>
        </w:r>
        <w:r>
          <w:rPr>
            <w:noProof/>
            <w:webHidden/>
          </w:rPr>
          <w:instrText xml:space="preserve"> PAGEREF _Toc372812632 \h </w:instrText>
        </w:r>
        <w:r>
          <w:rPr>
            <w:noProof/>
            <w:webHidden/>
          </w:rPr>
        </w:r>
        <w:r>
          <w:rPr>
            <w:noProof/>
            <w:webHidden/>
          </w:rPr>
          <w:fldChar w:fldCharType="separate"/>
        </w:r>
        <w:r>
          <w:rPr>
            <w:noProof/>
            <w:webHidden/>
          </w:rPr>
          <w:t>12</w:t>
        </w:r>
        <w:r>
          <w:rPr>
            <w:noProof/>
            <w:webHidden/>
          </w:rPr>
          <w:fldChar w:fldCharType="end"/>
        </w:r>
      </w:hyperlink>
    </w:p>
    <w:p w:rsidR="004C4989" w:rsidRDefault="004C4989">
      <w:pPr>
        <w:pStyle w:val="TOC1"/>
        <w:tabs>
          <w:tab w:val="left" w:pos="440"/>
          <w:tab w:val="right" w:leader="dot" w:pos="8965"/>
        </w:tabs>
        <w:rPr>
          <w:rFonts w:eastAsiaTheme="minorEastAsia" w:cstheme="minorBidi"/>
          <w:b w:val="0"/>
          <w:bCs w:val="0"/>
          <w:caps w:val="0"/>
          <w:noProof/>
          <w:sz w:val="22"/>
          <w:szCs w:val="22"/>
          <w:lang w:eastAsia="lv-LV"/>
        </w:rPr>
      </w:pPr>
      <w:hyperlink w:anchor="_Toc372812633" w:history="1">
        <w:r w:rsidRPr="005F033A">
          <w:rPr>
            <w:rStyle w:val="Hyperlink"/>
            <w:rFonts w:ascii="Times New Roman" w:hAnsi="Times New Roman" w:cs="Times New Roman"/>
            <w:noProof/>
          </w:rPr>
          <w:t>2.</w:t>
        </w:r>
        <w:r>
          <w:rPr>
            <w:rFonts w:eastAsiaTheme="minorEastAsia" w:cstheme="minorBidi"/>
            <w:b w:val="0"/>
            <w:bCs w:val="0"/>
            <w:caps w:val="0"/>
            <w:noProof/>
            <w:sz w:val="22"/>
            <w:szCs w:val="22"/>
            <w:lang w:eastAsia="lv-LV"/>
          </w:rPr>
          <w:tab/>
        </w:r>
        <w:r w:rsidRPr="005F033A">
          <w:rPr>
            <w:rStyle w:val="Hyperlink"/>
            <w:rFonts w:ascii="Times New Roman" w:hAnsi="Times New Roman" w:cs="Times New Roman"/>
            <w:noProof/>
          </w:rPr>
          <w:t>SOCIĀLĀS DROŠĪBAS (AIZSARDZĪBAS) SISTĒMAS IZAICINĀJUMI UN RISINĀJUMI</w:t>
        </w:r>
        <w:r>
          <w:rPr>
            <w:noProof/>
            <w:webHidden/>
          </w:rPr>
          <w:tab/>
        </w:r>
        <w:r>
          <w:rPr>
            <w:noProof/>
            <w:webHidden/>
          </w:rPr>
          <w:fldChar w:fldCharType="begin"/>
        </w:r>
        <w:r>
          <w:rPr>
            <w:noProof/>
            <w:webHidden/>
          </w:rPr>
          <w:instrText xml:space="preserve"> PAGEREF _Toc372812633 \h </w:instrText>
        </w:r>
        <w:r>
          <w:rPr>
            <w:noProof/>
            <w:webHidden/>
          </w:rPr>
        </w:r>
        <w:r>
          <w:rPr>
            <w:noProof/>
            <w:webHidden/>
          </w:rPr>
          <w:fldChar w:fldCharType="separate"/>
        </w:r>
        <w:r>
          <w:rPr>
            <w:noProof/>
            <w:webHidden/>
          </w:rPr>
          <w:t>18</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4" w:history="1">
        <w:r w:rsidRPr="005F033A">
          <w:rPr>
            <w:rStyle w:val="Hyperlink"/>
            <w:rFonts w:ascii="Times New Roman" w:hAnsi="Times New Roman" w:cs="Times New Roman"/>
            <w:noProof/>
          </w:rPr>
          <w:t>2.1.</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Sociālā apdrošināšana</w:t>
        </w:r>
        <w:r>
          <w:rPr>
            <w:noProof/>
            <w:webHidden/>
          </w:rPr>
          <w:tab/>
        </w:r>
        <w:r>
          <w:rPr>
            <w:noProof/>
            <w:webHidden/>
          </w:rPr>
          <w:fldChar w:fldCharType="begin"/>
        </w:r>
        <w:r>
          <w:rPr>
            <w:noProof/>
            <w:webHidden/>
          </w:rPr>
          <w:instrText xml:space="preserve"> PAGEREF _Toc372812634 \h </w:instrText>
        </w:r>
        <w:r>
          <w:rPr>
            <w:noProof/>
            <w:webHidden/>
          </w:rPr>
        </w:r>
        <w:r>
          <w:rPr>
            <w:noProof/>
            <w:webHidden/>
          </w:rPr>
          <w:fldChar w:fldCharType="separate"/>
        </w:r>
        <w:r>
          <w:rPr>
            <w:noProof/>
            <w:webHidden/>
          </w:rPr>
          <w:t>19</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5" w:history="1">
        <w:r w:rsidRPr="005F033A">
          <w:rPr>
            <w:rStyle w:val="Hyperlink"/>
            <w:rFonts w:ascii="Times New Roman" w:hAnsi="Times New Roman" w:cs="Times New Roman"/>
            <w:noProof/>
          </w:rPr>
          <w:t>2.2.</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Valsts sociālie pabalsti (universālie pabalsti)</w:t>
        </w:r>
        <w:r>
          <w:rPr>
            <w:noProof/>
            <w:webHidden/>
          </w:rPr>
          <w:tab/>
        </w:r>
        <w:r>
          <w:rPr>
            <w:noProof/>
            <w:webHidden/>
          </w:rPr>
          <w:fldChar w:fldCharType="begin"/>
        </w:r>
        <w:r>
          <w:rPr>
            <w:noProof/>
            <w:webHidden/>
          </w:rPr>
          <w:instrText xml:space="preserve"> PAGEREF _Toc372812635 \h </w:instrText>
        </w:r>
        <w:r>
          <w:rPr>
            <w:noProof/>
            <w:webHidden/>
          </w:rPr>
        </w:r>
        <w:r>
          <w:rPr>
            <w:noProof/>
            <w:webHidden/>
          </w:rPr>
          <w:fldChar w:fldCharType="separate"/>
        </w:r>
        <w:r>
          <w:rPr>
            <w:noProof/>
            <w:webHidden/>
          </w:rPr>
          <w:t>23</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6" w:history="1">
        <w:r w:rsidRPr="005F033A">
          <w:rPr>
            <w:rStyle w:val="Hyperlink"/>
            <w:rFonts w:ascii="Times New Roman" w:hAnsi="Times New Roman" w:cs="Times New Roman"/>
            <w:noProof/>
          </w:rPr>
          <w:t>2.3.</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Sociālā palīdzība</w:t>
        </w:r>
        <w:r>
          <w:rPr>
            <w:noProof/>
            <w:webHidden/>
          </w:rPr>
          <w:tab/>
        </w:r>
        <w:r>
          <w:rPr>
            <w:noProof/>
            <w:webHidden/>
          </w:rPr>
          <w:fldChar w:fldCharType="begin"/>
        </w:r>
        <w:r>
          <w:rPr>
            <w:noProof/>
            <w:webHidden/>
          </w:rPr>
          <w:instrText xml:space="preserve"> PAGEREF _Toc372812636 \h </w:instrText>
        </w:r>
        <w:r>
          <w:rPr>
            <w:noProof/>
            <w:webHidden/>
          </w:rPr>
        </w:r>
        <w:r>
          <w:rPr>
            <w:noProof/>
            <w:webHidden/>
          </w:rPr>
          <w:fldChar w:fldCharType="separate"/>
        </w:r>
        <w:r>
          <w:rPr>
            <w:noProof/>
            <w:webHidden/>
          </w:rPr>
          <w:t>28</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7" w:history="1">
        <w:r w:rsidRPr="005F033A">
          <w:rPr>
            <w:rStyle w:val="Hyperlink"/>
            <w:rFonts w:ascii="Times New Roman" w:hAnsi="Times New Roman" w:cs="Times New Roman"/>
            <w:noProof/>
          </w:rPr>
          <w:t>2.4.</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Aktīvie darba tirgus pasākumi</w:t>
        </w:r>
        <w:r>
          <w:rPr>
            <w:noProof/>
            <w:webHidden/>
          </w:rPr>
          <w:tab/>
        </w:r>
        <w:r>
          <w:rPr>
            <w:noProof/>
            <w:webHidden/>
          </w:rPr>
          <w:fldChar w:fldCharType="begin"/>
        </w:r>
        <w:r>
          <w:rPr>
            <w:noProof/>
            <w:webHidden/>
          </w:rPr>
          <w:instrText xml:space="preserve"> PAGEREF _Toc372812637 \h </w:instrText>
        </w:r>
        <w:r>
          <w:rPr>
            <w:noProof/>
            <w:webHidden/>
          </w:rPr>
        </w:r>
        <w:r>
          <w:rPr>
            <w:noProof/>
            <w:webHidden/>
          </w:rPr>
          <w:fldChar w:fldCharType="separate"/>
        </w:r>
        <w:r>
          <w:rPr>
            <w:noProof/>
            <w:webHidden/>
          </w:rPr>
          <w:t>37</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38" w:history="1">
        <w:r w:rsidRPr="005F033A">
          <w:rPr>
            <w:rStyle w:val="Hyperlink"/>
            <w:rFonts w:ascii="Times New Roman" w:hAnsi="Times New Roman" w:cs="Times New Roman"/>
            <w:noProof/>
          </w:rPr>
          <w:t>2.5.</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Sociālais darbs un sociālie pakalpojumi</w:t>
        </w:r>
        <w:r>
          <w:rPr>
            <w:noProof/>
            <w:webHidden/>
          </w:rPr>
          <w:tab/>
        </w:r>
        <w:r>
          <w:rPr>
            <w:noProof/>
            <w:webHidden/>
          </w:rPr>
          <w:fldChar w:fldCharType="begin"/>
        </w:r>
        <w:r>
          <w:rPr>
            <w:noProof/>
            <w:webHidden/>
          </w:rPr>
          <w:instrText xml:space="preserve"> PAGEREF _Toc372812638 \h </w:instrText>
        </w:r>
        <w:r>
          <w:rPr>
            <w:noProof/>
            <w:webHidden/>
          </w:rPr>
        </w:r>
        <w:r>
          <w:rPr>
            <w:noProof/>
            <w:webHidden/>
          </w:rPr>
          <w:fldChar w:fldCharType="separate"/>
        </w:r>
        <w:r>
          <w:rPr>
            <w:noProof/>
            <w:webHidden/>
          </w:rPr>
          <w:t>42</w:t>
        </w:r>
        <w:r>
          <w:rPr>
            <w:noProof/>
            <w:webHidden/>
          </w:rPr>
          <w:fldChar w:fldCharType="end"/>
        </w:r>
      </w:hyperlink>
    </w:p>
    <w:p w:rsidR="004C4989" w:rsidRDefault="004C4989">
      <w:pPr>
        <w:pStyle w:val="TOC1"/>
        <w:tabs>
          <w:tab w:val="left" w:pos="440"/>
          <w:tab w:val="right" w:leader="dot" w:pos="8965"/>
        </w:tabs>
        <w:rPr>
          <w:rFonts w:eastAsiaTheme="minorEastAsia" w:cstheme="minorBidi"/>
          <w:b w:val="0"/>
          <w:bCs w:val="0"/>
          <w:caps w:val="0"/>
          <w:noProof/>
          <w:sz w:val="22"/>
          <w:szCs w:val="22"/>
          <w:lang w:eastAsia="lv-LV"/>
        </w:rPr>
      </w:pPr>
      <w:hyperlink w:anchor="_Toc372812639" w:history="1">
        <w:r w:rsidRPr="005F033A">
          <w:rPr>
            <w:rStyle w:val="Hyperlink"/>
            <w:rFonts w:ascii="Times New Roman" w:hAnsi="Times New Roman" w:cs="Times New Roman"/>
            <w:noProof/>
          </w:rPr>
          <w:t>3.</w:t>
        </w:r>
        <w:r>
          <w:rPr>
            <w:rFonts w:eastAsiaTheme="minorEastAsia" w:cstheme="minorBidi"/>
            <w:b w:val="0"/>
            <w:bCs w:val="0"/>
            <w:caps w:val="0"/>
            <w:noProof/>
            <w:sz w:val="22"/>
            <w:szCs w:val="22"/>
            <w:lang w:eastAsia="lv-LV"/>
          </w:rPr>
          <w:tab/>
        </w:r>
        <w:r w:rsidRPr="005F033A">
          <w:rPr>
            <w:rStyle w:val="Hyperlink"/>
            <w:rFonts w:ascii="Times New Roman" w:hAnsi="Times New Roman" w:cs="Times New Roman"/>
            <w:noProof/>
          </w:rPr>
          <w:t>TURPMĀKĀ RĪCĪBA</w:t>
        </w:r>
        <w:r>
          <w:rPr>
            <w:noProof/>
            <w:webHidden/>
          </w:rPr>
          <w:tab/>
        </w:r>
        <w:r>
          <w:rPr>
            <w:noProof/>
            <w:webHidden/>
          </w:rPr>
          <w:fldChar w:fldCharType="begin"/>
        </w:r>
        <w:r>
          <w:rPr>
            <w:noProof/>
            <w:webHidden/>
          </w:rPr>
          <w:instrText xml:space="preserve"> PAGEREF _Toc372812639 \h </w:instrText>
        </w:r>
        <w:r>
          <w:rPr>
            <w:noProof/>
            <w:webHidden/>
          </w:rPr>
        </w:r>
        <w:r>
          <w:rPr>
            <w:noProof/>
            <w:webHidden/>
          </w:rPr>
          <w:fldChar w:fldCharType="separate"/>
        </w:r>
        <w:r>
          <w:rPr>
            <w:noProof/>
            <w:webHidden/>
          </w:rPr>
          <w:t>45</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0" w:history="1">
        <w:r w:rsidRPr="005F033A">
          <w:rPr>
            <w:rStyle w:val="Hyperlink"/>
            <w:rFonts w:ascii="Times New Roman" w:hAnsi="Times New Roman" w:cs="Times New Roman"/>
            <w:noProof/>
          </w:rPr>
          <w:t>3.1.</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Minimālā nodrošinājuma līmenis</w:t>
        </w:r>
        <w:r>
          <w:rPr>
            <w:noProof/>
            <w:webHidden/>
          </w:rPr>
          <w:tab/>
        </w:r>
        <w:r>
          <w:rPr>
            <w:noProof/>
            <w:webHidden/>
          </w:rPr>
          <w:fldChar w:fldCharType="begin"/>
        </w:r>
        <w:r>
          <w:rPr>
            <w:noProof/>
            <w:webHidden/>
          </w:rPr>
          <w:instrText xml:space="preserve"> PAGEREF _Toc372812640 \h </w:instrText>
        </w:r>
        <w:r>
          <w:rPr>
            <w:noProof/>
            <w:webHidden/>
          </w:rPr>
        </w:r>
        <w:r>
          <w:rPr>
            <w:noProof/>
            <w:webHidden/>
          </w:rPr>
          <w:fldChar w:fldCharType="separate"/>
        </w:r>
        <w:r>
          <w:rPr>
            <w:noProof/>
            <w:webHidden/>
          </w:rPr>
          <w:t>45</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1" w:history="1">
        <w:r w:rsidRPr="005F033A">
          <w:rPr>
            <w:rStyle w:val="Hyperlink"/>
            <w:rFonts w:ascii="Times New Roman" w:hAnsi="Times New Roman" w:cs="Times New Roman"/>
            <w:noProof/>
          </w:rPr>
          <w:t>3.2.</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Sociālā apdrošināšana</w:t>
        </w:r>
        <w:r>
          <w:rPr>
            <w:noProof/>
            <w:webHidden/>
          </w:rPr>
          <w:tab/>
        </w:r>
        <w:r>
          <w:rPr>
            <w:noProof/>
            <w:webHidden/>
          </w:rPr>
          <w:fldChar w:fldCharType="begin"/>
        </w:r>
        <w:r>
          <w:rPr>
            <w:noProof/>
            <w:webHidden/>
          </w:rPr>
          <w:instrText xml:space="preserve"> PAGEREF _Toc372812641 \h </w:instrText>
        </w:r>
        <w:r>
          <w:rPr>
            <w:noProof/>
            <w:webHidden/>
          </w:rPr>
        </w:r>
        <w:r>
          <w:rPr>
            <w:noProof/>
            <w:webHidden/>
          </w:rPr>
          <w:fldChar w:fldCharType="separate"/>
        </w:r>
        <w:r>
          <w:rPr>
            <w:noProof/>
            <w:webHidden/>
          </w:rPr>
          <w:t>45</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2" w:history="1">
        <w:r w:rsidRPr="005F033A">
          <w:rPr>
            <w:rStyle w:val="Hyperlink"/>
            <w:rFonts w:ascii="Times New Roman" w:hAnsi="Times New Roman" w:cs="Times New Roman"/>
            <w:noProof/>
          </w:rPr>
          <w:t>3.3.</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Valsts sociālie pabalsti (universālie pabalsti)</w:t>
        </w:r>
        <w:r>
          <w:rPr>
            <w:noProof/>
            <w:webHidden/>
          </w:rPr>
          <w:tab/>
        </w:r>
        <w:r>
          <w:rPr>
            <w:noProof/>
            <w:webHidden/>
          </w:rPr>
          <w:fldChar w:fldCharType="begin"/>
        </w:r>
        <w:r>
          <w:rPr>
            <w:noProof/>
            <w:webHidden/>
          </w:rPr>
          <w:instrText xml:space="preserve"> PAGEREF _Toc372812642 \h </w:instrText>
        </w:r>
        <w:r>
          <w:rPr>
            <w:noProof/>
            <w:webHidden/>
          </w:rPr>
        </w:r>
        <w:r>
          <w:rPr>
            <w:noProof/>
            <w:webHidden/>
          </w:rPr>
          <w:fldChar w:fldCharType="separate"/>
        </w:r>
        <w:r>
          <w:rPr>
            <w:noProof/>
            <w:webHidden/>
          </w:rPr>
          <w:t>46</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3" w:history="1">
        <w:r w:rsidRPr="005F033A">
          <w:rPr>
            <w:rStyle w:val="Hyperlink"/>
            <w:rFonts w:ascii="Times New Roman" w:hAnsi="Times New Roman" w:cs="Times New Roman"/>
            <w:noProof/>
          </w:rPr>
          <w:t>3.4.</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Pašvaldību sociālā palīdzība</w:t>
        </w:r>
        <w:r>
          <w:rPr>
            <w:noProof/>
            <w:webHidden/>
          </w:rPr>
          <w:tab/>
        </w:r>
        <w:r>
          <w:rPr>
            <w:noProof/>
            <w:webHidden/>
          </w:rPr>
          <w:fldChar w:fldCharType="begin"/>
        </w:r>
        <w:r>
          <w:rPr>
            <w:noProof/>
            <w:webHidden/>
          </w:rPr>
          <w:instrText xml:space="preserve"> PAGEREF _Toc372812643 \h </w:instrText>
        </w:r>
        <w:r>
          <w:rPr>
            <w:noProof/>
            <w:webHidden/>
          </w:rPr>
        </w:r>
        <w:r>
          <w:rPr>
            <w:noProof/>
            <w:webHidden/>
          </w:rPr>
          <w:fldChar w:fldCharType="separate"/>
        </w:r>
        <w:r>
          <w:rPr>
            <w:noProof/>
            <w:webHidden/>
          </w:rPr>
          <w:t>46</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4" w:history="1">
        <w:r w:rsidRPr="005F033A">
          <w:rPr>
            <w:rStyle w:val="Hyperlink"/>
            <w:rFonts w:ascii="Times New Roman" w:hAnsi="Times New Roman" w:cs="Times New Roman"/>
            <w:noProof/>
          </w:rPr>
          <w:t>3.5.</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Aktīvie darba tirgus pasākumi</w:t>
        </w:r>
        <w:r>
          <w:rPr>
            <w:noProof/>
            <w:webHidden/>
          </w:rPr>
          <w:tab/>
        </w:r>
        <w:r>
          <w:rPr>
            <w:noProof/>
            <w:webHidden/>
          </w:rPr>
          <w:fldChar w:fldCharType="begin"/>
        </w:r>
        <w:r>
          <w:rPr>
            <w:noProof/>
            <w:webHidden/>
          </w:rPr>
          <w:instrText xml:space="preserve"> PAGEREF _Toc372812644 \h </w:instrText>
        </w:r>
        <w:r>
          <w:rPr>
            <w:noProof/>
            <w:webHidden/>
          </w:rPr>
        </w:r>
        <w:r>
          <w:rPr>
            <w:noProof/>
            <w:webHidden/>
          </w:rPr>
          <w:fldChar w:fldCharType="separate"/>
        </w:r>
        <w:r>
          <w:rPr>
            <w:noProof/>
            <w:webHidden/>
          </w:rPr>
          <w:t>48</w:t>
        </w:r>
        <w:r>
          <w:rPr>
            <w:noProof/>
            <w:webHidden/>
          </w:rPr>
          <w:fldChar w:fldCharType="end"/>
        </w:r>
      </w:hyperlink>
    </w:p>
    <w:p w:rsidR="004C4989" w:rsidRDefault="004C4989">
      <w:pPr>
        <w:pStyle w:val="TOC2"/>
        <w:tabs>
          <w:tab w:val="left" w:pos="880"/>
          <w:tab w:val="right" w:leader="dot" w:pos="8965"/>
        </w:tabs>
        <w:rPr>
          <w:rFonts w:eastAsiaTheme="minorEastAsia" w:cstheme="minorBidi"/>
          <w:smallCaps w:val="0"/>
          <w:noProof/>
          <w:sz w:val="22"/>
          <w:szCs w:val="22"/>
          <w:lang w:eastAsia="lv-LV"/>
        </w:rPr>
      </w:pPr>
      <w:hyperlink w:anchor="_Toc372812645" w:history="1">
        <w:r w:rsidRPr="005F033A">
          <w:rPr>
            <w:rStyle w:val="Hyperlink"/>
            <w:rFonts w:ascii="Times New Roman" w:hAnsi="Times New Roman" w:cs="Times New Roman"/>
            <w:noProof/>
          </w:rPr>
          <w:t>3.6.</w:t>
        </w:r>
        <w:r>
          <w:rPr>
            <w:rFonts w:eastAsiaTheme="minorEastAsia" w:cstheme="minorBidi"/>
            <w:smallCaps w:val="0"/>
            <w:noProof/>
            <w:sz w:val="22"/>
            <w:szCs w:val="22"/>
            <w:lang w:eastAsia="lv-LV"/>
          </w:rPr>
          <w:tab/>
        </w:r>
        <w:r w:rsidRPr="005F033A">
          <w:rPr>
            <w:rStyle w:val="Hyperlink"/>
            <w:rFonts w:ascii="Times New Roman" w:hAnsi="Times New Roman" w:cs="Times New Roman"/>
            <w:noProof/>
          </w:rPr>
          <w:t>Sociālais darbs un sociālie pakalpojumi</w:t>
        </w:r>
        <w:r>
          <w:rPr>
            <w:noProof/>
            <w:webHidden/>
          </w:rPr>
          <w:tab/>
        </w:r>
        <w:r>
          <w:rPr>
            <w:noProof/>
            <w:webHidden/>
          </w:rPr>
          <w:fldChar w:fldCharType="begin"/>
        </w:r>
        <w:r>
          <w:rPr>
            <w:noProof/>
            <w:webHidden/>
          </w:rPr>
          <w:instrText xml:space="preserve"> PAGEREF _Toc372812645 \h </w:instrText>
        </w:r>
        <w:r>
          <w:rPr>
            <w:noProof/>
            <w:webHidden/>
          </w:rPr>
        </w:r>
        <w:r>
          <w:rPr>
            <w:noProof/>
            <w:webHidden/>
          </w:rPr>
          <w:fldChar w:fldCharType="separate"/>
        </w:r>
        <w:r>
          <w:rPr>
            <w:noProof/>
            <w:webHidden/>
          </w:rPr>
          <w:t>49</w:t>
        </w:r>
        <w:r>
          <w:rPr>
            <w:noProof/>
            <w:webHidden/>
          </w:rPr>
          <w:fldChar w:fldCharType="end"/>
        </w:r>
      </w:hyperlink>
    </w:p>
    <w:p w:rsidR="004C4989" w:rsidRDefault="004C4989">
      <w:pPr>
        <w:pStyle w:val="TOC1"/>
        <w:tabs>
          <w:tab w:val="right" w:leader="dot" w:pos="8965"/>
        </w:tabs>
        <w:rPr>
          <w:rFonts w:eastAsiaTheme="minorEastAsia" w:cstheme="minorBidi"/>
          <w:b w:val="0"/>
          <w:bCs w:val="0"/>
          <w:caps w:val="0"/>
          <w:noProof/>
          <w:sz w:val="22"/>
          <w:szCs w:val="22"/>
          <w:lang w:eastAsia="lv-LV"/>
        </w:rPr>
      </w:pPr>
      <w:hyperlink w:anchor="_Toc372812646" w:history="1">
        <w:r w:rsidRPr="005F033A">
          <w:rPr>
            <w:rStyle w:val="Hyperlink"/>
            <w:rFonts w:ascii="Times New Roman" w:hAnsi="Times New Roman" w:cs="Times New Roman"/>
            <w:noProof/>
          </w:rPr>
          <w:t>Nobeigums</w:t>
        </w:r>
        <w:r>
          <w:rPr>
            <w:noProof/>
            <w:webHidden/>
          </w:rPr>
          <w:tab/>
        </w:r>
        <w:r>
          <w:rPr>
            <w:noProof/>
            <w:webHidden/>
          </w:rPr>
          <w:fldChar w:fldCharType="begin"/>
        </w:r>
        <w:r>
          <w:rPr>
            <w:noProof/>
            <w:webHidden/>
          </w:rPr>
          <w:instrText xml:space="preserve"> PAGEREF _Toc372812646 \h </w:instrText>
        </w:r>
        <w:r>
          <w:rPr>
            <w:noProof/>
            <w:webHidden/>
          </w:rPr>
        </w:r>
        <w:r>
          <w:rPr>
            <w:noProof/>
            <w:webHidden/>
          </w:rPr>
          <w:fldChar w:fldCharType="separate"/>
        </w:r>
        <w:r>
          <w:rPr>
            <w:noProof/>
            <w:webHidden/>
          </w:rPr>
          <w:t>51</w:t>
        </w:r>
        <w:r>
          <w:rPr>
            <w:noProof/>
            <w:webHidden/>
          </w:rPr>
          <w:fldChar w:fldCharType="end"/>
        </w:r>
      </w:hyperlink>
    </w:p>
    <w:p w:rsidR="004C4989" w:rsidRDefault="004C4989">
      <w:pPr>
        <w:pStyle w:val="TOC1"/>
        <w:tabs>
          <w:tab w:val="right" w:leader="dot" w:pos="8965"/>
        </w:tabs>
        <w:rPr>
          <w:rFonts w:eastAsiaTheme="minorEastAsia" w:cstheme="minorBidi"/>
          <w:b w:val="0"/>
          <w:bCs w:val="0"/>
          <w:caps w:val="0"/>
          <w:noProof/>
          <w:sz w:val="22"/>
          <w:szCs w:val="22"/>
          <w:lang w:eastAsia="lv-LV"/>
        </w:rPr>
      </w:pPr>
      <w:hyperlink w:anchor="_Toc372812647" w:history="1">
        <w:r w:rsidRPr="005F033A">
          <w:rPr>
            <w:rStyle w:val="Hyperlink"/>
            <w:rFonts w:ascii="Times New Roman" w:hAnsi="Times New Roman" w:cs="Times New Roman"/>
            <w:noProof/>
          </w:rPr>
          <w:t>Attēlu pielikums</w:t>
        </w:r>
        <w:r>
          <w:rPr>
            <w:noProof/>
            <w:webHidden/>
          </w:rPr>
          <w:tab/>
        </w:r>
        <w:r>
          <w:rPr>
            <w:noProof/>
            <w:webHidden/>
          </w:rPr>
          <w:fldChar w:fldCharType="begin"/>
        </w:r>
        <w:r>
          <w:rPr>
            <w:noProof/>
            <w:webHidden/>
          </w:rPr>
          <w:instrText xml:space="preserve"> PAGEREF _Toc372812647 \h </w:instrText>
        </w:r>
        <w:r>
          <w:rPr>
            <w:noProof/>
            <w:webHidden/>
          </w:rPr>
        </w:r>
        <w:r>
          <w:rPr>
            <w:noProof/>
            <w:webHidden/>
          </w:rPr>
          <w:fldChar w:fldCharType="separate"/>
        </w:r>
        <w:r>
          <w:rPr>
            <w:noProof/>
            <w:webHidden/>
          </w:rPr>
          <w:t>52</w:t>
        </w:r>
        <w:r>
          <w:rPr>
            <w:noProof/>
            <w:webHidden/>
          </w:rPr>
          <w:fldChar w:fldCharType="end"/>
        </w:r>
      </w:hyperlink>
    </w:p>
    <w:p w:rsidR="004C4989" w:rsidRDefault="004C4989">
      <w:pPr>
        <w:pStyle w:val="TOC1"/>
        <w:tabs>
          <w:tab w:val="right" w:leader="dot" w:pos="8965"/>
        </w:tabs>
        <w:rPr>
          <w:rFonts w:eastAsiaTheme="minorEastAsia" w:cstheme="minorBidi"/>
          <w:b w:val="0"/>
          <w:bCs w:val="0"/>
          <w:caps w:val="0"/>
          <w:noProof/>
          <w:sz w:val="22"/>
          <w:szCs w:val="22"/>
          <w:lang w:eastAsia="lv-LV"/>
        </w:rPr>
      </w:pPr>
      <w:hyperlink w:anchor="_Toc372812648" w:history="1">
        <w:r w:rsidRPr="005F033A">
          <w:rPr>
            <w:rStyle w:val="Hyperlink"/>
            <w:rFonts w:ascii="Times New Roman" w:hAnsi="Times New Roman" w:cs="Times New Roman"/>
            <w:noProof/>
          </w:rPr>
          <w:t>Tabulu pielikums</w:t>
        </w:r>
        <w:r>
          <w:rPr>
            <w:noProof/>
            <w:webHidden/>
          </w:rPr>
          <w:tab/>
        </w:r>
        <w:r>
          <w:rPr>
            <w:noProof/>
            <w:webHidden/>
          </w:rPr>
          <w:fldChar w:fldCharType="begin"/>
        </w:r>
        <w:r>
          <w:rPr>
            <w:noProof/>
            <w:webHidden/>
          </w:rPr>
          <w:instrText xml:space="preserve"> PAGEREF _Toc372812648 \h </w:instrText>
        </w:r>
        <w:r>
          <w:rPr>
            <w:noProof/>
            <w:webHidden/>
          </w:rPr>
        </w:r>
        <w:r>
          <w:rPr>
            <w:noProof/>
            <w:webHidden/>
          </w:rPr>
          <w:fldChar w:fldCharType="separate"/>
        </w:r>
        <w:r>
          <w:rPr>
            <w:noProof/>
            <w:webHidden/>
          </w:rPr>
          <w:t>56</w:t>
        </w:r>
        <w:r>
          <w:rPr>
            <w:noProof/>
            <w:webHidden/>
          </w:rPr>
          <w:fldChar w:fldCharType="end"/>
        </w:r>
      </w:hyperlink>
    </w:p>
    <w:p w:rsidR="004C4989" w:rsidRDefault="004C4989">
      <w:pPr>
        <w:pStyle w:val="TOC1"/>
        <w:tabs>
          <w:tab w:val="right" w:leader="dot" w:pos="8965"/>
        </w:tabs>
        <w:rPr>
          <w:rFonts w:eastAsiaTheme="minorEastAsia" w:cstheme="minorBidi"/>
          <w:b w:val="0"/>
          <w:bCs w:val="0"/>
          <w:caps w:val="0"/>
          <w:noProof/>
          <w:sz w:val="22"/>
          <w:szCs w:val="22"/>
          <w:lang w:eastAsia="lv-LV"/>
        </w:rPr>
      </w:pPr>
      <w:hyperlink w:anchor="_Toc372812649" w:history="1">
        <w:r w:rsidRPr="005F033A">
          <w:rPr>
            <w:rStyle w:val="Hyperlink"/>
            <w:rFonts w:ascii="Times New Roman" w:hAnsi="Times New Roman" w:cs="Times New Roman"/>
            <w:noProof/>
          </w:rPr>
          <w:t>IZMANTOTO TERMINU DEFINĪCIJAS</w:t>
        </w:r>
        <w:r>
          <w:rPr>
            <w:noProof/>
            <w:webHidden/>
          </w:rPr>
          <w:tab/>
        </w:r>
        <w:r>
          <w:rPr>
            <w:noProof/>
            <w:webHidden/>
          </w:rPr>
          <w:fldChar w:fldCharType="begin"/>
        </w:r>
        <w:r>
          <w:rPr>
            <w:noProof/>
            <w:webHidden/>
          </w:rPr>
          <w:instrText xml:space="preserve"> PAGEREF _Toc372812649 \h </w:instrText>
        </w:r>
        <w:r>
          <w:rPr>
            <w:noProof/>
            <w:webHidden/>
          </w:rPr>
        </w:r>
        <w:r>
          <w:rPr>
            <w:noProof/>
            <w:webHidden/>
          </w:rPr>
          <w:fldChar w:fldCharType="separate"/>
        </w:r>
        <w:r>
          <w:rPr>
            <w:noProof/>
            <w:webHidden/>
          </w:rPr>
          <w:t>65</w:t>
        </w:r>
        <w:r>
          <w:rPr>
            <w:noProof/>
            <w:webHidden/>
          </w:rPr>
          <w:fldChar w:fldCharType="end"/>
        </w:r>
      </w:hyperlink>
    </w:p>
    <w:p w:rsidR="00343AF5" w:rsidRPr="0063727B" w:rsidRDefault="004C4989" w:rsidP="001B623A">
      <w:pPr>
        <w:spacing w:after="0" w:line="360" w:lineRule="auto"/>
        <w:rPr>
          <w:rFonts w:ascii="Times New Roman" w:hAnsi="Times New Roman" w:cs="Times New Roman"/>
          <w:b/>
          <w:bCs/>
          <w:sz w:val="24"/>
          <w:szCs w:val="24"/>
        </w:rPr>
      </w:pPr>
      <w:r>
        <w:rPr>
          <w:rFonts w:ascii="Times New Roman" w:hAnsi="Times New Roman" w:cs="Times New Roman"/>
          <w:b/>
          <w:bCs/>
          <w:sz w:val="24"/>
          <w:szCs w:val="24"/>
          <w:highlight w:val="yellow"/>
        </w:rPr>
        <w:fldChar w:fldCharType="end"/>
      </w:r>
      <w:bookmarkStart w:id="18" w:name="_GoBack"/>
      <w:bookmarkEnd w:id="18"/>
    </w:p>
    <w:p w:rsidR="008A78DA" w:rsidRDefault="008A78DA" w:rsidP="001B623A">
      <w:pPr>
        <w:pStyle w:val="Heading1"/>
        <w:rPr>
          <w:color w:val="auto"/>
          <w:sz w:val="24"/>
          <w:szCs w:val="24"/>
          <w:lang w:val="lv-LV"/>
        </w:rPr>
        <w:sectPr w:rsidR="008A78DA" w:rsidSect="007948D7">
          <w:headerReference w:type="first" r:id="rId12"/>
          <w:footerReference w:type="first" r:id="rId13"/>
          <w:pgSz w:w="11906" w:h="16838"/>
          <w:pgMar w:top="1134" w:right="1797" w:bottom="1134" w:left="1134" w:header="709" w:footer="709" w:gutter="0"/>
          <w:pgNumType w:start="1"/>
          <w:cols w:space="708"/>
          <w:titlePg/>
          <w:docGrid w:linePitch="360"/>
        </w:sectPr>
      </w:pPr>
    </w:p>
    <w:p w:rsidR="00343AF5" w:rsidRPr="0063727B" w:rsidRDefault="00343AF5" w:rsidP="001B623A">
      <w:pPr>
        <w:pStyle w:val="Heading1"/>
        <w:rPr>
          <w:rFonts w:ascii="Times New Roman" w:hAnsi="Times New Roman" w:cs="Times New Roman"/>
          <w:color w:val="auto"/>
          <w:lang w:val="lv-LV"/>
        </w:rPr>
      </w:pPr>
      <w:bookmarkStart w:id="19" w:name="_Toc372812629"/>
      <w:r w:rsidRPr="0063727B">
        <w:rPr>
          <w:rFonts w:ascii="Times New Roman" w:hAnsi="Times New Roman" w:cs="Times New Roman"/>
          <w:color w:val="auto"/>
          <w:lang w:val="lv-LV"/>
        </w:rPr>
        <w:lastRenderedPageBreak/>
        <w:t>Ievads</w:t>
      </w:r>
      <w:bookmarkEnd w:id="19"/>
    </w:p>
    <w:p w:rsidR="00343AF5" w:rsidRPr="0063727B" w:rsidRDefault="00343AF5" w:rsidP="005C055E">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5C055E">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Globalizācijas attīstība, ekonomiskā krīze un tās radītās sociālās sekas pierāda, ka ir nepieciešams ne tikai izveidot stabilu un efektīvu sociālo sistēmu, bet arī to nepārtraukti attīstīt. 2008.gada 3.oktobrī Eiropas Komisija (turpmāk – Komisija) publicēja ieteikumu par tādu cilvēku aktīvu integrāciju, kuri ir atstumti no darba tirgus, aicinot dalībvalstis pārskatīt savas sociālās aizsardzības sistēmas, organizējot un īstenojot vienotu aktīvās integrācijas politiku, balstoties uz šādiem pamatprincipiem: atbilstošs ienākumu nodrošinājums, integrējoši darba tirgi, pieeja kvalitatīviem pakalpojumiem (izglītības, veselības aprūpes).</w:t>
      </w:r>
    </w:p>
    <w:p w:rsidR="00343AF5" w:rsidRPr="0063727B" w:rsidRDefault="00343AF5" w:rsidP="005C055E">
      <w:pPr>
        <w:autoSpaceDE w:val="0"/>
        <w:autoSpaceDN w:val="0"/>
        <w:adjustRightInd w:val="0"/>
        <w:spacing w:after="0" w:line="240" w:lineRule="auto"/>
        <w:ind w:firstLine="720"/>
        <w:jc w:val="both"/>
        <w:rPr>
          <w:rFonts w:ascii="Times New Roman" w:eastAsia="MS Mincho" w:hAnsi="Times New Roman" w:cs="Times New Roman"/>
          <w:sz w:val="24"/>
          <w:szCs w:val="24"/>
          <w:lang w:eastAsia="ja-JP"/>
        </w:rPr>
      </w:pPr>
      <w:r w:rsidRPr="0063727B">
        <w:rPr>
          <w:rFonts w:ascii="Times New Roman" w:hAnsi="Times New Roman" w:cs="Times New Roman"/>
          <w:sz w:val="24"/>
          <w:szCs w:val="24"/>
        </w:rPr>
        <w:t xml:space="preserve">Demogrāfiskās izmaiņas – darbspējīgā vecuma iedzīvotāju skaita samazināšanās, zema dzimstība un gados veco cilvēku īpatsvara pieaugums – kontekstā ar nabadzības un sociālās atstumtības palielināšanos, augsto bezdarba līmeni, būtisku iedzīvotāju ienākuma līmeņa samazināšanos rada izaicinājumus sociālās drošības sistēmai, kuru efektīva risināšana ietekmēs sistēmas ilgtspēju un spēju novērst vai mazināt šo seku negatīvo ietekmi uz iedzīvotāju dzīves līmeni. Reaģējot uz iepriekš uzskaitītajām problēmām, Komisija </w:t>
      </w:r>
      <w:r w:rsidRPr="0063727B">
        <w:rPr>
          <w:rFonts w:ascii="Times New Roman" w:eastAsia="MS Mincho" w:hAnsi="Times New Roman" w:cs="Times New Roman"/>
          <w:sz w:val="24"/>
          <w:szCs w:val="24"/>
          <w:lang w:eastAsia="ja-JP"/>
        </w:rPr>
        <w:t xml:space="preserve">2013.gada 20.februārī publicēja paziņojumu </w:t>
      </w:r>
      <w:r w:rsidRPr="0063727B">
        <w:rPr>
          <w:rFonts w:ascii="Times New Roman" w:eastAsia="MS Mincho" w:hAnsi="Times New Roman" w:cs="Times New Roman"/>
          <w:i/>
          <w:iCs/>
          <w:sz w:val="24"/>
          <w:szCs w:val="24"/>
          <w:lang w:eastAsia="ja-JP"/>
        </w:rPr>
        <w:t>„Virzoties uz sociālām investīcijām izaugsmei un kohēzijai, tai skaitā īstenojot Eiropas Sociālo fondu 2014.-2020.gadā”</w:t>
      </w:r>
      <w:r w:rsidRPr="0063727B">
        <w:rPr>
          <w:rFonts w:ascii="Times New Roman" w:eastAsia="MS Mincho" w:hAnsi="Times New Roman" w:cs="Times New Roman"/>
          <w:sz w:val="24"/>
          <w:szCs w:val="24"/>
          <w:lang w:eastAsia="ja-JP"/>
        </w:rPr>
        <w:t>, kam ir pievienoti vairāki Komisijas darba dokumenti par noteiktām tēmām (ilgtermiņa aprūpe, veselības aprūpe, bērnu nabadzības samazināšana, bezpajumtniecība, ES fondu izmantošana). Šo dokumentu kopums veido Sociālo investīciju pakotni, kas kalpo kā ES līmeņa politiskais ietvars dalībvalstīm. Sociālo investīciju pamatprincips ir ilgtspēja, mērķtiecīgums un ieguldījums visā cilvēka dzīves ciklā.</w:t>
      </w:r>
    </w:p>
    <w:p w:rsidR="00343AF5" w:rsidRPr="0063727B" w:rsidRDefault="00343AF5" w:rsidP="005C055E">
      <w:pPr>
        <w:autoSpaceDE w:val="0"/>
        <w:autoSpaceDN w:val="0"/>
        <w:adjustRightInd w:val="0"/>
        <w:spacing w:after="0" w:line="240" w:lineRule="auto"/>
        <w:ind w:firstLine="720"/>
        <w:jc w:val="both"/>
        <w:rPr>
          <w:rStyle w:val="hps"/>
          <w:rFonts w:ascii="Times New Roman" w:hAnsi="Times New Roman" w:cs="Times New Roman"/>
          <w:sz w:val="24"/>
          <w:szCs w:val="24"/>
        </w:rPr>
      </w:pPr>
      <w:r w:rsidRPr="0063727B">
        <w:rPr>
          <w:rStyle w:val="hps"/>
          <w:rFonts w:ascii="Times New Roman" w:hAnsi="Times New Roman" w:cs="Times New Roman"/>
          <w:sz w:val="24"/>
          <w:szCs w:val="24"/>
        </w:rPr>
        <w:t>Sociālo investīciju pakotnē dalībvalstis tiek aicinātas lielāku uzmanību piešķirt sociālajiem ieguldījumiem</w:t>
      </w:r>
      <w:r w:rsidRPr="0063727B">
        <w:rPr>
          <w:rFonts w:ascii="Times New Roman" w:hAnsi="Times New Roman" w:cs="Times New Roman"/>
          <w:sz w:val="24"/>
          <w:szCs w:val="24"/>
        </w:rPr>
        <w:t>, lai attīstītu cilvēku kompetenci un atbalstītu viņu līdzdalību sabiedrībā un darba tirgū. Šī Komisijas iniciatīva ir virzīta uz to, lai efektīvāka un racionālāka līdzekļu izmantošana nodrošinātu atbilstošu un ilgtspējīgu sociālo aizsardzību, cilvēka prasmju un kompetenču attīstība sniegtu lielākas iespējas integrēties sabiedrībā un darba tirgū, kā arī sociālās aizsardzības sistēma atbilstu cilvēku vajadzībām sociālā riska iestāšanās gadījumos un preventīvi novērstu radušās grūtības, nevis mazinātu nodarīto kaitējumu</w:t>
      </w:r>
      <w:r w:rsidRPr="0063727B">
        <w:rPr>
          <w:rStyle w:val="hps"/>
          <w:rFonts w:ascii="Times New Roman" w:hAnsi="Times New Roman" w:cs="Times New Roman"/>
          <w:sz w:val="24"/>
          <w:szCs w:val="24"/>
        </w:rPr>
        <w:t xml:space="preserve">. Būtisks uzsvars tiek likts uz to, ka sociālā politika tiek uzskatīta nevis kā </w:t>
      </w:r>
      <w:r w:rsidRPr="0063727B">
        <w:rPr>
          <w:rStyle w:val="hps"/>
          <w:rFonts w:ascii="Times New Roman" w:hAnsi="Times New Roman" w:cs="Times New Roman"/>
          <w:i/>
          <w:iCs/>
          <w:sz w:val="24"/>
          <w:szCs w:val="24"/>
        </w:rPr>
        <w:t>izdevumi</w:t>
      </w:r>
      <w:r w:rsidRPr="0063727B">
        <w:rPr>
          <w:rStyle w:val="hps"/>
          <w:rFonts w:ascii="Times New Roman" w:hAnsi="Times New Roman" w:cs="Times New Roman"/>
          <w:sz w:val="24"/>
          <w:szCs w:val="24"/>
        </w:rPr>
        <w:t xml:space="preserve">, kas kavē ekonomisko attīstību, bet gan kā produktīvas </w:t>
      </w:r>
      <w:r w:rsidRPr="0063727B">
        <w:rPr>
          <w:rStyle w:val="hps"/>
          <w:rFonts w:ascii="Times New Roman" w:hAnsi="Times New Roman" w:cs="Times New Roman"/>
          <w:i/>
          <w:iCs/>
          <w:sz w:val="24"/>
          <w:szCs w:val="24"/>
        </w:rPr>
        <w:t>investīcijas</w:t>
      </w:r>
      <w:r w:rsidRPr="0063727B">
        <w:rPr>
          <w:rStyle w:val="hps"/>
          <w:rFonts w:ascii="Times New Roman" w:hAnsi="Times New Roman" w:cs="Times New Roman"/>
          <w:sz w:val="24"/>
          <w:szCs w:val="24"/>
        </w:rPr>
        <w:t xml:space="preserve"> ekonomikas attīstībai un nodarbinātības pieaugumam.</w:t>
      </w:r>
    </w:p>
    <w:p w:rsidR="00343AF5" w:rsidRPr="0063727B" w:rsidRDefault="00343AF5" w:rsidP="005C055E">
      <w:pPr>
        <w:autoSpaceDE w:val="0"/>
        <w:autoSpaceDN w:val="0"/>
        <w:adjustRightInd w:val="0"/>
        <w:spacing w:after="0" w:line="240" w:lineRule="auto"/>
        <w:ind w:firstLine="720"/>
        <w:jc w:val="both"/>
        <w:rPr>
          <w:rStyle w:val="hps"/>
          <w:rFonts w:ascii="Times New Roman" w:hAnsi="Times New Roman" w:cs="Times New Roman"/>
          <w:sz w:val="24"/>
          <w:szCs w:val="24"/>
        </w:rPr>
      </w:pPr>
      <w:r w:rsidRPr="0063727B">
        <w:rPr>
          <w:rStyle w:val="hps"/>
          <w:rFonts w:ascii="Times New Roman" w:hAnsi="Times New Roman" w:cs="Times New Roman"/>
          <w:sz w:val="24"/>
          <w:szCs w:val="24"/>
        </w:rPr>
        <w:t xml:space="preserve">Kā viens no svarīgākajiem instrumentiem, ko Komisija ir plānojusi izmantot dalībvalstu sociālās drošības sistēmu efektivitātes uzraudzībā, ir Eiropas Semestris un tā ietvaros sniegtās rekomendācijas dalībvalstīm. Komisijas sniegtās rekomendācijas Latvijai gan 2012.gadā, gan 2013.gadā uzsver nepieciešamību </w:t>
      </w:r>
      <w:r w:rsidRPr="0063727B">
        <w:rPr>
          <w:rStyle w:val="hps"/>
          <w:rFonts w:ascii="Times New Roman" w:hAnsi="Times New Roman" w:cs="Times New Roman"/>
          <w:i/>
          <w:iCs/>
          <w:sz w:val="24"/>
          <w:szCs w:val="24"/>
        </w:rPr>
        <w:t>mazināt nabadzību</w:t>
      </w:r>
      <w:r w:rsidRPr="0063727B">
        <w:rPr>
          <w:rStyle w:val="hps"/>
          <w:rFonts w:ascii="Times New Roman" w:hAnsi="Times New Roman" w:cs="Times New Roman"/>
          <w:sz w:val="24"/>
          <w:szCs w:val="24"/>
        </w:rPr>
        <w:t>, īpaši izceļot bērnus kā mērķa grupu, reformēt sociālās palīdzības sistēmu ar mērķi nodrošināt labāku pārklājumu un sniegt efektīvāku atbalstu, risināt ilgstošā un jauniešu bezdarba problēmas, pilnveidojot aktīvās darba tirgus politikas pasākumus.</w:t>
      </w:r>
    </w:p>
    <w:p w:rsidR="00343AF5" w:rsidRPr="0063727B" w:rsidRDefault="00343AF5" w:rsidP="005C055E">
      <w:pPr>
        <w:autoSpaceDE w:val="0"/>
        <w:autoSpaceDN w:val="0"/>
        <w:adjustRightInd w:val="0"/>
        <w:spacing w:after="0" w:line="240" w:lineRule="auto"/>
        <w:ind w:firstLine="720"/>
        <w:jc w:val="both"/>
        <w:rPr>
          <w:rStyle w:val="hps"/>
          <w:rFonts w:ascii="Times New Roman" w:hAnsi="Times New Roman" w:cs="Times New Roman"/>
          <w:sz w:val="24"/>
          <w:szCs w:val="24"/>
        </w:rPr>
      </w:pPr>
      <w:r w:rsidRPr="0063727B">
        <w:rPr>
          <w:rStyle w:val="hps"/>
          <w:rFonts w:ascii="Times New Roman" w:hAnsi="Times New Roman" w:cs="Times New Roman"/>
          <w:sz w:val="24"/>
          <w:szCs w:val="24"/>
        </w:rPr>
        <w:t xml:space="preserve">Latvijas mērķi nabadzības mazināšanai ir iezīmēti </w:t>
      </w:r>
      <w:r w:rsidRPr="0063727B">
        <w:rPr>
          <w:rStyle w:val="hps"/>
          <w:rFonts w:ascii="Times New Roman" w:hAnsi="Times New Roman" w:cs="Times New Roman"/>
          <w:i/>
          <w:iCs/>
          <w:sz w:val="24"/>
          <w:szCs w:val="24"/>
        </w:rPr>
        <w:t>Nacionālajā attīstības plānā 2014.-2020.gadam</w:t>
      </w:r>
      <w:r w:rsidRPr="0063727B">
        <w:rPr>
          <w:rStyle w:val="hps"/>
          <w:rFonts w:ascii="Times New Roman" w:hAnsi="Times New Roman" w:cs="Times New Roman"/>
          <w:sz w:val="24"/>
          <w:szCs w:val="24"/>
        </w:rPr>
        <w:t xml:space="preserve"> un </w:t>
      </w:r>
      <w:r w:rsidRPr="0063727B">
        <w:rPr>
          <w:rStyle w:val="hps"/>
          <w:rFonts w:ascii="Times New Roman" w:hAnsi="Times New Roman" w:cs="Times New Roman"/>
          <w:i/>
          <w:iCs/>
          <w:sz w:val="24"/>
          <w:szCs w:val="24"/>
        </w:rPr>
        <w:t>Nacionālajā reformu programmā</w:t>
      </w:r>
      <w:r w:rsidRPr="0063727B">
        <w:rPr>
          <w:rStyle w:val="hps"/>
          <w:rFonts w:ascii="Times New Roman" w:hAnsi="Times New Roman" w:cs="Times New Roman"/>
          <w:sz w:val="24"/>
          <w:szCs w:val="24"/>
        </w:rPr>
        <w:t>, nosakot gan prioritārās mērķa grupas, gan iezīmējot galvenās atbalsta jomas un darbības virzienus.</w:t>
      </w:r>
    </w:p>
    <w:p w:rsidR="00343AF5" w:rsidRPr="0063727B" w:rsidRDefault="00343AF5" w:rsidP="005C055E">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Deklarācijā par Valda Dombrovska vadītā Ministru kabineta iecerēto darbību un Valdības rīcības plānā (apstiprināts ar MK 16.02.2012. rīkojumu Nr.84 „Par Valdības rīcības plānu Deklarācijas par Valda Dombrovska vadītā Ministru kabineta iecerēto darbību īstenošanai”) noteikts uzdevums Labklājības ministrijai: „ī</w:t>
      </w:r>
      <w:r w:rsidRPr="0063727B">
        <w:rPr>
          <w:rFonts w:ascii="Times New Roman" w:hAnsi="Times New Roman" w:cs="Times New Roman"/>
          <w:sz w:val="24"/>
          <w:szCs w:val="24"/>
          <w:lang w:eastAsia="lv-LV"/>
        </w:rPr>
        <w:t xml:space="preserve">stenot sociālās palīdzības sistēmas reformu, pakāpeniski pārejot no </w:t>
      </w:r>
      <w:proofErr w:type="gramStart"/>
      <w:r w:rsidRPr="0063727B">
        <w:rPr>
          <w:rFonts w:ascii="Times New Roman" w:hAnsi="Times New Roman" w:cs="Times New Roman"/>
          <w:sz w:val="24"/>
          <w:szCs w:val="24"/>
          <w:lang w:eastAsia="lv-LV"/>
        </w:rPr>
        <w:t>pasīvās jeb pabalstu sociālās</w:t>
      </w:r>
      <w:proofErr w:type="gramEnd"/>
      <w:r w:rsidRPr="0063727B">
        <w:rPr>
          <w:rFonts w:ascii="Times New Roman" w:hAnsi="Times New Roman" w:cs="Times New Roman"/>
          <w:sz w:val="24"/>
          <w:szCs w:val="24"/>
          <w:lang w:eastAsia="lv-LV"/>
        </w:rPr>
        <w:t xml:space="preserve"> palīdzības sistēmas uz aktīvo jeb klientu motivējošo un savas situācijas uzlabošanā iesaistīto sistēmu, lai ar pieejamajiem resursiem nodrošinātu iespējami lielāku pievienoto vērtību klientiem un sabiedrībai kopumā” </w:t>
      </w:r>
      <w:r w:rsidRPr="0063727B">
        <w:rPr>
          <w:rFonts w:ascii="Times New Roman" w:hAnsi="Times New Roman" w:cs="Times New Roman"/>
          <w:sz w:val="24"/>
          <w:szCs w:val="24"/>
          <w:lang w:eastAsia="lv-LV"/>
        </w:rPr>
        <w:lastRenderedPageBreak/>
        <w:t>(</w:t>
      </w:r>
      <w:r w:rsidRPr="0063727B">
        <w:rPr>
          <w:rFonts w:ascii="Times New Roman" w:hAnsi="Times New Roman" w:cs="Times New Roman"/>
          <w:sz w:val="24"/>
          <w:szCs w:val="24"/>
        </w:rPr>
        <w:t>VRP 17.2.apakšpunkts) un Ekonomikas ministrijai sadarbībā ar Vides aizsardzības un reģionālās attīstības ministriju: „izstrādāt vienotus nosacījumus dzīvokļa pabalstu saņemšanai valstī” (VRP – 17.4 apakšpunkts).</w:t>
      </w:r>
    </w:p>
    <w:p w:rsidR="00343AF5" w:rsidRPr="0063727B" w:rsidRDefault="00343AF5" w:rsidP="005C055E">
      <w:pPr>
        <w:autoSpaceDE w:val="0"/>
        <w:autoSpaceDN w:val="0"/>
        <w:adjustRightInd w:val="0"/>
        <w:spacing w:after="0" w:line="240" w:lineRule="auto"/>
        <w:ind w:firstLine="720"/>
        <w:jc w:val="both"/>
        <w:rPr>
          <w:rFonts w:ascii="Times New Roman" w:hAnsi="Times New Roman" w:cs="Times New Roman"/>
          <w:i/>
          <w:iCs/>
          <w:sz w:val="24"/>
          <w:szCs w:val="24"/>
        </w:rPr>
      </w:pPr>
      <w:r w:rsidRPr="0063727B">
        <w:rPr>
          <w:rFonts w:ascii="Times New Roman" w:hAnsi="Times New Roman" w:cs="Times New Roman"/>
          <w:sz w:val="24"/>
          <w:szCs w:val="24"/>
        </w:rPr>
        <w:t xml:space="preserve">2013.gada 14.februārī Saeima ratificēja </w:t>
      </w:r>
      <w:r w:rsidRPr="0063727B">
        <w:rPr>
          <w:rFonts w:ascii="Times New Roman" w:hAnsi="Times New Roman" w:cs="Times New Roman"/>
          <w:b/>
          <w:bCs/>
          <w:sz w:val="24"/>
          <w:szCs w:val="24"/>
        </w:rPr>
        <w:t>Pārskatīto Eiropas Sociālo hartu</w:t>
      </w:r>
      <w:r w:rsidRPr="0063727B">
        <w:rPr>
          <w:rStyle w:val="FootnoteReference"/>
          <w:rFonts w:ascii="Times New Roman" w:hAnsi="Times New Roman" w:cs="Times New Roman"/>
          <w:b/>
          <w:bCs/>
          <w:sz w:val="24"/>
          <w:szCs w:val="24"/>
        </w:rPr>
        <w:footnoteReference w:id="1"/>
      </w:r>
      <w:r w:rsidRPr="0063727B">
        <w:t xml:space="preserve">, </w:t>
      </w:r>
      <w:r w:rsidRPr="0063727B">
        <w:rPr>
          <w:rFonts w:ascii="Times New Roman" w:hAnsi="Times New Roman" w:cs="Times New Roman"/>
          <w:sz w:val="24"/>
          <w:szCs w:val="24"/>
        </w:rPr>
        <w:t xml:space="preserve">līdz ar to Latvijai kļūst saistoša virkne hartas pantu, tostarp 30.pants par </w:t>
      </w:r>
      <w:r w:rsidRPr="0063727B">
        <w:rPr>
          <w:rFonts w:ascii="Times New Roman" w:hAnsi="Times New Roman" w:cs="Times New Roman"/>
          <w:i/>
          <w:iCs/>
          <w:sz w:val="24"/>
          <w:szCs w:val="24"/>
        </w:rPr>
        <w:t>iedzīvotāju tiesībām uz aizsardzību pret trūkumu un sociālo nevienlīdzību.</w:t>
      </w:r>
    </w:p>
    <w:p w:rsidR="00343AF5" w:rsidRPr="0063727B" w:rsidRDefault="00343AF5" w:rsidP="00537AE6">
      <w:pPr>
        <w:autoSpaceDE w:val="0"/>
        <w:autoSpaceDN w:val="0"/>
        <w:adjustRightInd w:val="0"/>
        <w:spacing w:after="0" w:line="240" w:lineRule="auto"/>
        <w:ind w:firstLine="720"/>
        <w:jc w:val="both"/>
        <w:rPr>
          <w:rFonts w:ascii="Times New Roman" w:hAnsi="Times New Roman" w:cs="Times New Roman"/>
          <w:sz w:val="24"/>
          <w:szCs w:val="24"/>
        </w:rPr>
      </w:pPr>
      <w:r w:rsidRPr="0063727B">
        <w:rPr>
          <w:rStyle w:val="hps"/>
          <w:rFonts w:ascii="Times New Roman" w:hAnsi="Times New Roman" w:cs="Times New Roman"/>
          <w:sz w:val="24"/>
          <w:szCs w:val="24"/>
        </w:rPr>
        <w:t xml:space="preserve">Lai uzsāktu sociālās drošības sistēmas pārskatīšanu un nodrošinātu objektīvi pamatotu lēmumu pieņemšanu, piedāvājot nozares pilnveidošanas pasākumus un rīcības virzienus, 2013.gadā tika īstenots Pasaules Bankas pētījums </w:t>
      </w:r>
      <w:r w:rsidRPr="0063727B">
        <w:rPr>
          <w:rFonts w:ascii="Times New Roman" w:hAnsi="Times New Roman" w:cs="Times New Roman"/>
          <w:sz w:val="24"/>
          <w:szCs w:val="24"/>
        </w:rPr>
        <w:t xml:space="preserve">„Latvija: kurš ir bezdarbnieks, ekonomiski neaktīvais vai trūcīgais?” (turpmāk – PB pētījums). PB pētījuma rezultāti līdztekus kopējam sistēmas novērtējumam iezīmē galvenos tās trūkumus un identificē problēmas sociālās palīdzības sistēmā, darba tirgus politikā, valsts sociālo pabalstu un nodokļu politikā, kā arī izceļ galvenās iedzīvotāju riska grupas. Kā būtiskākās kopējās sociālās drošības sistēmas </w:t>
      </w:r>
      <w:proofErr w:type="spellStart"/>
      <w:r w:rsidRPr="0063727B">
        <w:rPr>
          <w:rFonts w:ascii="Times New Roman" w:hAnsi="Times New Roman" w:cs="Times New Roman"/>
          <w:sz w:val="24"/>
          <w:szCs w:val="24"/>
        </w:rPr>
        <w:t>problēmjomas</w:t>
      </w:r>
      <w:proofErr w:type="spellEnd"/>
      <w:r w:rsidRPr="0063727B">
        <w:rPr>
          <w:rFonts w:ascii="Times New Roman" w:hAnsi="Times New Roman" w:cs="Times New Roman"/>
          <w:sz w:val="24"/>
          <w:szCs w:val="24"/>
        </w:rPr>
        <w:t xml:space="preserve">, kas iezīmējas šī pētījuma ietvaros izdarītajos secinājumos, var izcelt: </w:t>
      </w:r>
    </w:p>
    <w:p w:rsidR="00343AF5" w:rsidRPr="0063727B" w:rsidRDefault="00343AF5" w:rsidP="009A1501">
      <w:pPr>
        <w:pStyle w:val="ListParagraph"/>
        <w:numPr>
          <w:ilvl w:val="0"/>
          <w:numId w:val="21"/>
        </w:numPr>
        <w:tabs>
          <w:tab w:val="left" w:pos="993"/>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valsts un pašvaldību sniegtā atbalsta </w:t>
      </w:r>
      <w:proofErr w:type="spellStart"/>
      <w:r w:rsidRPr="0063727B">
        <w:rPr>
          <w:rFonts w:ascii="Times New Roman" w:hAnsi="Times New Roman" w:cs="Times New Roman"/>
          <w:sz w:val="24"/>
          <w:szCs w:val="24"/>
        </w:rPr>
        <w:t>mērķētības</w:t>
      </w:r>
      <w:proofErr w:type="spellEnd"/>
      <w:r w:rsidRPr="0063727B">
        <w:rPr>
          <w:rFonts w:ascii="Times New Roman" w:hAnsi="Times New Roman" w:cs="Times New Roman"/>
          <w:sz w:val="24"/>
          <w:szCs w:val="24"/>
        </w:rPr>
        <w:t xml:space="preserve"> trūkums un pilnveidošanas nepieciešamība attiecībā uz trūcīgākajiem iedzīvotājiem; </w:t>
      </w:r>
    </w:p>
    <w:p w:rsidR="00343AF5" w:rsidRPr="0063727B" w:rsidRDefault="00343AF5" w:rsidP="009A1501">
      <w:pPr>
        <w:pStyle w:val="ListParagraph"/>
        <w:numPr>
          <w:ilvl w:val="0"/>
          <w:numId w:val="21"/>
        </w:numPr>
        <w:tabs>
          <w:tab w:val="left" w:pos="993"/>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nepieciešamība īstenot pasākumus, kas ļautu vienmērīgāk pāriet no sociālās palīdzības pabalsta uz algotu darbu;</w:t>
      </w:r>
    </w:p>
    <w:p w:rsidR="00343AF5" w:rsidRPr="0063727B" w:rsidRDefault="00343AF5" w:rsidP="009A1501">
      <w:pPr>
        <w:pStyle w:val="ListParagraph"/>
        <w:numPr>
          <w:ilvl w:val="0"/>
          <w:numId w:val="21"/>
        </w:numPr>
        <w:tabs>
          <w:tab w:val="left" w:pos="993"/>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nepieciešamība precīzāk izdalīt prioritāri atbalstāmās mērķa grupas;</w:t>
      </w:r>
    </w:p>
    <w:p w:rsidR="00343AF5" w:rsidRPr="0063727B" w:rsidRDefault="00AC5F9E" w:rsidP="009A1501">
      <w:pPr>
        <w:pStyle w:val="ListParagraph"/>
        <w:numPr>
          <w:ilvl w:val="0"/>
          <w:numId w:val="21"/>
        </w:num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nepieciešamība uzlabot </w:t>
      </w:r>
      <w:r w:rsidR="00343AF5" w:rsidRPr="0063727B">
        <w:rPr>
          <w:rFonts w:ascii="Times New Roman" w:hAnsi="Times New Roman" w:cs="Times New Roman"/>
          <w:sz w:val="24"/>
          <w:szCs w:val="24"/>
        </w:rPr>
        <w:t>atsevišķu aktīvās nodarbinātības pasākumu ieviešan</w:t>
      </w:r>
      <w:r>
        <w:rPr>
          <w:rFonts w:ascii="Times New Roman" w:hAnsi="Times New Roman" w:cs="Times New Roman"/>
          <w:sz w:val="24"/>
          <w:szCs w:val="24"/>
        </w:rPr>
        <w:t>u</w:t>
      </w:r>
      <w:r w:rsidR="00343AF5" w:rsidRPr="0063727B">
        <w:rPr>
          <w:rFonts w:ascii="Times New Roman" w:hAnsi="Times New Roman" w:cs="Times New Roman"/>
          <w:sz w:val="24"/>
          <w:szCs w:val="24"/>
        </w:rPr>
        <w:t xml:space="preserve">. </w:t>
      </w:r>
    </w:p>
    <w:p w:rsidR="00343AF5" w:rsidRPr="0063727B" w:rsidRDefault="00343AF5" w:rsidP="000D5560">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u w:val="single"/>
        </w:rPr>
        <w:t>Galvenās mērķa grupas</w:t>
      </w:r>
      <w:r w:rsidRPr="0063727B">
        <w:rPr>
          <w:rFonts w:ascii="Times New Roman" w:hAnsi="Times New Roman" w:cs="Times New Roman"/>
          <w:sz w:val="24"/>
          <w:szCs w:val="24"/>
        </w:rPr>
        <w:t>, kuru atbalstam nepieciešams pilnveidot īstenotos pasākumus vai attīstīt jaunas iniciatīvas, ir zemu ienākumu ģimenes ar bērniem, zemas darba intensitātes mājsaimniecības, gados vecāki iedzīvotāji, īpaši ar atkarības problēmām, hroniskām saslimšanām vai invaliditāti.</w:t>
      </w:r>
    </w:p>
    <w:p w:rsidR="00343AF5" w:rsidRPr="0063727B" w:rsidRDefault="00343AF5" w:rsidP="005C055E">
      <w:pPr>
        <w:spacing w:after="0" w:line="240" w:lineRule="auto"/>
        <w:ind w:firstLine="720"/>
        <w:jc w:val="both"/>
        <w:rPr>
          <w:rStyle w:val="hps"/>
          <w:rFonts w:ascii="Times New Roman" w:hAnsi="Times New Roman" w:cs="Times New Roman"/>
          <w:sz w:val="24"/>
          <w:szCs w:val="24"/>
        </w:rPr>
      </w:pPr>
      <w:r w:rsidRPr="0063727B">
        <w:rPr>
          <w:rStyle w:val="hps"/>
          <w:rFonts w:ascii="Times New Roman" w:hAnsi="Times New Roman" w:cs="Times New Roman"/>
          <w:sz w:val="24"/>
          <w:szCs w:val="24"/>
        </w:rPr>
        <w:t>Papildu jau uzsāktajām Labklājības ministrijas iniciatīvām nozares politikas pilnveidošanā</w:t>
      </w:r>
      <w:r w:rsidRPr="0063727B">
        <w:rPr>
          <w:rStyle w:val="FootnoteReference"/>
          <w:rFonts w:ascii="Times New Roman" w:hAnsi="Times New Roman" w:cs="Times New Roman"/>
          <w:sz w:val="24"/>
          <w:szCs w:val="24"/>
        </w:rPr>
        <w:footnoteReference w:id="2"/>
      </w:r>
      <w:r w:rsidRPr="0063727B">
        <w:rPr>
          <w:rStyle w:val="hps"/>
          <w:rFonts w:ascii="Times New Roman" w:hAnsi="Times New Roman" w:cs="Times New Roman"/>
          <w:sz w:val="24"/>
          <w:szCs w:val="24"/>
        </w:rPr>
        <w:t>, kas piedāvā risinājumus vairākām PB pētījumā konstatētajām problēmām, Labklājības ministrija šajā informatīvajā ziņojumā detalizētāk analizē nepieciešamos uzlabojumus sociālās drošības sistēmā (minimālais ienākumu slieksnis, sociālā palīdzība, valsts sociālie pabalsti un sociālā apdrošināšana), uzsverot nabadzības riskam pakļautajiem iedzīvotājiem sniegtā atbalsta pilnveidošanas virzienus.</w:t>
      </w:r>
    </w:p>
    <w:p w:rsidR="00343AF5" w:rsidRPr="0063727B" w:rsidRDefault="00343AF5" w:rsidP="005C055E">
      <w:pPr>
        <w:spacing w:after="0" w:line="240" w:lineRule="auto"/>
        <w:ind w:firstLine="720"/>
        <w:jc w:val="both"/>
        <w:rPr>
          <w:rStyle w:val="hps"/>
          <w:rFonts w:ascii="Times New Roman" w:hAnsi="Times New Roman" w:cs="Times New Roman"/>
          <w:sz w:val="24"/>
          <w:szCs w:val="24"/>
        </w:rPr>
      </w:pPr>
      <w:r w:rsidRPr="0063727B">
        <w:rPr>
          <w:rStyle w:val="hps"/>
          <w:rFonts w:ascii="Times New Roman" w:hAnsi="Times New Roman" w:cs="Times New Roman"/>
          <w:sz w:val="24"/>
          <w:szCs w:val="24"/>
        </w:rPr>
        <w:t>Ekonomiskās krīzes radīto sociālo problēmu dziļums Latvijā, salīdzinoši ar citām ES dalībvalstīm, zemais sociālās drošības sistēmas finansējums ir izaicinājumi, ar ko jārēķinās ekonomikas atveseļošanās periodā, plānojot un īstenojot sociālo politiku. Ekonomiskās krīzes laikā sociālās drošības sistēmai bija būtiska loma situācijas stabilizēšanā, taču pakāpeniski tās pozitīvā ietekme ir mazinājusies</w:t>
      </w:r>
      <w:r w:rsidRPr="0063727B">
        <w:rPr>
          <w:rStyle w:val="FootnoteReference"/>
          <w:rFonts w:ascii="Times New Roman" w:hAnsi="Times New Roman" w:cs="Times New Roman"/>
          <w:sz w:val="24"/>
          <w:szCs w:val="24"/>
        </w:rPr>
        <w:footnoteReference w:id="3"/>
      </w:r>
      <w:r w:rsidRPr="0063727B">
        <w:rPr>
          <w:rStyle w:val="hps"/>
          <w:rFonts w:ascii="Times New Roman" w:hAnsi="Times New Roman" w:cs="Times New Roman"/>
          <w:sz w:val="24"/>
          <w:szCs w:val="24"/>
        </w:rPr>
        <w:t xml:space="preserve"> un kļuvis aktuāls jautājums par sociālās drošības sistēmas spēju nodrošināt mājsaimniecības ienākumu aizsardzību noteiktā līmenī un sniegt ieguldījumu ekonomiskā cikla stabilizēšanā un attīstībā.</w:t>
      </w:r>
    </w:p>
    <w:p w:rsidR="00343AF5" w:rsidRPr="0063727B" w:rsidRDefault="00343AF5" w:rsidP="005C055E">
      <w:pPr>
        <w:autoSpaceDE w:val="0"/>
        <w:autoSpaceDN w:val="0"/>
        <w:adjustRightInd w:val="0"/>
        <w:spacing w:after="0" w:line="240" w:lineRule="auto"/>
        <w:jc w:val="both"/>
        <w:rPr>
          <w:rFonts w:ascii="Times New Roman" w:hAnsi="Times New Roman" w:cs="Times New Roman"/>
          <w:sz w:val="24"/>
          <w:szCs w:val="24"/>
        </w:rPr>
      </w:pPr>
      <w:r w:rsidRPr="0063727B">
        <w:rPr>
          <w:rFonts w:ascii="Verdana" w:hAnsi="Verdana" w:cs="Verdana"/>
          <w:sz w:val="20"/>
          <w:szCs w:val="20"/>
          <w:lang w:eastAsia="lv-LV"/>
        </w:rPr>
        <w:lastRenderedPageBreak/>
        <w:tab/>
      </w:r>
      <w:r w:rsidRPr="0063727B">
        <w:rPr>
          <w:rStyle w:val="hps"/>
          <w:rFonts w:ascii="Times New Roman" w:hAnsi="Times New Roman" w:cs="Times New Roman"/>
          <w:sz w:val="24"/>
          <w:szCs w:val="24"/>
        </w:rPr>
        <w:t>Latvijā izdevumi sociālai drošībai jeb sociālajai aizsardzībai salīdzinājumā ar citām ES dalībvalstīm, kā arī Baltijas valstu vidū ir vieni no zemākajiem. Lai gan ekonomiskās krīzes sākumposmā bija vērojams izdevumu procentuālā īpatsvara pieaugums no 12,7% no IKP 2008.gadā uz 16,9% no IKP 2009.gadā un 17,8% no IKP 2010.gadā, joprojām šie rādītāji ievērojami atšķiras no ES vidējā rādītāja, kas laika posmā no 2005.-2010.gadam ir svārstījies vidēji 27-29% robežās (sk</w:t>
      </w:r>
      <w:r w:rsidR="006C14E6" w:rsidRPr="0063727B">
        <w:rPr>
          <w:rStyle w:val="hps"/>
          <w:rFonts w:ascii="Times New Roman" w:hAnsi="Times New Roman" w:cs="Times New Roman"/>
          <w:sz w:val="24"/>
          <w:szCs w:val="24"/>
        </w:rPr>
        <w:t>at</w:t>
      </w:r>
      <w:r w:rsidRPr="0063727B">
        <w:rPr>
          <w:rStyle w:val="hps"/>
          <w:rFonts w:ascii="Times New Roman" w:hAnsi="Times New Roman" w:cs="Times New Roman"/>
          <w:sz w:val="24"/>
          <w:szCs w:val="24"/>
        </w:rPr>
        <w:t>.</w:t>
      </w:r>
      <w:r w:rsidR="00344B20" w:rsidRPr="0063727B">
        <w:rPr>
          <w:rStyle w:val="hps"/>
          <w:rFonts w:ascii="Times New Roman" w:hAnsi="Times New Roman" w:cs="Times New Roman"/>
          <w:sz w:val="24"/>
          <w:szCs w:val="24"/>
        </w:rPr>
        <w:t xml:space="preserve"> </w:t>
      </w:r>
      <w:r w:rsidRPr="0063727B">
        <w:rPr>
          <w:rStyle w:val="hps"/>
          <w:rFonts w:ascii="Times New Roman" w:hAnsi="Times New Roman" w:cs="Times New Roman"/>
          <w:sz w:val="24"/>
          <w:szCs w:val="24"/>
        </w:rPr>
        <w:t>1.tabulu pielikumā). Arī pēckrīzes posma veiktais sociālās drošības izdevumu izvērtējums</w:t>
      </w:r>
      <w:r w:rsidRPr="0063727B">
        <w:rPr>
          <w:rStyle w:val="FootnoteReference"/>
          <w:rFonts w:ascii="Times New Roman" w:hAnsi="Times New Roman" w:cs="Times New Roman"/>
          <w:sz w:val="24"/>
          <w:szCs w:val="24"/>
        </w:rPr>
        <w:footnoteReference w:id="4"/>
      </w:r>
      <w:r w:rsidRPr="0063727B">
        <w:rPr>
          <w:rStyle w:val="hps"/>
          <w:rFonts w:ascii="Times New Roman" w:hAnsi="Times New Roman" w:cs="Times New Roman"/>
          <w:sz w:val="24"/>
          <w:szCs w:val="24"/>
        </w:rPr>
        <w:t xml:space="preserve"> dalībvalstīs liecina, ka Latvija ir to valstu vidū, kurās 2011.un 2012.gadā vēl joprojām ir vērojams nozīmīgs izdevumu procentuālais samazinājums. 2011.gadā sociālās aizsardzības izdevumu īpatsvars IKP samazinājās salīdzinājumā ar diviem iepriekšējiem gadiem un veidoja 15,1%. Kā norādīts PB pētījumā, lai gan sociālās drošības izdevumu salīdzinājums starp valstīm prasa arī detalizētu fiskālās un ekonomiskās situācijas, kā arī izdevumu struktūras izvērtējumu šajās valstīs un nav viennozīmīgas atbildes, cik valsts var un cik tai vajadzētu tērēt sociālās drošības izdevumiem, tomēr ir iespējams novērtēt, kas būtu jāuzlabo šajā sistēmā</w:t>
      </w:r>
      <w:r w:rsidRPr="0063727B">
        <w:rPr>
          <w:rStyle w:val="FootnoteReference"/>
          <w:rFonts w:ascii="Times New Roman" w:hAnsi="Times New Roman" w:cs="Times New Roman"/>
          <w:sz w:val="24"/>
          <w:szCs w:val="24"/>
        </w:rPr>
        <w:footnoteReference w:id="5"/>
      </w:r>
      <w:r w:rsidRPr="0063727B">
        <w:rPr>
          <w:rStyle w:val="hps"/>
          <w:rFonts w:ascii="Times New Roman" w:hAnsi="Times New Roman" w:cs="Times New Roman"/>
          <w:sz w:val="24"/>
          <w:szCs w:val="24"/>
        </w:rPr>
        <w:t>. Ņemot vērā iepriekšminēto informāciju un nabadzības situāciju Latvijā, ir jāizvērtē esošo ieguldījumu efektivitāte un jāpārstrukturē tā, lai atbalsts sasniegtu visnabadzīgākos iedzīvotājus. Sociālās drošības izdevumu efektivitātes pilnveidošana un sociālo nevienlīdzību mazinoša sadalījuma nodrošināšana starp dažādu ienākumu grupu iedzīvotājiem ir nepieciešama, lai nodrošinātu arī labāku sistēmas sagatavotību ekonomiskās lejupslīdes gadījumā</w:t>
      </w:r>
      <w:r w:rsidRPr="0063727B">
        <w:rPr>
          <w:rStyle w:val="FootnoteReference"/>
          <w:rFonts w:ascii="Times New Roman" w:hAnsi="Times New Roman" w:cs="Times New Roman"/>
          <w:sz w:val="24"/>
          <w:szCs w:val="24"/>
        </w:rPr>
        <w:footnoteReference w:id="6"/>
      </w:r>
      <w:r w:rsidRPr="0063727B">
        <w:rPr>
          <w:rStyle w:val="hps"/>
          <w:rFonts w:ascii="Times New Roman" w:hAnsi="Times New Roman" w:cs="Times New Roman"/>
          <w:sz w:val="24"/>
          <w:szCs w:val="24"/>
        </w:rPr>
        <w:t xml:space="preserve">. </w:t>
      </w:r>
      <w:r w:rsidRPr="0063727B">
        <w:rPr>
          <w:rStyle w:val="hps"/>
          <w:rFonts w:ascii="Times New Roman" w:hAnsi="Times New Roman" w:cs="Times New Roman"/>
          <w:sz w:val="24"/>
          <w:szCs w:val="24"/>
          <w:u w:val="single"/>
        </w:rPr>
        <w:t xml:space="preserve">Līdztekus jāuzsver, ka ziņojumā </w:t>
      </w:r>
      <w:r w:rsidRPr="0063727B">
        <w:rPr>
          <w:rFonts w:ascii="Times New Roman" w:hAnsi="Times New Roman" w:cs="Times New Roman"/>
          <w:sz w:val="24"/>
          <w:szCs w:val="24"/>
          <w:u w:val="single"/>
        </w:rPr>
        <w:t>netiek izskatītas nepieciešamās rīcības citās sistēmās (piemēram, nodokļu, izglītības un veselības), kurās arī nepieciešams plānot mērķtiecīgus pasākumus nabadzības un ienākumu nevienlīdzības mazināšanai</w:t>
      </w:r>
      <w:r w:rsidR="000F6E73" w:rsidRPr="0063727B">
        <w:rPr>
          <w:rFonts w:ascii="Times New Roman" w:hAnsi="Times New Roman" w:cs="Times New Roman"/>
          <w:sz w:val="24"/>
          <w:szCs w:val="24"/>
          <w:u w:val="single"/>
        </w:rPr>
        <w:t>, ņemot vērā to ietekmes nozīmīgumu</w:t>
      </w:r>
      <w:r w:rsidRPr="0063727B">
        <w:rPr>
          <w:rFonts w:ascii="Times New Roman" w:hAnsi="Times New Roman" w:cs="Times New Roman"/>
          <w:sz w:val="24"/>
          <w:szCs w:val="24"/>
          <w:u w:val="single"/>
        </w:rPr>
        <w:t>.</w:t>
      </w:r>
    </w:p>
    <w:p w:rsidR="00343AF5" w:rsidRPr="0063727B" w:rsidRDefault="00343AF5" w:rsidP="00554330">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Tā kā piedāvātie risinājumi paredz sistēmas pilnveidošanu tikai atsevišķās sociālās drošības jomās, turklāt ar samērā ierobežotiem finanšu resursiem, jāapzinās, ka krasas izmaiņas nabadzības situācijas uzlabošanā šādi nevar tikt panāktas, un nabadzības riskam pakļauto iedzīvotāju skaits tikai ar labklājības nozarē plānotajiem pasākumiem būtiski netiks samazināts. Ievērojamas izmaiņas nabadzības mazināšanā ir panākamas, tikai </w:t>
      </w:r>
      <w:r w:rsidRPr="0063727B">
        <w:rPr>
          <w:rFonts w:ascii="Times New Roman" w:hAnsi="Times New Roman" w:cs="Times New Roman"/>
          <w:sz w:val="24"/>
          <w:szCs w:val="24"/>
          <w:u w:val="single"/>
        </w:rPr>
        <w:t>īstenojot mērķētu un integrētu politiku visās jomās</w:t>
      </w:r>
      <w:r w:rsidRPr="0063727B">
        <w:rPr>
          <w:rFonts w:ascii="Times New Roman" w:hAnsi="Times New Roman" w:cs="Times New Roman"/>
          <w:sz w:val="24"/>
          <w:szCs w:val="24"/>
        </w:rPr>
        <w:t>, kas tieši un netieši ietekmē indivīda efektīvas nodarbinātības iespējas un nepieciešamo pakalpojumu pieejamību</w:t>
      </w:r>
      <w:r w:rsidRPr="0063727B">
        <w:rPr>
          <w:rStyle w:val="FootnoteReference"/>
          <w:rFonts w:ascii="Times New Roman" w:hAnsi="Times New Roman" w:cs="Times New Roman"/>
          <w:sz w:val="24"/>
          <w:szCs w:val="24"/>
        </w:rPr>
        <w:footnoteReference w:id="7"/>
      </w:r>
      <w:r w:rsidRPr="0063727B">
        <w:rPr>
          <w:rFonts w:ascii="Times New Roman" w:hAnsi="Times New Roman" w:cs="Times New Roman"/>
          <w:sz w:val="24"/>
          <w:szCs w:val="24"/>
        </w:rPr>
        <w:t xml:space="preserve">. Labklājības ministrijas piedāvāto sociālās drošības sistēmas pilnveidošanas risinājumu </w:t>
      </w:r>
      <w:r w:rsidRPr="0063727B">
        <w:rPr>
          <w:rFonts w:ascii="Times New Roman" w:hAnsi="Times New Roman" w:cs="Times New Roman"/>
          <w:i/>
          <w:iCs/>
          <w:sz w:val="24"/>
          <w:szCs w:val="24"/>
        </w:rPr>
        <w:t>mērķis</w:t>
      </w:r>
      <w:r w:rsidRPr="0063727B">
        <w:rPr>
          <w:rFonts w:ascii="Times New Roman" w:hAnsi="Times New Roman" w:cs="Times New Roman"/>
          <w:sz w:val="24"/>
          <w:szCs w:val="24"/>
        </w:rPr>
        <w:t xml:space="preserve"> ir palielināt publisko resursu izlietošanas efektivitāti, sniedzot finansiālo atbalstu nabadzīgākajiem un neaizsargātākajiem iedzīvotājiem, kā arī, ņemot vērā PB pētījuma rezultātus, izvirzīt turpmākos sasniedzamos mērķus vidējā termiņā ienākumu nevienlīdzības mazināšanā. </w:t>
      </w:r>
    </w:p>
    <w:p w:rsidR="00343AF5" w:rsidRPr="0063727B" w:rsidRDefault="001551F6">
      <w:pPr>
        <w:spacing w:after="0" w:line="240" w:lineRule="auto"/>
        <w:rPr>
          <w:rFonts w:ascii="Times New Roman" w:hAnsi="Times New Roman" w:cs="Times New Roman"/>
          <w:sz w:val="24"/>
          <w:szCs w:val="24"/>
        </w:rPr>
      </w:pPr>
      <w:r w:rsidRPr="0063727B">
        <w:rPr>
          <w:rFonts w:ascii="Times New Roman" w:hAnsi="Times New Roman" w:cs="Times New Roman"/>
          <w:sz w:val="24"/>
          <w:szCs w:val="24"/>
        </w:rPr>
        <w:br w:type="page"/>
      </w:r>
    </w:p>
    <w:p w:rsidR="00343AF5" w:rsidRPr="0063727B" w:rsidRDefault="00343AF5" w:rsidP="009A1501">
      <w:pPr>
        <w:pStyle w:val="Heading1"/>
        <w:numPr>
          <w:ilvl w:val="0"/>
          <w:numId w:val="3"/>
        </w:numPr>
        <w:spacing w:before="120"/>
        <w:ind w:left="714" w:hanging="357"/>
        <w:rPr>
          <w:rFonts w:ascii="Times New Roman" w:hAnsi="Times New Roman" w:cs="Times New Roman"/>
          <w:color w:val="auto"/>
          <w:sz w:val="24"/>
          <w:szCs w:val="24"/>
          <w:lang w:val="lv-LV"/>
        </w:rPr>
      </w:pPr>
      <w:bookmarkStart w:id="20" w:name="_Toc372812630"/>
      <w:r w:rsidRPr="0063727B">
        <w:rPr>
          <w:rFonts w:ascii="Times New Roman" w:hAnsi="Times New Roman" w:cs="Times New Roman"/>
          <w:color w:val="auto"/>
          <w:sz w:val="24"/>
          <w:szCs w:val="24"/>
          <w:lang w:val="lv-LV"/>
        </w:rPr>
        <w:lastRenderedPageBreak/>
        <w:t>SITUĀCIJAS RAKSTUROJUMS</w:t>
      </w:r>
      <w:bookmarkEnd w:id="20"/>
    </w:p>
    <w:p w:rsidR="00343AF5" w:rsidRPr="0063727B" w:rsidRDefault="00343AF5" w:rsidP="009A1501">
      <w:pPr>
        <w:pStyle w:val="Heading2"/>
        <w:numPr>
          <w:ilvl w:val="1"/>
          <w:numId w:val="4"/>
        </w:numPr>
        <w:rPr>
          <w:rFonts w:ascii="Times New Roman" w:hAnsi="Times New Roman" w:cs="Times New Roman"/>
          <w:color w:val="auto"/>
          <w:sz w:val="24"/>
          <w:szCs w:val="24"/>
          <w:lang w:val="lv-LV"/>
        </w:rPr>
      </w:pPr>
      <w:bookmarkStart w:id="21" w:name="_Toc372812631"/>
      <w:r w:rsidRPr="0063727B">
        <w:rPr>
          <w:rFonts w:ascii="Times New Roman" w:hAnsi="Times New Roman" w:cs="Times New Roman"/>
          <w:color w:val="auto"/>
          <w:sz w:val="24"/>
          <w:szCs w:val="24"/>
          <w:lang w:val="lv-LV"/>
        </w:rPr>
        <w:t>Nabadzība Latvijā</w:t>
      </w:r>
      <w:r w:rsidRPr="0063727B">
        <w:rPr>
          <w:rStyle w:val="FootnoteReference"/>
          <w:rFonts w:ascii="Times New Roman" w:hAnsi="Times New Roman" w:cs="Times New Roman"/>
          <w:b w:val="0"/>
          <w:color w:val="auto"/>
          <w:sz w:val="24"/>
          <w:szCs w:val="24"/>
          <w:lang w:val="lv-LV"/>
        </w:rPr>
        <w:footnoteReference w:id="8"/>
      </w:r>
      <w:bookmarkEnd w:id="21"/>
    </w:p>
    <w:p w:rsidR="00343AF5" w:rsidRPr="0063727B" w:rsidRDefault="00343AF5" w:rsidP="00554330">
      <w:pPr>
        <w:spacing w:after="0" w:line="240" w:lineRule="auto"/>
        <w:ind w:firstLine="720"/>
        <w:jc w:val="both"/>
        <w:rPr>
          <w:rFonts w:ascii="Times New Roman" w:hAnsi="Times New Roman" w:cs="Times New Roman"/>
          <w:sz w:val="24"/>
          <w:szCs w:val="24"/>
        </w:rPr>
      </w:pPr>
    </w:p>
    <w:p w:rsidR="001B58DA" w:rsidRPr="00326D69" w:rsidRDefault="00343AF5" w:rsidP="001B58DA">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Līdz ar ekonomiskās situācijas strauju pasliktināšanos finanšu un ekonomiskās krīzes rezultātā Latvijā 2008.-2010.gadā bija vērojama ienākumu samazināšanās – galvenokārt darba zaudējuma un atalgojuma samazināšanas rezultātā, kas atspoguļojas arī iedzīvotāju vidējos ienākumos. Ienākumu samazinājums lielākā vai mazākā mērā skāra mājsaimniecības visās </w:t>
      </w:r>
      <w:proofErr w:type="spellStart"/>
      <w:r w:rsidRPr="0063727B">
        <w:rPr>
          <w:rFonts w:ascii="Times New Roman" w:hAnsi="Times New Roman" w:cs="Times New Roman"/>
          <w:sz w:val="24"/>
          <w:szCs w:val="24"/>
        </w:rPr>
        <w:t>kvintiļu</w:t>
      </w:r>
      <w:proofErr w:type="spellEnd"/>
      <w:r w:rsidRPr="0063727B">
        <w:rPr>
          <w:rStyle w:val="FootnoteReference"/>
          <w:rFonts w:ascii="Times New Roman" w:hAnsi="Times New Roman" w:cs="Times New Roman"/>
          <w:sz w:val="24"/>
          <w:szCs w:val="24"/>
        </w:rPr>
        <w:footnoteReference w:id="9"/>
      </w:r>
      <w:r w:rsidRPr="0063727B">
        <w:rPr>
          <w:rFonts w:ascii="Times New Roman" w:hAnsi="Times New Roman" w:cs="Times New Roman"/>
          <w:sz w:val="24"/>
          <w:szCs w:val="24"/>
        </w:rPr>
        <w:t xml:space="preserve"> grupās. </w:t>
      </w:r>
      <w:r w:rsidR="001B58DA" w:rsidRPr="00177187">
        <w:rPr>
          <w:rFonts w:ascii="Times New Roman" w:hAnsi="Times New Roman" w:cs="Times New Roman"/>
          <w:sz w:val="24"/>
          <w:szCs w:val="24"/>
        </w:rPr>
        <w:t xml:space="preserve">Procentuāli lielākais samazinājums bija vērojams turīgākajās mājsaimniecībās – salīdzinot ar 2008.gadu, 2010.gadā 5.kvintilē ienākumi samazinājās par 23%, 4.kvintilē – par 20% un 3.kvintilē – par 16%. Lai gan zemāko ienākumu </w:t>
      </w:r>
      <w:proofErr w:type="spellStart"/>
      <w:r w:rsidR="001B58DA" w:rsidRPr="00177187">
        <w:rPr>
          <w:rFonts w:ascii="Times New Roman" w:hAnsi="Times New Roman" w:cs="Times New Roman"/>
          <w:sz w:val="24"/>
          <w:szCs w:val="24"/>
        </w:rPr>
        <w:t>kvintilēs</w:t>
      </w:r>
      <w:proofErr w:type="spellEnd"/>
      <w:r w:rsidR="001B58DA" w:rsidRPr="00177187">
        <w:rPr>
          <w:rFonts w:ascii="Times New Roman" w:hAnsi="Times New Roman" w:cs="Times New Roman"/>
          <w:sz w:val="24"/>
          <w:szCs w:val="24"/>
        </w:rPr>
        <w:t xml:space="preserve"> procentuālais samazinājums bija mazāks (1.kvintilē – 11 %, 2.kvintilē pieauga par 2,3%), tomēr tas bija relatīvi jūtamāks, ņemot vērā ienākumu zemos apmērus (skat. 1.attēlu).</w:t>
      </w:r>
    </w:p>
    <w:p w:rsidR="00343AF5" w:rsidRPr="0063727B" w:rsidRDefault="000F6E73" w:rsidP="008D36BA">
      <w:pPr>
        <w:pStyle w:val="NormalWeb"/>
        <w:spacing w:before="60" w:after="0"/>
        <w:ind w:firstLine="720"/>
        <w:jc w:val="both"/>
        <w:rPr>
          <w:lang w:eastAsia="en-US"/>
        </w:rPr>
      </w:pPr>
      <w:r w:rsidRPr="0063727B">
        <w:rPr>
          <w:lang w:eastAsia="en-US"/>
        </w:rPr>
        <w:t>Krīzes periodā</w:t>
      </w:r>
      <w:r w:rsidR="00343AF5" w:rsidRPr="0063727B">
        <w:rPr>
          <w:lang w:eastAsia="en-US"/>
        </w:rPr>
        <w:t xml:space="preserve"> palielin</w:t>
      </w:r>
      <w:r w:rsidRPr="0063727B">
        <w:rPr>
          <w:lang w:eastAsia="en-US"/>
        </w:rPr>
        <w:t>ā</w:t>
      </w:r>
      <w:r w:rsidR="00343AF5" w:rsidRPr="0063727B">
        <w:rPr>
          <w:lang w:eastAsia="en-US"/>
        </w:rPr>
        <w:t>j</w:t>
      </w:r>
      <w:r w:rsidRPr="0063727B">
        <w:rPr>
          <w:lang w:eastAsia="en-US"/>
        </w:rPr>
        <w:t>ā</w:t>
      </w:r>
      <w:r w:rsidR="00343AF5" w:rsidRPr="0063727B">
        <w:rPr>
          <w:lang w:eastAsia="en-US"/>
        </w:rPr>
        <w:t>s starp</w:t>
      </w:r>
      <w:r w:rsidRPr="0063727B">
        <w:rPr>
          <w:lang w:eastAsia="en-US"/>
        </w:rPr>
        <w:t>ī</w:t>
      </w:r>
      <w:r w:rsidR="00343AF5" w:rsidRPr="0063727B">
        <w:rPr>
          <w:lang w:eastAsia="en-US"/>
        </w:rPr>
        <w:t>ba starp nabadz</w:t>
      </w:r>
      <w:r w:rsidRPr="0063727B">
        <w:rPr>
          <w:lang w:eastAsia="en-US"/>
        </w:rPr>
        <w:t>ības riskam pakļauto personu faktiskiem ienā</w:t>
      </w:r>
      <w:r w:rsidR="00343AF5" w:rsidRPr="0063727B">
        <w:rPr>
          <w:lang w:eastAsia="en-US"/>
        </w:rPr>
        <w:t>kumiem un nabadz</w:t>
      </w:r>
      <w:r w:rsidRPr="0063727B">
        <w:rPr>
          <w:lang w:eastAsia="en-US"/>
        </w:rPr>
        <w:t>ības riska slieksni (relatīvā</w:t>
      </w:r>
      <w:r w:rsidR="00343AF5" w:rsidRPr="0063727B">
        <w:rPr>
          <w:lang w:eastAsia="en-US"/>
        </w:rPr>
        <w:t xml:space="preserve"> medi</w:t>
      </w:r>
      <w:r w:rsidRPr="0063727B">
        <w:rPr>
          <w:lang w:eastAsia="en-US"/>
        </w:rPr>
        <w:t>ā</w:t>
      </w:r>
      <w:r w:rsidR="00343AF5" w:rsidRPr="0063727B">
        <w:rPr>
          <w:lang w:eastAsia="en-US"/>
        </w:rPr>
        <w:t>nas nabadz</w:t>
      </w:r>
      <w:r w:rsidRPr="0063727B">
        <w:rPr>
          <w:lang w:eastAsia="en-US"/>
        </w:rPr>
        <w:t>ī</w:t>
      </w:r>
      <w:r w:rsidR="00343AF5" w:rsidRPr="0063727B">
        <w:rPr>
          <w:lang w:eastAsia="en-US"/>
        </w:rPr>
        <w:t>bas riska plaisa), pieaugot no 29% (zem nabadz</w:t>
      </w:r>
      <w:r w:rsidRPr="0063727B">
        <w:rPr>
          <w:lang w:eastAsia="en-US"/>
        </w:rPr>
        <w:t>ības riska sliekšņa) 2008.gadā lī</w:t>
      </w:r>
      <w:r w:rsidR="00343AF5" w:rsidRPr="0063727B">
        <w:rPr>
          <w:lang w:eastAsia="en-US"/>
        </w:rPr>
        <w:t>dz 32% 2010.gad</w:t>
      </w:r>
      <w:r w:rsidRPr="0063727B">
        <w:rPr>
          <w:lang w:eastAsia="en-US"/>
        </w:rPr>
        <w:t>ā</w:t>
      </w:r>
      <w:r w:rsidR="00343AF5" w:rsidRPr="0063727B">
        <w:rPr>
          <w:lang w:eastAsia="en-US"/>
        </w:rPr>
        <w:t>. T</w:t>
      </w:r>
      <w:r w:rsidRPr="0063727B">
        <w:rPr>
          <w:lang w:eastAsia="en-US"/>
        </w:rPr>
        <w:t>as liecina, ka nabadzī</w:t>
      </w:r>
      <w:r w:rsidR="00343AF5" w:rsidRPr="0063727B">
        <w:rPr>
          <w:lang w:eastAsia="en-US"/>
        </w:rPr>
        <w:t>bas dzi</w:t>
      </w:r>
      <w:r w:rsidRPr="0063727B">
        <w:rPr>
          <w:lang w:eastAsia="en-US"/>
        </w:rPr>
        <w:t>ļums vistrūcīgākajās mājsaimniecībā</w:t>
      </w:r>
      <w:r w:rsidR="00343AF5" w:rsidRPr="0063727B">
        <w:rPr>
          <w:lang w:eastAsia="en-US"/>
        </w:rPr>
        <w:t>s kr</w:t>
      </w:r>
      <w:r w:rsidRPr="0063727B">
        <w:rPr>
          <w:lang w:eastAsia="en-US"/>
        </w:rPr>
        <w:t>ī</w:t>
      </w:r>
      <w:r w:rsidR="00343AF5" w:rsidRPr="0063727B">
        <w:rPr>
          <w:lang w:eastAsia="en-US"/>
        </w:rPr>
        <w:t>zes ietekm</w:t>
      </w:r>
      <w:r w:rsidRPr="0063727B">
        <w:rPr>
          <w:lang w:eastAsia="en-US"/>
        </w:rPr>
        <w:t>ē</w:t>
      </w:r>
      <w:r w:rsidR="00343AF5" w:rsidRPr="0063727B">
        <w:rPr>
          <w:lang w:eastAsia="en-US"/>
        </w:rPr>
        <w:t xml:space="preserve"> pieauga, bet,</w:t>
      </w:r>
      <w:r w:rsidRPr="0063727B">
        <w:rPr>
          <w:lang w:eastAsia="en-US"/>
        </w:rPr>
        <w:t xml:space="preserve"> paplaš</w:t>
      </w:r>
      <w:r w:rsidR="00343AF5" w:rsidRPr="0063727B">
        <w:rPr>
          <w:lang w:eastAsia="en-US"/>
        </w:rPr>
        <w:t xml:space="preserve">inot </w:t>
      </w:r>
      <w:r w:rsidRPr="0063727B">
        <w:rPr>
          <w:lang w:eastAsia="en-US"/>
        </w:rPr>
        <w:t>valsts un pašvaldību atbalstu trū</w:t>
      </w:r>
      <w:r w:rsidR="00343AF5" w:rsidRPr="0063727B">
        <w:rPr>
          <w:lang w:eastAsia="en-US"/>
        </w:rPr>
        <w:t>c</w:t>
      </w:r>
      <w:r w:rsidRPr="0063727B">
        <w:rPr>
          <w:lang w:eastAsia="en-US"/>
        </w:rPr>
        <w:t>ī</w:t>
      </w:r>
      <w:r w:rsidR="00343AF5" w:rsidRPr="0063727B">
        <w:rPr>
          <w:lang w:eastAsia="en-US"/>
        </w:rPr>
        <w:t>gajiem iedz</w:t>
      </w:r>
      <w:r w:rsidRPr="0063727B">
        <w:rPr>
          <w:lang w:eastAsia="en-US"/>
        </w:rPr>
        <w:t>ī</w:t>
      </w:r>
      <w:r w:rsidR="00343AF5" w:rsidRPr="0063727B">
        <w:rPr>
          <w:lang w:eastAsia="en-US"/>
        </w:rPr>
        <w:t>vot</w:t>
      </w:r>
      <w:r w:rsidRPr="0063727B">
        <w:rPr>
          <w:lang w:eastAsia="en-US"/>
        </w:rPr>
        <w:t xml:space="preserve">ājiem, 2011.gadā </w:t>
      </w:r>
      <w:r w:rsidR="00343AF5" w:rsidRPr="0063727B">
        <w:rPr>
          <w:lang w:eastAsia="en-US"/>
        </w:rPr>
        <w:t>relat</w:t>
      </w:r>
      <w:r w:rsidRPr="0063727B">
        <w:rPr>
          <w:lang w:eastAsia="en-US"/>
        </w:rPr>
        <w:t>ī</w:t>
      </w:r>
      <w:r w:rsidR="00343AF5" w:rsidRPr="0063727B">
        <w:rPr>
          <w:lang w:eastAsia="en-US"/>
        </w:rPr>
        <w:t>v</w:t>
      </w:r>
      <w:r w:rsidRPr="0063727B">
        <w:rPr>
          <w:lang w:eastAsia="en-US"/>
        </w:rPr>
        <w:t>ā mediā</w:t>
      </w:r>
      <w:r w:rsidR="00343AF5" w:rsidRPr="0063727B">
        <w:rPr>
          <w:lang w:eastAsia="en-US"/>
        </w:rPr>
        <w:t>nas nabadz</w:t>
      </w:r>
      <w:r w:rsidRPr="0063727B">
        <w:rPr>
          <w:lang w:eastAsia="en-US"/>
        </w:rPr>
        <w:t>ī</w:t>
      </w:r>
      <w:r w:rsidR="00343AF5" w:rsidRPr="0063727B">
        <w:rPr>
          <w:lang w:eastAsia="en-US"/>
        </w:rPr>
        <w:t>bas riska plaisa atkal samazin</w:t>
      </w:r>
      <w:r w:rsidRPr="0063727B">
        <w:rPr>
          <w:lang w:eastAsia="en-US"/>
        </w:rPr>
        <w:t>ā</w:t>
      </w:r>
      <w:r w:rsidR="00343AF5" w:rsidRPr="0063727B">
        <w:rPr>
          <w:lang w:eastAsia="en-US"/>
        </w:rPr>
        <w:t>j</w:t>
      </w:r>
      <w:r w:rsidRPr="0063727B">
        <w:rPr>
          <w:lang w:eastAsia="en-US"/>
        </w:rPr>
        <w:t>ā</w:t>
      </w:r>
      <w:r w:rsidR="00343AF5" w:rsidRPr="0063727B">
        <w:rPr>
          <w:lang w:eastAsia="en-US"/>
        </w:rPr>
        <w:t>s l</w:t>
      </w:r>
      <w:r w:rsidRPr="0063727B">
        <w:rPr>
          <w:lang w:eastAsia="en-US"/>
        </w:rPr>
        <w:t>ī</w:t>
      </w:r>
      <w:r w:rsidR="00343AF5" w:rsidRPr="0063727B">
        <w:rPr>
          <w:lang w:eastAsia="en-US"/>
        </w:rPr>
        <w:t>dz 2</w:t>
      </w:r>
      <w:r w:rsidR="00EA6FD5" w:rsidRPr="0063727B">
        <w:rPr>
          <w:lang w:eastAsia="en-US"/>
        </w:rPr>
        <w:t>8,6</w:t>
      </w:r>
      <w:r w:rsidR="00343AF5" w:rsidRPr="0063727B">
        <w:rPr>
          <w:lang w:eastAsia="en-US"/>
        </w:rPr>
        <w:t>% (sk</w:t>
      </w:r>
      <w:r w:rsidRPr="0063727B">
        <w:rPr>
          <w:lang w:eastAsia="en-US"/>
        </w:rPr>
        <w:t>at</w:t>
      </w:r>
      <w:r w:rsidR="00343AF5" w:rsidRPr="0063727B">
        <w:rPr>
          <w:lang w:eastAsia="en-US"/>
        </w:rPr>
        <w:t xml:space="preserve">. </w:t>
      </w:r>
      <w:r w:rsidR="006C14E6" w:rsidRPr="0063727B">
        <w:rPr>
          <w:lang w:eastAsia="en-US"/>
        </w:rPr>
        <w:t>1.</w:t>
      </w:r>
      <w:r w:rsidR="00343AF5" w:rsidRPr="0063727B">
        <w:rPr>
          <w:lang w:eastAsia="en-US"/>
        </w:rPr>
        <w:t>att</w:t>
      </w:r>
      <w:r w:rsidRPr="0063727B">
        <w:rPr>
          <w:lang w:eastAsia="en-US"/>
        </w:rPr>
        <w:t>ēlu pielikumā</w:t>
      </w:r>
      <w:r w:rsidR="00343AF5" w:rsidRPr="0063727B">
        <w:rPr>
          <w:lang w:eastAsia="en-US"/>
        </w:rPr>
        <w:t>).</w:t>
      </w:r>
    </w:p>
    <w:p w:rsidR="00EA6FD5" w:rsidRPr="0063727B" w:rsidRDefault="00EA6FD5" w:rsidP="008D36BA">
      <w:pPr>
        <w:pStyle w:val="NormalWeb"/>
        <w:spacing w:before="60" w:after="0"/>
        <w:ind w:firstLine="720"/>
        <w:jc w:val="both"/>
        <w:rPr>
          <w:lang w:eastAsia="en-US"/>
        </w:rPr>
      </w:pPr>
    </w:p>
    <w:p w:rsidR="00343AF5" w:rsidRPr="0063727B" w:rsidRDefault="00343AF5" w:rsidP="00AE6E39">
      <w:pPr>
        <w:spacing w:after="0" w:line="240" w:lineRule="auto"/>
        <w:ind w:left="6180" w:firstLine="300"/>
        <w:jc w:val="center"/>
        <w:rPr>
          <w:rFonts w:ascii="Times New Roman" w:hAnsi="Times New Roman" w:cs="Times New Roman"/>
          <w:sz w:val="24"/>
          <w:szCs w:val="24"/>
        </w:rPr>
      </w:pPr>
      <w:r w:rsidRPr="0063727B">
        <w:rPr>
          <w:rFonts w:ascii="Times New Roman" w:hAnsi="Times New Roman" w:cs="Times New Roman"/>
          <w:sz w:val="24"/>
          <w:szCs w:val="24"/>
        </w:rPr>
        <w:t>1.attēls.</w:t>
      </w:r>
    </w:p>
    <w:p w:rsidR="00343AF5" w:rsidRPr="0063727B" w:rsidRDefault="00150F95" w:rsidP="000B7EA5">
      <w:pPr>
        <w:spacing w:after="0" w:line="240" w:lineRule="auto"/>
        <w:ind w:left="420"/>
        <w:jc w:val="center"/>
        <w:rPr>
          <w:rFonts w:ascii="Times New Roman" w:hAnsi="Times New Roman" w:cs="Times New Roman"/>
          <w:sz w:val="24"/>
          <w:szCs w:val="24"/>
        </w:rPr>
      </w:pPr>
      <w:r w:rsidRPr="0063727B">
        <w:rPr>
          <w:noProof/>
          <w:lang w:eastAsia="lv-LV"/>
        </w:rPr>
        <w:drawing>
          <wp:inline distT="0" distB="0" distL="0" distR="0" wp14:anchorId="187D588F" wp14:editId="1BBB35D3">
            <wp:extent cx="4786686" cy="2798859"/>
            <wp:effectExtent l="0" t="0" r="1397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3AF5" w:rsidRPr="0063727B" w:rsidRDefault="00343AF5" w:rsidP="00980F8F">
      <w:pPr>
        <w:spacing w:after="0" w:line="240" w:lineRule="auto"/>
        <w:ind w:left="1140" w:firstLine="300"/>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343AF5" w:rsidRPr="0063727B" w:rsidRDefault="00343AF5" w:rsidP="00B63ADC">
      <w:pPr>
        <w:spacing w:after="0" w:line="240" w:lineRule="auto"/>
        <w:ind w:firstLine="720"/>
        <w:jc w:val="both"/>
        <w:rPr>
          <w:rFonts w:ascii="Times New Roman" w:hAnsi="Times New Roman" w:cs="Times New Roman"/>
          <w:sz w:val="24"/>
          <w:szCs w:val="24"/>
        </w:rPr>
      </w:pPr>
    </w:p>
    <w:p w:rsidR="00343AF5" w:rsidRPr="0063727B" w:rsidRDefault="00343AF5" w:rsidP="00B63ADC">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Pirmo divu kvintiļu ienākumu mazāku samazinājumu lielā mērā ietekmēja Sociālās drošības tīkla stratēģijas</w:t>
      </w:r>
      <w:r w:rsidRPr="0063727B">
        <w:rPr>
          <w:rStyle w:val="FootnoteReference"/>
          <w:rFonts w:ascii="Times New Roman" w:hAnsi="Times New Roman" w:cs="Times New Roman"/>
          <w:sz w:val="24"/>
          <w:szCs w:val="24"/>
        </w:rPr>
        <w:footnoteReference w:id="10"/>
      </w:r>
      <w:r w:rsidRPr="0063727B">
        <w:rPr>
          <w:rFonts w:ascii="Times New Roman" w:hAnsi="Times New Roman" w:cs="Times New Roman"/>
          <w:sz w:val="24"/>
          <w:szCs w:val="24"/>
        </w:rPr>
        <w:t xml:space="preserve"> pasākumu īstenošana. To pierāda arī statistiskā informācija par sociālo transfertu</w:t>
      </w:r>
      <w:r w:rsidRPr="0063727B">
        <w:rPr>
          <w:rStyle w:val="FootnoteReference"/>
          <w:rFonts w:ascii="Times New Roman" w:hAnsi="Times New Roman" w:cs="Times New Roman"/>
          <w:sz w:val="24"/>
          <w:szCs w:val="24"/>
        </w:rPr>
        <w:footnoteReference w:id="11"/>
      </w:r>
      <w:r w:rsidRPr="0063727B">
        <w:rPr>
          <w:rFonts w:ascii="Times New Roman" w:hAnsi="Times New Roman" w:cs="Times New Roman"/>
          <w:sz w:val="24"/>
          <w:szCs w:val="24"/>
        </w:rPr>
        <w:t xml:space="preserve"> ietekmi uz mājsaimniecību ieņēmumiem, kuru ietekme krīzes periodā </w:t>
      </w:r>
      <w:r w:rsidRPr="0063727B">
        <w:rPr>
          <w:rFonts w:ascii="Times New Roman" w:hAnsi="Times New Roman" w:cs="Times New Roman"/>
          <w:sz w:val="24"/>
          <w:szCs w:val="24"/>
        </w:rPr>
        <w:lastRenderedPageBreak/>
        <w:t>būtiski palielinājās un samazināja iedzīvotājiem risku nonākt nabadzībā. Ja 2007.gadā un 2008.gadā sociālie transferti nabadzības riska indeksu samazināja nedaudz vairāk kā par 10 procentpunktiem, tad laika posmā no 2009.līdz 2011.gadam šī ietekme dubultojās un sociālie transferti nabadzības risku samazināja vairāk nekā par 22 procentpunktiem</w:t>
      </w:r>
      <w:r w:rsidRPr="0063727B">
        <w:rPr>
          <w:rStyle w:val="FootnoteReference"/>
          <w:rFonts w:ascii="Times New Roman" w:hAnsi="Times New Roman" w:cs="Times New Roman"/>
          <w:sz w:val="24"/>
          <w:szCs w:val="24"/>
        </w:rPr>
        <w:footnoteReference w:id="12"/>
      </w:r>
      <w:r w:rsidRPr="0063727B">
        <w:rPr>
          <w:rFonts w:ascii="Times New Roman" w:hAnsi="Times New Roman" w:cs="Times New Roman"/>
          <w:sz w:val="24"/>
          <w:szCs w:val="24"/>
        </w:rPr>
        <w:t>. Sociālie transferti lielāko īpatsvaru veido pirmo trīs kvintiļu mājsaimniecību rīcībā esošo ienākumu struktūrā – vidēji 4</w:t>
      </w:r>
      <w:r w:rsidR="00344B20" w:rsidRPr="0063727B">
        <w:rPr>
          <w:rFonts w:ascii="Times New Roman" w:hAnsi="Times New Roman" w:cs="Times New Roman"/>
          <w:sz w:val="24"/>
          <w:szCs w:val="24"/>
        </w:rPr>
        <w:t>4</w:t>
      </w:r>
      <w:r w:rsidRPr="0063727B">
        <w:rPr>
          <w:rFonts w:ascii="Times New Roman" w:hAnsi="Times New Roman" w:cs="Times New Roman"/>
          <w:sz w:val="24"/>
          <w:szCs w:val="24"/>
        </w:rPr>
        <w:t>% (sk</w:t>
      </w:r>
      <w:r w:rsidR="001551F6"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C34F1E" w:rsidRPr="0063727B">
        <w:rPr>
          <w:rFonts w:ascii="Times New Roman" w:hAnsi="Times New Roman" w:cs="Times New Roman"/>
          <w:sz w:val="24"/>
          <w:szCs w:val="24"/>
        </w:rPr>
        <w:t>2.tabulu</w:t>
      </w:r>
      <w:r w:rsidRPr="0063727B">
        <w:rPr>
          <w:rFonts w:ascii="Times New Roman" w:hAnsi="Times New Roman" w:cs="Times New Roman"/>
          <w:sz w:val="24"/>
          <w:szCs w:val="24"/>
        </w:rPr>
        <w:t xml:space="preserve"> pielikumā).</w:t>
      </w:r>
    </w:p>
    <w:p w:rsidR="00343AF5" w:rsidRPr="0063727B" w:rsidRDefault="00343AF5" w:rsidP="00554330">
      <w:pPr>
        <w:shd w:val="clear" w:color="auto" w:fill="FFFFFF"/>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Kā norādīts Pasaules Bankas pētījumā</w:t>
      </w:r>
      <w:r w:rsidRPr="0063727B">
        <w:rPr>
          <w:rStyle w:val="FootnoteReference"/>
          <w:rFonts w:ascii="Times New Roman" w:hAnsi="Times New Roman" w:cs="Times New Roman"/>
          <w:sz w:val="24"/>
          <w:szCs w:val="24"/>
        </w:rPr>
        <w:footnoteReference w:id="13"/>
      </w:r>
      <w:r w:rsidRPr="0063727B">
        <w:rPr>
          <w:rFonts w:ascii="Times New Roman" w:hAnsi="Times New Roman" w:cs="Times New Roman"/>
          <w:sz w:val="24"/>
          <w:szCs w:val="24"/>
        </w:rPr>
        <w:t xml:space="preserve"> (turpmāk – PB pētījums) mājsaimniecības ienākumu analīze OECD</w:t>
      </w:r>
      <w:r w:rsidRPr="0063727B">
        <w:rPr>
          <w:rStyle w:val="FootnoteReference"/>
          <w:rFonts w:ascii="Times New Roman" w:hAnsi="Times New Roman" w:cs="Times New Roman"/>
          <w:sz w:val="24"/>
          <w:szCs w:val="24"/>
        </w:rPr>
        <w:footnoteReference w:id="14"/>
      </w:r>
      <w:r w:rsidRPr="0063727B">
        <w:rPr>
          <w:rFonts w:ascii="Times New Roman" w:hAnsi="Times New Roman" w:cs="Times New Roman"/>
          <w:sz w:val="24"/>
          <w:szCs w:val="24"/>
        </w:rPr>
        <w:t xml:space="preserve"> valstīs ekonomiskās krīzes situācijās apliecina, ka recesija visnegatīvāk ietekmē zemo ienākumu grupas un tās vislēnāk izjūt ekonomiskās situācijas uzlabošanos. Līdzīgas tendences vērojamas arī Latvijā. Mājsaimniecību vidējo ienākumu pieaugums sekmē nabadzības riska pieaugumu, jo trūcīgo iedzīvotāju ienākumi nepalielinās līdzvērtīgi turīgajiem iedzīvotājiem, attiecīgi nabadzības risks turpina pieaugt</w:t>
      </w:r>
      <w:r w:rsidRPr="0063727B">
        <w:rPr>
          <w:rStyle w:val="FootnoteReference"/>
          <w:rFonts w:ascii="Times New Roman" w:hAnsi="Times New Roman" w:cs="Times New Roman"/>
          <w:sz w:val="24"/>
          <w:szCs w:val="24"/>
        </w:rPr>
        <w:footnoteReference w:id="15"/>
      </w:r>
      <w:r w:rsidRPr="0063727B">
        <w:rPr>
          <w:rFonts w:ascii="Times New Roman" w:hAnsi="Times New Roman" w:cs="Times New Roman"/>
          <w:sz w:val="24"/>
          <w:szCs w:val="24"/>
        </w:rPr>
        <w:t xml:space="preserve">. Ekonomiskās situācijas stabilizēšanās vispozitīvāko ietekmi ir atstājusi galvenokārt uz turīgākajām mājsaimniecībām, savukārt mājsaimniecības ar zemiem ienākumiem ļoti minimāli izjūt ekonomikas atveseļošanos. 2011.gadā iedzīvotāju ienākumi sāka pieaugt lielākā mērā tieši turīgākajai iedzīvotāju daļai (5.kvintilei) – par 10%. </w:t>
      </w:r>
      <w:r w:rsidRPr="0063727B">
        <w:rPr>
          <w:rFonts w:ascii="Times New Roman" w:hAnsi="Times New Roman" w:cs="Times New Roman"/>
          <w:b/>
          <w:bCs/>
          <w:sz w:val="24"/>
          <w:szCs w:val="24"/>
        </w:rPr>
        <w:t>Ienākumu nevienlīdzību</w:t>
      </w:r>
      <w:r w:rsidRPr="0063727B">
        <w:rPr>
          <w:rFonts w:ascii="Times New Roman" w:hAnsi="Times New Roman" w:cs="Times New Roman"/>
          <w:sz w:val="24"/>
          <w:szCs w:val="24"/>
        </w:rPr>
        <w:t xml:space="preserve"> raksturojošie rādītāji, tai skaitā S80/S20 ienākumu </w:t>
      </w:r>
      <w:proofErr w:type="spellStart"/>
      <w:r w:rsidRPr="0063727B">
        <w:rPr>
          <w:rFonts w:ascii="Times New Roman" w:hAnsi="Times New Roman" w:cs="Times New Roman"/>
          <w:sz w:val="24"/>
          <w:szCs w:val="24"/>
        </w:rPr>
        <w:t>kvintiļu</w:t>
      </w:r>
      <w:proofErr w:type="spellEnd"/>
      <w:r w:rsidRPr="0063727B">
        <w:rPr>
          <w:rFonts w:ascii="Times New Roman" w:hAnsi="Times New Roman" w:cs="Times New Roman"/>
          <w:sz w:val="24"/>
          <w:szCs w:val="24"/>
        </w:rPr>
        <w:t xml:space="preserve"> attiecības indekss</w:t>
      </w:r>
      <w:r w:rsidRPr="0063727B">
        <w:rPr>
          <w:rStyle w:val="FootnoteReference"/>
          <w:rFonts w:ascii="Times New Roman" w:hAnsi="Times New Roman" w:cs="Times New Roman"/>
          <w:sz w:val="24"/>
          <w:szCs w:val="24"/>
        </w:rPr>
        <w:footnoteReference w:id="16"/>
      </w:r>
      <w:r w:rsidRPr="0063727B">
        <w:rPr>
          <w:rFonts w:ascii="Times New Roman" w:hAnsi="Times New Roman" w:cs="Times New Roman"/>
          <w:sz w:val="24"/>
          <w:szCs w:val="24"/>
        </w:rPr>
        <w:t xml:space="preserve"> Latvijā ir viens no augstākajiem starp ES dalībvalstīm – 5.kvintiles ienākumi ir vidēji 7 reizes lielāki nekā 1.kvintilei (sk</w:t>
      </w:r>
      <w:r w:rsidR="001551F6"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C34F1E" w:rsidRPr="0063727B">
        <w:rPr>
          <w:rFonts w:ascii="Times New Roman" w:hAnsi="Times New Roman" w:cs="Times New Roman"/>
          <w:sz w:val="24"/>
          <w:szCs w:val="24"/>
        </w:rPr>
        <w:t>2</w:t>
      </w:r>
      <w:r w:rsidRPr="0063727B">
        <w:rPr>
          <w:rFonts w:ascii="Times New Roman" w:hAnsi="Times New Roman" w:cs="Times New Roman"/>
          <w:sz w:val="24"/>
          <w:szCs w:val="24"/>
        </w:rPr>
        <w:t>.attēlu pielikumā), kamēr ES vidēji šis rādītājs ir 3-4 reizes</w:t>
      </w:r>
      <w:r w:rsidRPr="0063727B">
        <w:rPr>
          <w:rStyle w:val="FootnoteReference"/>
          <w:rFonts w:ascii="Times New Roman" w:hAnsi="Times New Roman" w:cs="Times New Roman"/>
          <w:sz w:val="24"/>
          <w:szCs w:val="24"/>
        </w:rPr>
        <w:footnoteReference w:id="17"/>
      </w:r>
      <w:r w:rsidRPr="0063727B">
        <w:rPr>
          <w:rFonts w:ascii="Times New Roman" w:hAnsi="Times New Roman" w:cs="Times New Roman"/>
          <w:sz w:val="24"/>
          <w:szCs w:val="24"/>
        </w:rPr>
        <w:t xml:space="preserve">. Ienākumu nevienlīdzība ir viens no galvenajiem augsta nabadzības riska cēloņiem valstī, kas jau daudzus gadus ir nemainīgi pastāvoša problēma nevienlīdzīgās ienākumu pārdales rezultātā. Tomēr jāņem vērā, ka Latvijā iedzīvotāju ienākumi ir ļoti kompakti (skat. 1.tabulu), tāpēc pat nelielas izmaiņas vienas kvintiļu grupas ienākumos var relatīvi pasliktināt otras kvintiļu grupas situāciju.  </w:t>
      </w:r>
    </w:p>
    <w:p w:rsidR="001551F6" w:rsidRPr="0063727B" w:rsidRDefault="00343AF5" w:rsidP="001551F6">
      <w:pPr>
        <w:pStyle w:val="ListParagraph"/>
        <w:spacing w:after="0" w:line="240" w:lineRule="auto"/>
        <w:jc w:val="right"/>
        <w:rPr>
          <w:rFonts w:ascii="Times New Roman" w:hAnsi="Times New Roman" w:cs="Times New Roman"/>
          <w:sz w:val="24"/>
          <w:szCs w:val="24"/>
        </w:rPr>
      </w:pPr>
      <w:r w:rsidRPr="0063727B">
        <w:rPr>
          <w:rFonts w:ascii="Times New Roman" w:hAnsi="Times New Roman" w:cs="Times New Roman"/>
          <w:sz w:val="24"/>
          <w:szCs w:val="24"/>
        </w:rPr>
        <w:t xml:space="preserve">1.tabula. </w:t>
      </w:r>
    </w:p>
    <w:p w:rsidR="00343AF5" w:rsidRPr="0063727B" w:rsidRDefault="00343AF5" w:rsidP="001551F6">
      <w:pPr>
        <w:pStyle w:val="ListParagraph"/>
        <w:spacing w:after="0" w:line="360" w:lineRule="auto"/>
        <w:jc w:val="center"/>
        <w:rPr>
          <w:rFonts w:ascii="Times New Roman" w:hAnsi="Times New Roman" w:cs="Times New Roman"/>
          <w:b/>
          <w:sz w:val="24"/>
          <w:szCs w:val="24"/>
        </w:rPr>
      </w:pPr>
      <w:r w:rsidRPr="0063727B">
        <w:rPr>
          <w:rFonts w:ascii="Times New Roman" w:hAnsi="Times New Roman" w:cs="Times New Roman"/>
          <w:b/>
          <w:sz w:val="24"/>
          <w:szCs w:val="24"/>
        </w:rPr>
        <w:t xml:space="preserve">Iedzīvotāju </w:t>
      </w:r>
      <w:r w:rsidR="00523B12" w:rsidRPr="0063727B">
        <w:rPr>
          <w:rFonts w:ascii="Times New Roman" w:hAnsi="Times New Roman" w:cs="Times New Roman"/>
          <w:b/>
          <w:sz w:val="24"/>
          <w:szCs w:val="24"/>
        </w:rPr>
        <w:t>ienākumu augstākā un zemākā robeža</w:t>
      </w:r>
      <w:r w:rsidRPr="0063727B">
        <w:rPr>
          <w:rFonts w:ascii="Times New Roman" w:hAnsi="Times New Roman" w:cs="Times New Roman"/>
          <w:b/>
          <w:sz w:val="24"/>
          <w:szCs w:val="24"/>
        </w:rPr>
        <w:t xml:space="preserve"> kvintiļu grupās</w:t>
      </w:r>
      <w:r w:rsidR="00980F8F" w:rsidRPr="0063727B">
        <w:rPr>
          <w:rFonts w:ascii="Times New Roman" w:hAnsi="Times New Roman" w:cs="Times New Roman"/>
          <w:b/>
          <w:sz w:val="24"/>
          <w:szCs w:val="24"/>
        </w:rPr>
        <w:t xml:space="preserve"> 2011.gadā</w:t>
      </w:r>
    </w:p>
    <w:tbl>
      <w:tblPr>
        <w:tblW w:w="6043" w:type="dxa"/>
        <w:jc w:val="center"/>
        <w:tblInd w:w="93" w:type="dxa"/>
        <w:tblLook w:val="04A0" w:firstRow="1" w:lastRow="0" w:firstColumn="1" w:lastColumn="0" w:noHBand="0" w:noVBand="1"/>
      </w:tblPr>
      <w:tblGrid>
        <w:gridCol w:w="1023"/>
        <w:gridCol w:w="960"/>
        <w:gridCol w:w="1371"/>
        <w:gridCol w:w="1417"/>
        <w:gridCol w:w="1272"/>
      </w:tblGrid>
      <w:tr w:rsidR="0063727B" w:rsidRPr="0063727B" w:rsidTr="00523B12">
        <w:trPr>
          <w:trHeight w:val="300"/>
          <w:jc w:val="center"/>
        </w:trPr>
        <w:tc>
          <w:tcPr>
            <w:tcW w:w="1023" w:type="dxa"/>
            <w:tcBorders>
              <w:top w:val="nil"/>
              <w:left w:val="nil"/>
              <w:bottom w:val="nil"/>
              <w:right w:val="nil"/>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960" w:type="dxa"/>
            <w:tcBorders>
              <w:top w:val="nil"/>
              <w:left w:val="nil"/>
              <w:bottom w:val="nil"/>
              <w:right w:val="nil"/>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4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uz vienu mājsaimniecības locekli</w:t>
            </w:r>
          </w:p>
        </w:tc>
      </w:tr>
      <w:tr w:rsidR="0063727B" w:rsidRPr="0063727B" w:rsidTr="00523B12">
        <w:trPr>
          <w:trHeight w:val="300"/>
          <w:jc w:val="center"/>
        </w:trPr>
        <w:tc>
          <w:tcPr>
            <w:tcW w:w="19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 xml:space="preserve"> </w:t>
            </w:r>
          </w:p>
        </w:tc>
        <w:tc>
          <w:tcPr>
            <w:tcW w:w="1371" w:type="dxa"/>
            <w:tcBorders>
              <w:top w:val="nil"/>
              <w:left w:val="nil"/>
              <w:bottom w:val="single" w:sz="4" w:space="0" w:color="auto"/>
              <w:right w:val="single" w:sz="4" w:space="0" w:color="auto"/>
            </w:tcBorders>
            <w:shd w:val="clear" w:color="auto" w:fill="auto"/>
            <w:vAlign w:val="center"/>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Vidēji</w:t>
            </w:r>
          </w:p>
        </w:tc>
        <w:tc>
          <w:tcPr>
            <w:tcW w:w="1417" w:type="dxa"/>
            <w:tcBorders>
              <w:top w:val="nil"/>
              <w:left w:val="nil"/>
              <w:bottom w:val="single" w:sz="4" w:space="0" w:color="auto"/>
              <w:right w:val="single" w:sz="4" w:space="0" w:color="auto"/>
            </w:tcBorders>
            <w:shd w:val="clear" w:color="auto" w:fill="auto"/>
            <w:noWrap/>
            <w:vAlign w:val="center"/>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zemākā robeža</w:t>
            </w:r>
          </w:p>
        </w:tc>
        <w:tc>
          <w:tcPr>
            <w:tcW w:w="1272" w:type="dxa"/>
            <w:tcBorders>
              <w:top w:val="nil"/>
              <w:left w:val="nil"/>
              <w:bottom w:val="single" w:sz="4" w:space="0" w:color="auto"/>
              <w:right w:val="single" w:sz="4" w:space="0" w:color="auto"/>
            </w:tcBorders>
            <w:shd w:val="clear" w:color="auto" w:fill="auto"/>
            <w:noWrap/>
            <w:vAlign w:val="center"/>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augstākā robeža</w:t>
            </w:r>
          </w:p>
        </w:tc>
      </w:tr>
      <w:tr w:rsidR="0063727B" w:rsidRPr="0063727B" w:rsidTr="00523B12">
        <w:trPr>
          <w:trHeight w:val="300"/>
          <w:jc w:val="center"/>
        </w:trPr>
        <w:tc>
          <w:tcPr>
            <w:tcW w:w="19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b/>
                <w:bCs/>
                <w:lang w:eastAsia="lv-LV"/>
              </w:rPr>
            </w:pPr>
          </w:p>
        </w:tc>
        <w:tc>
          <w:tcPr>
            <w:tcW w:w="1371" w:type="dxa"/>
            <w:tcBorders>
              <w:top w:val="nil"/>
              <w:left w:val="nil"/>
              <w:bottom w:val="nil"/>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214,01</w:t>
            </w:r>
          </w:p>
        </w:tc>
        <w:tc>
          <w:tcPr>
            <w:tcW w:w="1417" w:type="dxa"/>
            <w:tcBorders>
              <w:top w:val="nil"/>
              <w:left w:val="nil"/>
              <w:bottom w:val="nil"/>
              <w:right w:val="single" w:sz="4" w:space="0" w:color="auto"/>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 </w:t>
            </w:r>
          </w:p>
        </w:tc>
        <w:tc>
          <w:tcPr>
            <w:tcW w:w="1272" w:type="dxa"/>
            <w:tcBorders>
              <w:top w:val="nil"/>
              <w:left w:val="nil"/>
              <w:bottom w:val="nil"/>
              <w:right w:val="single" w:sz="4" w:space="0" w:color="auto"/>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 </w:t>
            </w:r>
          </w:p>
        </w:tc>
      </w:tr>
      <w:tr w:rsidR="0063727B" w:rsidRPr="0063727B" w:rsidTr="00523B12">
        <w:trPr>
          <w:trHeight w:val="300"/>
          <w:jc w:val="center"/>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proofErr w:type="spellStart"/>
            <w:r w:rsidRPr="0063727B">
              <w:rPr>
                <w:rFonts w:ascii="Times New Roman" w:eastAsia="Times New Roman" w:hAnsi="Times New Roman" w:cs="Times New Roman"/>
                <w:lang w:eastAsia="lv-LV"/>
              </w:rPr>
              <w:t>Kvintiles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73,45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līdz 113.17</w:t>
            </w:r>
          </w:p>
        </w:tc>
      </w:tr>
      <w:tr w:rsidR="0063727B" w:rsidRPr="0063727B" w:rsidTr="00523B12">
        <w:trPr>
          <w:trHeight w:val="300"/>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2</w:t>
            </w:r>
          </w:p>
        </w:tc>
        <w:tc>
          <w:tcPr>
            <w:tcW w:w="1371"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139,92</w:t>
            </w:r>
          </w:p>
        </w:tc>
        <w:tc>
          <w:tcPr>
            <w:tcW w:w="1417"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113,20</w:t>
            </w:r>
          </w:p>
        </w:tc>
        <w:tc>
          <w:tcPr>
            <w:tcW w:w="1272"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164,04</w:t>
            </w:r>
          </w:p>
        </w:tc>
      </w:tr>
      <w:tr w:rsidR="0063727B" w:rsidRPr="0063727B" w:rsidTr="00523B12">
        <w:trPr>
          <w:trHeight w:val="300"/>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3</w:t>
            </w:r>
          </w:p>
        </w:tc>
        <w:tc>
          <w:tcPr>
            <w:tcW w:w="1371"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182,57</w:t>
            </w:r>
          </w:p>
        </w:tc>
        <w:tc>
          <w:tcPr>
            <w:tcW w:w="1417"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164,15</w:t>
            </w:r>
          </w:p>
        </w:tc>
        <w:tc>
          <w:tcPr>
            <w:tcW w:w="1272"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204,76</w:t>
            </w:r>
          </w:p>
        </w:tc>
      </w:tr>
      <w:tr w:rsidR="0063727B" w:rsidRPr="0063727B" w:rsidTr="00523B12">
        <w:trPr>
          <w:trHeight w:val="300"/>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w:t>
            </w:r>
          </w:p>
        </w:tc>
        <w:tc>
          <w:tcPr>
            <w:tcW w:w="1371"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247,07</w:t>
            </w:r>
          </w:p>
        </w:tc>
        <w:tc>
          <w:tcPr>
            <w:tcW w:w="1417"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204,79</w:t>
            </w:r>
          </w:p>
        </w:tc>
        <w:tc>
          <w:tcPr>
            <w:tcW w:w="1272"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306,08</w:t>
            </w:r>
          </w:p>
        </w:tc>
      </w:tr>
      <w:tr w:rsidR="0063727B" w:rsidRPr="0063727B" w:rsidTr="00523B12">
        <w:trPr>
          <w:trHeight w:val="300"/>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523B12" w:rsidRPr="0063727B" w:rsidRDefault="00523B12" w:rsidP="00523B12">
            <w:pPr>
              <w:spacing w:after="0" w:line="240" w:lineRule="auto"/>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5</w:t>
            </w:r>
          </w:p>
        </w:tc>
        <w:tc>
          <w:tcPr>
            <w:tcW w:w="1371"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478,79</w:t>
            </w:r>
          </w:p>
        </w:tc>
        <w:tc>
          <w:tcPr>
            <w:tcW w:w="1417"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no 306.22</w:t>
            </w:r>
          </w:p>
        </w:tc>
        <w:tc>
          <w:tcPr>
            <w:tcW w:w="1272" w:type="dxa"/>
            <w:tcBorders>
              <w:top w:val="nil"/>
              <w:left w:val="nil"/>
              <w:bottom w:val="single" w:sz="4" w:space="0" w:color="auto"/>
              <w:right w:val="single" w:sz="4" w:space="0" w:color="auto"/>
            </w:tcBorders>
            <w:shd w:val="clear" w:color="auto" w:fill="auto"/>
            <w:noWrap/>
            <w:vAlign w:val="bottom"/>
            <w:hideMark/>
          </w:tcPr>
          <w:p w:rsidR="00523B12" w:rsidRPr="0063727B" w:rsidRDefault="00523B12" w:rsidP="00523B12">
            <w:pPr>
              <w:spacing w:after="0" w:line="240" w:lineRule="auto"/>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 </w:t>
            </w:r>
          </w:p>
        </w:tc>
      </w:tr>
    </w:tbl>
    <w:p w:rsidR="00343AF5" w:rsidRPr="0063727B" w:rsidRDefault="00343AF5" w:rsidP="00980F8F">
      <w:pPr>
        <w:spacing w:after="0"/>
        <w:ind w:left="1077" w:firstLine="363"/>
        <w:rPr>
          <w:rFonts w:ascii="Times New Roman" w:hAnsi="Times New Roman" w:cs="Times New Roman"/>
          <w:sz w:val="20"/>
          <w:szCs w:val="20"/>
        </w:rPr>
      </w:pPr>
      <w:r w:rsidRPr="0063727B">
        <w:rPr>
          <w:rFonts w:ascii="Times New Roman" w:hAnsi="Times New Roman" w:cs="Times New Roman"/>
          <w:sz w:val="20"/>
          <w:szCs w:val="20"/>
        </w:rPr>
        <w:lastRenderedPageBreak/>
        <w:t>Avots: Centrālā statistikas pārvalde</w:t>
      </w:r>
      <w:r w:rsidR="00523B12" w:rsidRPr="0063727B">
        <w:rPr>
          <w:rFonts w:ascii="Times New Roman" w:hAnsi="Times New Roman" w:cs="Times New Roman"/>
          <w:sz w:val="20"/>
          <w:szCs w:val="20"/>
        </w:rPr>
        <w:t>, EU-SILC2012</w:t>
      </w:r>
    </w:p>
    <w:p w:rsidR="00343AF5" w:rsidRPr="0063727B" w:rsidRDefault="00343AF5" w:rsidP="002C3CB1">
      <w:pPr>
        <w:shd w:val="clear" w:color="auto" w:fill="FFFFFF"/>
        <w:spacing w:after="0" w:line="240" w:lineRule="auto"/>
        <w:ind w:firstLine="720"/>
        <w:jc w:val="both"/>
        <w:rPr>
          <w:rFonts w:ascii="Times New Roman" w:hAnsi="Times New Roman" w:cs="Times New Roman"/>
          <w:b/>
          <w:bCs/>
          <w:sz w:val="24"/>
          <w:szCs w:val="24"/>
        </w:rPr>
      </w:pPr>
      <w:r w:rsidRPr="0063727B">
        <w:rPr>
          <w:rFonts w:ascii="Times New Roman" w:hAnsi="Times New Roman" w:cs="Times New Roman"/>
          <w:sz w:val="24"/>
          <w:szCs w:val="24"/>
        </w:rPr>
        <w:t xml:space="preserve">Kompakto ienākumu problēmu jau 2002.gadā identificēja pētniece no Nīderlandes </w:t>
      </w:r>
      <w:proofErr w:type="spellStart"/>
      <w:r w:rsidRPr="0063727B">
        <w:rPr>
          <w:rFonts w:ascii="Times New Roman" w:hAnsi="Times New Roman" w:cs="Times New Roman"/>
          <w:sz w:val="24"/>
          <w:szCs w:val="24"/>
        </w:rPr>
        <w:t>F.Gasmane</w:t>
      </w:r>
      <w:proofErr w:type="spellEnd"/>
      <w:r w:rsidRPr="0063727B">
        <w:rPr>
          <w:rFonts w:ascii="Times New Roman" w:hAnsi="Times New Roman" w:cs="Times New Roman"/>
          <w:sz w:val="24"/>
          <w:szCs w:val="24"/>
        </w:rPr>
        <w:t>, kad pētīja nabadzību Latvijā, nonākot pie secinājuma, ka</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 Latvijā nepastāv vidusšķira, jo pārējo 80% iedzīvotāju sadalījums gan pēc ienākumiem, gan izdevumiem ir ļoti kompakts.”</w:t>
      </w:r>
      <w:r w:rsidRPr="0063727B">
        <w:rPr>
          <w:rStyle w:val="FootnoteReference"/>
          <w:rFonts w:ascii="Times New Roman" w:hAnsi="Times New Roman" w:cs="Times New Roman"/>
          <w:sz w:val="24"/>
          <w:szCs w:val="24"/>
        </w:rPr>
        <w:footnoteReference w:id="18"/>
      </w:r>
    </w:p>
    <w:p w:rsidR="00343AF5" w:rsidRPr="0063727B" w:rsidRDefault="00343AF5" w:rsidP="002C3CB1">
      <w:pPr>
        <w:shd w:val="clear" w:color="auto" w:fill="FFFFFF"/>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b/>
          <w:bCs/>
          <w:sz w:val="24"/>
          <w:szCs w:val="24"/>
        </w:rPr>
        <w:t>Nabadzības riska slieksnis</w:t>
      </w:r>
      <w:r w:rsidRPr="0063727B">
        <w:rPr>
          <w:rStyle w:val="FootnoteReference"/>
          <w:rFonts w:ascii="Times New Roman" w:hAnsi="Times New Roman" w:cs="Times New Roman"/>
          <w:sz w:val="24"/>
          <w:szCs w:val="24"/>
        </w:rPr>
        <w:footnoteReference w:id="19"/>
      </w:r>
      <w:r w:rsidRPr="0063727B">
        <w:rPr>
          <w:rFonts w:ascii="Times New Roman" w:hAnsi="Times New Roman" w:cs="Times New Roman"/>
          <w:sz w:val="24"/>
          <w:szCs w:val="24"/>
        </w:rPr>
        <w:t xml:space="preserve"> vienas personas mājsaimniecībai 2011.gadā veidoja 18</w:t>
      </w:r>
      <w:r w:rsidR="00390B08" w:rsidRPr="0063727B">
        <w:rPr>
          <w:rFonts w:ascii="Times New Roman" w:hAnsi="Times New Roman" w:cs="Times New Roman"/>
          <w:sz w:val="24"/>
          <w:szCs w:val="24"/>
        </w:rPr>
        <w:t>77</w:t>
      </w:r>
      <w:r w:rsidRPr="0063727B">
        <w:rPr>
          <w:rFonts w:ascii="Times New Roman" w:hAnsi="Times New Roman" w:cs="Times New Roman"/>
          <w:sz w:val="24"/>
          <w:szCs w:val="24"/>
        </w:rPr>
        <w:t xml:space="preserve"> latus gadā jeb 15</w:t>
      </w:r>
      <w:r w:rsidR="00390B08" w:rsidRPr="0063727B">
        <w:rPr>
          <w:rFonts w:ascii="Times New Roman" w:hAnsi="Times New Roman" w:cs="Times New Roman"/>
          <w:sz w:val="24"/>
          <w:szCs w:val="24"/>
        </w:rPr>
        <w:t>6</w:t>
      </w:r>
      <w:r w:rsidRPr="0063727B">
        <w:rPr>
          <w:rFonts w:ascii="Times New Roman" w:hAnsi="Times New Roman" w:cs="Times New Roman"/>
          <w:sz w:val="24"/>
          <w:szCs w:val="24"/>
        </w:rPr>
        <w:t xml:space="preserve"> latus mēnesī (skat. </w:t>
      </w:r>
      <w:r w:rsidR="00C34F1E" w:rsidRPr="0063727B">
        <w:rPr>
          <w:rFonts w:ascii="Times New Roman" w:hAnsi="Times New Roman" w:cs="Times New Roman"/>
          <w:sz w:val="24"/>
          <w:szCs w:val="24"/>
        </w:rPr>
        <w:t>3</w:t>
      </w:r>
      <w:r w:rsidRPr="0063727B">
        <w:rPr>
          <w:rFonts w:ascii="Times New Roman" w:hAnsi="Times New Roman" w:cs="Times New Roman"/>
          <w:sz w:val="24"/>
          <w:szCs w:val="24"/>
        </w:rPr>
        <w:t xml:space="preserve">.attēlu pielikumā). Procentuāli nabadzības riska slieksnis 2008.-2010.gadu periodā pakāpeniski samazinājās, bet 2011.gadā sāka pieaugt, ko var izskaidrot divējādi. Pirmkārt, krīzes periodā ienākumi samazinājās galvenokārt turīgākajās mājsaimniecībās (pamatā dēļ ienākumiem no algota darba), tādējādi samazinot arī nabadzības sliekšņa apmēru un to cilvēku skaitu, kuru ienākumi ir zemāki par šo slieksni. Otrkārt, ienākumi, kuri ir nedaudz virs vai zem nabadzības sliekšņa pirmskrīzes periodā galvenokārt bija attiecināmi uz pirmspensijas un pensijas vecuma cilvēkiem (virs 60 gadiem), kuru ienākumi ir stabili zemi; - vecuma grupai 65+ ienākumi pārējo vecuma grupu vidū aizvien ir </w:t>
      </w:r>
      <w:r w:rsidR="00F65EF2">
        <w:rPr>
          <w:rFonts w:ascii="Times New Roman" w:hAnsi="Times New Roman" w:cs="Times New Roman"/>
          <w:sz w:val="24"/>
          <w:szCs w:val="24"/>
        </w:rPr>
        <w:t xml:space="preserve">vieni no </w:t>
      </w:r>
      <w:r w:rsidRPr="0063727B">
        <w:rPr>
          <w:rFonts w:ascii="Times New Roman" w:hAnsi="Times New Roman" w:cs="Times New Roman"/>
          <w:iCs/>
          <w:sz w:val="24"/>
          <w:szCs w:val="24"/>
          <w:u w:val="single"/>
        </w:rPr>
        <w:t>zemāk</w:t>
      </w:r>
      <w:r w:rsidR="00F65EF2">
        <w:rPr>
          <w:rFonts w:ascii="Times New Roman" w:hAnsi="Times New Roman" w:cs="Times New Roman"/>
          <w:iCs/>
          <w:sz w:val="24"/>
          <w:szCs w:val="24"/>
          <w:u w:val="single"/>
        </w:rPr>
        <w:t>ajiem</w:t>
      </w:r>
      <w:r w:rsidRPr="0063727B">
        <w:rPr>
          <w:rFonts w:ascii="Times New Roman" w:hAnsi="Times New Roman" w:cs="Times New Roman"/>
          <w:iCs/>
          <w:sz w:val="24"/>
          <w:szCs w:val="24"/>
          <w:u w:val="single"/>
        </w:rPr>
        <w:t xml:space="preserve"> pēdējo četru gadu laikā</w:t>
      </w:r>
      <w:r w:rsidRPr="0063727B">
        <w:rPr>
          <w:rFonts w:ascii="Times New Roman" w:hAnsi="Times New Roman" w:cs="Times New Roman"/>
          <w:sz w:val="24"/>
          <w:szCs w:val="24"/>
        </w:rPr>
        <w:t xml:space="preserve"> (skat. </w:t>
      </w:r>
      <w:r w:rsidR="00C34F1E" w:rsidRPr="0063727B">
        <w:rPr>
          <w:rFonts w:ascii="Times New Roman" w:hAnsi="Times New Roman" w:cs="Times New Roman"/>
          <w:sz w:val="24"/>
          <w:szCs w:val="24"/>
        </w:rPr>
        <w:t>4</w:t>
      </w:r>
      <w:r w:rsidRPr="0063727B">
        <w:rPr>
          <w:rFonts w:ascii="Times New Roman" w:hAnsi="Times New Roman" w:cs="Times New Roman"/>
          <w:sz w:val="24"/>
          <w:szCs w:val="24"/>
        </w:rPr>
        <w:t xml:space="preserve">.attēlu pielikumā) un krīzes periodā tie praktiski nemainījās dēļ </w:t>
      </w:r>
      <w:r w:rsidRPr="0063727B">
        <w:rPr>
          <w:rFonts w:ascii="Times New Roman" w:hAnsi="Times New Roman" w:cs="Times New Roman"/>
          <w:sz w:val="24"/>
          <w:szCs w:val="24"/>
          <w:lang w:eastAsia="lv-LV"/>
        </w:rPr>
        <w:t>sociālās apdrošināšanas maksājumu (vecuma pensiju) stabilitātes. T</w:t>
      </w:r>
      <w:r w:rsidRPr="0063727B">
        <w:rPr>
          <w:rFonts w:ascii="Times New Roman" w:hAnsi="Times New Roman" w:cs="Times New Roman"/>
          <w:sz w:val="24"/>
          <w:szCs w:val="24"/>
        </w:rPr>
        <w:t>ādējādi, samazinoties nabadzības riska slieksnim, lielai daļai šo cilvēku ienākumi vairs nebija zemāki par nabadzības slieksni</w:t>
      </w:r>
      <w:r w:rsidRPr="0063727B">
        <w:rPr>
          <w:rStyle w:val="FootnoteReference"/>
          <w:rFonts w:ascii="Times New Roman" w:hAnsi="Times New Roman" w:cs="Times New Roman"/>
          <w:sz w:val="24"/>
          <w:szCs w:val="24"/>
          <w:lang w:eastAsia="lv-LV"/>
        </w:rPr>
        <w:footnoteReference w:id="20"/>
      </w:r>
      <w:r w:rsidRPr="0063727B">
        <w:rPr>
          <w:rFonts w:ascii="Times New Roman" w:hAnsi="Times New Roman" w:cs="Times New Roman"/>
          <w:sz w:val="24"/>
          <w:szCs w:val="24"/>
        </w:rPr>
        <w:t>. Savukārt 2011.gadā nabadzības riska slieksnis pieauga, jo palielinājās ienākumi tieši turīgākajām mājsaimniecībām, kurās pirmspensijas un pensijas vecuma cilvēki neveido lielu proporcionālo īpatsvaru, attiecīgi pieaugot nabadzības riskam, īpaši iedzīvotājiem virs 60 gadiem. Tas nozīmē, ka, saglabājoties relatīvi zemiem ienākumiem iedzīvotājiem virs 60 gadiem arī turpmāk, nabadzīgāko iedzīvotāju vidū šī vecuma grupa atkal varētu veidot proporcionāli lielāko daļu.</w:t>
      </w:r>
    </w:p>
    <w:p w:rsidR="00343AF5" w:rsidRPr="0063727B" w:rsidRDefault="00343AF5" w:rsidP="0065652D">
      <w:pPr>
        <w:shd w:val="clear" w:color="auto" w:fill="FFFFFF"/>
        <w:spacing w:after="0" w:line="240" w:lineRule="auto"/>
        <w:ind w:firstLine="720"/>
        <w:jc w:val="both"/>
        <w:rPr>
          <w:rFonts w:ascii="Times New Roman" w:hAnsi="Times New Roman" w:cs="Times New Roman"/>
          <w:sz w:val="24"/>
          <w:szCs w:val="24"/>
          <w:lang w:eastAsia="lv-LV"/>
        </w:rPr>
      </w:pPr>
      <w:r w:rsidRPr="0063727B">
        <w:rPr>
          <w:rFonts w:ascii="Times New Roman" w:hAnsi="Times New Roman" w:cs="Times New Roman"/>
          <w:sz w:val="24"/>
          <w:szCs w:val="24"/>
        </w:rPr>
        <w:t xml:space="preserve">Ekonomiskās krīzes dziļums un tās radīto negatīvo seku ietekme uz iedzīvotāju dzīves līmeni uzskatāmi atspoguļojas nabadzības un materiālās nenodrošinātības rādītājos, iezīmējot gan kopējās tendences, gan nabadzības riskam visvairāk pakļautās iedzīvotāju grupas. Augstākie nabadzības riski </w:t>
      </w:r>
      <w:r w:rsidRPr="0063727B">
        <w:rPr>
          <w:rFonts w:ascii="Times New Roman" w:hAnsi="Times New Roman" w:cs="Times New Roman"/>
          <w:iCs/>
          <w:sz w:val="24"/>
          <w:szCs w:val="24"/>
          <w:u w:val="single"/>
        </w:rPr>
        <w:t xml:space="preserve">nemainīgi </w:t>
      </w:r>
      <w:r w:rsidR="00F65EF2">
        <w:rPr>
          <w:rFonts w:ascii="Times New Roman" w:hAnsi="Times New Roman" w:cs="Times New Roman"/>
          <w:iCs/>
          <w:sz w:val="24"/>
          <w:szCs w:val="24"/>
          <w:u w:val="single"/>
        </w:rPr>
        <w:t>trīs</w:t>
      </w:r>
      <w:r w:rsidR="00F65EF2" w:rsidRPr="0063727B">
        <w:rPr>
          <w:rFonts w:ascii="Times New Roman" w:hAnsi="Times New Roman" w:cs="Times New Roman"/>
          <w:iCs/>
          <w:sz w:val="24"/>
          <w:szCs w:val="24"/>
          <w:u w:val="single"/>
        </w:rPr>
        <w:t xml:space="preserve"> </w:t>
      </w:r>
      <w:r w:rsidRPr="0063727B">
        <w:rPr>
          <w:rFonts w:ascii="Times New Roman" w:hAnsi="Times New Roman" w:cs="Times New Roman"/>
          <w:iCs/>
          <w:sz w:val="24"/>
          <w:szCs w:val="24"/>
          <w:u w:val="single"/>
        </w:rPr>
        <w:t>gadu garumā</w:t>
      </w:r>
      <w:r w:rsidRPr="0063727B">
        <w:rPr>
          <w:rFonts w:ascii="Times New Roman" w:hAnsi="Times New Roman" w:cs="Times New Roman"/>
          <w:sz w:val="24"/>
          <w:szCs w:val="24"/>
        </w:rPr>
        <w:t xml:space="preserve"> ir </w:t>
      </w:r>
      <w:r w:rsidRPr="0063727B">
        <w:rPr>
          <w:rFonts w:ascii="Times New Roman" w:hAnsi="Times New Roman" w:cs="Times New Roman"/>
          <w:b/>
          <w:bCs/>
          <w:sz w:val="24"/>
          <w:szCs w:val="24"/>
        </w:rPr>
        <w:t>nepilnajās un daudzbērnu ģimenēs, kā arī vienas personas mājsaimniecībās</w:t>
      </w:r>
      <w:r w:rsidRPr="0063727B">
        <w:rPr>
          <w:rFonts w:ascii="Times New Roman" w:hAnsi="Times New Roman" w:cs="Times New Roman"/>
          <w:sz w:val="24"/>
          <w:szCs w:val="24"/>
        </w:rPr>
        <w:t>. 2011.gadā nabadzības riska indekss nepilnajās ģimenēs (bērnu/-</w:t>
      </w:r>
      <w:proofErr w:type="spellStart"/>
      <w:r w:rsidRPr="0063727B">
        <w:rPr>
          <w:rFonts w:ascii="Times New Roman" w:hAnsi="Times New Roman" w:cs="Times New Roman"/>
          <w:sz w:val="24"/>
          <w:szCs w:val="24"/>
        </w:rPr>
        <w:t>us</w:t>
      </w:r>
      <w:proofErr w:type="spellEnd"/>
      <w:r w:rsidRPr="0063727B">
        <w:rPr>
          <w:rFonts w:ascii="Times New Roman" w:hAnsi="Times New Roman" w:cs="Times New Roman"/>
          <w:sz w:val="24"/>
          <w:szCs w:val="24"/>
        </w:rPr>
        <w:t xml:space="preserve"> audzina viens no vecākiem) bija 4</w:t>
      </w:r>
      <w:r w:rsidR="00390B08" w:rsidRPr="0063727B">
        <w:rPr>
          <w:rFonts w:ascii="Times New Roman" w:hAnsi="Times New Roman" w:cs="Times New Roman"/>
          <w:sz w:val="24"/>
          <w:szCs w:val="24"/>
        </w:rPr>
        <w:t>1</w:t>
      </w:r>
      <w:r w:rsidRPr="0063727B">
        <w:rPr>
          <w:rFonts w:ascii="Times New Roman" w:hAnsi="Times New Roman" w:cs="Times New Roman"/>
          <w:sz w:val="24"/>
          <w:szCs w:val="24"/>
        </w:rPr>
        <w:t>,</w:t>
      </w:r>
      <w:r w:rsidR="00390B08" w:rsidRPr="0063727B">
        <w:rPr>
          <w:rFonts w:ascii="Times New Roman" w:hAnsi="Times New Roman" w:cs="Times New Roman"/>
          <w:sz w:val="24"/>
          <w:szCs w:val="24"/>
        </w:rPr>
        <w:t>5</w:t>
      </w:r>
      <w:r w:rsidRPr="0063727B">
        <w:rPr>
          <w:rFonts w:ascii="Times New Roman" w:hAnsi="Times New Roman" w:cs="Times New Roman"/>
          <w:sz w:val="24"/>
          <w:szCs w:val="24"/>
        </w:rPr>
        <w:t>% (proti, gandrīz puse no viena vecāka ģimenēm dzīvo uz nabadzības sliekšņa), daudzbērnu ģimenēs – 3</w:t>
      </w:r>
      <w:r w:rsidR="00390B08" w:rsidRPr="0063727B">
        <w:rPr>
          <w:rFonts w:ascii="Times New Roman" w:hAnsi="Times New Roman" w:cs="Times New Roman"/>
          <w:sz w:val="24"/>
          <w:szCs w:val="24"/>
        </w:rPr>
        <w:t>5</w:t>
      </w:r>
      <w:r w:rsidRPr="0063727B">
        <w:rPr>
          <w:rFonts w:ascii="Times New Roman" w:hAnsi="Times New Roman" w:cs="Times New Roman"/>
          <w:sz w:val="24"/>
          <w:szCs w:val="24"/>
        </w:rPr>
        <w:t>,</w:t>
      </w:r>
      <w:r w:rsidR="00390B08" w:rsidRPr="0063727B">
        <w:rPr>
          <w:rFonts w:ascii="Times New Roman" w:hAnsi="Times New Roman" w:cs="Times New Roman"/>
          <w:sz w:val="24"/>
          <w:szCs w:val="24"/>
        </w:rPr>
        <w:t>9</w:t>
      </w:r>
      <w:r w:rsidRPr="0063727B">
        <w:rPr>
          <w:rFonts w:ascii="Times New Roman" w:hAnsi="Times New Roman" w:cs="Times New Roman"/>
          <w:sz w:val="24"/>
          <w:szCs w:val="24"/>
        </w:rPr>
        <w:t>% (attiecīgi gandrīz katra trešā daudzbērnu ģimene ir nabadzīga) un vienas personas mājsaimniecībās - 27,6% (gandrīz katrs trešais Latvijas iedzīvotājs, kurš dzīvo viena/-a, atrodas uz nabadzības sliekšņa), kamēr vidēji šis rādītājs sasniedza 19,</w:t>
      </w:r>
      <w:r w:rsidR="00390B08" w:rsidRPr="0063727B">
        <w:rPr>
          <w:rFonts w:ascii="Times New Roman" w:hAnsi="Times New Roman" w:cs="Times New Roman"/>
          <w:sz w:val="24"/>
          <w:szCs w:val="24"/>
        </w:rPr>
        <w:t>2</w:t>
      </w:r>
      <w:r w:rsidRPr="0063727B">
        <w:rPr>
          <w:rFonts w:ascii="Times New Roman" w:hAnsi="Times New Roman" w:cs="Times New Roman"/>
          <w:sz w:val="24"/>
          <w:szCs w:val="24"/>
        </w:rPr>
        <w:t>% (sk</w:t>
      </w:r>
      <w:r w:rsidR="00A765D8"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2379B4" w:rsidRPr="0063727B">
        <w:rPr>
          <w:rFonts w:ascii="Times New Roman" w:hAnsi="Times New Roman" w:cs="Times New Roman"/>
          <w:sz w:val="24"/>
          <w:szCs w:val="24"/>
        </w:rPr>
        <w:t>5</w:t>
      </w:r>
      <w:r w:rsidRPr="0063727B">
        <w:rPr>
          <w:rFonts w:ascii="Times New Roman" w:hAnsi="Times New Roman" w:cs="Times New Roman"/>
          <w:sz w:val="24"/>
          <w:szCs w:val="24"/>
        </w:rPr>
        <w:t>.attēlu pielikumā). Tāpat Latvijā ir augstākais bērnu īpatsvars, kas dzīvo viena vecāka ģimenēs – 23,3% (ES-27 vidēji – 13,6%)</w:t>
      </w:r>
      <w:r w:rsidRPr="0063727B">
        <w:rPr>
          <w:rStyle w:val="FootnoteReference"/>
          <w:rFonts w:ascii="Times New Roman" w:hAnsi="Times New Roman" w:cs="Times New Roman"/>
          <w:sz w:val="24"/>
          <w:szCs w:val="24"/>
        </w:rPr>
        <w:footnoteReference w:id="21"/>
      </w:r>
      <w:r w:rsidRPr="0063727B">
        <w:rPr>
          <w:rFonts w:ascii="Times New Roman" w:hAnsi="Times New Roman" w:cs="Times New Roman"/>
          <w:sz w:val="24"/>
          <w:szCs w:val="24"/>
        </w:rPr>
        <w:t>. Tādējādi nabadzības rādītāju analīze pēc vecuma grupām apliecina, ka 2011.gadā nabadzības riskam visvairāk bija pakļauti bērni (24,</w:t>
      </w:r>
      <w:r w:rsidR="00390B08" w:rsidRPr="0063727B">
        <w:rPr>
          <w:rFonts w:ascii="Times New Roman" w:hAnsi="Times New Roman" w:cs="Times New Roman"/>
          <w:sz w:val="24"/>
          <w:szCs w:val="24"/>
        </w:rPr>
        <w:t>4</w:t>
      </w:r>
      <w:r w:rsidRPr="0063727B">
        <w:rPr>
          <w:rFonts w:ascii="Times New Roman" w:hAnsi="Times New Roman" w:cs="Times New Roman"/>
          <w:sz w:val="24"/>
          <w:szCs w:val="24"/>
        </w:rPr>
        <w:t>%), kam sekoja jaunieši (20</w:t>
      </w:r>
      <w:r w:rsidR="00B3140E" w:rsidRPr="0063727B">
        <w:rPr>
          <w:rFonts w:ascii="Times New Roman" w:hAnsi="Times New Roman" w:cs="Times New Roman"/>
          <w:sz w:val="24"/>
          <w:szCs w:val="24"/>
        </w:rPr>
        <w:t>,1</w:t>
      </w:r>
      <w:r w:rsidRPr="0063727B">
        <w:rPr>
          <w:rFonts w:ascii="Times New Roman" w:hAnsi="Times New Roman" w:cs="Times New Roman"/>
          <w:sz w:val="24"/>
          <w:szCs w:val="24"/>
        </w:rPr>
        <w:t>%) un iedzīvotāji vecumā no 50-64 gadiem (20,</w:t>
      </w:r>
      <w:r w:rsidR="00B3140E" w:rsidRPr="0063727B">
        <w:rPr>
          <w:rFonts w:ascii="Times New Roman" w:hAnsi="Times New Roman" w:cs="Times New Roman"/>
          <w:sz w:val="24"/>
          <w:szCs w:val="24"/>
        </w:rPr>
        <w:t>1</w:t>
      </w:r>
      <w:r w:rsidRPr="0063727B">
        <w:rPr>
          <w:rFonts w:ascii="Times New Roman" w:hAnsi="Times New Roman" w:cs="Times New Roman"/>
          <w:sz w:val="24"/>
          <w:szCs w:val="24"/>
        </w:rPr>
        <w:t xml:space="preserve">%) (skat. </w:t>
      </w:r>
      <w:r w:rsidR="002379B4" w:rsidRPr="0063727B">
        <w:rPr>
          <w:rFonts w:ascii="Times New Roman" w:hAnsi="Times New Roman" w:cs="Times New Roman"/>
          <w:sz w:val="24"/>
          <w:szCs w:val="24"/>
        </w:rPr>
        <w:t>6</w:t>
      </w:r>
      <w:r w:rsidRPr="0063727B">
        <w:rPr>
          <w:rFonts w:ascii="Times New Roman" w:hAnsi="Times New Roman" w:cs="Times New Roman"/>
          <w:sz w:val="24"/>
          <w:szCs w:val="24"/>
        </w:rPr>
        <w:t xml:space="preserve">.attēlu pielikumā). Bērnu un arī daļai jauniešu nabadzības risks lielā mērā ir atkarīgs no vecāku ienākumiem. Kopš 2008.gada ienākumi visvairāk saruka jauniešiem un iedzīvotājiem vecumā no 45-64 gadiem, kas daļēji ietekmēja kā bērnu, tā arī jauniešu nabadzības pieaugumu. Bērnu nabadzību var skaidrot arī ar emigrācijas tendencēm - 2008.-2010.gada periodā no valsts </w:t>
      </w:r>
      <w:r w:rsidRPr="0063727B">
        <w:rPr>
          <w:rFonts w:ascii="Times New Roman" w:hAnsi="Times New Roman" w:cs="Times New Roman"/>
          <w:sz w:val="24"/>
          <w:szCs w:val="24"/>
        </w:rPr>
        <w:lastRenderedPageBreak/>
        <w:t>emigrēja 102 tūkst. iedzīvotāju, nereti bērnus atstājot pie otra vecāka, vecvecākiem, citiem radiniekiem vai paziņām. Turklāt šādu gadījumu skaitam joprojām ir tendence pieaugt (no 2855 1.-12.klašu skolēniem 2008./2009.m.g. līdz 3325 - 2010./2011.m.g.)</w:t>
      </w:r>
      <w:r w:rsidRPr="0063727B">
        <w:rPr>
          <w:rStyle w:val="FootnoteReference"/>
          <w:rFonts w:ascii="Times New Roman" w:hAnsi="Times New Roman" w:cs="Times New Roman"/>
          <w:sz w:val="24"/>
          <w:szCs w:val="24"/>
        </w:rPr>
        <w:footnoteReference w:id="22"/>
      </w:r>
      <w:r w:rsidRPr="0063727B">
        <w:rPr>
          <w:rFonts w:ascii="Times New Roman" w:hAnsi="Times New Roman" w:cs="Times New Roman"/>
          <w:sz w:val="24"/>
          <w:szCs w:val="24"/>
        </w:rPr>
        <w:t xml:space="preserve">. </w:t>
      </w:r>
    </w:p>
    <w:p w:rsidR="00343AF5" w:rsidRPr="0063727B" w:rsidRDefault="00343AF5" w:rsidP="0080267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63727B">
        <w:rPr>
          <w:rFonts w:ascii="Times New Roman" w:hAnsi="Times New Roman" w:cs="Times New Roman"/>
          <w:sz w:val="24"/>
          <w:szCs w:val="24"/>
        </w:rPr>
        <w:tab/>
        <w:t xml:space="preserve">Līdztekus ir jānorāda, ka 26% no nabadzības riskam pakļautajiem iedzīvotājiem ir nodarbināti, iezīmējot </w:t>
      </w:r>
      <w:r w:rsidRPr="0063727B">
        <w:rPr>
          <w:rFonts w:ascii="Times New Roman" w:hAnsi="Times New Roman" w:cs="Times New Roman"/>
          <w:b/>
          <w:bCs/>
          <w:sz w:val="24"/>
          <w:szCs w:val="24"/>
        </w:rPr>
        <w:t>nodarbināto nabadzības problēmas</w:t>
      </w:r>
      <w:r w:rsidRPr="0063727B">
        <w:rPr>
          <w:rFonts w:ascii="Times New Roman" w:hAnsi="Times New Roman" w:cs="Times New Roman"/>
          <w:sz w:val="24"/>
          <w:szCs w:val="24"/>
        </w:rPr>
        <w:t xml:space="preserve"> aktualitāti Latvijā</w:t>
      </w:r>
      <w:r w:rsidRPr="0063727B">
        <w:rPr>
          <w:rStyle w:val="FootnoteReference"/>
          <w:rFonts w:ascii="Times New Roman" w:hAnsi="Times New Roman" w:cs="Times New Roman"/>
          <w:sz w:val="24"/>
          <w:szCs w:val="24"/>
        </w:rPr>
        <w:footnoteReference w:id="23"/>
      </w:r>
      <w:r w:rsidRPr="0063727B">
        <w:rPr>
          <w:rFonts w:ascii="Times New Roman" w:hAnsi="Times New Roman" w:cs="Times New Roman"/>
          <w:sz w:val="24"/>
          <w:szCs w:val="24"/>
        </w:rPr>
        <w:t xml:space="preserve">. Salīdzinot ES dalībvalstu vidējo bruto algu izlīdzinātajās cenās, Latvijā tā ir viena no zemākajām aiz Bulgārijas un Rumānijas </w:t>
      </w:r>
      <w:r w:rsidRPr="0063727B">
        <w:rPr>
          <w:rFonts w:ascii="Times New Roman" w:eastAsia="MS Mincho" w:hAnsi="Times New Roman" w:cs="Times New Roman"/>
          <w:sz w:val="24"/>
          <w:szCs w:val="24"/>
          <w:lang w:eastAsia="ja-JP"/>
        </w:rPr>
        <w:t xml:space="preserve">(sk. 7.attēlu pielikumā). </w:t>
      </w:r>
      <w:r w:rsidRPr="0063727B">
        <w:rPr>
          <w:rFonts w:ascii="Times New Roman" w:hAnsi="Times New Roman" w:cs="Times New Roman"/>
          <w:sz w:val="24"/>
          <w:szCs w:val="24"/>
        </w:rPr>
        <w:t xml:space="preserve">Turklāt Latvijā ir īpaši augsta darbaspēka nodokļa likme personām, kas saņem zemus ienākumus: nodokļu sloga daļa pelnītājam bez apgādājamiem 2010.gadā bija sestā lielākā starp ES iedzīvotājiem, kas pelna 67% no vidējās algas. Turpretim nodokļu sloga daļa augstu ienākumu pelnītājiem ir krietni zem ES vidējā līmeņa, kā rezultātā valstī veidojas augsta ienākumu nevienlīdzība. Turklāt Baltijas valstīs salīdzinājumā ar citām ES dalībvalstīm ir visaugstākais nabadzības risks mājsaimniecībās ar </w:t>
      </w:r>
      <w:proofErr w:type="gramStart"/>
      <w:r w:rsidRPr="0063727B">
        <w:rPr>
          <w:rFonts w:ascii="Times New Roman" w:hAnsi="Times New Roman" w:cs="Times New Roman"/>
          <w:sz w:val="24"/>
          <w:szCs w:val="24"/>
        </w:rPr>
        <w:t>ļoti zem</w:t>
      </w:r>
      <w:r w:rsidR="004D6570" w:rsidRPr="0063727B">
        <w:rPr>
          <w:rFonts w:ascii="Times New Roman" w:hAnsi="Times New Roman" w:cs="Times New Roman"/>
          <w:sz w:val="24"/>
          <w:szCs w:val="24"/>
        </w:rPr>
        <w:t>u</w:t>
      </w:r>
      <w:r w:rsidRPr="0063727B">
        <w:rPr>
          <w:rFonts w:ascii="Times New Roman" w:hAnsi="Times New Roman" w:cs="Times New Roman"/>
          <w:sz w:val="24"/>
          <w:szCs w:val="24"/>
        </w:rPr>
        <w:t xml:space="preserve"> darba</w:t>
      </w:r>
      <w:proofErr w:type="gramEnd"/>
      <w:r w:rsidRPr="0063727B">
        <w:rPr>
          <w:rFonts w:ascii="Times New Roman" w:hAnsi="Times New Roman" w:cs="Times New Roman"/>
          <w:sz w:val="24"/>
          <w:szCs w:val="24"/>
        </w:rPr>
        <w:t xml:space="preserve"> intensitāti</w:t>
      </w:r>
      <w:r w:rsidRPr="0063727B">
        <w:rPr>
          <w:rStyle w:val="FootnoteReference"/>
          <w:rFonts w:ascii="Times New Roman" w:hAnsi="Times New Roman" w:cs="Times New Roman"/>
          <w:sz w:val="24"/>
          <w:szCs w:val="24"/>
        </w:rPr>
        <w:footnoteReference w:id="24"/>
      </w:r>
      <w:r w:rsidRPr="0063727B">
        <w:rPr>
          <w:rFonts w:ascii="Times New Roman" w:hAnsi="Times New Roman" w:cs="Times New Roman"/>
          <w:sz w:val="24"/>
          <w:szCs w:val="24"/>
        </w:rPr>
        <w:t>. Gandrīz divas trešdaļas no nabadzīgajiem iedzīvotājiem veido cilvēki, kas dzīvo mājsaimniecībā ar zemu darba intensitāti.</w:t>
      </w:r>
      <w:r w:rsidRPr="0063727B">
        <w:rPr>
          <w:rFonts w:ascii="Times New Roman" w:eastAsia="MS Mincho" w:hAnsi="Times New Roman" w:cs="Times New Roman"/>
          <w:sz w:val="24"/>
          <w:szCs w:val="24"/>
          <w:lang w:eastAsia="ja-JP"/>
        </w:rPr>
        <w:t xml:space="preserve"> Kopš 2011.gada Latvijā ir samazinājies strādājošo skaits, kam noteikta atbilstība trūcīgas personas statusam (no 33,5 tūkst. personām 2010.gadā līdz 27,2 tūkst. personām 2012.gadā), tomēr to īpatsvars starp trūcīgajiem pieaug (no 14,7 % 2010.gadā līdz - 15,4 % 2012.gadā) un joprojām ir vērtējams kā augsts. </w:t>
      </w:r>
    </w:p>
    <w:p w:rsidR="00343AF5" w:rsidRPr="0063727B" w:rsidRDefault="00343AF5" w:rsidP="00510C1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Analizējot nabadzības risku noteiktām iedzīvotāju grupām, iezīmējas izteikta </w:t>
      </w:r>
      <w:r w:rsidRPr="0063727B">
        <w:rPr>
          <w:rFonts w:ascii="Times New Roman" w:hAnsi="Times New Roman" w:cs="Times New Roman"/>
          <w:b/>
          <w:bCs/>
          <w:sz w:val="24"/>
          <w:szCs w:val="24"/>
        </w:rPr>
        <w:t>reģionālā un izglītības ietekme</w:t>
      </w:r>
      <w:r w:rsidRPr="0063727B">
        <w:rPr>
          <w:rStyle w:val="FootnoteReference"/>
          <w:rFonts w:ascii="Times New Roman" w:hAnsi="Times New Roman" w:cs="Times New Roman"/>
          <w:sz w:val="24"/>
          <w:szCs w:val="24"/>
        </w:rPr>
        <w:footnoteReference w:id="25"/>
      </w:r>
      <w:r w:rsidRPr="0063727B">
        <w:rPr>
          <w:rFonts w:ascii="Times New Roman" w:hAnsi="Times New Roman" w:cs="Times New Roman"/>
          <w:sz w:val="24"/>
          <w:szCs w:val="24"/>
        </w:rPr>
        <w:t xml:space="preserve">. Personas ar pamata vai vidējo izglītību ir vairāk pakļautas nabadzības riskam kā personas ar augstāko izglītību. Nabadzības riska indekss cilvēkiem ar augstāko izglītību ir 7%, savukārt ar pamata izglītību šis rādītājs sasniedz 42%. Analoga tendence ir vērojama arī starp lauku un pilsētas iedzīvotājiem – lauku iedzīvotāji ir ievērojami vairāk pakļauti nabadzības riskam kā pilsētas iedzīvotāji. </w:t>
      </w:r>
    </w:p>
    <w:p w:rsidR="00343AF5" w:rsidRPr="0063727B" w:rsidRDefault="00343AF5" w:rsidP="00510C1D">
      <w:pPr>
        <w:autoSpaceDE w:val="0"/>
        <w:autoSpaceDN w:val="0"/>
        <w:adjustRightInd w:val="0"/>
        <w:spacing w:after="0" w:line="240" w:lineRule="auto"/>
        <w:ind w:firstLine="720"/>
        <w:jc w:val="both"/>
        <w:rPr>
          <w:rFonts w:ascii="Arial" w:hAnsi="Arial" w:cs="Arial"/>
          <w:sz w:val="21"/>
          <w:szCs w:val="21"/>
          <w:lang w:eastAsia="lv-LV"/>
        </w:rPr>
      </w:pPr>
      <w:r w:rsidRPr="0063727B">
        <w:rPr>
          <w:rFonts w:ascii="Times New Roman" w:hAnsi="Times New Roman" w:cs="Times New Roman"/>
          <w:sz w:val="24"/>
          <w:szCs w:val="24"/>
        </w:rPr>
        <w:t xml:space="preserve">Nabadzības kontekstā vienlīdz būtisks ir </w:t>
      </w:r>
      <w:r w:rsidRPr="0063727B">
        <w:rPr>
          <w:rFonts w:ascii="Times New Roman" w:hAnsi="Times New Roman" w:cs="Times New Roman"/>
          <w:b/>
          <w:bCs/>
          <w:sz w:val="24"/>
          <w:szCs w:val="24"/>
        </w:rPr>
        <w:t>veselības</w:t>
      </w:r>
      <w:r w:rsidRPr="0063727B">
        <w:rPr>
          <w:rFonts w:ascii="Times New Roman" w:hAnsi="Times New Roman" w:cs="Times New Roman"/>
          <w:sz w:val="24"/>
          <w:szCs w:val="24"/>
        </w:rPr>
        <w:t xml:space="preserve"> jautājums, ņemot vērā, ka tas ietekmē indivīda darbaspējas un dzīves kvalitāti kopumā. Zemo ienākumu un problemātiskās veselības aprūpes pieejamības, piem., rindas, ģimenes ārstu attieksmes un pakalpojumu dārdzības</w:t>
      </w:r>
      <w:r w:rsidRPr="0063727B">
        <w:rPr>
          <w:rStyle w:val="FootnoteReference"/>
          <w:rFonts w:ascii="Times New Roman" w:hAnsi="Times New Roman" w:cs="Times New Roman"/>
          <w:sz w:val="24"/>
          <w:szCs w:val="24"/>
        </w:rPr>
        <w:footnoteReference w:id="26"/>
      </w:r>
      <w:r w:rsidRPr="0063727B">
        <w:rPr>
          <w:rFonts w:ascii="Times New Roman" w:hAnsi="Times New Roman" w:cs="Times New Roman"/>
          <w:sz w:val="24"/>
          <w:szCs w:val="24"/>
        </w:rPr>
        <w:t xml:space="preserve"> rezultātā iedzīvotājiem ir ierobežotas iespējas piekļūt veselības aprūpes pakalpojumiem. Savukārt neatbilstošs veselības stāvoklis var būt bezdarba iemesls, kā rezultātā cilvēkam ir ierobežotas iespējas gūt pietiekamus ienākumus, tādējādi sevi pakļaujot nabadzības un sociālās atstumtības riskam. </w:t>
      </w:r>
    </w:p>
    <w:p w:rsidR="00343AF5" w:rsidRPr="0063727B" w:rsidRDefault="00343AF5" w:rsidP="00FB395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Latvijā salīdzinājumā ar citām ES dalībvalstīm ir otrais augstākais </w:t>
      </w:r>
      <w:r w:rsidRPr="0063727B">
        <w:rPr>
          <w:rFonts w:ascii="Times New Roman" w:hAnsi="Times New Roman" w:cs="Times New Roman"/>
          <w:b/>
          <w:bCs/>
          <w:sz w:val="24"/>
          <w:szCs w:val="24"/>
        </w:rPr>
        <w:t>materiālās nenodrošinātības</w:t>
      </w:r>
      <w:r w:rsidRPr="0063727B">
        <w:rPr>
          <w:rStyle w:val="FootnoteReference"/>
          <w:rFonts w:ascii="Times New Roman" w:hAnsi="Times New Roman" w:cs="Times New Roman"/>
          <w:sz w:val="24"/>
          <w:szCs w:val="24"/>
        </w:rPr>
        <w:footnoteReference w:id="27"/>
      </w:r>
      <w:r w:rsidRPr="0063727B">
        <w:rPr>
          <w:rFonts w:ascii="Times New Roman" w:hAnsi="Times New Roman" w:cs="Times New Roman"/>
          <w:b/>
          <w:bCs/>
          <w:sz w:val="24"/>
          <w:szCs w:val="24"/>
        </w:rPr>
        <w:t xml:space="preserve"> un dziļas materiālās nenodrošinātības rādītājs</w:t>
      </w:r>
      <w:r w:rsidRPr="0063727B">
        <w:rPr>
          <w:rStyle w:val="FootnoteReference"/>
          <w:rFonts w:ascii="Times New Roman" w:hAnsi="Times New Roman" w:cs="Times New Roman"/>
          <w:sz w:val="24"/>
          <w:szCs w:val="24"/>
        </w:rPr>
        <w:footnoteReference w:id="28"/>
      </w:r>
      <w:r w:rsidRPr="0063727B">
        <w:rPr>
          <w:rFonts w:ascii="Times New Roman" w:hAnsi="Times New Roman" w:cs="Times New Roman"/>
          <w:sz w:val="24"/>
          <w:szCs w:val="24"/>
        </w:rPr>
        <w:t xml:space="preserve">, kas norāda uz lielu iedzīvotāju īpatsvaru, kuri nespēj norēķināties par komunālajiem maksājumiem, uzturēt siltu mājokli un ēst pilnvērtīgu pārtiku, nerunājot par iespējām segt neparedzētus izdevumus un </w:t>
      </w:r>
      <w:r w:rsidRPr="0063727B">
        <w:rPr>
          <w:rFonts w:ascii="Times New Roman" w:hAnsi="Times New Roman" w:cs="Times New Roman"/>
          <w:sz w:val="24"/>
          <w:szCs w:val="24"/>
        </w:rPr>
        <w:lastRenderedPageBreak/>
        <w:t xml:space="preserve">reizi gadā vienu nedēļu atpūsties ārpus mājas. Ja ES-27 materiālās nenodrošinātības indekss 2011.gadā bija 18,2% un dziļas materiālās nenodrošinātības indekss – 8,8%, tad Latvijā šie rādītāji attiecīgi bija 49% un 31%. Dziļas materiālās nenodrošinātības indekss 1.kvintiles mājsaimniecībās Latvijā gandrīz 3 reizes pārsniedz ES-27 vidējo rādītāju (LV - 61,5%; ES-27 - 22,6%), turklāt šāda tendence ir vērojama faktiski visās kvintiļu grupās. Ievērojami atšķiras turīgāko (5.kvintile) un trūcīgāko (1.kvintile) iedzīvotāju iespēja segt ar mājsaimniecību saistītās izmaksas (sk. 2.attēlu), lai gan neparedzēto izdevumu segšana rada grūtības visām kvintiļu grupām. </w:t>
      </w:r>
    </w:p>
    <w:p w:rsidR="00343AF5" w:rsidRPr="0063727B" w:rsidRDefault="00343AF5" w:rsidP="00376054">
      <w:pPr>
        <w:autoSpaceDE w:val="0"/>
        <w:autoSpaceDN w:val="0"/>
        <w:adjustRightInd w:val="0"/>
        <w:spacing w:before="120" w:after="0" w:line="240" w:lineRule="auto"/>
        <w:ind w:firstLine="720"/>
        <w:jc w:val="right"/>
        <w:rPr>
          <w:rFonts w:ascii="Times New Roman" w:hAnsi="Times New Roman" w:cs="Times New Roman"/>
          <w:sz w:val="24"/>
          <w:szCs w:val="24"/>
        </w:rPr>
      </w:pPr>
      <w:r w:rsidRPr="0063727B">
        <w:rPr>
          <w:rFonts w:ascii="Times New Roman" w:hAnsi="Times New Roman" w:cs="Times New Roman"/>
          <w:sz w:val="24"/>
          <w:szCs w:val="24"/>
        </w:rPr>
        <w:t>2.attēls</w:t>
      </w:r>
    </w:p>
    <w:p w:rsidR="00343AF5" w:rsidRPr="0063727B" w:rsidRDefault="002532A7" w:rsidP="00F64B05">
      <w:pPr>
        <w:autoSpaceDE w:val="0"/>
        <w:autoSpaceDN w:val="0"/>
        <w:adjustRightInd w:val="0"/>
        <w:spacing w:after="0" w:line="240" w:lineRule="auto"/>
        <w:ind w:firstLine="720"/>
        <w:jc w:val="right"/>
        <w:rPr>
          <w:rFonts w:ascii="Times New Roman" w:hAnsi="Times New Roman" w:cs="Times New Roman"/>
          <w:sz w:val="24"/>
          <w:szCs w:val="24"/>
        </w:rPr>
      </w:pPr>
      <w:r w:rsidRPr="0063727B">
        <w:rPr>
          <w:noProof/>
          <w:lang w:eastAsia="lv-LV"/>
        </w:rPr>
        <w:drawing>
          <wp:inline distT="0" distB="0" distL="0" distR="0" wp14:anchorId="780CAB40" wp14:editId="1912C105">
            <wp:extent cx="4694830" cy="2941092"/>
            <wp:effectExtent l="0" t="0" r="10795"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3AF5" w:rsidRPr="0063727B" w:rsidRDefault="00343AF5" w:rsidP="00980F8F">
      <w:pPr>
        <w:autoSpaceDE w:val="0"/>
        <w:autoSpaceDN w:val="0"/>
        <w:adjustRightInd w:val="0"/>
        <w:spacing w:after="0" w:line="240" w:lineRule="auto"/>
        <w:ind w:left="720"/>
        <w:jc w:val="both"/>
        <w:rPr>
          <w:rFonts w:ascii="Times New Roman" w:hAnsi="Times New Roman" w:cs="Times New Roman"/>
          <w:sz w:val="20"/>
          <w:szCs w:val="20"/>
        </w:rPr>
      </w:pPr>
      <w:r w:rsidRPr="0063727B">
        <w:rPr>
          <w:rFonts w:ascii="Times New Roman" w:hAnsi="Times New Roman" w:cs="Times New Roman"/>
          <w:sz w:val="20"/>
          <w:szCs w:val="20"/>
        </w:rPr>
        <w:t>Avots: Centrālā statistikas pārvalde</w:t>
      </w:r>
      <w:r w:rsidR="005A2152" w:rsidRPr="0063727B">
        <w:rPr>
          <w:rFonts w:ascii="Times New Roman" w:hAnsi="Times New Roman" w:cs="Times New Roman"/>
          <w:sz w:val="20"/>
          <w:szCs w:val="20"/>
        </w:rPr>
        <w:t>.</w:t>
      </w:r>
    </w:p>
    <w:p w:rsidR="00343AF5" w:rsidRPr="0063727B" w:rsidRDefault="00343AF5" w:rsidP="00FB395D">
      <w:pPr>
        <w:autoSpaceDE w:val="0"/>
        <w:autoSpaceDN w:val="0"/>
        <w:adjustRightInd w:val="0"/>
        <w:spacing w:after="0" w:line="240" w:lineRule="auto"/>
        <w:ind w:firstLine="720"/>
        <w:jc w:val="both"/>
        <w:rPr>
          <w:rFonts w:ascii="Times New Roman" w:hAnsi="Times New Roman" w:cs="Times New Roman"/>
          <w:sz w:val="24"/>
          <w:szCs w:val="24"/>
        </w:rPr>
      </w:pPr>
    </w:p>
    <w:p w:rsidR="00343AF5" w:rsidRDefault="00343AF5" w:rsidP="00F80440">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2012.gadā vairāk kā divas reizes pieaudzis to mājsaimniecību īpatsvars 1.kvintilē, kuras salīdzinājumā ar 2008.gadu nevarēja segt komunālo pakalpojumu rēķinus, īri vai atmaksāt kredītus. Izdevumi par mājokļa komunālajiem pakalpojumiem 2011.gadā veidoja otro lielāko izdevumu īpatsvaru kopējos mājsaimniecības patēriņa izdevumos aiz izdevumiem pārtikai, proti, 16,6%. Savukārt 1.kvintiles mājsaimniecībās izdevumi mājoklim veidoja gandrīz piekto daļu (19</w:t>
      </w:r>
      <w:r w:rsidR="00B3140E" w:rsidRPr="0063727B">
        <w:rPr>
          <w:rFonts w:ascii="Times New Roman" w:hAnsi="Times New Roman" w:cs="Times New Roman"/>
          <w:sz w:val="24"/>
          <w:szCs w:val="24"/>
        </w:rPr>
        <w:t>,5</w:t>
      </w:r>
      <w:r w:rsidRPr="0063727B">
        <w:rPr>
          <w:rFonts w:ascii="Times New Roman" w:hAnsi="Times New Roman" w:cs="Times New Roman"/>
          <w:sz w:val="24"/>
          <w:szCs w:val="24"/>
        </w:rPr>
        <w:t xml:space="preserve">%) no patēriņa izdevumiem. Ņemot vērā 1.kvintiles vidējo ienākumu robežu uz vienu mājsaimniecības locekli – 73 lati, mājokļa izdevumu īpatsvars sastāda gandrīz trešo daļu no šīs kvintiles ienākumiem, savukārt otrajai un trešajai </w:t>
      </w:r>
      <w:proofErr w:type="spellStart"/>
      <w:r w:rsidRPr="0063727B">
        <w:rPr>
          <w:rFonts w:ascii="Times New Roman" w:hAnsi="Times New Roman" w:cs="Times New Roman"/>
          <w:sz w:val="24"/>
          <w:szCs w:val="24"/>
        </w:rPr>
        <w:t>kvintilei</w:t>
      </w:r>
      <w:proofErr w:type="spellEnd"/>
      <w:r w:rsidRPr="0063727B">
        <w:rPr>
          <w:rFonts w:ascii="Times New Roman" w:hAnsi="Times New Roman" w:cs="Times New Roman"/>
          <w:sz w:val="24"/>
          <w:szCs w:val="24"/>
        </w:rPr>
        <w:t xml:space="preserve"> – piekto daļu no ienākumiem (skat. 3.attēlu). Starp 3. un 4.kvintili, lai arī izdevumu īpatsvars atšķiras, absolūtie izdevumi ir analogi – 3</w:t>
      </w:r>
      <w:r w:rsidR="002E3424" w:rsidRPr="0063727B">
        <w:rPr>
          <w:rFonts w:ascii="Times New Roman" w:hAnsi="Times New Roman" w:cs="Times New Roman"/>
          <w:sz w:val="24"/>
          <w:szCs w:val="24"/>
        </w:rPr>
        <w:t>6</w:t>
      </w:r>
      <w:r w:rsidRPr="0063727B">
        <w:rPr>
          <w:rFonts w:ascii="Times New Roman" w:hAnsi="Times New Roman" w:cs="Times New Roman"/>
          <w:sz w:val="24"/>
          <w:szCs w:val="24"/>
        </w:rPr>
        <w:t xml:space="preserve"> lati mēnesī uz vienu mājsaimniecības locekli. Attiecīgi 3.kvintiles mājsaimniecībām izdevumu īpatsvars par mājokli ir ļoti augsts. Tikai par 0,</w:t>
      </w:r>
      <w:r w:rsidR="002E3424" w:rsidRPr="0063727B">
        <w:rPr>
          <w:rFonts w:ascii="Times New Roman" w:hAnsi="Times New Roman" w:cs="Times New Roman"/>
          <w:sz w:val="24"/>
          <w:szCs w:val="24"/>
        </w:rPr>
        <w:t>2</w:t>
      </w:r>
      <w:r w:rsidRPr="0063727B">
        <w:rPr>
          <w:rFonts w:ascii="Times New Roman" w:hAnsi="Times New Roman" w:cs="Times New Roman"/>
          <w:sz w:val="24"/>
          <w:szCs w:val="24"/>
        </w:rPr>
        <w:t xml:space="preserve"> procentpunktiem šo izdevumu īpatsvars ir zemāks vistrūcīgākajā - pirmajā </w:t>
      </w:r>
      <w:proofErr w:type="spellStart"/>
      <w:r w:rsidRPr="0063727B">
        <w:rPr>
          <w:rFonts w:ascii="Times New Roman" w:hAnsi="Times New Roman" w:cs="Times New Roman"/>
          <w:sz w:val="24"/>
          <w:szCs w:val="24"/>
        </w:rPr>
        <w:t>kvintilē</w:t>
      </w:r>
      <w:proofErr w:type="spellEnd"/>
      <w:r w:rsidRPr="0063727B">
        <w:rPr>
          <w:rFonts w:ascii="Times New Roman" w:hAnsi="Times New Roman" w:cs="Times New Roman"/>
          <w:sz w:val="24"/>
          <w:szCs w:val="24"/>
        </w:rPr>
        <w:t xml:space="preserve"> (ienākumu robežas no 0 līdz 11</w:t>
      </w:r>
      <w:r w:rsidR="002E3424" w:rsidRPr="0063727B">
        <w:rPr>
          <w:rFonts w:ascii="Times New Roman" w:hAnsi="Times New Roman" w:cs="Times New Roman"/>
          <w:sz w:val="24"/>
          <w:szCs w:val="24"/>
        </w:rPr>
        <w:t>3</w:t>
      </w:r>
      <w:r w:rsidRPr="0063727B">
        <w:rPr>
          <w:rFonts w:ascii="Times New Roman" w:hAnsi="Times New Roman" w:cs="Times New Roman"/>
          <w:sz w:val="24"/>
          <w:szCs w:val="24"/>
        </w:rPr>
        <w:t xml:space="preserve"> latiem mēnesī).</w:t>
      </w: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8C0673" w:rsidRPr="0063727B" w:rsidRDefault="008C0673" w:rsidP="00F80440">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930BC6">
      <w:pPr>
        <w:spacing w:after="0" w:line="240" w:lineRule="auto"/>
        <w:jc w:val="right"/>
        <w:rPr>
          <w:rFonts w:ascii="Times New Roman" w:hAnsi="Times New Roman" w:cs="Times New Roman"/>
        </w:rPr>
      </w:pPr>
      <w:r w:rsidRPr="0063727B">
        <w:rPr>
          <w:rFonts w:ascii="Times New Roman" w:hAnsi="Times New Roman" w:cs="Times New Roman"/>
        </w:rPr>
        <w:lastRenderedPageBreak/>
        <w:t xml:space="preserve">3.attēls. </w:t>
      </w:r>
    </w:p>
    <w:p w:rsidR="00343AF5" w:rsidRPr="0063727B" w:rsidRDefault="00D85319" w:rsidP="00F80440">
      <w:pPr>
        <w:spacing w:after="0"/>
        <w:jc w:val="center"/>
        <w:rPr>
          <w:rFonts w:ascii="Times New Roman" w:hAnsi="Times New Roman" w:cs="Times New Roman"/>
          <w:sz w:val="24"/>
          <w:szCs w:val="24"/>
        </w:rPr>
      </w:pPr>
      <w:r w:rsidRPr="0063727B">
        <w:rPr>
          <w:noProof/>
          <w:lang w:eastAsia="lv-LV"/>
        </w:rPr>
        <w:drawing>
          <wp:inline distT="0" distB="0" distL="0" distR="0" wp14:anchorId="7F839F93" wp14:editId="778DC488">
            <wp:extent cx="3923731" cy="1828800"/>
            <wp:effectExtent l="0" t="0" r="1968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3AF5" w:rsidRPr="0063727B" w:rsidRDefault="00343AF5" w:rsidP="001551F6">
      <w:pPr>
        <w:spacing w:after="0" w:line="240" w:lineRule="auto"/>
        <w:ind w:left="1440"/>
        <w:rPr>
          <w:rFonts w:ascii="Times New Roman" w:hAnsi="Times New Roman" w:cs="Times New Roman"/>
          <w:sz w:val="20"/>
          <w:szCs w:val="20"/>
        </w:rPr>
      </w:pPr>
      <w:r w:rsidRPr="0063727B">
        <w:rPr>
          <w:rFonts w:ascii="Times New Roman" w:hAnsi="Times New Roman" w:cs="Times New Roman"/>
          <w:sz w:val="20"/>
          <w:szCs w:val="20"/>
        </w:rPr>
        <w:t>Avots: Centrālā statistikas pārvalde</w:t>
      </w:r>
      <w:r w:rsidR="005A2152" w:rsidRPr="0063727B">
        <w:rPr>
          <w:rFonts w:ascii="Times New Roman" w:hAnsi="Times New Roman" w:cs="Times New Roman"/>
          <w:sz w:val="20"/>
          <w:szCs w:val="20"/>
        </w:rPr>
        <w:t>.</w:t>
      </w:r>
    </w:p>
    <w:p w:rsidR="008C0673" w:rsidRDefault="008C0673" w:rsidP="009B7632">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9B7632">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Jāatzīmē, ka </w:t>
      </w:r>
      <w:r w:rsidR="007F06E8">
        <w:rPr>
          <w:rFonts w:ascii="Times New Roman" w:hAnsi="Times New Roman" w:cs="Times New Roman"/>
          <w:sz w:val="24"/>
          <w:szCs w:val="24"/>
        </w:rPr>
        <w:t xml:space="preserve">2011.gadā </w:t>
      </w:r>
      <w:r w:rsidRPr="0063727B">
        <w:rPr>
          <w:rFonts w:ascii="Times New Roman" w:hAnsi="Times New Roman" w:cs="Times New Roman"/>
          <w:sz w:val="24"/>
          <w:szCs w:val="24"/>
        </w:rPr>
        <w:t xml:space="preserve">gandrīz 45% </w:t>
      </w:r>
      <w:r w:rsidR="007F06E8">
        <w:rPr>
          <w:rFonts w:ascii="Times New Roman" w:hAnsi="Times New Roman" w:cs="Times New Roman"/>
          <w:sz w:val="24"/>
          <w:szCs w:val="24"/>
        </w:rPr>
        <w:t xml:space="preserve">(2012.gadā – 44%) </w:t>
      </w:r>
      <w:r w:rsidRPr="0063727B">
        <w:rPr>
          <w:rFonts w:ascii="Times New Roman" w:hAnsi="Times New Roman" w:cs="Times New Roman"/>
          <w:sz w:val="24"/>
          <w:szCs w:val="24"/>
        </w:rPr>
        <w:t>mājsaimniecību ar mājokli saistītie izdevumi sagādāja ļoti lielas finansiālās grūtības</w:t>
      </w:r>
      <w:r w:rsidRPr="0063727B">
        <w:rPr>
          <w:rStyle w:val="FootnoteReference"/>
          <w:rFonts w:ascii="Times New Roman" w:hAnsi="Times New Roman" w:cs="Times New Roman"/>
          <w:sz w:val="24"/>
          <w:szCs w:val="24"/>
        </w:rPr>
        <w:footnoteReference w:id="29"/>
      </w:r>
      <w:r w:rsidRPr="0063727B">
        <w:rPr>
          <w:rFonts w:ascii="Times New Roman" w:hAnsi="Times New Roman" w:cs="Times New Roman"/>
          <w:sz w:val="24"/>
          <w:szCs w:val="24"/>
        </w:rPr>
        <w:t xml:space="preserve">. </w:t>
      </w:r>
    </w:p>
    <w:p w:rsidR="00343AF5" w:rsidRPr="0063727B" w:rsidRDefault="00343AF5" w:rsidP="009B7632">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Ņemot vērā mājsaimniecību augstās parādsaistības par komunālajiem pakalpojumiem, plānotos elektroenerģijas tirgus liberalizācijas pasākumus un paredzamo elektroenerģijas lietotāju izdevumu pieaugumu, Labklājības ministrijas piedāvātie risinājumi ir jāvērtē kontekstā ar Ekonomikas ministrijas plānotajiem pasākumiem enerģētiskās nabadzības mazināšanai tirgus liberalizācijas situācijā un vienotu dzīvokļa jeb mājokļa pabalsta kritēriju izstrādē. </w:t>
      </w:r>
    </w:p>
    <w:p w:rsidR="00343AF5" w:rsidRPr="0063727B" w:rsidRDefault="00343AF5" w:rsidP="00B1660F">
      <w:pPr>
        <w:autoSpaceDE w:val="0"/>
        <w:autoSpaceDN w:val="0"/>
        <w:adjustRightInd w:val="0"/>
        <w:spacing w:after="0" w:line="240" w:lineRule="auto"/>
        <w:rPr>
          <w:rFonts w:ascii="Times New Roman" w:hAnsi="Times New Roman" w:cs="Times New Roman"/>
          <w:sz w:val="24"/>
          <w:szCs w:val="24"/>
        </w:rPr>
      </w:pPr>
      <w:r w:rsidRPr="0063727B">
        <w:rPr>
          <w:rFonts w:ascii="Times New Roman" w:hAnsi="Times New Roman" w:cs="Times New Roman"/>
          <w:sz w:val="24"/>
          <w:szCs w:val="24"/>
        </w:rPr>
        <w:tab/>
      </w:r>
    </w:p>
    <w:p w:rsidR="00343AF5" w:rsidRPr="0063727B" w:rsidRDefault="00343AF5" w:rsidP="001F58C4">
      <w:pPr>
        <w:shd w:val="clear" w:color="auto" w:fill="FFFFFF"/>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b/>
          <w:bCs/>
          <w:sz w:val="24"/>
          <w:szCs w:val="24"/>
        </w:rPr>
        <w:t>Nabadzības situācijas izvērtējums parāda</w:t>
      </w:r>
      <w:r w:rsidRPr="0063727B">
        <w:rPr>
          <w:rFonts w:ascii="Times New Roman" w:hAnsi="Times New Roman" w:cs="Times New Roman"/>
          <w:sz w:val="24"/>
          <w:szCs w:val="24"/>
        </w:rPr>
        <w:t>, ka:</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galvenās nabadzības riskam pakļautās iedzīvotāju grupas ir nepilnās un daudzbērnu ģimenes, vienas personas mājsaimniecības, zemas darba intensitātes un bezdarbnieku mājsaimniecības, kā arī bērni, jaunieši un pirmspensijas vecuma iedzīvotāji;</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iedzīvotāji ar zemiem ienākumiem praktiski neizjūt ekonomiskās situācijas stabilizēšanos, un mājsaimniecību vidējo ienākumu pieaugums notiek turīgāko mājsaimniecību ienākumu palielināšanās rezultātā;</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aktuālāka kļūst nodarbināto nabadzības problēma, kas vidējā termiņā un ilgtermiņā var paaugstināt šo personu nabadzības risku un radīt papildus slodzi sociālās drošības sistēmai;</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sociālajiem transfertiem ir būtiska nozīme tieši nabadzīgo mājsaimniecību ienākumu stabilizēšanā gan ekonomiskās krīzes, gan pēckrīzes periodā; </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nabadzības cēloņi izriet no nevienlīdzīgās ienākumu pārdales, tomēr jāņem vērā Latvijas iedzīvotāju kompaktie ienākumi, kā arī reģionālā, izglītības un veselības ietekme;</w:t>
      </w:r>
    </w:p>
    <w:p w:rsidR="00343AF5" w:rsidRPr="0063727B" w:rsidRDefault="00343AF5" w:rsidP="009A1501">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zemo ienākumu rezultātā valstī ir augsta materiālā nenodrošinātība, kas veicina nabadzību un sociālo atstumtību. </w:t>
      </w:r>
    </w:p>
    <w:p w:rsidR="00343AF5" w:rsidRPr="0063727B" w:rsidRDefault="00343AF5" w:rsidP="001808A9">
      <w:pPr>
        <w:shd w:val="clear" w:color="auto" w:fill="FFFFFF"/>
        <w:spacing w:after="0" w:line="240" w:lineRule="auto"/>
        <w:ind w:firstLine="720"/>
        <w:jc w:val="both"/>
        <w:rPr>
          <w:rFonts w:ascii="Times New Roman" w:hAnsi="Times New Roman" w:cs="Times New Roman"/>
          <w:sz w:val="24"/>
          <w:szCs w:val="24"/>
        </w:rPr>
      </w:pPr>
    </w:p>
    <w:p w:rsidR="00343AF5" w:rsidRPr="0063727B" w:rsidRDefault="00343AF5" w:rsidP="001808A9">
      <w:pPr>
        <w:shd w:val="clear" w:color="auto" w:fill="FFFFFF"/>
        <w:spacing w:after="0" w:line="240" w:lineRule="auto"/>
        <w:ind w:firstLine="720"/>
        <w:jc w:val="both"/>
        <w:rPr>
          <w:rFonts w:ascii="Times New Roman" w:hAnsi="Times New Roman" w:cs="Times New Roman"/>
          <w:sz w:val="24"/>
          <w:szCs w:val="24"/>
        </w:rPr>
      </w:pPr>
      <w:proofErr w:type="spellStart"/>
      <w:r w:rsidRPr="0063727B">
        <w:rPr>
          <w:rFonts w:ascii="Times New Roman" w:hAnsi="Times New Roman" w:cs="Times New Roman"/>
          <w:sz w:val="24"/>
          <w:szCs w:val="24"/>
        </w:rPr>
        <w:t>Disproporcionāls</w:t>
      </w:r>
      <w:proofErr w:type="spellEnd"/>
      <w:r w:rsidRPr="0063727B">
        <w:rPr>
          <w:rFonts w:ascii="Times New Roman" w:hAnsi="Times New Roman" w:cs="Times New Roman"/>
          <w:sz w:val="24"/>
          <w:szCs w:val="24"/>
        </w:rPr>
        <w:t xml:space="preserve"> ienākumu pieaugums un iedzīvotāju kompaktie ienākumi līdz ar ienākumu nevienlīdzības un nabadzības riskam pakļauto iedzīvotāju īpatsvara palielināšanos Latvijā rada izaicinājumus rīcībpolitiku plānošanā, jo ir vienlīdz svarīgi rast līdzsvaru, lai piedāvātie atbalsta mehānismi krīzes situācijās sniegtu adekvātu atbalstu nabadzīgākajiem iedzīvotājiem, spētu mazināt ekonomiskās krīzes radītās negatīvās sekas un vienlaicīgi veicinātu iedzīvotāju aktivizāciju un nodarbinātību.</w:t>
      </w:r>
    </w:p>
    <w:p w:rsidR="001551F6" w:rsidRPr="0063727B" w:rsidRDefault="001551F6" w:rsidP="001808A9">
      <w:pPr>
        <w:shd w:val="clear" w:color="auto" w:fill="FFFFFF"/>
        <w:spacing w:after="0" w:line="240" w:lineRule="auto"/>
        <w:ind w:firstLine="720"/>
        <w:jc w:val="both"/>
        <w:rPr>
          <w:rFonts w:ascii="Times New Roman" w:hAnsi="Times New Roman" w:cs="Times New Roman"/>
          <w:sz w:val="24"/>
          <w:szCs w:val="24"/>
        </w:rPr>
      </w:pPr>
    </w:p>
    <w:p w:rsidR="00343AF5" w:rsidRPr="0063727B" w:rsidRDefault="00343AF5" w:rsidP="009A1501">
      <w:pPr>
        <w:pStyle w:val="Heading2"/>
        <w:numPr>
          <w:ilvl w:val="1"/>
          <w:numId w:val="4"/>
        </w:numPr>
        <w:tabs>
          <w:tab w:val="left" w:pos="-1134"/>
          <w:tab w:val="left" w:pos="1418"/>
        </w:tabs>
        <w:rPr>
          <w:rFonts w:ascii="Times New Roman" w:hAnsi="Times New Roman" w:cs="Times New Roman"/>
          <w:color w:val="auto"/>
          <w:sz w:val="24"/>
          <w:szCs w:val="24"/>
          <w:lang w:val="lv-LV"/>
        </w:rPr>
      </w:pPr>
      <w:bookmarkStart w:id="22" w:name="_Toc372812632"/>
      <w:r w:rsidRPr="0063727B">
        <w:rPr>
          <w:rFonts w:ascii="Times New Roman" w:hAnsi="Times New Roman" w:cs="Times New Roman"/>
          <w:color w:val="auto"/>
          <w:sz w:val="24"/>
          <w:szCs w:val="24"/>
          <w:lang w:val="lv-LV"/>
        </w:rPr>
        <w:lastRenderedPageBreak/>
        <w:t>Minimālie ienākumu sliekšņi Latvijā</w:t>
      </w:r>
      <w:bookmarkEnd w:id="22"/>
    </w:p>
    <w:p w:rsidR="00343AF5" w:rsidRPr="0063727B" w:rsidRDefault="00343AF5" w:rsidP="00BE38E2">
      <w:pPr>
        <w:spacing w:after="0"/>
        <w:jc w:val="both"/>
        <w:rPr>
          <w:rFonts w:ascii="Times New Roman" w:hAnsi="Times New Roman" w:cs="Times New Roman"/>
          <w:sz w:val="24"/>
          <w:szCs w:val="24"/>
        </w:rPr>
      </w:pPr>
    </w:p>
    <w:p w:rsidR="00343AF5" w:rsidRPr="0063727B" w:rsidRDefault="00343AF5" w:rsidP="005A2331">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Nabadzības situācijas analīzei un sociālās iekļaušanas politikas izstrādei tiek izmantotas dažādas atskaites sistēmas un statistisko rādītāju kopumi, kas variē starp ES dalībvalstīm. Dalībvalstu sociālās situācijas salīdzinošai analīzei tiek izmantoti ES līmenī definēti rādītāji. Arī „ES2020” stratēģijā definēto nabadzības mazināšanas mērķu</w:t>
      </w:r>
      <w:r w:rsidRPr="0063727B">
        <w:rPr>
          <w:rStyle w:val="FootnoteReference"/>
          <w:rFonts w:ascii="Times New Roman" w:hAnsi="Times New Roman" w:cs="Times New Roman"/>
          <w:sz w:val="24"/>
          <w:szCs w:val="24"/>
        </w:rPr>
        <w:footnoteReference w:id="30"/>
      </w:r>
      <w:r w:rsidRPr="0063727B">
        <w:rPr>
          <w:rFonts w:ascii="Times New Roman" w:hAnsi="Times New Roman" w:cs="Times New Roman"/>
          <w:sz w:val="24"/>
          <w:szCs w:val="24"/>
        </w:rPr>
        <w:t xml:space="preserve"> sasniegšanai ir izstrādāts rādītāju kopums, kas ļauj analizēt progresu šajā jomā un veikt savstarpēji salīdzinošu analīzi. </w:t>
      </w:r>
    </w:p>
    <w:p w:rsidR="00343AF5" w:rsidRPr="0063727B" w:rsidRDefault="00343AF5" w:rsidP="009D4765">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Eiropadome 2000.gadā (Lisabonā, Nicā) definēja vienotu mērķi Eiropas Savienībai - </w:t>
      </w:r>
      <w:r w:rsidRPr="0063727B">
        <w:rPr>
          <w:rFonts w:ascii="Times New Roman" w:hAnsi="Times New Roman" w:cs="Times New Roman"/>
          <w:b/>
          <w:bCs/>
          <w:sz w:val="24"/>
          <w:szCs w:val="24"/>
        </w:rPr>
        <w:t>mazināt nabadzību un sociālo atstumtību</w:t>
      </w:r>
      <w:r w:rsidRPr="0063727B">
        <w:rPr>
          <w:rFonts w:ascii="Times New Roman" w:hAnsi="Times New Roman" w:cs="Times New Roman"/>
          <w:sz w:val="24"/>
          <w:szCs w:val="24"/>
        </w:rPr>
        <w:t xml:space="preserve">. Šajā saistībā Eiropadome 2001.gada decembra sanāksmē </w:t>
      </w:r>
      <w:proofErr w:type="spellStart"/>
      <w:r w:rsidRPr="0063727B">
        <w:rPr>
          <w:rFonts w:ascii="Times New Roman" w:hAnsi="Times New Roman" w:cs="Times New Roman"/>
          <w:sz w:val="24"/>
          <w:szCs w:val="24"/>
        </w:rPr>
        <w:t>Lākenā</w:t>
      </w:r>
      <w:proofErr w:type="spellEnd"/>
      <w:r w:rsidRPr="0063727B">
        <w:rPr>
          <w:rFonts w:ascii="Times New Roman" w:hAnsi="Times New Roman" w:cs="Times New Roman"/>
          <w:sz w:val="24"/>
          <w:szCs w:val="24"/>
        </w:rPr>
        <w:t xml:space="preserve"> apstiprināja pirmos 18 vienotos </w:t>
      </w:r>
      <w:r w:rsidRPr="0063727B">
        <w:rPr>
          <w:rFonts w:ascii="Tms Rmn" w:hAnsi="Tms Rmn" w:cs="Tms Rmn"/>
          <w:sz w:val="24"/>
          <w:szCs w:val="24"/>
          <w:lang w:eastAsia="lv-LV"/>
        </w:rPr>
        <w:t>monetārās nabadzības un ienākumu nevienlīdzības indikatorus</w:t>
      </w:r>
      <w:r w:rsidRPr="0063727B">
        <w:rPr>
          <w:rStyle w:val="FootnoteReference"/>
          <w:rFonts w:ascii="Tms Rmn" w:hAnsi="Tms Rmn" w:cs="Tms Rmn"/>
          <w:sz w:val="24"/>
          <w:szCs w:val="24"/>
          <w:lang w:eastAsia="lv-LV"/>
        </w:rPr>
        <w:footnoteReference w:id="31"/>
      </w:r>
      <w:r w:rsidRPr="0063727B">
        <w:rPr>
          <w:rFonts w:ascii="Times New Roman" w:hAnsi="Times New Roman" w:cs="Times New Roman"/>
          <w:sz w:val="24"/>
          <w:szCs w:val="24"/>
        </w:rPr>
        <w:t xml:space="preserve">, ar kuriem izvērtēt un pārraudzīt dalībvalstu progresu sociālās iekļaušanas mērķu īstenošanā. Šie indikatori ir relatīvi, un tie ir atvasināti no vidējā ienākumu līmeņa, attiecīgi tie </w:t>
      </w:r>
      <w:r w:rsidRPr="0063727B">
        <w:rPr>
          <w:rFonts w:ascii="Times New Roman" w:hAnsi="Times New Roman" w:cs="Times New Roman"/>
          <w:i/>
          <w:iCs/>
          <w:sz w:val="24"/>
          <w:szCs w:val="24"/>
        </w:rPr>
        <w:t>raksturo relatīvo, nevis absolūto nabadzības risku valsts iedzīvotāju vidū</w:t>
      </w:r>
      <w:r w:rsidRPr="0063727B">
        <w:rPr>
          <w:rFonts w:ascii="Times New Roman" w:hAnsi="Times New Roman" w:cs="Times New Roman"/>
          <w:sz w:val="24"/>
          <w:szCs w:val="24"/>
        </w:rPr>
        <w:t>. Monetārās nabadzības un ienākumu nevienlīdzības indikatori tiek iegūti apsekojumā</w:t>
      </w:r>
      <w:r w:rsidRPr="0063727B">
        <w:rPr>
          <w:rFonts w:ascii="Times New Roman" w:hAnsi="Times New Roman" w:cs="Times New Roman"/>
          <w:sz w:val="24"/>
          <w:szCs w:val="24"/>
          <w:shd w:val="clear" w:color="auto" w:fill="FFFFFF"/>
        </w:rPr>
        <w:t xml:space="preserve"> „Eiropas Savienības statistika par ienākumiem un dzīves apstākļiem”</w:t>
      </w:r>
      <w:r w:rsidRPr="0063727B">
        <w:rPr>
          <w:rFonts w:ascii="Times New Roman" w:hAnsi="Times New Roman" w:cs="Times New Roman"/>
          <w:sz w:val="24"/>
          <w:szCs w:val="24"/>
        </w:rPr>
        <w:t xml:space="preserve"> (turpmāk - EU-SILC apsekojums), ko veic Centrālā statistikas pārvalde, un tie tiek aprēķināti, balstoties uz ekvivalentajiem rādītājiem</w:t>
      </w:r>
      <w:r w:rsidRPr="0063727B">
        <w:rPr>
          <w:rStyle w:val="FootnoteReference"/>
          <w:rFonts w:ascii="Times New Roman" w:hAnsi="Times New Roman" w:cs="Times New Roman"/>
          <w:sz w:val="24"/>
          <w:szCs w:val="24"/>
        </w:rPr>
        <w:footnoteReference w:id="32"/>
      </w:r>
      <w:r w:rsidRPr="0063727B">
        <w:rPr>
          <w:rFonts w:ascii="Times New Roman" w:hAnsi="Times New Roman" w:cs="Times New Roman"/>
          <w:sz w:val="24"/>
          <w:szCs w:val="24"/>
        </w:rPr>
        <w:t xml:space="preserve">. Šie indikatori jāuzskata par vienotu veselumu, kas līdzsvaroti atspoguļo ES sociālās problēmas. </w:t>
      </w:r>
      <w:proofErr w:type="spellStart"/>
      <w:r w:rsidRPr="0063727B">
        <w:rPr>
          <w:rFonts w:ascii="Times New Roman" w:hAnsi="Times New Roman" w:cs="Times New Roman"/>
          <w:sz w:val="24"/>
          <w:szCs w:val="24"/>
        </w:rPr>
        <w:t>Lākenas</w:t>
      </w:r>
      <w:proofErr w:type="spellEnd"/>
      <w:r w:rsidRPr="0063727B">
        <w:rPr>
          <w:rFonts w:ascii="Times New Roman" w:hAnsi="Times New Roman" w:cs="Times New Roman"/>
          <w:sz w:val="24"/>
          <w:szCs w:val="24"/>
        </w:rPr>
        <w:t xml:space="preserve"> indikatori attiecas uz </w:t>
      </w:r>
      <w:r w:rsidRPr="0063727B">
        <w:rPr>
          <w:rFonts w:ascii="Times New Roman" w:hAnsi="Times New Roman" w:cs="Times New Roman"/>
          <w:i/>
          <w:iCs/>
          <w:sz w:val="24"/>
          <w:szCs w:val="24"/>
        </w:rPr>
        <w:t>četrām nozīmīgām sociālās iekļaušanas dimensijām</w:t>
      </w:r>
      <w:r w:rsidRPr="0063727B">
        <w:rPr>
          <w:rFonts w:ascii="Times New Roman" w:hAnsi="Times New Roman" w:cs="Times New Roman"/>
          <w:sz w:val="24"/>
          <w:szCs w:val="24"/>
        </w:rPr>
        <w:t xml:space="preserve"> (finansiālo nabadzību, nodarbinātību, veselību un izglītību), izceļot daudzos sociālās atstumtības aspektus.</w:t>
      </w:r>
    </w:p>
    <w:p w:rsidR="00343AF5" w:rsidRPr="0063727B" w:rsidRDefault="00343AF5" w:rsidP="00E75340">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Vērtējot ES dalībvalstu praksi noteiktu rādītāju izmantošanā, plānojot nabadzības un sociālās atstumtības mazināšanas politiku, var secināt, ka par atskaites sistēmu tiek izmantoti dažādi ienākumu sliekšņi un šīs sistēmas tiek modificētas atbilstoši nacionālā līmeņa politikas ietvaram, kā arī atbilstoši katras valsts sociālajai un ekonomiskajai situācijai. Līdz ar to nevar runāt par „tīra ideāltipa” piemērošanu praksē vai noteiktiem atskaites punktiem kā labās prakses piemēriem.</w:t>
      </w:r>
    </w:p>
    <w:p w:rsidR="00343AF5" w:rsidRPr="0063727B" w:rsidRDefault="00343AF5" w:rsidP="00132B8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Lai objektīvāk atspoguļotu Latvijā esošos minimālos ienākumu sliekšņus, to piemērošanu praksē, kā arī esošās sistēmas trūkumus no politikas plānošanas viedokļa, šajā sadaļā tiks izvērtēti nabadzības noteikšanas kritēriji gan no juridiskā, gan metodoloģiskā skatupunkta. </w:t>
      </w:r>
    </w:p>
    <w:p w:rsidR="00343AF5" w:rsidRPr="0063727B" w:rsidRDefault="00343AF5" w:rsidP="00132B8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Latvijā var izšķirt piecus minimālo ienākumu sliekšņus, kas atšķiras pēc to izmantošanas mērķa, tiesiskā pamatojuma un metodoloģiskā aprēķina (sk</w:t>
      </w:r>
      <w:r w:rsidR="001551F6"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2379B4" w:rsidRPr="0063727B">
        <w:rPr>
          <w:rFonts w:ascii="Times New Roman" w:hAnsi="Times New Roman" w:cs="Times New Roman"/>
          <w:sz w:val="24"/>
          <w:szCs w:val="24"/>
        </w:rPr>
        <w:t>2</w:t>
      </w:r>
      <w:r w:rsidRPr="0063727B">
        <w:rPr>
          <w:rFonts w:ascii="Times New Roman" w:hAnsi="Times New Roman" w:cs="Times New Roman"/>
          <w:sz w:val="24"/>
          <w:szCs w:val="24"/>
        </w:rPr>
        <w:t>.tabulu).</w:t>
      </w:r>
    </w:p>
    <w:p w:rsidR="001551F6" w:rsidRDefault="001551F6" w:rsidP="004E3382">
      <w:pPr>
        <w:spacing w:after="0" w:line="240" w:lineRule="auto"/>
        <w:jc w:val="right"/>
        <w:rPr>
          <w:rFonts w:ascii="Times New Roman" w:hAnsi="Times New Roman" w:cs="Times New Roman"/>
          <w:sz w:val="24"/>
          <w:szCs w:val="24"/>
        </w:rPr>
      </w:pPr>
    </w:p>
    <w:p w:rsidR="009E430B" w:rsidRDefault="009E430B" w:rsidP="004E3382">
      <w:pPr>
        <w:spacing w:after="0" w:line="240" w:lineRule="auto"/>
        <w:jc w:val="right"/>
        <w:rPr>
          <w:rFonts w:ascii="Times New Roman" w:hAnsi="Times New Roman" w:cs="Times New Roman"/>
          <w:sz w:val="24"/>
          <w:szCs w:val="24"/>
        </w:rPr>
      </w:pPr>
    </w:p>
    <w:p w:rsidR="009E430B" w:rsidRDefault="009E430B" w:rsidP="004E3382">
      <w:pPr>
        <w:spacing w:after="0" w:line="240" w:lineRule="auto"/>
        <w:jc w:val="right"/>
        <w:rPr>
          <w:rFonts w:ascii="Times New Roman" w:hAnsi="Times New Roman" w:cs="Times New Roman"/>
          <w:sz w:val="24"/>
          <w:szCs w:val="24"/>
        </w:rPr>
      </w:pPr>
    </w:p>
    <w:p w:rsidR="009E430B" w:rsidRDefault="009E430B" w:rsidP="004E3382">
      <w:pPr>
        <w:spacing w:after="0" w:line="240" w:lineRule="auto"/>
        <w:jc w:val="right"/>
        <w:rPr>
          <w:rFonts w:ascii="Times New Roman" w:hAnsi="Times New Roman" w:cs="Times New Roman"/>
          <w:sz w:val="24"/>
          <w:szCs w:val="24"/>
        </w:rPr>
      </w:pPr>
    </w:p>
    <w:p w:rsidR="009E430B" w:rsidRPr="0063727B" w:rsidRDefault="009E430B" w:rsidP="004E3382">
      <w:pPr>
        <w:spacing w:after="0" w:line="240" w:lineRule="auto"/>
        <w:jc w:val="right"/>
        <w:rPr>
          <w:rFonts w:ascii="Times New Roman" w:hAnsi="Times New Roman" w:cs="Times New Roman"/>
          <w:sz w:val="24"/>
          <w:szCs w:val="24"/>
        </w:rPr>
      </w:pPr>
    </w:p>
    <w:p w:rsidR="00343AF5" w:rsidRPr="0063727B" w:rsidRDefault="002379B4" w:rsidP="004E3382">
      <w:pPr>
        <w:spacing w:after="0" w:line="240" w:lineRule="auto"/>
        <w:jc w:val="right"/>
        <w:rPr>
          <w:rFonts w:ascii="Times New Roman" w:hAnsi="Times New Roman" w:cs="Times New Roman"/>
          <w:sz w:val="24"/>
          <w:szCs w:val="24"/>
        </w:rPr>
      </w:pPr>
      <w:r w:rsidRPr="0063727B">
        <w:rPr>
          <w:rFonts w:ascii="Times New Roman" w:hAnsi="Times New Roman" w:cs="Times New Roman"/>
          <w:sz w:val="24"/>
          <w:szCs w:val="24"/>
        </w:rPr>
        <w:lastRenderedPageBreak/>
        <w:t>2</w:t>
      </w:r>
      <w:r w:rsidR="00343AF5" w:rsidRPr="0063727B">
        <w:rPr>
          <w:rFonts w:ascii="Times New Roman" w:hAnsi="Times New Roman" w:cs="Times New Roman"/>
          <w:sz w:val="24"/>
          <w:szCs w:val="24"/>
        </w:rPr>
        <w:t xml:space="preserve">.tabula </w:t>
      </w:r>
    </w:p>
    <w:p w:rsidR="00343AF5" w:rsidRPr="0063727B" w:rsidRDefault="00343AF5" w:rsidP="004E3382">
      <w:pPr>
        <w:autoSpaceDE w:val="0"/>
        <w:autoSpaceDN w:val="0"/>
        <w:adjustRightInd w:val="0"/>
        <w:spacing w:after="120" w:line="240" w:lineRule="auto"/>
        <w:ind w:left="357" w:firstLine="357"/>
        <w:jc w:val="center"/>
        <w:rPr>
          <w:rFonts w:ascii="Times New Roman" w:hAnsi="Times New Roman" w:cs="Times New Roman"/>
          <w:b/>
          <w:bCs/>
          <w:sz w:val="24"/>
          <w:szCs w:val="24"/>
        </w:rPr>
      </w:pPr>
      <w:r w:rsidRPr="0063727B">
        <w:rPr>
          <w:rFonts w:ascii="Times New Roman" w:hAnsi="Times New Roman" w:cs="Times New Roman"/>
          <w:b/>
          <w:bCs/>
          <w:sz w:val="24"/>
          <w:szCs w:val="24"/>
        </w:rPr>
        <w:t>Nabadzības riska jeb minimālo ienākumu sliekšņi Latvijā</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410"/>
        <w:gridCol w:w="1984"/>
      </w:tblGrid>
      <w:tr w:rsidR="0063727B" w:rsidRPr="0063727B">
        <w:trPr>
          <w:trHeight w:val="548"/>
        </w:trPr>
        <w:tc>
          <w:tcPr>
            <w:tcW w:w="4786" w:type="dxa"/>
            <w:shd w:val="clear" w:color="auto" w:fill="D9D9D9"/>
            <w:vAlign w:val="center"/>
          </w:tcPr>
          <w:p w:rsidR="00343AF5" w:rsidRPr="0063727B" w:rsidRDefault="00343AF5" w:rsidP="00680760">
            <w:pPr>
              <w:spacing w:after="0" w:line="240" w:lineRule="auto"/>
              <w:jc w:val="center"/>
              <w:rPr>
                <w:rFonts w:ascii="Arial" w:hAnsi="Arial" w:cs="Arial"/>
                <w:bCs/>
                <w:lang w:eastAsia="lv-LV"/>
              </w:rPr>
            </w:pPr>
            <w:r w:rsidRPr="0063727B">
              <w:rPr>
                <w:rFonts w:ascii="Times New Roman" w:hAnsi="Times New Roman" w:cs="Times New Roman"/>
                <w:bCs/>
                <w:kern w:val="24"/>
                <w:lang w:eastAsia="lv-LV"/>
              </w:rPr>
              <w:t>SLIEKSNIS</w:t>
            </w:r>
          </w:p>
        </w:tc>
        <w:tc>
          <w:tcPr>
            <w:tcW w:w="2410" w:type="dxa"/>
            <w:shd w:val="clear" w:color="auto" w:fill="D9D9D9"/>
            <w:vAlign w:val="center"/>
          </w:tcPr>
          <w:p w:rsidR="00343AF5" w:rsidRPr="0063727B" w:rsidRDefault="00343AF5" w:rsidP="00680760">
            <w:pPr>
              <w:spacing w:after="0" w:line="240" w:lineRule="auto"/>
              <w:jc w:val="center"/>
              <w:rPr>
                <w:rFonts w:ascii="Arial" w:hAnsi="Arial" w:cs="Arial"/>
                <w:bCs/>
                <w:lang w:eastAsia="lv-LV"/>
              </w:rPr>
            </w:pPr>
            <w:r w:rsidRPr="0063727B">
              <w:rPr>
                <w:rFonts w:ascii="Times New Roman" w:hAnsi="Times New Roman" w:cs="Times New Roman"/>
                <w:bCs/>
                <w:kern w:val="24"/>
                <w:lang w:eastAsia="lv-LV"/>
              </w:rPr>
              <w:t>Noteikts normatīvajos aktos</w:t>
            </w:r>
          </w:p>
        </w:tc>
        <w:tc>
          <w:tcPr>
            <w:tcW w:w="1984" w:type="dxa"/>
            <w:shd w:val="clear" w:color="auto" w:fill="D9D9D9"/>
            <w:vAlign w:val="center"/>
          </w:tcPr>
          <w:p w:rsidR="00343AF5" w:rsidRPr="0063727B" w:rsidRDefault="00343AF5" w:rsidP="00680760">
            <w:pPr>
              <w:spacing w:after="0" w:line="240" w:lineRule="auto"/>
              <w:jc w:val="center"/>
              <w:rPr>
                <w:rFonts w:ascii="Arial" w:hAnsi="Arial" w:cs="Arial"/>
                <w:bCs/>
                <w:lang w:eastAsia="lv-LV"/>
              </w:rPr>
            </w:pPr>
            <w:r w:rsidRPr="0063727B">
              <w:rPr>
                <w:rFonts w:ascii="Times New Roman" w:hAnsi="Times New Roman" w:cs="Times New Roman"/>
                <w:bCs/>
                <w:kern w:val="24"/>
                <w:lang w:eastAsia="lv-LV"/>
              </w:rPr>
              <w:t>Noteikta aprēķina metodoloģija</w:t>
            </w:r>
          </w:p>
        </w:tc>
      </w:tr>
      <w:tr w:rsidR="0063727B" w:rsidRPr="0063727B">
        <w:trPr>
          <w:trHeight w:val="169"/>
        </w:trPr>
        <w:tc>
          <w:tcPr>
            <w:tcW w:w="4786" w:type="dxa"/>
            <w:shd w:val="clear" w:color="auto" w:fill="FFFFFF"/>
            <w:vAlign w:val="center"/>
          </w:tcPr>
          <w:p w:rsidR="00343AF5" w:rsidRPr="0063727B" w:rsidRDefault="00343AF5" w:rsidP="00680760">
            <w:pPr>
              <w:spacing w:after="120" w:line="240" w:lineRule="auto"/>
              <w:rPr>
                <w:rFonts w:ascii="Arial" w:hAnsi="Arial" w:cs="Arial"/>
                <w:bCs/>
                <w:lang w:eastAsia="lv-LV"/>
              </w:rPr>
            </w:pPr>
            <w:r w:rsidRPr="0063727B">
              <w:rPr>
                <w:rFonts w:ascii="Times New Roman" w:hAnsi="Times New Roman" w:cs="Times New Roman"/>
                <w:bCs/>
                <w:kern w:val="24"/>
                <w:lang w:eastAsia="lv-LV"/>
              </w:rPr>
              <w:t>Trūcīgas personas ienākumu slieksnis</w:t>
            </w:r>
          </w:p>
        </w:tc>
        <w:tc>
          <w:tcPr>
            <w:tcW w:w="2410"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Noteikts</w:t>
            </w:r>
          </w:p>
        </w:tc>
        <w:tc>
          <w:tcPr>
            <w:tcW w:w="1984"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Nav</w:t>
            </w:r>
          </w:p>
        </w:tc>
      </w:tr>
      <w:tr w:rsidR="0063727B" w:rsidRPr="0063727B">
        <w:trPr>
          <w:trHeight w:val="531"/>
        </w:trPr>
        <w:tc>
          <w:tcPr>
            <w:tcW w:w="4786" w:type="dxa"/>
            <w:shd w:val="clear" w:color="auto" w:fill="FFFFFF"/>
            <w:vAlign w:val="center"/>
          </w:tcPr>
          <w:p w:rsidR="00343AF5" w:rsidRPr="0063727B" w:rsidRDefault="00343AF5" w:rsidP="00680760">
            <w:pPr>
              <w:spacing w:after="120" w:line="240" w:lineRule="auto"/>
              <w:rPr>
                <w:rFonts w:ascii="Arial" w:hAnsi="Arial" w:cs="Arial"/>
                <w:bCs/>
                <w:lang w:eastAsia="lv-LV"/>
              </w:rPr>
            </w:pPr>
            <w:r w:rsidRPr="0063727B">
              <w:rPr>
                <w:rFonts w:ascii="Times New Roman" w:hAnsi="Times New Roman" w:cs="Times New Roman"/>
                <w:bCs/>
                <w:kern w:val="24"/>
                <w:lang w:eastAsia="lv-LV"/>
              </w:rPr>
              <w:t>Maznodrošinātas personas ienākumu slieksnis (diferencēti)</w:t>
            </w:r>
          </w:p>
        </w:tc>
        <w:tc>
          <w:tcPr>
            <w:tcW w:w="2410"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Noteikts</w:t>
            </w:r>
          </w:p>
        </w:tc>
        <w:tc>
          <w:tcPr>
            <w:tcW w:w="1984"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Nav</w:t>
            </w:r>
          </w:p>
        </w:tc>
      </w:tr>
      <w:tr w:rsidR="0063727B" w:rsidRPr="0063727B">
        <w:trPr>
          <w:trHeight w:val="556"/>
        </w:trPr>
        <w:tc>
          <w:tcPr>
            <w:tcW w:w="4786" w:type="dxa"/>
            <w:shd w:val="clear" w:color="auto" w:fill="FFFFFF"/>
            <w:vAlign w:val="center"/>
          </w:tcPr>
          <w:p w:rsidR="00343AF5" w:rsidRPr="0063727B" w:rsidRDefault="00343AF5" w:rsidP="00680760">
            <w:pPr>
              <w:spacing w:after="120" w:line="240" w:lineRule="auto"/>
              <w:rPr>
                <w:rFonts w:ascii="Arial" w:hAnsi="Arial" w:cs="Arial"/>
                <w:bCs/>
                <w:lang w:eastAsia="lv-LV"/>
              </w:rPr>
            </w:pPr>
            <w:r w:rsidRPr="0063727B">
              <w:rPr>
                <w:rFonts w:ascii="Times New Roman" w:hAnsi="Times New Roman" w:cs="Times New Roman"/>
                <w:bCs/>
                <w:kern w:val="24"/>
                <w:lang w:eastAsia="lv-LV"/>
              </w:rPr>
              <w:t>Garantētā minimālā ienākumu (GMI) līmeņa slieksnis</w:t>
            </w:r>
          </w:p>
        </w:tc>
        <w:tc>
          <w:tcPr>
            <w:tcW w:w="2410"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Noteikts</w:t>
            </w:r>
          </w:p>
        </w:tc>
        <w:tc>
          <w:tcPr>
            <w:tcW w:w="1984"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Nav</w:t>
            </w:r>
          </w:p>
        </w:tc>
      </w:tr>
      <w:tr w:rsidR="0063727B" w:rsidRPr="0063727B">
        <w:trPr>
          <w:trHeight w:val="296"/>
        </w:trPr>
        <w:tc>
          <w:tcPr>
            <w:tcW w:w="4786" w:type="dxa"/>
            <w:shd w:val="clear" w:color="auto" w:fill="FFFFFF"/>
            <w:vAlign w:val="center"/>
          </w:tcPr>
          <w:p w:rsidR="00343AF5" w:rsidRPr="0063727B" w:rsidRDefault="00343AF5" w:rsidP="00680760">
            <w:pPr>
              <w:spacing w:after="120" w:line="240" w:lineRule="auto"/>
              <w:rPr>
                <w:rFonts w:ascii="Arial" w:hAnsi="Arial" w:cs="Arial"/>
                <w:bCs/>
                <w:lang w:eastAsia="lv-LV"/>
              </w:rPr>
            </w:pPr>
            <w:r w:rsidRPr="0063727B">
              <w:rPr>
                <w:rFonts w:ascii="Times New Roman" w:hAnsi="Times New Roman" w:cs="Times New Roman"/>
                <w:bCs/>
                <w:kern w:val="24"/>
                <w:lang w:eastAsia="lv-LV"/>
              </w:rPr>
              <w:t>Nabadzības riska slieksnis</w:t>
            </w:r>
          </w:p>
        </w:tc>
        <w:tc>
          <w:tcPr>
            <w:tcW w:w="2410"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Nav noteikts</w:t>
            </w:r>
          </w:p>
        </w:tc>
        <w:tc>
          <w:tcPr>
            <w:tcW w:w="1984"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Ir</w:t>
            </w:r>
          </w:p>
        </w:tc>
      </w:tr>
      <w:tr w:rsidR="0063727B" w:rsidRPr="0063727B">
        <w:trPr>
          <w:trHeight w:val="305"/>
        </w:trPr>
        <w:tc>
          <w:tcPr>
            <w:tcW w:w="4786" w:type="dxa"/>
            <w:shd w:val="clear" w:color="auto" w:fill="FFFFFF"/>
            <w:vAlign w:val="center"/>
          </w:tcPr>
          <w:p w:rsidR="00343AF5" w:rsidRPr="0063727B" w:rsidRDefault="00343AF5" w:rsidP="00680760">
            <w:pPr>
              <w:spacing w:after="120" w:line="240" w:lineRule="auto"/>
              <w:rPr>
                <w:rFonts w:ascii="Arial" w:hAnsi="Arial" w:cs="Arial"/>
                <w:bCs/>
                <w:lang w:eastAsia="lv-LV"/>
              </w:rPr>
            </w:pPr>
            <w:r w:rsidRPr="0063727B">
              <w:rPr>
                <w:rFonts w:ascii="Times New Roman" w:hAnsi="Times New Roman" w:cs="Times New Roman"/>
                <w:bCs/>
                <w:kern w:val="24"/>
                <w:lang w:eastAsia="lv-LV"/>
              </w:rPr>
              <w:t>Iztikas minimums</w:t>
            </w:r>
          </w:p>
        </w:tc>
        <w:tc>
          <w:tcPr>
            <w:tcW w:w="2410"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Nav noteikts</w:t>
            </w:r>
          </w:p>
        </w:tc>
        <w:tc>
          <w:tcPr>
            <w:tcW w:w="1984" w:type="dxa"/>
            <w:vAlign w:val="center"/>
          </w:tcPr>
          <w:p w:rsidR="00343AF5" w:rsidRPr="0063727B" w:rsidRDefault="00343AF5" w:rsidP="00680760">
            <w:pPr>
              <w:spacing w:after="0" w:line="240" w:lineRule="auto"/>
              <w:jc w:val="center"/>
              <w:rPr>
                <w:rFonts w:ascii="Arial" w:hAnsi="Arial" w:cs="Arial"/>
                <w:lang w:eastAsia="lv-LV"/>
              </w:rPr>
            </w:pPr>
            <w:r w:rsidRPr="0063727B">
              <w:rPr>
                <w:rFonts w:ascii="Times New Roman" w:hAnsi="Times New Roman" w:cs="Times New Roman"/>
                <w:kern w:val="24"/>
                <w:lang w:eastAsia="lv-LV"/>
              </w:rPr>
              <w:t>Ir</w:t>
            </w:r>
          </w:p>
        </w:tc>
      </w:tr>
    </w:tbl>
    <w:p w:rsidR="00343AF5" w:rsidRPr="0063727B" w:rsidRDefault="00343AF5" w:rsidP="00C6784C">
      <w:pPr>
        <w:spacing w:after="240" w:line="240" w:lineRule="auto"/>
        <w:jc w:val="both"/>
        <w:rPr>
          <w:rFonts w:ascii="Times New Roman" w:hAnsi="Times New Roman" w:cs="Times New Roman"/>
          <w:sz w:val="18"/>
          <w:szCs w:val="18"/>
        </w:rPr>
      </w:pPr>
      <w:r w:rsidRPr="0063727B">
        <w:rPr>
          <w:rFonts w:ascii="Times New Roman" w:hAnsi="Times New Roman" w:cs="Times New Roman"/>
          <w:sz w:val="18"/>
          <w:szCs w:val="18"/>
        </w:rPr>
        <w:t xml:space="preserve">Avots: Kūla, E. Nabadzības sliekšņa alternatīvas Latvijā. Maģistra darbs (2013), pieejams Vidzemes Augstskolas bibliotēkā. </w:t>
      </w:r>
    </w:p>
    <w:p w:rsidR="00343AF5" w:rsidRPr="0063727B" w:rsidRDefault="00343AF5" w:rsidP="00B60AA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Būtiskākās problēmas, pastāvot šiem dažādajiem ienākumu sliekšņiem, ir saistītas gan ar to, ka nav iespējams izstrādāt </w:t>
      </w:r>
      <w:r w:rsidRPr="0063727B">
        <w:rPr>
          <w:rStyle w:val="CommentReference"/>
          <w:rFonts w:ascii="Times New Roman" w:hAnsi="Times New Roman" w:cs="Times New Roman"/>
          <w:sz w:val="24"/>
          <w:szCs w:val="24"/>
        </w:rPr>
        <w:t>mērķtiecīgu un labi izmērāmu politiku, jo resursi netiek koncentrēti mērķa sasniegšanai, gan arī</w:t>
      </w:r>
      <w:r w:rsidRPr="0063727B">
        <w:rPr>
          <w:rFonts w:ascii="Times New Roman" w:hAnsi="Times New Roman" w:cs="Times New Roman"/>
          <w:sz w:val="24"/>
          <w:szCs w:val="24"/>
        </w:rPr>
        <w:t xml:space="preserve"> ar to interpretāciju (problēmas atspoguļošanai tiek izmantoti dažādi rādītāji), dažādajiem viedokļiem sabiedrībā par to piemērošanu (piemēram, nabadzības riska slieksni nepiemēro likumdošanā, jo tas ir ES noteikts, bet iztikas minimumu mediji regulāri izmanto, lai gan likumdošanā to nepiemēro), kā arī pamatotību un saikni ar iedzīvotāju ienākumus raksturojošiem rādītājiem. </w:t>
      </w:r>
      <w:r w:rsidRPr="0063727B">
        <w:rPr>
          <w:rFonts w:ascii="Times New Roman" w:hAnsi="Times New Roman" w:cs="Times New Roman"/>
          <w:sz w:val="24"/>
          <w:szCs w:val="24"/>
          <w:u w:val="single"/>
        </w:rPr>
        <w:t>Normatīvajos aktos definētie nabadzības jeb minimālo ienākumu sliekšņi nav pamatoti un nav saistīti ar rādītājiem, kas raksturotu iedzīvotāju situāciju.</w:t>
      </w:r>
      <w:r w:rsidRPr="0063727B">
        <w:rPr>
          <w:rFonts w:ascii="Times New Roman" w:hAnsi="Times New Roman" w:cs="Times New Roman"/>
          <w:sz w:val="24"/>
          <w:szCs w:val="24"/>
        </w:rPr>
        <w:t xml:space="preserve"> Tos nosaka, ņemot vērā konkrētā brīža finansiālās iespējas, un tie nosaka konkrētus ienākumu apmērus, kas dod iespēju personām kvalificēties dažādu pakalpojumu saņemšanai, piemēram, pabalstam GMI līmeņa nodrošināšanai, atvieglojumi trūcīgajām personām dažādu pakalpojumu pieejamībai u.tml. Savukārt iztikas minimums un nabadzības riska slieksnis, kuri nav likumdošanā definēti, bet tie tiek aprēķināti, pamatojoties uz konkrētu metodoloģiju, pārsvarā tiek izmantoti statistiskiem nolūkiem.</w:t>
      </w:r>
    </w:p>
    <w:p w:rsidR="00343AF5" w:rsidRPr="0063727B" w:rsidRDefault="00343AF5" w:rsidP="00A55BEE">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b/>
          <w:bCs/>
          <w:sz w:val="24"/>
          <w:szCs w:val="24"/>
        </w:rPr>
        <w:t>Trūcīgas personas ienākumu līmenis</w:t>
      </w:r>
      <w:r w:rsidRPr="0063727B">
        <w:rPr>
          <w:rFonts w:ascii="Times New Roman" w:hAnsi="Times New Roman" w:cs="Times New Roman"/>
          <w:sz w:val="24"/>
          <w:szCs w:val="24"/>
        </w:rPr>
        <w:t xml:space="preserve"> līdz 2010.gadam bija saistīts ar minimālās darba algas apmēru, proti, tika noteikts, ka trūcīgas personas ienākumu līmenis uz katru ģimenes locekli pēdējo triju mēnešu laikā nepārsniedz 50 % no attiecīgā gada 1.janvārī spēkā esošās minimālās darba algas valstī. Savukārt no 2010.gada trūcīgas personas ienākumu līmenis tika atsaistīts no minimālās darba algas un noteikts konstantā apmērā, proti, ģimene (persona) atzīstama par trūcīgu, ja tās vidējie ienākumi katram ģimenes loceklim mēnesī pēdējo triju mēnešu laikā nepārsniedz 90 latu</w:t>
      </w:r>
      <w:r w:rsidRPr="0063727B">
        <w:rPr>
          <w:rStyle w:val="FootnoteReference"/>
          <w:rFonts w:ascii="Times New Roman" w:hAnsi="Times New Roman" w:cs="Times New Roman"/>
          <w:sz w:val="24"/>
          <w:szCs w:val="24"/>
        </w:rPr>
        <w:footnoteReference w:id="33"/>
      </w:r>
      <w:r w:rsidRPr="0063727B">
        <w:rPr>
          <w:rFonts w:ascii="Times New Roman" w:hAnsi="Times New Roman" w:cs="Times New Roman"/>
          <w:sz w:val="24"/>
          <w:szCs w:val="24"/>
        </w:rPr>
        <w:t>. Trūcīgas ģimenes (personas) statuss dod šiem cilvēkiem tiesības pretendēt uz virkni dažādiem pakalpojumiem un atbalstu ar atvieglotiem nosacījumiem.</w:t>
      </w:r>
    </w:p>
    <w:p w:rsidR="00343AF5" w:rsidRPr="0063727B" w:rsidRDefault="00343AF5" w:rsidP="00A55BEE">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Atšķirībā no trūcīgas personas ienākuma līmeņa </w:t>
      </w:r>
      <w:r w:rsidRPr="0063727B">
        <w:rPr>
          <w:rFonts w:ascii="Times New Roman" w:hAnsi="Times New Roman" w:cs="Times New Roman"/>
          <w:b/>
          <w:bCs/>
          <w:sz w:val="24"/>
          <w:szCs w:val="24"/>
        </w:rPr>
        <w:t>maznodrošinātas personas ienākumu līmeni</w:t>
      </w:r>
      <w:r w:rsidRPr="0063727B">
        <w:rPr>
          <w:rFonts w:ascii="Times New Roman" w:hAnsi="Times New Roman" w:cs="Times New Roman"/>
          <w:sz w:val="24"/>
          <w:szCs w:val="24"/>
        </w:rPr>
        <w:t xml:space="preserve"> nosaka katra pašvaldība individuāli, definējot tos attiecīgajos pašvaldības saistošajos noteikumos. Tiesību aktos nacionālā līmenī vienīgi noteikts, ka maznodrošinātas personas ienākumu līmenis nevar būt zemāks par trūcīgas personas ienākumu līmeni. Tas nozīmē, ka pašvaldībām ir dotas tiesības veidot iedzīvotājiem labvēlīgāku sociālās palīdzības politiku. Vērtējot 2010. un 2011.gada Valsts statistikas pārskatu datus par maznodrošinātā līmeni pašvaldībās, var secināt, ka:</w:t>
      </w:r>
    </w:p>
    <w:p w:rsidR="00343AF5" w:rsidRPr="0063727B" w:rsidRDefault="00343AF5" w:rsidP="009A1501">
      <w:pPr>
        <w:pStyle w:val="ListParagraph"/>
        <w:numPr>
          <w:ilvl w:val="0"/>
          <w:numId w:val="16"/>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iespēju noteikt maznodrošinātās personas ienākumu līmeni, kas ir augstāks par trūcīgas personas ienākumu līmeni, ir izmantojušas 50 jeb 42% pašvaldības (no tām 3 </w:t>
      </w:r>
      <w:r w:rsidRPr="0063727B">
        <w:rPr>
          <w:rFonts w:ascii="Times New Roman" w:hAnsi="Times New Roman" w:cs="Times New Roman"/>
          <w:sz w:val="24"/>
          <w:szCs w:val="24"/>
        </w:rPr>
        <w:lastRenderedPageBreak/>
        <w:t>republikas pilsētas: Rīga, Jūrmala un Jēkabpils) 2010.gadā un 45 jeb 37% pašvaldības (no tām 4 republikas pilsētas: Rīga, Jēkabpils, Ventspils un Jūrmala) 2011.gadā;</w:t>
      </w:r>
    </w:p>
    <w:p w:rsidR="00343AF5" w:rsidRPr="0063727B" w:rsidRDefault="00343AF5" w:rsidP="009A1501">
      <w:pPr>
        <w:pStyle w:val="ListParagraph"/>
        <w:numPr>
          <w:ilvl w:val="0"/>
          <w:numId w:val="16"/>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maznodrošinātās personas ienākumu līmeņi 2010.gadā variē no Ls 99 – Ls 259, savukārt 2011.gadā – no Ls 100 līdz Ls 250 mēnesī. </w:t>
      </w:r>
    </w:p>
    <w:p w:rsidR="00343AF5" w:rsidRPr="0063727B" w:rsidRDefault="00343AF5" w:rsidP="00A55BEE">
      <w:pPr>
        <w:spacing w:after="0" w:line="240" w:lineRule="auto"/>
        <w:ind w:firstLine="714"/>
        <w:jc w:val="both"/>
        <w:rPr>
          <w:rFonts w:ascii="Times New Roman" w:hAnsi="Times New Roman" w:cs="Times New Roman"/>
          <w:b/>
          <w:bCs/>
          <w:sz w:val="24"/>
          <w:szCs w:val="24"/>
        </w:rPr>
      </w:pPr>
    </w:p>
    <w:p w:rsidR="00343AF5" w:rsidRPr="0063727B" w:rsidRDefault="00343AF5" w:rsidP="00A55BEE">
      <w:pPr>
        <w:spacing w:after="0" w:line="240" w:lineRule="auto"/>
        <w:ind w:firstLine="714"/>
        <w:jc w:val="both"/>
        <w:rPr>
          <w:rFonts w:ascii="Times New Roman" w:hAnsi="Times New Roman" w:cs="Times New Roman"/>
          <w:sz w:val="24"/>
          <w:szCs w:val="24"/>
        </w:rPr>
      </w:pPr>
      <w:r w:rsidRPr="0063727B">
        <w:rPr>
          <w:rFonts w:ascii="Times New Roman" w:hAnsi="Times New Roman" w:cs="Times New Roman"/>
          <w:b/>
          <w:bCs/>
          <w:sz w:val="24"/>
          <w:szCs w:val="24"/>
        </w:rPr>
        <w:t>GMI līmenis</w:t>
      </w:r>
      <w:r w:rsidRPr="0063727B">
        <w:rPr>
          <w:rFonts w:ascii="Times New Roman" w:hAnsi="Times New Roman" w:cs="Times New Roman"/>
          <w:sz w:val="24"/>
          <w:szCs w:val="24"/>
        </w:rPr>
        <w:t xml:space="preserve"> ikgadēji tiek noteikts, pamatojoties uz Labklājības ministrijas un Latvijas Pašvaldību savienības sarunām saistībā ar gadskārtējā valsts budžeta likuma projektu. Tādējādi GMI līmenis ir kompromisa rezultātā noteikts lielums, kas nav saistīts ar kādu no mājsaimniecības ienākumus raksturojošiem lielumiem un nebalstās uz metodoloģiski pamatotu aprēķinu. Pašvaldības ir tiesīgas noteikt arī augstāku GMI līmeni, nekā to ir noteikusi valdība. Minēto iespēju 2013.gadā ir izmantojušas 28 pašvaldības no 119 (23.5%)</w:t>
      </w:r>
      <w:r w:rsidRPr="0063727B">
        <w:rPr>
          <w:rStyle w:val="FootnoteReference"/>
          <w:rFonts w:ascii="Times New Roman" w:hAnsi="Times New Roman" w:cs="Times New Roman"/>
          <w:sz w:val="24"/>
          <w:szCs w:val="24"/>
        </w:rPr>
        <w:footnoteReference w:id="34"/>
      </w:r>
      <w:r w:rsidRPr="0063727B">
        <w:rPr>
          <w:rFonts w:ascii="Times New Roman" w:hAnsi="Times New Roman" w:cs="Times New Roman"/>
          <w:sz w:val="24"/>
          <w:szCs w:val="24"/>
        </w:rPr>
        <w:t>. Pabalstu GMI līmeņa nodrošināšanai ir tiesīgas saņemt ģimenes vai atsevišķi dzīvojošas personas, kuras atzītas par trūcīgām. Šo pabalstu aprēķina kā starpību starp Ministru kabineta vai pašvaldības noteikto GMI līmeni (2013.gadā – 35 lati mēnesī vai pašvaldības noteiktais) katram ģimenes loceklim un trūcīgas ģimenes (personas) kopējiem ienākumiem</w:t>
      </w:r>
      <w:r w:rsidRPr="0063727B">
        <w:rPr>
          <w:rStyle w:val="FootnoteReference"/>
          <w:rFonts w:ascii="Times New Roman" w:hAnsi="Times New Roman" w:cs="Times New Roman"/>
          <w:sz w:val="24"/>
          <w:szCs w:val="24"/>
        </w:rPr>
        <w:footnoteReference w:id="35"/>
      </w:r>
      <w:r w:rsidRPr="0063727B">
        <w:rPr>
          <w:rFonts w:ascii="Times New Roman" w:hAnsi="Times New Roman" w:cs="Times New Roman"/>
          <w:sz w:val="24"/>
          <w:szCs w:val="24"/>
        </w:rPr>
        <w:t xml:space="preserve">. </w:t>
      </w:r>
    </w:p>
    <w:p w:rsidR="00343AF5" w:rsidRPr="0063727B" w:rsidRDefault="00343AF5" w:rsidP="00C84BEF">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b/>
          <w:bCs/>
          <w:sz w:val="24"/>
          <w:szCs w:val="24"/>
        </w:rPr>
        <w:t>Iztikas minimuma</w:t>
      </w:r>
      <w:r w:rsidRPr="0063727B">
        <w:rPr>
          <w:rFonts w:ascii="Times New Roman" w:hAnsi="Times New Roman" w:cs="Times New Roman"/>
          <w:sz w:val="24"/>
          <w:szCs w:val="24"/>
        </w:rPr>
        <w:t xml:space="preserve"> rādītāja sasaiste ar normatīvajiem aktiem juridiski tika pārtraukta ar 2003.gadu, kad spēkā stājas Ministru kabineta noteikumi par trūcīgas personas statusu 2003.gadā</w:t>
      </w:r>
      <w:r w:rsidRPr="0063727B">
        <w:rPr>
          <w:rStyle w:val="FootnoteReference"/>
          <w:rFonts w:ascii="Times New Roman" w:hAnsi="Times New Roman" w:cs="Times New Roman"/>
          <w:sz w:val="24"/>
          <w:szCs w:val="24"/>
        </w:rPr>
        <w:footnoteReference w:id="36"/>
      </w:r>
      <w:r w:rsidRPr="0063727B">
        <w:rPr>
          <w:rFonts w:ascii="Times New Roman" w:hAnsi="Times New Roman" w:cs="Times New Roman"/>
          <w:sz w:val="24"/>
          <w:szCs w:val="24"/>
        </w:rPr>
        <w:t>, bet praksē šis rādītājs netiek ņemts vērā jau kopš 1996.gada, kad minētā gada 26.martā tika pieņemti Ministru kabineta noteikumi Nr.75 „Noteikumi par trūcīgo ģimeņu sociālās palīdzības pabalstu un trūcīgo ģimeņu materiālā stāvokļa novērtēšanu”. Attiecīgi iztikas minimumam ir tikai informatīvs raksturs, un to pamatā izmanto statistikas nolūkos, galvenokārt, plašsaziņas līdzekļos, raksturojot vai salīdzinot dažādus iedzīvotāju ienākumus. Tomēr Centrālās statistikas pārvalde šo rādītāju aprēķina, jo tas katru gadu tiek iekļauts Valsts statistiskās informācijas programmā, ko apstiprina Ministru kabinets. Pilna iztikas minimuma patēriņa preču un pakalpojumu groza lietiskais saturs un patēriņa normatīvi tika noteikti 1991.gadā, tādējādi tā nomenklatūra atspoguļo 80-to gadu beigās valdošo priekšstatu par minimālā patēriņa vajadzībām. Esošais iztikas minimuma grozs ietver pārtikas preces, nepārtikas preces un pakalpojumus, kuru apjoms nodrošināja tolaik cilvēkam sabiedrībā pieņemto minimālo iztikas līmeni, izslēdzot, tai skaitā, veselības aprūpes un izglītības pakalpojumus, kuri savukārt esošajā situācijā ir ne vien nepieciešami, bet ieņem ievērojamu izmaksu pozīciju iedzīvotāju patēriņu grozā</w:t>
      </w:r>
      <w:r w:rsidRPr="0063727B">
        <w:rPr>
          <w:rStyle w:val="FootnoteReference"/>
          <w:rFonts w:ascii="Times New Roman" w:hAnsi="Times New Roman" w:cs="Times New Roman"/>
          <w:sz w:val="24"/>
          <w:szCs w:val="24"/>
        </w:rPr>
        <w:footnoteReference w:id="37"/>
      </w:r>
      <w:r w:rsidRPr="0063727B">
        <w:rPr>
          <w:rFonts w:ascii="Times New Roman" w:hAnsi="Times New Roman" w:cs="Times New Roman"/>
          <w:sz w:val="24"/>
          <w:szCs w:val="24"/>
        </w:rPr>
        <w:t xml:space="preserve">. </w:t>
      </w:r>
    </w:p>
    <w:p w:rsidR="00343AF5" w:rsidRPr="0063727B" w:rsidRDefault="00343AF5" w:rsidP="00C84BEF">
      <w:pPr>
        <w:autoSpaceDE w:val="0"/>
        <w:autoSpaceDN w:val="0"/>
        <w:adjustRightInd w:val="0"/>
        <w:spacing w:after="0" w:line="240" w:lineRule="auto"/>
        <w:ind w:firstLine="720"/>
        <w:jc w:val="both"/>
        <w:rPr>
          <w:rStyle w:val="Strong"/>
          <w:rFonts w:ascii="Times New Roman" w:hAnsi="Times New Roman" w:cs="Times New Roman"/>
          <w:b w:val="0"/>
          <w:bCs w:val="0"/>
          <w:sz w:val="24"/>
          <w:szCs w:val="24"/>
        </w:rPr>
      </w:pPr>
      <w:r w:rsidRPr="0063727B">
        <w:rPr>
          <w:rFonts w:ascii="Times New Roman" w:hAnsi="Times New Roman" w:cs="Times New Roman"/>
          <w:sz w:val="24"/>
          <w:szCs w:val="24"/>
        </w:rPr>
        <w:t xml:space="preserve">Savukārt </w:t>
      </w:r>
      <w:r w:rsidRPr="0063727B">
        <w:rPr>
          <w:rFonts w:ascii="Times New Roman" w:hAnsi="Times New Roman" w:cs="Times New Roman"/>
          <w:b/>
          <w:bCs/>
          <w:sz w:val="24"/>
          <w:szCs w:val="24"/>
        </w:rPr>
        <w:t>nabadzības riska slieksnis</w:t>
      </w:r>
      <w:r w:rsidRPr="0063727B">
        <w:rPr>
          <w:rFonts w:ascii="Times New Roman" w:hAnsi="Times New Roman" w:cs="Times New Roman"/>
          <w:sz w:val="24"/>
          <w:szCs w:val="24"/>
        </w:rPr>
        <w:t xml:space="preserve"> ir ES rādītājs, kas aprēķināts, pamatojoties uz ES statistikas biroja Eurostat metodoloģiju - 60% no rīcībā esošo ienākumu mediānas</w:t>
      </w:r>
      <w:r w:rsidRPr="0063727B">
        <w:rPr>
          <w:rStyle w:val="FootnoteReference"/>
          <w:rFonts w:ascii="Times New Roman" w:hAnsi="Times New Roman" w:cs="Times New Roman"/>
          <w:sz w:val="24"/>
          <w:szCs w:val="24"/>
        </w:rPr>
        <w:footnoteReference w:id="38"/>
      </w:r>
      <w:r w:rsidRPr="0063727B">
        <w:rPr>
          <w:rFonts w:ascii="Times New Roman" w:hAnsi="Times New Roman" w:cs="Times New Roman"/>
          <w:sz w:val="24"/>
          <w:szCs w:val="24"/>
        </w:rPr>
        <w:t xml:space="preserve"> pārrēķinātas uz ekvivalento patērētāju. Latvijā šis rādītājs tiek izmantots kopš 2003.gada, kad tika izstrādāts viens no ES pirmsiestāšanās dokumentiem „</w:t>
      </w:r>
      <w:r w:rsidRPr="0063727B">
        <w:rPr>
          <w:rStyle w:val="Strong"/>
          <w:rFonts w:ascii="Times New Roman" w:hAnsi="Times New Roman" w:cs="Times New Roman"/>
          <w:b w:val="0"/>
          <w:bCs w:val="0"/>
          <w:sz w:val="24"/>
          <w:szCs w:val="24"/>
        </w:rPr>
        <w:t>Latvijas kopējais sociālās iekļaušanas memorands”. Arī šis rādītājs tiek izmantots statistiskiem nolūkiem un situācijas salīdzināšanai ar citām ES dalībvalstīm, bet nacionālajos tiesību aktos nav saistošs.</w:t>
      </w:r>
    </w:p>
    <w:p w:rsidR="00343AF5" w:rsidRDefault="00343AF5" w:rsidP="00D659AF">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Kā redzams </w:t>
      </w:r>
      <w:r w:rsidR="002A0EA4" w:rsidRPr="0063727B">
        <w:rPr>
          <w:rFonts w:ascii="Times New Roman" w:hAnsi="Times New Roman" w:cs="Times New Roman"/>
          <w:sz w:val="24"/>
          <w:szCs w:val="24"/>
        </w:rPr>
        <w:t>4</w:t>
      </w:r>
      <w:r w:rsidRPr="0063727B">
        <w:rPr>
          <w:rFonts w:ascii="Times New Roman" w:hAnsi="Times New Roman" w:cs="Times New Roman"/>
          <w:sz w:val="24"/>
          <w:szCs w:val="24"/>
        </w:rPr>
        <w:t>.attēlā</w:t>
      </w:r>
      <w:r w:rsidR="00CC66DC" w:rsidRPr="0063727B">
        <w:rPr>
          <w:rFonts w:ascii="Times New Roman" w:hAnsi="Times New Roman" w:cs="Times New Roman"/>
          <w:sz w:val="24"/>
          <w:szCs w:val="24"/>
        </w:rPr>
        <w:t>,</w:t>
      </w:r>
      <w:r w:rsidRPr="0063727B">
        <w:rPr>
          <w:rFonts w:ascii="Times New Roman" w:hAnsi="Times New Roman" w:cs="Times New Roman"/>
          <w:sz w:val="24"/>
          <w:szCs w:val="24"/>
        </w:rPr>
        <w:t xml:space="preserve"> Latvijā normatīvajos aktos noteiktie minimālo ienākumu sliekšņi ir ievērojami zemāki nekā pēc ES metodoloģijas aprēķinātais nabadzības riska slieksnis. Attiecīgi GMI pabalsta saņēmēji 2013.gada augustā veidoja 1,37 % no iedzīvotājiem </w:t>
      </w:r>
      <w:r w:rsidRPr="0063727B">
        <w:rPr>
          <w:rFonts w:ascii="Times New Roman" w:hAnsi="Times New Roman" w:cs="Times New Roman"/>
          <w:sz w:val="24"/>
          <w:szCs w:val="24"/>
        </w:rPr>
        <w:lastRenderedPageBreak/>
        <w:t>kopumā, trūcīgās personas – 4,16 % un zem nabadzības riska sliekšņa, kas aprēķināts atbilstoši ES metodoloģijai, 2011.agadā bija 19,</w:t>
      </w:r>
      <w:r w:rsidR="00B33142" w:rsidRPr="0063727B">
        <w:rPr>
          <w:rFonts w:ascii="Times New Roman" w:hAnsi="Times New Roman" w:cs="Times New Roman"/>
          <w:sz w:val="24"/>
          <w:szCs w:val="24"/>
        </w:rPr>
        <w:t>2</w:t>
      </w:r>
      <w:r w:rsidRPr="0063727B">
        <w:rPr>
          <w:rFonts w:ascii="Times New Roman" w:hAnsi="Times New Roman" w:cs="Times New Roman"/>
          <w:sz w:val="24"/>
          <w:szCs w:val="24"/>
        </w:rPr>
        <w:t xml:space="preserve"> % Latvijas iedzīvotāju. </w:t>
      </w:r>
    </w:p>
    <w:p w:rsidR="00343AF5" w:rsidRPr="0063727B" w:rsidRDefault="002A0EA4" w:rsidP="001C75AB">
      <w:pPr>
        <w:pStyle w:val="ListParagraph"/>
        <w:spacing w:after="0" w:line="240" w:lineRule="auto"/>
        <w:ind w:left="426" w:right="44"/>
        <w:jc w:val="right"/>
        <w:rPr>
          <w:rFonts w:ascii="Times New Roman" w:hAnsi="Times New Roman" w:cs="Times New Roman"/>
          <w:sz w:val="24"/>
          <w:szCs w:val="24"/>
        </w:rPr>
      </w:pPr>
      <w:r w:rsidRPr="0063727B">
        <w:rPr>
          <w:rFonts w:ascii="Times New Roman" w:hAnsi="Times New Roman" w:cs="Times New Roman"/>
          <w:sz w:val="24"/>
          <w:szCs w:val="24"/>
        </w:rPr>
        <w:t>4</w:t>
      </w:r>
      <w:r w:rsidR="00343AF5" w:rsidRPr="0063727B">
        <w:rPr>
          <w:rFonts w:ascii="Times New Roman" w:hAnsi="Times New Roman" w:cs="Times New Roman"/>
          <w:sz w:val="24"/>
          <w:szCs w:val="24"/>
        </w:rPr>
        <w:t>.attēls</w:t>
      </w:r>
      <w:r w:rsidR="00343AF5" w:rsidRPr="0063727B">
        <w:rPr>
          <w:rStyle w:val="FootnoteReference"/>
          <w:rFonts w:ascii="Times New Roman" w:hAnsi="Times New Roman" w:cs="Times New Roman"/>
          <w:sz w:val="24"/>
          <w:szCs w:val="24"/>
        </w:rPr>
        <w:footnoteReference w:id="39"/>
      </w:r>
    </w:p>
    <w:p w:rsidR="00343AF5" w:rsidRPr="0063727B" w:rsidRDefault="00E228F3" w:rsidP="00B10EDA">
      <w:pPr>
        <w:pStyle w:val="ListParagraph"/>
        <w:spacing w:after="0" w:line="240" w:lineRule="auto"/>
        <w:jc w:val="center"/>
        <w:rPr>
          <w:rFonts w:ascii="Times New Roman" w:hAnsi="Times New Roman" w:cs="Times New Roman"/>
          <w:sz w:val="24"/>
          <w:szCs w:val="24"/>
        </w:rPr>
      </w:pPr>
      <w:r w:rsidRPr="0063727B">
        <w:rPr>
          <w:noProof/>
          <w:lang w:eastAsia="lv-LV"/>
        </w:rPr>
        <w:drawing>
          <wp:inline distT="0" distB="0" distL="0" distR="0" wp14:anchorId="14B99875" wp14:editId="2F1A8E81">
            <wp:extent cx="4735773" cy="2593075"/>
            <wp:effectExtent l="0" t="0" r="27305" b="1714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3AF5" w:rsidRPr="0063727B" w:rsidRDefault="00343AF5" w:rsidP="006C07EE">
      <w:pPr>
        <w:pStyle w:val="ListParagraph"/>
        <w:spacing w:after="0" w:line="240" w:lineRule="auto"/>
        <w:ind w:left="1134"/>
        <w:jc w:val="both"/>
        <w:rPr>
          <w:rFonts w:ascii="Times New Roman" w:hAnsi="Times New Roman" w:cs="Times New Roman"/>
          <w:sz w:val="20"/>
          <w:szCs w:val="20"/>
        </w:rPr>
      </w:pPr>
      <w:r w:rsidRPr="0063727B">
        <w:rPr>
          <w:rFonts w:ascii="Times New Roman" w:hAnsi="Times New Roman" w:cs="Times New Roman"/>
          <w:sz w:val="20"/>
          <w:szCs w:val="20"/>
        </w:rPr>
        <w:t xml:space="preserve">* līdz 31.09.2009.GMI līmenis bija noteikts Ls 37, bet pēc minētā laika perioda tas tika diferencēts Ls 40 pilngadīgām personām un Ls 45 bērniem. </w:t>
      </w:r>
    </w:p>
    <w:p w:rsidR="00D65A0A" w:rsidRPr="0063727B" w:rsidRDefault="00D65A0A" w:rsidP="00326D69">
      <w:pPr>
        <w:autoSpaceDE w:val="0"/>
        <w:autoSpaceDN w:val="0"/>
        <w:adjustRightInd w:val="0"/>
        <w:spacing w:after="0" w:line="240" w:lineRule="auto"/>
        <w:ind w:left="414" w:firstLine="720"/>
        <w:jc w:val="both"/>
        <w:rPr>
          <w:rFonts w:ascii="Times New Roman" w:hAnsi="Times New Roman" w:cs="Times New Roman"/>
          <w:sz w:val="20"/>
          <w:szCs w:val="20"/>
        </w:rPr>
      </w:pPr>
      <w:r w:rsidRPr="0063727B">
        <w:rPr>
          <w:rFonts w:ascii="Times New Roman" w:hAnsi="Times New Roman" w:cs="Times New Roman"/>
          <w:sz w:val="20"/>
          <w:szCs w:val="20"/>
        </w:rPr>
        <w:t>Avots: Labklājības ministrija</w:t>
      </w:r>
      <w:r w:rsidR="00E228F3" w:rsidRPr="0063727B">
        <w:rPr>
          <w:rFonts w:ascii="Times New Roman" w:hAnsi="Times New Roman" w:cs="Times New Roman"/>
          <w:sz w:val="20"/>
          <w:szCs w:val="20"/>
        </w:rPr>
        <w:t xml:space="preserve"> un Centrālā statistikas pārvalde</w:t>
      </w:r>
      <w:r w:rsidR="005A2152" w:rsidRPr="0063727B">
        <w:rPr>
          <w:rFonts w:ascii="Times New Roman" w:hAnsi="Times New Roman" w:cs="Times New Roman"/>
          <w:sz w:val="20"/>
          <w:szCs w:val="20"/>
        </w:rPr>
        <w:t>.</w:t>
      </w:r>
    </w:p>
    <w:p w:rsidR="00343AF5" w:rsidRPr="0063727B" w:rsidRDefault="00343AF5" w:rsidP="00B10EDA">
      <w:pPr>
        <w:autoSpaceDE w:val="0"/>
        <w:autoSpaceDN w:val="0"/>
        <w:adjustRightInd w:val="0"/>
        <w:spacing w:after="0" w:line="240" w:lineRule="auto"/>
        <w:ind w:left="720" w:firstLine="720"/>
        <w:jc w:val="both"/>
        <w:rPr>
          <w:rFonts w:ascii="Times New Roman" w:hAnsi="Times New Roman" w:cs="Times New Roman"/>
          <w:sz w:val="24"/>
          <w:szCs w:val="24"/>
        </w:rPr>
      </w:pPr>
    </w:p>
    <w:p w:rsidR="00343AF5" w:rsidRPr="0063727B" w:rsidRDefault="00343AF5" w:rsidP="00455B88">
      <w:pPr>
        <w:autoSpaceDE w:val="0"/>
        <w:autoSpaceDN w:val="0"/>
        <w:adjustRightInd w:val="0"/>
        <w:spacing w:after="0" w:line="240" w:lineRule="auto"/>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ab/>
        <w:t xml:space="preserve">PB izvērtējumā par sociālās palīdzības sistēmu </w:t>
      </w:r>
      <w:r w:rsidRPr="0063727B">
        <w:rPr>
          <w:rFonts w:ascii="Times New Roman" w:hAnsi="Times New Roman" w:cs="Times New Roman"/>
          <w:b/>
          <w:bCs/>
          <w:sz w:val="24"/>
          <w:szCs w:val="24"/>
          <w:lang w:eastAsia="lv-LV"/>
        </w:rPr>
        <w:t>viens no</w:t>
      </w:r>
      <w:r w:rsidRPr="0063727B">
        <w:rPr>
          <w:rFonts w:ascii="Times New Roman" w:hAnsi="Times New Roman" w:cs="Times New Roman"/>
          <w:sz w:val="24"/>
          <w:szCs w:val="24"/>
          <w:lang w:eastAsia="lv-LV"/>
        </w:rPr>
        <w:t xml:space="preserve"> </w:t>
      </w:r>
      <w:r w:rsidRPr="0063727B">
        <w:rPr>
          <w:rFonts w:ascii="Times New Roman" w:hAnsi="Times New Roman" w:cs="Times New Roman"/>
          <w:b/>
          <w:bCs/>
          <w:sz w:val="24"/>
          <w:szCs w:val="24"/>
          <w:lang w:eastAsia="lv-LV"/>
        </w:rPr>
        <w:t>galvenajiem trūkumiem</w:t>
      </w:r>
      <w:r w:rsidRPr="0063727B">
        <w:rPr>
          <w:rFonts w:ascii="Times New Roman" w:hAnsi="Times New Roman" w:cs="Times New Roman"/>
          <w:sz w:val="24"/>
          <w:szCs w:val="24"/>
          <w:lang w:eastAsia="lv-LV"/>
        </w:rPr>
        <w:t xml:space="preserve"> ir norādīts </w:t>
      </w:r>
      <w:r w:rsidRPr="0063727B">
        <w:rPr>
          <w:rFonts w:ascii="Times New Roman" w:hAnsi="Times New Roman" w:cs="Times New Roman"/>
          <w:b/>
          <w:bCs/>
          <w:sz w:val="24"/>
          <w:szCs w:val="24"/>
          <w:lang w:eastAsia="lv-LV"/>
        </w:rPr>
        <w:t>GMI zemais līmenis</w:t>
      </w:r>
      <w:r w:rsidRPr="0063727B">
        <w:rPr>
          <w:rFonts w:ascii="Times New Roman" w:hAnsi="Times New Roman" w:cs="Times New Roman"/>
          <w:sz w:val="24"/>
          <w:szCs w:val="24"/>
          <w:lang w:eastAsia="lv-LV"/>
        </w:rPr>
        <w:t>, kas nav saistīts ar objektīviem minimāliem ienākumiem vai nabadzības rādītājiem. Tā rezultātā nav noteikti šo līmeņu aktualizēšanas nosacījumi, līdz ar to pabalstu reālā ietekme uz nabadzības samazināšanu būtiski mazinās. Atšķirībā no Latvijas daudzās ES dalībvalstīs minimālā nodrošinājuma shēmas (kas ir saturisks analogs GMI pabalstam) tiek veidotas, balstoties uz nabadzības sliekšņiem vai citiem minimālajiem iztikas standartiem, kas tiek aktualizēti atbilstoši darba algas vai patēriņa cenu pieaugumam</w:t>
      </w:r>
      <w:r w:rsidRPr="0063727B">
        <w:rPr>
          <w:rStyle w:val="FootnoteReference"/>
          <w:rFonts w:ascii="Times New Roman" w:hAnsi="Times New Roman" w:cs="Times New Roman"/>
          <w:sz w:val="24"/>
          <w:szCs w:val="24"/>
          <w:lang w:eastAsia="lv-LV"/>
        </w:rPr>
        <w:footnoteReference w:id="40"/>
      </w:r>
      <w:r w:rsidRPr="0063727B">
        <w:rPr>
          <w:rFonts w:ascii="Times New Roman" w:hAnsi="Times New Roman" w:cs="Times New Roman"/>
          <w:sz w:val="24"/>
          <w:szCs w:val="24"/>
          <w:lang w:eastAsia="lv-LV"/>
        </w:rPr>
        <w:t xml:space="preserve">. Pastāvot atšķirībām starp Latvijā normatīvi noteikto minimālo ienākumu slieksni, atbilstoši kuram indivīdam tiek piešķirti līdzekļi krīzes situācijā, kas ne vienmēr efektīvi uzlabo indivīda situāciju, un to minimālo ienākumu slieksni, kas noteikts, balstoties uz ES dalībvalstīs piemēroto metodoloģiju, ir galvenie iemesli, lai uzlabotu publisko resursu izlietojuma adekvātumu un efektivitāti. </w:t>
      </w:r>
    </w:p>
    <w:p w:rsidR="00343AF5" w:rsidRPr="0063727B" w:rsidRDefault="00343AF5" w:rsidP="00E97391">
      <w:p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lang w:eastAsia="lv-LV"/>
        </w:rPr>
        <w:tab/>
        <w:t xml:space="preserve">Lai nodrošinātu sociālās drošības pasākumu </w:t>
      </w:r>
      <w:proofErr w:type="spellStart"/>
      <w:r w:rsidRPr="0063727B">
        <w:rPr>
          <w:rFonts w:ascii="Times New Roman" w:hAnsi="Times New Roman" w:cs="Times New Roman"/>
          <w:sz w:val="24"/>
          <w:szCs w:val="24"/>
          <w:lang w:eastAsia="lv-LV"/>
        </w:rPr>
        <w:t>mērķētību</w:t>
      </w:r>
      <w:proofErr w:type="spellEnd"/>
      <w:r w:rsidRPr="0063727B">
        <w:rPr>
          <w:rFonts w:ascii="Times New Roman" w:hAnsi="Times New Roman" w:cs="Times New Roman"/>
          <w:sz w:val="24"/>
          <w:szCs w:val="24"/>
          <w:lang w:eastAsia="lv-LV"/>
        </w:rPr>
        <w:t xml:space="preserve"> un piedāvātu atbilstošus risinājumus efektīvai nabadzības un sociālās atstumtības mazināšanai, primārais nosacījums ir noteikt objektīviem iedzīvotāju ienākumus raksturojošiem rādītājiem piesaistītu atskaites sistēmu. </w:t>
      </w:r>
      <w:r w:rsidRPr="0063727B">
        <w:rPr>
          <w:rFonts w:ascii="Times New Roman" w:hAnsi="Times New Roman" w:cs="Times New Roman"/>
          <w:sz w:val="24"/>
          <w:szCs w:val="24"/>
        </w:rPr>
        <w:t xml:space="preserve">Tā kā tiesību aktos definētie </w:t>
      </w:r>
      <w:r w:rsidRPr="0063727B">
        <w:rPr>
          <w:rFonts w:ascii="Times New Roman" w:hAnsi="Times New Roman" w:cs="Times New Roman"/>
          <w:b/>
          <w:bCs/>
          <w:sz w:val="24"/>
          <w:szCs w:val="24"/>
        </w:rPr>
        <w:t>minimālo ienākumu sliekšņi nav pamatoti</w:t>
      </w:r>
      <w:r w:rsidRPr="0063727B">
        <w:rPr>
          <w:rFonts w:ascii="Times New Roman" w:hAnsi="Times New Roman" w:cs="Times New Roman"/>
          <w:sz w:val="24"/>
          <w:szCs w:val="24"/>
        </w:rPr>
        <w:t xml:space="preserve">, ir </w:t>
      </w:r>
      <w:r w:rsidRPr="0063727B">
        <w:rPr>
          <w:rFonts w:ascii="Times New Roman" w:hAnsi="Times New Roman" w:cs="Times New Roman"/>
          <w:sz w:val="24"/>
          <w:szCs w:val="24"/>
          <w:u w:val="single"/>
        </w:rPr>
        <w:t>nepieciešams noteikt juridiski precīzu un metodoloģiski pamatotu minimālā ienākuma slieksni</w:t>
      </w:r>
      <w:r w:rsidRPr="0063727B">
        <w:rPr>
          <w:rFonts w:ascii="Times New Roman" w:hAnsi="Times New Roman" w:cs="Times New Roman"/>
          <w:sz w:val="24"/>
          <w:szCs w:val="24"/>
        </w:rPr>
        <w:t xml:space="preserve">, kas kalpotu par pamatu turpmākā atbalsta plānošanā un novērstu sistēmas nepilnības, vienlaikus pastāvot vairākiem minimālo ienākumu sliekšņiem dažādām iedzīvotāju kategorijām. </w:t>
      </w:r>
    </w:p>
    <w:p w:rsidR="00343AF5" w:rsidRPr="0063727B" w:rsidRDefault="00343AF5" w:rsidP="006C07EE">
      <w:p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lastRenderedPageBreak/>
        <w:tab/>
        <w:t xml:space="preserve">Jāatzīmē, ka juridiski precīza un metodoloģiski pamatota minimālo ienākumu sliekšņa noteikšana ir tikai viens no sistēmas sakārtošanas posmiem, kam seko uzlabojumu plānošana sociālās palīdzības sistēmas organizācijā, lai apmierinātu indivīda ikdienas vajadzības un </w:t>
      </w:r>
      <w:r w:rsidR="00454D66" w:rsidRPr="0063727B">
        <w:rPr>
          <w:rFonts w:ascii="Times New Roman" w:hAnsi="Times New Roman" w:cs="Times New Roman"/>
          <w:sz w:val="24"/>
          <w:szCs w:val="24"/>
        </w:rPr>
        <w:t xml:space="preserve">attīstītu </w:t>
      </w:r>
      <w:r w:rsidRPr="0063727B">
        <w:rPr>
          <w:rFonts w:ascii="Times New Roman" w:hAnsi="Times New Roman" w:cs="Times New Roman"/>
          <w:sz w:val="24"/>
          <w:szCs w:val="24"/>
        </w:rPr>
        <w:t>indivīda spējas un vēlmi atgriezties pie ienākumu gūšanas no algota darba.</w:t>
      </w:r>
    </w:p>
    <w:p w:rsidR="006D00F8" w:rsidRPr="0063727B" w:rsidRDefault="00343AF5" w:rsidP="006C07EE">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Lai izvērtētu, kura pieeja ir piemērotākā, nosakot metodoloģiski pamatotu minimālo ienākumu slieksni, </w:t>
      </w:r>
      <w:r w:rsidR="002A0EA4" w:rsidRPr="0063727B">
        <w:rPr>
          <w:rFonts w:ascii="Times New Roman" w:hAnsi="Times New Roman" w:cs="Times New Roman"/>
          <w:sz w:val="24"/>
          <w:szCs w:val="24"/>
        </w:rPr>
        <w:t>3.</w:t>
      </w:r>
      <w:r w:rsidRPr="0063727B">
        <w:rPr>
          <w:rFonts w:ascii="Times New Roman" w:hAnsi="Times New Roman" w:cs="Times New Roman"/>
          <w:sz w:val="24"/>
          <w:szCs w:val="24"/>
        </w:rPr>
        <w:t>tabulā ir atspoguļotas divu tradicionālo nabadzības mērīšanas pieeju</w:t>
      </w:r>
      <w:r w:rsidRPr="0063727B">
        <w:rPr>
          <w:rStyle w:val="FootnoteReference"/>
          <w:rFonts w:ascii="Times New Roman" w:hAnsi="Times New Roman" w:cs="Times New Roman"/>
          <w:sz w:val="24"/>
          <w:szCs w:val="24"/>
        </w:rPr>
        <w:footnoteReference w:id="41"/>
      </w:r>
      <w:r w:rsidRPr="0063727B">
        <w:rPr>
          <w:rFonts w:ascii="Times New Roman" w:hAnsi="Times New Roman" w:cs="Times New Roman"/>
          <w:sz w:val="24"/>
          <w:szCs w:val="24"/>
        </w:rPr>
        <w:t xml:space="preserve"> stiprās un vājās puses</w:t>
      </w:r>
      <w:r w:rsidRPr="0063727B">
        <w:rPr>
          <w:rStyle w:val="FootnoteReference"/>
          <w:rFonts w:ascii="Times New Roman" w:hAnsi="Times New Roman" w:cs="Times New Roman"/>
          <w:sz w:val="24"/>
          <w:szCs w:val="24"/>
        </w:rPr>
        <w:footnoteReference w:id="42"/>
      </w:r>
      <w:r w:rsidRPr="0063727B">
        <w:rPr>
          <w:rFonts w:ascii="Times New Roman" w:hAnsi="Times New Roman" w:cs="Times New Roman"/>
          <w:sz w:val="24"/>
          <w:szCs w:val="24"/>
        </w:rPr>
        <w:t xml:space="preserve">. </w:t>
      </w:r>
    </w:p>
    <w:p w:rsidR="00343AF5" w:rsidRPr="0063727B" w:rsidRDefault="002A0EA4" w:rsidP="006C07EE">
      <w:pPr>
        <w:autoSpaceDE w:val="0"/>
        <w:autoSpaceDN w:val="0"/>
        <w:adjustRightInd w:val="0"/>
        <w:spacing w:after="0" w:line="240" w:lineRule="auto"/>
        <w:ind w:firstLine="720"/>
        <w:jc w:val="right"/>
        <w:rPr>
          <w:rFonts w:ascii="Times New Roman" w:hAnsi="Times New Roman" w:cs="Times New Roman"/>
          <w:sz w:val="24"/>
          <w:szCs w:val="24"/>
        </w:rPr>
      </w:pPr>
      <w:r w:rsidRPr="0063727B">
        <w:rPr>
          <w:rFonts w:ascii="Times New Roman" w:hAnsi="Times New Roman" w:cs="Times New Roman"/>
          <w:sz w:val="24"/>
          <w:szCs w:val="24"/>
        </w:rPr>
        <w:t>3</w:t>
      </w:r>
      <w:r w:rsidR="00343AF5" w:rsidRPr="0063727B">
        <w:rPr>
          <w:rFonts w:ascii="Times New Roman" w:hAnsi="Times New Roman" w:cs="Times New Roman"/>
          <w:sz w:val="24"/>
          <w:szCs w:val="24"/>
        </w:rPr>
        <w:t xml:space="preserve">.tabula </w:t>
      </w:r>
    </w:p>
    <w:p w:rsidR="00343AF5" w:rsidRPr="0063727B" w:rsidRDefault="00343AF5" w:rsidP="006C07EE">
      <w:pPr>
        <w:autoSpaceDE w:val="0"/>
        <w:autoSpaceDN w:val="0"/>
        <w:adjustRightInd w:val="0"/>
        <w:spacing w:before="120" w:after="120" w:line="240" w:lineRule="auto"/>
        <w:ind w:firstLine="720"/>
        <w:jc w:val="center"/>
        <w:rPr>
          <w:rFonts w:ascii="Times New Roman" w:hAnsi="Times New Roman" w:cs="Times New Roman"/>
          <w:b/>
          <w:bCs/>
          <w:sz w:val="24"/>
          <w:szCs w:val="24"/>
        </w:rPr>
      </w:pPr>
      <w:r w:rsidRPr="0063727B">
        <w:rPr>
          <w:rFonts w:ascii="Times New Roman" w:hAnsi="Times New Roman" w:cs="Times New Roman"/>
          <w:b/>
          <w:bCs/>
          <w:sz w:val="24"/>
          <w:szCs w:val="24"/>
        </w:rPr>
        <w:t>Absolūtās un relatīvā</w:t>
      </w:r>
      <w:r w:rsidR="00B748F0" w:rsidRPr="0063727B">
        <w:rPr>
          <w:rFonts w:ascii="Times New Roman" w:hAnsi="Times New Roman" w:cs="Times New Roman"/>
          <w:b/>
          <w:bCs/>
          <w:sz w:val="24"/>
          <w:szCs w:val="24"/>
        </w:rPr>
        <w:t>s</w:t>
      </w:r>
      <w:r w:rsidRPr="0063727B">
        <w:rPr>
          <w:rFonts w:ascii="Times New Roman" w:hAnsi="Times New Roman" w:cs="Times New Roman"/>
          <w:b/>
          <w:bCs/>
          <w:sz w:val="24"/>
          <w:szCs w:val="24"/>
        </w:rPr>
        <w:t xml:space="preserve"> nabadzības mērīšanas pieeju stiprās un vājas puses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831"/>
        <w:gridCol w:w="3832"/>
      </w:tblGrid>
      <w:tr w:rsidR="0063727B" w:rsidRPr="0063727B">
        <w:tc>
          <w:tcPr>
            <w:tcW w:w="1526" w:type="dxa"/>
            <w:shd w:val="clear" w:color="auto" w:fill="D9D9D9"/>
          </w:tcPr>
          <w:p w:rsidR="00343AF5" w:rsidRPr="0063727B" w:rsidRDefault="000F4990" w:rsidP="000F4990">
            <w:pPr>
              <w:autoSpaceDE w:val="0"/>
              <w:autoSpaceDN w:val="0"/>
              <w:adjustRightInd w:val="0"/>
              <w:spacing w:before="120" w:after="120" w:line="240" w:lineRule="auto"/>
              <w:jc w:val="center"/>
              <w:rPr>
                <w:rFonts w:ascii="Times New Roman" w:hAnsi="Times New Roman" w:cs="Times New Roman"/>
              </w:rPr>
            </w:pPr>
            <w:r w:rsidRPr="0063727B">
              <w:rPr>
                <w:rFonts w:ascii="Times New Roman" w:hAnsi="Times New Roman" w:cs="Times New Roman"/>
              </w:rPr>
              <w:t xml:space="preserve">Pieeja </w:t>
            </w:r>
          </w:p>
        </w:tc>
        <w:tc>
          <w:tcPr>
            <w:tcW w:w="3832" w:type="dxa"/>
            <w:shd w:val="clear" w:color="auto" w:fill="D9D9D9"/>
          </w:tcPr>
          <w:p w:rsidR="00343AF5" w:rsidRPr="0063727B" w:rsidRDefault="00343AF5" w:rsidP="000F4990">
            <w:pPr>
              <w:autoSpaceDE w:val="0"/>
              <w:autoSpaceDN w:val="0"/>
              <w:adjustRightInd w:val="0"/>
              <w:spacing w:before="120" w:after="120" w:line="240" w:lineRule="auto"/>
              <w:jc w:val="center"/>
              <w:rPr>
                <w:rFonts w:ascii="Times New Roman" w:hAnsi="Times New Roman" w:cs="Times New Roman"/>
                <w:bCs/>
              </w:rPr>
            </w:pPr>
            <w:r w:rsidRPr="0063727B">
              <w:rPr>
                <w:rFonts w:ascii="Times New Roman" w:hAnsi="Times New Roman" w:cs="Times New Roman"/>
                <w:bCs/>
              </w:rPr>
              <w:t>Stiprās puses</w:t>
            </w:r>
          </w:p>
        </w:tc>
        <w:tc>
          <w:tcPr>
            <w:tcW w:w="3833" w:type="dxa"/>
            <w:shd w:val="clear" w:color="auto" w:fill="D9D9D9"/>
          </w:tcPr>
          <w:p w:rsidR="00343AF5" w:rsidRPr="0063727B" w:rsidRDefault="00343AF5" w:rsidP="000F4990">
            <w:pPr>
              <w:autoSpaceDE w:val="0"/>
              <w:autoSpaceDN w:val="0"/>
              <w:adjustRightInd w:val="0"/>
              <w:spacing w:before="120" w:after="120" w:line="240" w:lineRule="auto"/>
              <w:jc w:val="center"/>
              <w:rPr>
                <w:rFonts w:ascii="Times New Roman" w:hAnsi="Times New Roman" w:cs="Times New Roman"/>
                <w:bCs/>
              </w:rPr>
            </w:pPr>
            <w:r w:rsidRPr="0063727B">
              <w:rPr>
                <w:rFonts w:ascii="Times New Roman" w:hAnsi="Times New Roman" w:cs="Times New Roman"/>
                <w:bCs/>
              </w:rPr>
              <w:t>Vājās puses</w:t>
            </w:r>
          </w:p>
        </w:tc>
      </w:tr>
      <w:tr w:rsidR="0063727B" w:rsidRPr="0063727B">
        <w:tc>
          <w:tcPr>
            <w:tcW w:w="1526" w:type="dxa"/>
            <w:vMerge w:val="restart"/>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r w:rsidRPr="0063727B">
              <w:rPr>
                <w:rFonts w:ascii="Times New Roman" w:hAnsi="Times New Roman" w:cs="Times New Roman"/>
              </w:rPr>
              <w:t>Absolūtā nabadzība</w:t>
            </w:r>
            <w:r w:rsidRPr="0063727B">
              <w:rPr>
                <w:rStyle w:val="FootnoteReference"/>
                <w:rFonts w:ascii="Times New Roman" w:hAnsi="Times New Roman" w:cs="Times New Roman"/>
              </w:rPr>
              <w:footnoteReference w:id="43"/>
            </w:r>
            <w:r w:rsidRPr="0063727B">
              <w:rPr>
                <w:rFonts w:ascii="Times New Roman" w:hAnsi="Times New Roman" w:cs="Times New Roman"/>
              </w:rPr>
              <w:t xml:space="preserve"> </w:t>
            </w:r>
          </w:p>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vMerge w:val="restart"/>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 xml:space="preserve">Ir noteikts atbilstošs patēriņam nepieciešamais preču kopums </w:t>
            </w: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p w:rsidR="00B748F0" w:rsidRPr="0063727B" w:rsidRDefault="00B748F0" w:rsidP="00680760">
            <w:pPr>
              <w:autoSpaceDE w:val="0"/>
              <w:autoSpaceDN w:val="0"/>
              <w:adjustRightInd w:val="0"/>
              <w:spacing w:after="0" w:line="240" w:lineRule="auto"/>
              <w:jc w:val="both"/>
              <w:rPr>
                <w:rFonts w:ascii="Times New Roman" w:hAnsi="Times New Roman" w:cs="Times New Roman"/>
              </w:rPr>
            </w:pPr>
          </w:p>
        </w:tc>
        <w:tc>
          <w:tcPr>
            <w:tcW w:w="3833"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Noteiktu preču un pakalpojumu pieprasījums, balstoties uz iedzīvotāju vajadzībām, var mainīties neatkarīgi no labklājības līmeņa izmaiņām</w:t>
            </w:r>
          </w:p>
        </w:tc>
      </w:tr>
      <w:tr w:rsidR="0063727B" w:rsidRPr="0063727B">
        <w:tc>
          <w:tcPr>
            <w:tcW w:w="1526" w:type="dxa"/>
            <w:vMerge/>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vMerge/>
          </w:tcPr>
          <w:p w:rsidR="00343AF5" w:rsidRPr="0063727B" w:rsidRDefault="00343AF5" w:rsidP="00680760">
            <w:pPr>
              <w:autoSpaceDE w:val="0"/>
              <w:autoSpaceDN w:val="0"/>
              <w:adjustRightInd w:val="0"/>
              <w:spacing w:after="0" w:line="240" w:lineRule="auto"/>
              <w:ind w:left="720"/>
              <w:jc w:val="both"/>
              <w:rPr>
                <w:rFonts w:ascii="Times New Roman" w:hAnsi="Times New Roman" w:cs="Times New Roman"/>
              </w:rPr>
            </w:pPr>
          </w:p>
        </w:tc>
        <w:tc>
          <w:tcPr>
            <w:tcW w:w="3833"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 xml:space="preserve">Vienots preču un pakalpojumu kopums neņem vērā dažādu iedzīvotāju grupu atšķirīgās vajadzības, piemēram, pēc vecuma, veselības stāvokļa u.c. </w:t>
            </w:r>
          </w:p>
        </w:tc>
      </w:tr>
      <w:tr w:rsidR="0063727B" w:rsidRPr="0063727B">
        <w:tc>
          <w:tcPr>
            <w:tcW w:w="1526" w:type="dxa"/>
            <w:vMerge/>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vMerge/>
          </w:tcPr>
          <w:p w:rsidR="00343AF5" w:rsidRPr="0063727B" w:rsidRDefault="00343AF5" w:rsidP="00680760">
            <w:pPr>
              <w:autoSpaceDE w:val="0"/>
              <w:autoSpaceDN w:val="0"/>
              <w:adjustRightInd w:val="0"/>
              <w:spacing w:after="0" w:line="240" w:lineRule="auto"/>
              <w:ind w:left="720"/>
              <w:jc w:val="both"/>
              <w:rPr>
                <w:rFonts w:ascii="Times New Roman" w:hAnsi="Times New Roman" w:cs="Times New Roman"/>
              </w:rPr>
            </w:pPr>
          </w:p>
        </w:tc>
        <w:tc>
          <w:tcPr>
            <w:tcW w:w="3833"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 xml:space="preserve">Nepieciešama regulāra groza pārskatīšana </w:t>
            </w:r>
          </w:p>
        </w:tc>
      </w:tr>
      <w:tr w:rsidR="0063727B" w:rsidRPr="0063727B">
        <w:tc>
          <w:tcPr>
            <w:tcW w:w="1526" w:type="dxa"/>
            <w:vMerge/>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vMerge/>
          </w:tcPr>
          <w:p w:rsidR="00343AF5" w:rsidRPr="0063727B" w:rsidRDefault="00343AF5" w:rsidP="00680760">
            <w:pPr>
              <w:autoSpaceDE w:val="0"/>
              <w:autoSpaceDN w:val="0"/>
              <w:adjustRightInd w:val="0"/>
              <w:spacing w:after="0" w:line="240" w:lineRule="auto"/>
              <w:ind w:left="720"/>
              <w:jc w:val="both"/>
              <w:rPr>
                <w:rFonts w:ascii="Times New Roman" w:hAnsi="Times New Roman" w:cs="Times New Roman"/>
              </w:rPr>
            </w:pPr>
          </w:p>
        </w:tc>
        <w:tc>
          <w:tcPr>
            <w:tcW w:w="3833"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Piemēro pamatā jaunattīstības valstīs</w:t>
            </w:r>
          </w:p>
        </w:tc>
      </w:tr>
      <w:tr w:rsidR="0063727B" w:rsidRPr="0063727B">
        <w:tc>
          <w:tcPr>
            <w:tcW w:w="1526" w:type="dxa"/>
            <w:vMerge w:val="restart"/>
          </w:tcPr>
          <w:p w:rsidR="00B748F0" w:rsidRPr="0063727B" w:rsidRDefault="00343AF5" w:rsidP="00680760">
            <w:pPr>
              <w:autoSpaceDE w:val="0"/>
              <w:autoSpaceDN w:val="0"/>
              <w:adjustRightInd w:val="0"/>
              <w:spacing w:before="120" w:after="120" w:line="240" w:lineRule="auto"/>
              <w:jc w:val="both"/>
              <w:rPr>
                <w:rFonts w:ascii="Times New Roman" w:hAnsi="Times New Roman" w:cs="Times New Roman"/>
              </w:rPr>
            </w:pPr>
            <w:r w:rsidRPr="0063727B">
              <w:rPr>
                <w:rFonts w:ascii="Times New Roman" w:hAnsi="Times New Roman" w:cs="Times New Roman"/>
              </w:rPr>
              <w:t xml:space="preserve">Relatīvā </w:t>
            </w:r>
          </w:p>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r w:rsidRPr="0063727B">
              <w:rPr>
                <w:rFonts w:ascii="Times New Roman" w:hAnsi="Times New Roman" w:cs="Times New Roman"/>
              </w:rPr>
              <w:t>nabadzība</w:t>
            </w:r>
            <w:r w:rsidRPr="0063727B">
              <w:rPr>
                <w:rStyle w:val="FootnoteReference"/>
                <w:rFonts w:ascii="Times New Roman" w:hAnsi="Times New Roman" w:cs="Times New Roman"/>
              </w:rPr>
              <w:footnoteReference w:id="44"/>
            </w:r>
            <w:r w:rsidRPr="0063727B">
              <w:rPr>
                <w:rFonts w:ascii="Times New Roman" w:hAnsi="Times New Roman" w:cs="Times New Roman"/>
              </w:rPr>
              <w:t xml:space="preserve"> </w:t>
            </w:r>
          </w:p>
        </w:tc>
        <w:tc>
          <w:tcPr>
            <w:tcW w:w="3832"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Cilvēki savus ienākumus novērtē relatīvi pēc vidējiem ienākumiem valstī, attiecīgi nabadzības līnija tiek uztverta kā atbilstošs nabadzības mērījums</w:t>
            </w:r>
          </w:p>
        </w:tc>
        <w:tc>
          <w:tcPr>
            <w:tcW w:w="3833" w:type="dxa"/>
            <w:vMerge w:val="restart"/>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 xml:space="preserve">Rādītāja pretrunīgā interpretācija tā relativitātes dēļ </w:t>
            </w:r>
          </w:p>
        </w:tc>
      </w:tr>
      <w:tr w:rsidR="0063727B" w:rsidRPr="0063727B">
        <w:tc>
          <w:tcPr>
            <w:tcW w:w="1526" w:type="dxa"/>
            <w:vMerge/>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Nabadzības līnija ietver atšķirīgas, katram indivīdam atbilstošas izmaksas (indivīdam nav jāvadās pēc konkrētām patēriņa precēm un pakalpojumiem, bet patērē to, ko uzskata par nepieciešamu)</w:t>
            </w:r>
          </w:p>
        </w:tc>
        <w:tc>
          <w:tcPr>
            <w:tcW w:w="3833" w:type="dxa"/>
            <w:vMerge/>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p>
        </w:tc>
      </w:tr>
      <w:tr w:rsidR="0063727B" w:rsidRPr="0063727B">
        <w:trPr>
          <w:trHeight w:val="331"/>
        </w:trPr>
        <w:tc>
          <w:tcPr>
            <w:tcW w:w="1526" w:type="dxa"/>
            <w:vMerge/>
          </w:tcPr>
          <w:p w:rsidR="00343AF5" w:rsidRPr="0063727B" w:rsidRDefault="00343AF5" w:rsidP="00680760">
            <w:pPr>
              <w:autoSpaceDE w:val="0"/>
              <w:autoSpaceDN w:val="0"/>
              <w:adjustRightInd w:val="0"/>
              <w:spacing w:before="120" w:after="120" w:line="240" w:lineRule="auto"/>
              <w:jc w:val="both"/>
              <w:rPr>
                <w:rFonts w:ascii="Times New Roman" w:hAnsi="Times New Roman" w:cs="Times New Roman"/>
              </w:rPr>
            </w:pPr>
          </w:p>
        </w:tc>
        <w:tc>
          <w:tcPr>
            <w:tcW w:w="3832" w:type="dxa"/>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r w:rsidRPr="0063727B">
              <w:rPr>
                <w:rFonts w:ascii="Times New Roman" w:hAnsi="Times New Roman" w:cs="Times New Roman"/>
              </w:rPr>
              <w:t>Piemēro pamatā attīstītajās valstīs</w:t>
            </w:r>
          </w:p>
        </w:tc>
        <w:tc>
          <w:tcPr>
            <w:tcW w:w="3833" w:type="dxa"/>
            <w:vMerge/>
          </w:tcPr>
          <w:p w:rsidR="00343AF5" w:rsidRPr="0063727B" w:rsidRDefault="00343AF5" w:rsidP="00680760">
            <w:pPr>
              <w:autoSpaceDE w:val="0"/>
              <w:autoSpaceDN w:val="0"/>
              <w:adjustRightInd w:val="0"/>
              <w:spacing w:after="0" w:line="240" w:lineRule="auto"/>
              <w:jc w:val="both"/>
              <w:rPr>
                <w:rFonts w:ascii="Times New Roman" w:hAnsi="Times New Roman" w:cs="Times New Roman"/>
              </w:rPr>
            </w:pPr>
          </w:p>
        </w:tc>
      </w:tr>
    </w:tbl>
    <w:p w:rsidR="00343AF5" w:rsidRPr="0063727B" w:rsidRDefault="006742C1" w:rsidP="00D95DED">
      <w:pPr>
        <w:autoSpaceDE w:val="0"/>
        <w:autoSpaceDN w:val="0"/>
        <w:adjustRightInd w:val="0"/>
        <w:spacing w:after="0" w:line="240" w:lineRule="auto"/>
        <w:ind w:firstLine="720"/>
        <w:jc w:val="both"/>
        <w:rPr>
          <w:rFonts w:ascii="Times New Roman" w:hAnsi="Times New Roman" w:cs="Times New Roman"/>
          <w:sz w:val="20"/>
          <w:szCs w:val="20"/>
        </w:rPr>
      </w:pPr>
      <w:r w:rsidRPr="0063727B">
        <w:rPr>
          <w:rFonts w:ascii="Times New Roman" w:hAnsi="Times New Roman" w:cs="Times New Roman"/>
          <w:sz w:val="20"/>
          <w:szCs w:val="20"/>
        </w:rPr>
        <w:t>Avots: Labklājības ministrija</w:t>
      </w:r>
      <w:r w:rsidR="005A2152" w:rsidRPr="0063727B">
        <w:rPr>
          <w:rFonts w:ascii="Times New Roman" w:hAnsi="Times New Roman" w:cs="Times New Roman"/>
          <w:sz w:val="20"/>
          <w:szCs w:val="20"/>
        </w:rPr>
        <w:t>.</w:t>
      </w:r>
    </w:p>
    <w:p w:rsidR="00343AF5" w:rsidRPr="0063727B" w:rsidRDefault="00343AF5" w:rsidP="00D83E0B">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0F4990" w:rsidP="00B36CE0">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lastRenderedPageBreak/>
        <w:t>Kā redzams</w:t>
      </w:r>
      <w:r w:rsidR="00343AF5" w:rsidRPr="0063727B">
        <w:rPr>
          <w:rFonts w:ascii="Times New Roman" w:hAnsi="Times New Roman" w:cs="Times New Roman"/>
          <w:sz w:val="24"/>
          <w:szCs w:val="24"/>
        </w:rPr>
        <w:t xml:space="preserve"> absolūtajai nabadzības pieejai ir raksturīgi vairāki trūkumi nekā relatīvajai. Tā kā Latvijā aprēķinātais iztikas minimuma rādītājs ir saturiski novecojis un viens patēriņa grozs nevar tikt adekvāti piemērots dažādiem mājsaimniecību tipiem, tad, izvēloties šo rādītāju kā atskaites punktu, būtu nepieciešams būtiski metodoloģiski pārstrādāt preču un pakalpojumu grozu atbilstoši dažādiem mājsaimniecības tipiem, to struktūrai, kā arī citiem nosacījumiem, kas var ietekmēt to patēriņa izdevumus (piemēram, hroniski slimojoši apgādājamie ģimenes locekļi, personas ar invaliditāti, skolas vecuma bērni u.c.). Turklāt vienmēr ir diskutējams jautājums par šajā grozā iekļauto preču un pakalpojumu apjomu un atbilstību mājsaimniecību vajadzībām, nosacījumiem izmaiņu veikšanai un rādītāja aktualizēšanai. Relatīvās nabadzības rādītājs</w:t>
      </w:r>
      <w:r w:rsidR="00343AF5" w:rsidRPr="0063727B">
        <w:rPr>
          <w:rFonts w:ascii="Times New Roman" w:hAnsi="Times New Roman" w:cs="Times New Roman"/>
          <w:sz w:val="24"/>
          <w:szCs w:val="24"/>
          <w:lang w:eastAsia="lv-LV"/>
        </w:rPr>
        <w:t xml:space="preserve"> objektīvāk atspoguļo iedzīvotāju ienākumus, jo ietver dažādas indivīdam nepieciešamās preces un pakalpojumus un tas ir piesaistīts iedzīvotāju reālajiem ienākumiem, taču kā relatīvs rādītājs nereti var būt pretrunīgi vērtējams attiecībā pret absolūtajiem rādītājiem, piemēram, </w:t>
      </w:r>
      <w:r w:rsidR="00343AF5" w:rsidRPr="0063727B">
        <w:rPr>
          <w:rFonts w:ascii="Times New Roman" w:hAnsi="Times New Roman" w:cs="Times New Roman"/>
          <w:sz w:val="24"/>
          <w:szCs w:val="24"/>
        </w:rPr>
        <w:t xml:space="preserve">ekonomiskās izaugsmes laikā vidējie vai mediānas ienākumi palielinās, bet atsevišķu iedzīvotāju grupu ienākumi (pamatā iedzīvotājiem ar zemiem ienākumiem) saglābjas nemainīgi, kas galvenokārt saistāms ar ienākumu nevienlīdzību. Attiecīgi šī rādītāja interpretācija nereti prasa detalizētu ienākumu situācijas analīzi, lai izdarītu konkrētus secinājumus. </w:t>
      </w:r>
    </w:p>
    <w:p w:rsidR="00343AF5" w:rsidRPr="0063727B" w:rsidRDefault="00343AF5" w:rsidP="00B36CE0">
      <w:pPr>
        <w:autoSpaceDE w:val="0"/>
        <w:autoSpaceDN w:val="0"/>
        <w:adjustRightInd w:val="0"/>
        <w:spacing w:after="0" w:line="240" w:lineRule="auto"/>
        <w:ind w:firstLine="720"/>
        <w:jc w:val="both"/>
        <w:rPr>
          <w:rFonts w:ascii="Times New Roman" w:hAnsi="Times New Roman" w:cs="Times New Roman"/>
        </w:rPr>
      </w:pPr>
      <w:r w:rsidRPr="0063727B">
        <w:rPr>
          <w:rFonts w:ascii="Times New Roman" w:hAnsi="Times New Roman" w:cs="Times New Roman"/>
          <w:sz w:val="24"/>
          <w:szCs w:val="24"/>
        </w:rPr>
        <w:t xml:space="preserve"> </w:t>
      </w:r>
    </w:p>
    <w:p w:rsidR="00343AF5" w:rsidRPr="0063727B" w:rsidRDefault="00343AF5" w:rsidP="00277DC0">
      <w:pPr>
        <w:autoSpaceDE w:val="0"/>
        <w:autoSpaceDN w:val="0"/>
        <w:adjustRightInd w:val="0"/>
        <w:spacing w:after="0" w:line="240" w:lineRule="auto"/>
        <w:ind w:firstLine="720"/>
        <w:jc w:val="both"/>
        <w:rPr>
          <w:rFonts w:ascii="Times New Roman" w:hAnsi="Times New Roman" w:cs="Times New Roman"/>
          <w:b/>
          <w:bCs/>
          <w:sz w:val="24"/>
          <w:szCs w:val="24"/>
          <w:u w:val="single"/>
        </w:rPr>
      </w:pPr>
      <w:r w:rsidRPr="0063727B">
        <w:rPr>
          <w:rFonts w:ascii="Times New Roman" w:hAnsi="Times New Roman" w:cs="Times New Roman"/>
          <w:b/>
          <w:bCs/>
          <w:sz w:val="24"/>
          <w:szCs w:val="24"/>
        </w:rPr>
        <w:t>Būtiskākie secinājumi un iespējamie problēmu risinājumi:</w:t>
      </w:r>
    </w:p>
    <w:p w:rsidR="000F4990" w:rsidRPr="0063727B" w:rsidRDefault="006742C1" w:rsidP="009A1501">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63727B">
        <w:rPr>
          <w:rFonts w:ascii="Times New Roman" w:hAnsi="Times New Roman" w:cs="Times New Roman"/>
          <w:sz w:val="24"/>
          <w:szCs w:val="24"/>
        </w:rPr>
        <w:t>n</w:t>
      </w:r>
      <w:r w:rsidR="000F4990" w:rsidRPr="0063727B">
        <w:rPr>
          <w:rFonts w:ascii="Times New Roman" w:hAnsi="Times New Roman" w:cs="Times New Roman"/>
          <w:sz w:val="24"/>
          <w:szCs w:val="24"/>
        </w:rPr>
        <w:t>ormatīvajos aktos definētie nabadzības jeb minimālo ienākumu sliekšņi nav pamatoti un nav saistīti ar rādītājiem, kas raksturotu iedzīvotāju situāciju;</w:t>
      </w:r>
    </w:p>
    <w:p w:rsidR="000F4990" w:rsidRPr="0063727B" w:rsidRDefault="006742C1" w:rsidP="009A1501">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63727B">
        <w:rPr>
          <w:rFonts w:ascii="Times New Roman" w:hAnsi="Times New Roman" w:cs="Times New Roman"/>
          <w:sz w:val="24"/>
          <w:szCs w:val="24"/>
          <w:lang w:eastAsia="lv-LV"/>
        </w:rPr>
        <w:t>l</w:t>
      </w:r>
      <w:r w:rsidR="000F4990" w:rsidRPr="0063727B">
        <w:rPr>
          <w:rFonts w:ascii="Times New Roman" w:hAnsi="Times New Roman" w:cs="Times New Roman"/>
          <w:sz w:val="24"/>
          <w:szCs w:val="24"/>
          <w:lang w:eastAsia="lv-LV"/>
        </w:rPr>
        <w:t xml:space="preserve">ai nodrošinātu sociālās drošības pasākumu </w:t>
      </w:r>
      <w:proofErr w:type="spellStart"/>
      <w:r w:rsidR="000F4990" w:rsidRPr="0063727B">
        <w:rPr>
          <w:rFonts w:ascii="Times New Roman" w:hAnsi="Times New Roman" w:cs="Times New Roman"/>
          <w:sz w:val="24"/>
          <w:szCs w:val="24"/>
          <w:lang w:eastAsia="lv-LV"/>
        </w:rPr>
        <w:t>mērķētību</w:t>
      </w:r>
      <w:proofErr w:type="spellEnd"/>
      <w:r w:rsidR="000F4990" w:rsidRPr="0063727B">
        <w:rPr>
          <w:rFonts w:ascii="Times New Roman" w:hAnsi="Times New Roman" w:cs="Times New Roman"/>
          <w:sz w:val="24"/>
          <w:szCs w:val="24"/>
          <w:lang w:eastAsia="lv-LV"/>
        </w:rPr>
        <w:t xml:space="preserve"> un piedāvātu atbilstošus risinājumus efektīvai nabadzības un sociālās atstumtības mazināšanai, </w:t>
      </w:r>
      <w:r w:rsidRPr="0063727B">
        <w:rPr>
          <w:rFonts w:ascii="Times New Roman" w:hAnsi="Times New Roman" w:cs="Times New Roman"/>
          <w:sz w:val="24"/>
          <w:szCs w:val="24"/>
          <w:lang w:eastAsia="lv-LV"/>
        </w:rPr>
        <w:t>ir nepieciešams</w:t>
      </w:r>
      <w:r w:rsidR="000F4990" w:rsidRPr="0063727B">
        <w:rPr>
          <w:rFonts w:ascii="Times New Roman" w:hAnsi="Times New Roman" w:cs="Times New Roman"/>
          <w:sz w:val="24"/>
          <w:szCs w:val="24"/>
          <w:lang w:eastAsia="lv-LV"/>
        </w:rPr>
        <w:t xml:space="preserve"> noteikt objektīviem iedzīvotāju ienākumus raksturojošiem rādītājiem piesaistītu atskaites sistēmu; </w:t>
      </w:r>
    </w:p>
    <w:p w:rsidR="00343AF5" w:rsidRPr="0063727B" w:rsidRDefault="006742C1" w:rsidP="00861C2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u w:val="single"/>
        </w:rPr>
      </w:pPr>
      <w:r w:rsidRPr="0063727B">
        <w:rPr>
          <w:rFonts w:ascii="Times New Roman" w:hAnsi="Times New Roman" w:cs="Times New Roman"/>
          <w:sz w:val="24"/>
          <w:szCs w:val="24"/>
        </w:rPr>
        <w:t>atskaites sistēmas izveidošanai ir jānosaka</w:t>
      </w:r>
      <w:r w:rsidR="000F4990" w:rsidRPr="0063727B">
        <w:rPr>
          <w:rFonts w:ascii="Times New Roman" w:hAnsi="Times New Roman" w:cs="Times New Roman"/>
          <w:sz w:val="24"/>
          <w:szCs w:val="24"/>
        </w:rPr>
        <w:t xml:space="preserve"> </w:t>
      </w:r>
      <w:r w:rsidRPr="0063727B">
        <w:rPr>
          <w:rFonts w:ascii="Times New Roman" w:hAnsi="Times New Roman" w:cs="Times New Roman"/>
          <w:sz w:val="24"/>
          <w:szCs w:val="24"/>
        </w:rPr>
        <w:t>metodoloģiski pamatots</w:t>
      </w:r>
      <w:r w:rsidR="000F4990" w:rsidRPr="0063727B">
        <w:rPr>
          <w:rFonts w:ascii="Times New Roman" w:hAnsi="Times New Roman" w:cs="Times New Roman"/>
          <w:sz w:val="24"/>
          <w:szCs w:val="24"/>
        </w:rPr>
        <w:t xml:space="preserve"> minimālā ienākuma slieksni</w:t>
      </w:r>
      <w:r w:rsidRPr="0063727B">
        <w:rPr>
          <w:rFonts w:ascii="Times New Roman" w:hAnsi="Times New Roman" w:cs="Times New Roman"/>
          <w:sz w:val="24"/>
          <w:szCs w:val="24"/>
        </w:rPr>
        <w:t>s, ņemot vērā dažādo nabadzības mērīšanas pieeju stiprās un vājās puses</w:t>
      </w:r>
      <w:r w:rsidR="000F4990" w:rsidRPr="0063727B">
        <w:rPr>
          <w:rFonts w:ascii="Times New Roman" w:hAnsi="Times New Roman" w:cs="Times New Roman"/>
          <w:sz w:val="24"/>
          <w:szCs w:val="24"/>
        </w:rPr>
        <w:t>.</w:t>
      </w:r>
    </w:p>
    <w:p w:rsidR="00D23337" w:rsidRPr="0063727B" w:rsidRDefault="00D23337" w:rsidP="00D23337">
      <w:pPr>
        <w:autoSpaceDE w:val="0"/>
        <w:autoSpaceDN w:val="0"/>
        <w:adjustRightInd w:val="0"/>
        <w:spacing w:after="0" w:line="240" w:lineRule="auto"/>
        <w:jc w:val="both"/>
        <w:rPr>
          <w:rFonts w:ascii="Times New Roman" w:hAnsi="Times New Roman" w:cs="Times New Roman"/>
          <w:sz w:val="24"/>
          <w:szCs w:val="24"/>
          <w:u w:val="single"/>
        </w:rPr>
      </w:pPr>
    </w:p>
    <w:p w:rsidR="00D23337" w:rsidRPr="0063727B" w:rsidRDefault="00D23337" w:rsidP="00D23337">
      <w:pPr>
        <w:autoSpaceDE w:val="0"/>
        <w:autoSpaceDN w:val="0"/>
        <w:adjustRightInd w:val="0"/>
        <w:spacing w:after="0" w:line="240" w:lineRule="auto"/>
        <w:jc w:val="both"/>
        <w:rPr>
          <w:rFonts w:ascii="Times New Roman" w:hAnsi="Times New Roman" w:cs="Times New Roman"/>
          <w:sz w:val="24"/>
          <w:szCs w:val="24"/>
          <w:u w:val="single"/>
        </w:rPr>
      </w:pPr>
    </w:p>
    <w:p w:rsidR="006D00F8" w:rsidRDefault="006D00F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343AF5" w:rsidRPr="0063727B" w:rsidRDefault="00343AF5" w:rsidP="009A1501">
      <w:pPr>
        <w:pStyle w:val="Heading1"/>
        <w:numPr>
          <w:ilvl w:val="0"/>
          <w:numId w:val="3"/>
        </w:numPr>
        <w:spacing w:before="0" w:line="240" w:lineRule="auto"/>
        <w:rPr>
          <w:rFonts w:ascii="Times New Roman" w:hAnsi="Times New Roman" w:cs="Times New Roman"/>
          <w:color w:val="auto"/>
          <w:sz w:val="24"/>
          <w:szCs w:val="24"/>
          <w:lang w:val="lv-LV"/>
        </w:rPr>
      </w:pPr>
      <w:bookmarkStart w:id="23" w:name="_Toc372812633"/>
      <w:r w:rsidRPr="0063727B">
        <w:rPr>
          <w:rFonts w:ascii="Times New Roman" w:hAnsi="Times New Roman" w:cs="Times New Roman"/>
          <w:color w:val="auto"/>
          <w:sz w:val="24"/>
          <w:szCs w:val="24"/>
          <w:lang w:val="lv-LV"/>
        </w:rPr>
        <w:lastRenderedPageBreak/>
        <w:t xml:space="preserve">SOCIĀLĀS DROŠĪBAS </w:t>
      </w:r>
      <w:r w:rsidR="006F0C22" w:rsidRPr="0063727B">
        <w:rPr>
          <w:rFonts w:ascii="Times New Roman" w:hAnsi="Times New Roman" w:cs="Times New Roman"/>
          <w:color w:val="auto"/>
          <w:sz w:val="24"/>
          <w:szCs w:val="24"/>
          <w:lang w:val="lv-LV"/>
        </w:rPr>
        <w:t xml:space="preserve">(AIZSARDZĪBAS) </w:t>
      </w:r>
      <w:r w:rsidRPr="0063727B">
        <w:rPr>
          <w:rFonts w:ascii="Times New Roman" w:hAnsi="Times New Roman" w:cs="Times New Roman"/>
          <w:color w:val="auto"/>
          <w:sz w:val="24"/>
          <w:szCs w:val="24"/>
          <w:lang w:val="lv-LV"/>
        </w:rPr>
        <w:t>SISTĒMAS IZAICINĀJUMI UN RISINĀJUMI</w:t>
      </w:r>
      <w:bookmarkEnd w:id="23"/>
      <w:r w:rsidRPr="0063727B">
        <w:rPr>
          <w:rFonts w:ascii="Times New Roman" w:hAnsi="Times New Roman" w:cs="Times New Roman"/>
          <w:color w:val="auto"/>
          <w:sz w:val="24"/>
          <w:szCs w:val="24"/>
          <w:lang w:val="lv-LV"/>
        </w:rPr>
        <w:t xml:space="preserve"> </w:t>
      </w:r>
    </w:p>
    <w:p w:rsidR="00343AF5" w:rsidRPr="0063727B" w:rsidRDefault="00343AF5" w:rsidP="00B10EDA">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A54BE2">
      <w:pPr>
        <w:pStyle w:val="BodyText"/>
        <w:spacing w:after="0" w:line="240" w:lineRule="auto"/>
        <w:ind w:firstLine="720"/>
        <w:jc w:val="both"/>
        <w:rPr>
          <w:rFonts w:ascii="Times New Roman" w:hAnsi="Times New Roman" w:cs="Times New Roman"/>
          <w:sz w:val="24"/>
          <w:szCs w:val="24"/>
          <w:lang w:val="lv-LV"/>
        </w:rPr>
      </w:pPr>
      <w:r w:rsidRPr="0063727B">
        <w:rPr>
          <w:rFonts w:ascii="Times New Roman" w:hAnsi="Times New Roman" w:cs="Times New Roman"/>
          <w:sz w:val="24"/>
          <w:szCs w:val="24"/>
          <w:lang w:val="lv-LV"/>
        </w:rPr>
        <w:t xml:space="preserve">Ar sociālās drošības sistēmu tiek saprasts valsts un pašvaldību nodrošināts pasākumu kopums, kas vērsts uz personu sociālo aizsardzību un sociālo pamattiesību ievērošanu. Eiropas Padomes līmenī pamatdokumenti, kas nosaka standartus sociālajā jomā, ir </w:t>
      </w:r>
      <w:r w:rsidRPr="0063727B">
        <w:rPr>
          <w:rFonts w:ascii="Times New Roman" w:hAnsi="Times New Roman" w:cs="Times New Roman"/>
          <w:b/>
          <w:bCs/>
          <w:sz w:val="24"/>
          <w:szCs w:val="24"/>
          <w:lang w:val="lv-LV"/>
        </w:rPr>
        <w:t xml:space="preserve">Pārskatītā Eiropas Sociālā Harta </w:t>
      </w:r>
      <w:r w:rsidRPr="0063727B">
        <w:rPr>
          <w:rFonts w:ascii="Times New Roman" w:hAnsi="Times New Roman" w:cs="Times New Roman"/>
          <w:sz w:val="24"/>
          <w:szCs w:val="24"/>
          <w:lang w:val="lv-LV"/>
        </w:rPr>
        <w:t>un</w:t>
      </w:r>
      <w:r w:rsidRPr="0063727B">
        <w:rPr>
          <w:rFonts w:ascii="Times New Roman" w:hAnsi="Times New Roman" w:cs="Times New Roman"/>
          <w:b/>
          <w:bCs/>
          <w:sz w:val="24"/>
          <w:szCs w:val="24"/>
          <w:lang w:val="lv-LV"/>
        </w:rPr>
        <w:t xml:space="preserve"> Eiropas Sociālās drošības kodekss, </w:t>
      </w:r>
      <w:r w:rsidRPr="0063727B">
        <w:rPr>
          <w:rFonts w:ascii="Times New Roman" w:hAnsi="Times New Roman" w:cs="Times New Roman"/>
          <w:sz w:val="24"/>
          <w:szCs w:val="24"/>
          <w:lang w:val="lv-LV"/>
        </w:rPr>
        <w:t xml:space="preserve">un to mērķis ir panākt lielāku vienotību starp valstīm, sekmējot valstu sociālās politikas progresu, kā arī garantēt noteiktajiem standartiem atbilstošu minimālo līmeni sociālo pakalpojumu nodrošināšanā. Šo dokumentu izpratnē sociālās drošības pamatelementi attiecas uz sociālo pakalpojumu, sociālās apdrošināšanas, medicīniskās aprūpes pakalpojumu un citām jomām. </w:t>
      </w:r>
    </w:p>
    <w:p w:rsidR="00343AF5" w:rsidRPr="0063727B" w:rsidRDefault="00343AF5" w:rsidP="007070AB">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Lisabonas līgumā, uz kā pamata šobrīd darbojas Eiropas Savienība, iekļauta </w:t>
      </w:r>
      <w:r w:rsidRPr="0063727B">
        <w:rPr>
          <w:rFonts w:ascii="Times New Roman" w:hAnsi="Times New Roman" w:cs="Times New Roman"/>
          <w:b/>
          <w:bCs/>
          <w:sz w:val="24"/>
          <w:szCs w:val="24"/>
        </w:rPr>
        <w:t>ES Pamattiesību harta</w:t>
      </w:r>
      <w:r w:rsidRPr="0063727B">
        <w:rPr>
          <w:rFonts w:ascii="Times New Roman" w:hAnsi="Times New Roman" w:cs="Times New Roman"/>
          <w:sz w:val="24"/>
          <w:szCs w:val="24"/>
        </w:rPr>
        <w:t xml:space="preserve">, ko Saeima pieņēma 2008.gada 8.maijā, ratificējot Lisabonas līgumu. </w:t>
      </w:r>
      <w:r w:rsidRPr="0063727B">
        <w:rPr>
          <w:rFonts w:ascii="Times New Roman" w:hAnsi="Times New Roman" w:cs="Times New Roman"/>
          <w:sz w:val="24"/>
          <w:szCs w:val="24"/>
          <w:lang w:eastAsia="lv-LV"/>
        </w:rPr>
        <w:t>Saskaņā ar šo dokumentu Latvija ir apņēmusies</w:t>
      </w:r>
      <w:r w:rsidRPr="0063727B">
        <w:rPr>
          <w:rStyle w:val="FootnoteReference"/>
          <w:rFonts w:ascii="Times New Roman" w:hAnsi="Times New Roman" w:cs="Times New Roman"/>
          <w:sz w:val="24"/>
          <w:szCs w:val="24"/>
          <w:lang w:eastAsia="lv-LV"/>
        </w:rPr>
        <w:footnoteReference w:id="45"/>
      </w:r>
      <w:r w:rsidRPr="0063727B">
        <w:rPr>
          <w:rFonts w:ascii="Times New Roman" w:hAnsi="Times New Roman" w:cs="Times New Roman"/>
          <w:sz w:val="24"/>
          <w:szCs w:val="24"/>
          <w:lang w:eastAsia="lv-LV"/>
        </w:rPr>
        <w:t xml:space="preserve"> nodrošināt ģimenei</w:t>
      </w:r>
      <w:r w:rsidRPr="0063727B">
        <w:rPr>
          <w:sz w:val="24"/>
          <w:szCs w:val="24"/>
          <w:lang w:eastAsia="lv-LV"/>
        </w:rPr>
        <w:t xml:space="preserve"> </w:t>
      </w:r>
      <w:r w:rsidRPr="0063727B">
        <w:rPr>
          <w:rFonts w:ascii="Times New Roman" w:hAnsi="Times New Roman" w:cs="Times New Roman"/>
          <w:sz w:val="24"/>
          <w:szCs w:val="24"/>
          <w:lang w:eastAsia="lv-LV"/>
        </w:rPr>
        <w:t>juridisku, ekonomisku un sociālu aizsardzību. ES Pamattiesību hartā noteikts</w:t>
      </w:r>
      <w:r w:rsidRPr="0063727B">
        <w:rPr>
          <w:rStyle w:val="FootnoteReference"/>
          <w:rFonts w:ascii="Times New Roman" w:hAnsi="Times New Roman" w:cs="Times New Roman"/>
          <w:sz w:val="24"/>
          <w:szCs w:val="24"/>
          <w:lang w:eastAsia="lv-LV"/>
        </w:rPr>
        <w:footnoteReference w:id="46"/>
      </w:r>
      <w:r w:rsidRPr="0063727B">
        <w:rPr>
          <w:rFonts w:ascii="Times New Roman" w:hAnsi="Times New Roman" w:cs="Times New Roman"/>
          <w:sz w:val="24"/>
          <w:szCs w:val="24"/>
          <w:lang w:eastAsia="lv-LV"/>
        </w:rPr>
        <w:t xml:space="preserve">, ka  Savienība atzīst un ievēro tiesības uz sociālā nodrošinājuma pabalstiem un sociāliem pakalpojumiem, kuri saskaņā ar Savienības tiesību aktiem un valstu tiesību aktiem un praksi nodrošina aizsardzību tādos gadījumos kā </w:t>
      </w:r>
      <w:r w:rsidRPr="0063727B">
        <w:rPr>
          <w:rFonts w:ascii="Times New Roman" w:hAnsi="Times New Roman" w:cs="Times New Roman"/>
          <w:i/>
          <w:iCs/>
          <w:sz w:val="24"/>
          <w:szCs w:val="24"/>
          <w:lang w:eastAsia="lv-LV"/>
        </w:rPr>
        <w:t xml:space="preserve">maternitāte, slimība, nelaimes gadījums darbavietā, atrašanās apgādībā vai vecums, kā arī darba zaudējums. </w:t>
      </w:r>
      <w:r w:rsidRPr="0063727B">
        <w:rPr>
          <w:rFonts w:ascii="Times New Roman" w:hAnsi="Times New Roman" w:cs="Times New Roman"/>
          <w:sz w:val="24"/>
          <w:szCs w:val="24"/>
          <w:lang w:eastAsia="lv-LV"/>
        </w:rPr>
        <w:t xml:space="preserve">Tāpat </w:t>
      </w:r>
      <w:r w:rsidRPr="0063727B">
        <w:rPr>
          <w:rFonts w:ascii="Times New Roman" w:hAnsi="Times New Roman" w:cs="Times New Roman"/>
          <w:sz w:val="24"/>
          <w:szCs w:val="24"/>
        </w:rPr>
        <w:t>ES Pamattiesību hartā noteikts</w:t>
      </w:r>
      <w:r w:rsidRPr="0063727B">
        <w:rPr>
          <w:rStyle w:val="FootnoteReference"/>
          <w:rFonts w:ascii="Times New Roman" w:hAnsi="Times New Roman" w:cs="Times New Roman"/>
          <w:sz w:val="24"/>
          <w:szCs w:val="24"/>
        </w:rPr>
        <w:footnoteReference w:id="47"/>
      </w:r>
      <w:r w:rsidRPr="0063727B">
        <w:rPr>
          <w:rFonts w:ascii="Times New Roman" w:hAnsi="Times New Roman" w:cs="Times New Roman"/>
          <w:sz w:val="24"/>
          <w:szCs w:val="24"/>
        </w:rPr>
        <w:t xml:space="preserve">, ka </w:t>
      </w:r>
      <w:r w:rsidRPr="0063727B">
        <w:rPr>
          <w:rFonts w:ascii="Times New Roman" w:hAnsi="Times New Roman" w:cs="Times New Roman"/>
          <w:sz w:val="24"/>
          <w:szCs w:val="24"/>
          <w:u w:val="single"/>
        </w:rPr>
        <w:t>a</w:t>
      </w:r>
      <w:r w:rsidRPr="0063727B">
        <w:rPr>
          <w:rFonts w:ascii="Times New Roman" w:hAnsi="Times New Roman" w:cs="Times New Roman"/>
          <w:sz w:val="24"/>
          <w:szCs w:val="24"/>
          <w:u w:val="single"/>
          <w:lang w:eastAsia="lv-LV"/>
        </w:rPr>
        <w:t>pkarojot sociālo atstumtību un nabadzību</w:t>
      </w:r>
      <w:r w:rsidRPr="0063727B">
        <w:rPr>
          <w:rFonts w:ascii="Times New Roman" w:hAnsi="Times New Roman" w:cs="Times New Roman"/>
          <w:sz w:val="24"/>
          <w:szCs w:val="24"/>
          <w:lang w:eastAsia="lv-LV"/>
        </w:rPr>
        <w:t xml:space="preserve">, Savienība atzīst un ievēro tiesības uz </w:t>
      </w:r>
      <w:r w:rsidRPr="0063727B">
        <w:rPr>
          <w:rFonts w:ascii="Times New Roman" w:hAnsi="Times New Roman" w:cs="Times New Roman"/>
          <w:i/>
          <w:iCs/>
          <w:sz w:val="24"/>
          <w:szCs w:val="24"/>
          <w:lang w:eastAsia="lv-LV"/>
        </w:rPr>
        <w:t>sociālo palīdzību</w:t>
      </w:r>
      <w:r w:rsidRPr="0063727B">
        <w:rPr>
          <w:rFonts w:ascii="Times New Roman" w:hAnsi="Times New Roman" w:cs="Times New Roman"/>
          <w:sz w:val="24"/>
          <w:szCs w:val="24"/>
          <w:lang w:eastAsia="lv-LV"/>
        </w:rPr>
        <w:t xml:space="preserve"> un </w:t>
      </w:r>
      <w:r w:rsidRPr="0063727B">
        <w:rPr>
          <w:rFonts w:ascii="Times New Roman" w:hAnsi="Times New Roman" w:cs="Times New Roman"/>
          <w:i/>
          <w:iCs/>
          <w:sz w:val="24"/>
          <w:szCs w:val="24"/>
          <w:lang w:eastAsia="lv-LV"/>
        </w:rPr>
        <w:t>palīdzību mājokļu jomā</w:t>
      </w:r>
      <w:r w:rsidRPr="0063727B">
        <w:rPr>
          <w:rFonts w:ascii="Times New Roman" w:hAnsi="Times New Roman" w:cs="Times New Roman"/>
          <w:sz w:val="24"/>
          <w:szCs w:val="24"/>
          <w:lang w:eastAsia="lv-LV"/>
        </w:rPr>
        <w:t xml:space="preserve">, lai saskaņā ar Savienības tiesību aktiem, kā arī valstu tiesību aktiem un praksi nodrošinātu pienācīgu dzīvi tiem, kam nav pietiekamu līdzekļu. </w:t>
      </w:r>
    </w:p>
    <w:p w:rsidR="00343AF5" w:rsidRPr="0063727B" w:rsidRDefault="00343AF5" w:rsidP="00A54BE2">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PB veiktajā pētījumā norādīts</w:t>
      </w:r>
      <w:r w:rsidRPr="0063727B">
        <w:rPr>
          <w:rStyle w:val="FootnoteReference"/>
          <w:rFonts w:ascii="Times New Roman" w:hAnsi="Times New Roman" w:cs="Times New Roman"/>
          <w:sz w:val="24"/>
          <w:szCs w:val="24"/>
        </w:rPr>
        <w:footnoteReference w:id="48"/>
      </w:r>
      <w:r w:rsidRPr="0063727B">
        <w:rPr>
          <w:rFonts w:ascii="Times New Roman" w:hAnsi="Times New Roman" w:cs="Times New Roman"/>
          <w:sz w:val="24"/>
          <w:szCs w:val="24"/>
        </w:rPr>
        <w:t xml:space="preserve">, ka </w:t>
      </w:r>
      <w:r w:rsidRPr="0063727B">
        <w:rPr>
          <w:rFonts w:ascii="Times New Roman" w:hAnsi="Times New Roman" w:cs="Times New Roman"/>
          <w:b/>
          <w:bCs/>
          <w:sz w:val="24"/>
          <w:szCs w:val="24"/>
        </w:rPr>
        <w:t>sociālās aizsardzības mērķis</w:t>
      </w:r>
      <w:r w:rsidRPr="0063727B">
        <w:rPr>
          <w:rFonts w:ascii="Times New Roman" w:hAnsi="Times New Roman" w:cs="Times New Roman"/>
          <w:sz w:val="24"/>
          <w:szCs w:val="24"/>
        </w:rPr>
        <w:t xml:space="preserve"> ir sniegt atbalstu trūcīgajiem un mazāk aizsargātajiem cilvēkiem, kā arī indivīdiem, ģimenēm un kopienām dažādu sociālo risku gadījumos. </w:t>
      </w:r>
      <w:r w:rsidR="003E52AF" w:rsidRPr="0063727B">
        <w:rPr>
          <w:rFonts w:ascii="Times New Roman" w:hAnsi="Times New Roman" w:cs="Times New Roman"/>
          <w:sz w:val="24"/>
          <w:szCs w:val="24"/>
        </w:rPr>
        <w:t>PB skatījumā s</w:t>
      </w:r>
      <w:r w:rsidRPr="0063727B">
        <w:rPr>
          <w:rFonts w:ascii="Times New Roman" w:hAnsi="Times New Roman" w:cs="Times New Roman"/>
          <w:sz w:val="24"/>
          <w:szCs w:val="24"/>
        </w:rPr>
        <w:t xml:space="preserve">ociālās aizsardzības sistēmu veido </w:t>
      </w:r>
      <w:r w:rsidRPr="0063727B">
        <w:rPr>
          <w:rFonts w:ascii="Times New Roman" w:hAnsi="Times New Roman" w:cs="Times New Roman"/>
          <w:sz w:val="24"/>
          <w:szCs w:val="24"/>
          <w:u w:val="single"/>
        </w:rPr>
        <w:t>sociālās apdrošināšanas</w:t>
      </w:r>
      <w:r w:rsidR="003E52AF"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un </w:t>
      </w:r>
      <w:r w:rsidRPr="0063727B">
        <w:rPr>
          <w:rFonts w:ascii="Times New Roman" w:hAnsi="Times New Roman" w:cs="Times New Roman"/>
          <w:sz w:val="24"/>
          <w:szCs w:val="24"/>
          <w:u w:val="single"/>
        </w:rPr>
        <w:t>sociālās palīdzības</w:t>
      </w:r>
      <w:r w:rsidRPr="0063727B">
        <w:rPr>
          <w:rFonts w:ascii="Times New Roman" w:hAnsi="Times New Roman" w:cs="Times New Roman"/>
          <w:sz w:val="24"/>
          <w:szCs w:val="24"/>
        </w:rPr>
        <w:t xml:space="preserve"> programmas</w:t>
      </w:r>
      <w:r w:rsidR="003E52AF" w:rsidRPr="0063727B">
        <w:rPr>
          <w:rFonts w:ascii="Times New Roman" w:hAnsi="Times New Roman" w:cs="Times New Roman"/>
          <w:sz w:val="24"/>
          <w:szCs w:val="24"/>
        </w:rPr>
        <w:t xml:space="preserve"> un </w:t>
      </w:r>
      <w:r w:rsidRPr="0063727B">
        <w:rPr>
          <w:rFonts w:ascii="Times New Roman" w:hAnsi="Times New Roman" w:cs="Times New Roman"/>
          <w:sz w:val="24"/>
          <w:szCs w:val="24"/>
          <w:u w:val="single"/>
        </w:rPr>
        <w:t>darba tirgus</w:t>
      </w:r>
      <w:r w:rsidRPr="0063727B">
        <w:rPr>
          <w:rFonts w:ascii="Times New Roman" w:hAnsi="Times New Roman" w:cs="Times New Roman"/>
          <w:sz w:val="24"/>
          <w:szCs w:val="24"/>
        </w:rPr>
        <w:t xml:space="preserve"> politika. Sociālās apdrošināšanas programmas tiek finansētas no sociālās apdrošināšanas iemaksām un to mērķis ir nodrošināt ienākumus brīdī, kad tie ir samazinājušies konkrētā sociālā riska situācijā, </w:t>
      </w:r>
      <w:r w:rsidR="00B967D0" w:rsidRPr="0063727B">
        <w:rPr>
          <w:rFonts w:ascii="Times New Roman" w:hAnsi="Times New Roman" w:cs="Times New Roman"/>
          <w:sz w:val="24"/>
          <w:szCs w:val="24"/>
        </w:rPr>
        <w:t xml:space="preserve">piemēram, </w:t>
      </w:r>
      <w:r w:rsidRPr="0063727B">
        <w:rPr>
          <w:rFonts w:ascii="Times New Roman" w:hAnsi="Times New Roman" w:cs="Times New Roman"/>
          <w:sz w:val="24"/>
          <w:szCs w:val="24"/>
        </w:rPr>
        <w:t xml:space="preserve">iestājās pensionēšanas vecums, iegūta invaliditāte vai zaudēti vecāki. </w:t>
      </w:r>
    </w:p>
    <w:p w:rsidR="00343AF5" w:rsidRPr="0063727B" w:rsidRDefault="00343AF5" w:rsidP="00B10EDA">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Latvijā ir izveidota sociālās drošības </w:t>
      </w:r>
      <w:r w:rsidR="00B967D0" w:rsidRPr="0063727B">
        <w:rPr>
          <w:rFonts w:ascii="Times New Roman" w:hAnsi="Times New Roman" w:cs="Times New Roman"/>
          <w:sz w:val="24"/>
          <w:szCs w:val="24"/>
        </w:rPr>
        <w:t xml:space="preserve">jeb sociālās aizsardzības </w:t>
      </w:r>
      <w:r w:rsidRPr="0063727B">
        <w:rPr>
          <w:rFonts w:ascii="Times New Roman" w:hAnsi="Times New Roman" w:cs="Times New Roman"/>
          <w:sz w:val="24"/>
          <w:szCs w:val="24"/>
        </w:rPr>
        <w:t xml:space="preserve">sistēma, lai aizsargātu iedzīvotājus gan pret ienākumu īslaicīgu zaudējumu (slimība, maternitāte, </w:t>
      </w:r>
      <w:r w:rsidR="00B967D0" w:rsidRPr="0063727B">
        <w:rPr>
          <w:rFonts w:ascii="Times New Roman" w:hAnsi="Times New Roman" w:cs="Times New Roman"/>
          <w:sz w:val="24"/>
          <w:szCs w:val="24"/>
        </w:rPr>
        <w:t xml:space="preserve">paternitāte, </w:t>
      </w:r>
      <w:r w:rsidRPr="0063727B">
        <w:rPr>
          <w:rFonts w:ascii="Times New Roman" w:hAnsi="Times New Roman" w:cs="Times New Roman"/>
          <w:sz w:val="24"/>
          <w:szCs w:val="24"/>
        </w:rPr>
        <w:t>bērna kopšana), gan nodrošinātu iztikas līdzekļus personām, beidzot aktīvās darba gaitas (pensionējoties), iegūstot invaliditāti, zaudējot darbu, ciešot nelaimes gadījumā darbā u.c. 2012.gadā 39,7%</w:t>
      </w:r>
      <w:r w:rsidRPr="0063727B">
        <w:rPr>
          <w:rStyle w:val="FootnoteReference"/>
          <w:rFonts w:ascii="Times New Roman" w:hAnsi="Times New Roman" w:cs="Times New Roman"/>
          <w:sz w:val="24"/>
          <w:szCs w:val="24"/>
        </w:rPr>
        <w:footnoteReference w:id="49"/>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Latvijas iedzīvotāju saņēma ienākumus no sociālās apdrošināšanas sistēmas (valsts sociālās apdrošināšanas budžeta) un 20,2%</w:t>
      </w:r>
      <w:r w:rsidRPr="0063727B">
        <w:rPr>
          <w:rStyle w:val="FootnoteReference"/>
          <w:rFonts w:ascii="Times New Roman" w:hAnsi="Times New Roman" w:cs="Times New Roman"/>
          <w:sz w:val="24"/>
          <w:szCs w:val="24"/>
        </w:rPr>
        <w:footnoteReference w:id="50"/>
      </w:r>
      <w:r w:rsidRPr="0063727B">
        <w:rPr>
          <w:rFonts w:ascii="Times New Roman" w:hAnsi="Times New Roman" w:cs="Times New Roman"/>
          <w:sz w:val="24"/>
          <w:szCs w:val="24"/>
        </w:rPr>
        <w:t xml:space="preserve"> saņēma ienākumus no valsts pamatbudžeta valsts sociālo pabalstu veidā. Savukārt, atbilstoši Latvijā izveidotajai sociālā drošības sistēmai ģimenes vai personas, kurām finanšu līdzekļi ir nepietiekami ikdienas vajadzību nodrošināšanai un kuru ienākumi ir zemāki par valstī noteikto trūcīgās personas līmeni (90 lati uz vienu personu mājsaimniecībā), var vērsties pēc palīdzības pašvaldībā. </w:t>
      </w:r>
      <w:r w:rsidRPr="0063727B">
        <w:rPr>
          <w:rFonts w:ascii="Times New Roman" w:hAnsi="Times New Roman" w:cs="Times New Roman"/>
          <w:sz w:val="24"/>
          <w:szCs w:val="24"/>
        </w:rPr>
        <w:lastRenderedPageBreak/>
        <w:t>Attiecīgi 2012.gadā 12,9%</w:t>
      </w:r>
      <w:r w:rsidRPr="0063727B">
        <w:rPr>
          <w:rStyle w:val="FootnoteReference"/>
          <w:rFonts w:ascii="Times New Roman" w:hAnsi="Times New Roman" w:cs="Times New Roman"/>
          <w:sz w:val="24"/>
          <w:szCs w:val="24"/>
        </w:rPr>
        <w:footnoteReference w:id="51"/>
      </w:r>
      <w:r w:rsidRPr="0063727B">
        <w:rPr>
          <w:rFonts w:ascii="Times New Roman" w:hAnsi="Times New Roman" w:cs="Times New Roman"/>
          <w:sz w:val="24"/>
          <w:szCs w:val="24"/>
        </w:rPr>
        <w:t xml:space="preserve"> Latvijas iedzīvotāju saņēma pašvaldību sociālās palīdzības pabalstus.</w:t>
      </w:r>
    </w:p>
    <w:p w:rsidR="00343AF5" w:rsidRPr="0063727B" w:rsidRDefault="00343AF5" w:rsidP="00C150E3">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Saskaņā ar PB pētījumā veiktajiem aprēķiniem</w:t>
      </w:r>
      <w:r w:rsidRPr="0063727B">
        <w:rPr>
          <w:rStyle w:val="FootnoteReference"/>
          <w:rFonts w:ascii="Times New Roman" w:hAnsi="Times New Roman" w:cs="Times New Roman"/>
          <w:sz w:val="24"/>
          <w:szCs w:val="24"/>
        </w:rPr>
        <w:footnoteReference w:id="52"/>
      </w:r>
      <w:r w:rsidRPr="0063727B">
        <w:rPr>
          <w:rFonts w:ascii="Times New Roman" w:hAnsi="Times New Roman" w:cs="Times New Roman"/>
          <w:sz w:val="24"/>
          <w:szCs w:val="24"/>
        </w:rPr>
        <w:t xml:space="preserve"> sociālās drošības pasākumiem ir liela ietekme uz nabadzības riska novēršanu. Vislielākā ietekme ir sociālās apdrošināšanas sistēmai, savukārt pašvaldību sociālās palīdzības sistēma nabadzības mazināšanu ietekmē nedaudz, kas liecina, ka, maksājot sociālās apdrošināšanas iemaksas, noteikta sociālā riska gadījumā iegūtie ienākumi novērš risku nonākt nabadzībā lielākā mērā nekā tad, ja atbalsts tiek saņemts no sociālās palīdzības minimālo pamatvajadzību nodrošināšanai. </w:t>
      </w:r>
    </w:p>
    <w:p w:rsidR="00343AF5" w:rsidRPr="0063727B" w:rsidRDefault="00343AF5" w:rsidP="00C150E3">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Kā redzams 4.attēlā, lielākā sociālo </w:t>
      </w:r>
      <w:proofErr w:type="gramStart"/>
      <w:r w:rsidRPr="0063727B">
        <w:rPr>
          <w:rFonts w:ascii="Times New Roman" w:hAnsi="Times New Roman" w:cs="Times New Roman"/>
          <w:sz w:val="24"/>
          <w:szCs w:val="24"/>
        </w:rPr>
        <w:t>transfertu ietekme</w:t>
      </w:r>
      <w:proofErr w:type="gramEnd"/>
      <w:r w:rsidRPr="0063727B">
        <w:rPr>
          <w:rFonts w:ascii="Times New Roman" w:hAnsi="Times New Roman" w:cs="Times New Roman"/>
          <w:sz w:val="24"/>
          <w:szCs w:val="24"/>
        </w:rPr>
        <w:t xml:space="preserve"> uz nabadzības mazināšanu ir vērojama krīzes periodā, kad iedzīvotāju ienākumi būtiski samazinājās dažādu situāciju rezultātā, attiecīgi novēršot risku nonākt nabadzībā. 2011.gadā bez sociālajiem transfertiem, nabadzības riska situācijā būtu 4</w:t>
      </w:r>
      <w:r w:rsidR="00B33142" w:rsidRPr="0063727B">
        <w:rPr>
          <w:rFonts w:ascii="Times New Roman" w:hAnsi="Times New Roman" w:cs="Times New Roman"/>
          <w:sz w:val="24"/>
          <w:szCs w:val="24"/>
        </w:rPr>
        <w:t>4</w:t>
      </w:r>
      <w:r w:rsidRPr="0063727B">
        <w:rPr>
          <w:rFonts w:ascii="Times New Roman" w:hAnsi="Times New Roman" w:cs="Times New Roman"/>
          <w:sz w:val="24"/>
          <w:szCs w:val="24"/>
        </w:rPr>
        <w:t>,</w:t>
      </w:r>
      <w:r w:rsidR="00B33142" w:rsidRPr="0063727B">
        <w:rPr>
          <w:rFonts w:ascii="Times New Roman" w:hAnsi="Times New Roman" w:cs="Times New Roman"/>
          <w:sz w:val="24"/>
          <w:szCs w:val="24"/>
        </w:rPr>
        <w:t>6</w:t>
      </w:r>
      <w:r w:rsidRPr="0063727B">
        <w:rPr>
          <w:rFonts w:ascii="Times New Roman" w:hAnsi="Times New Roman" w:cs="Times New Roman"/>
          <w:sz w:val="24"/>
          <w:szCs w:val="24"/>
        </w:rPr>
        <w:t xml:space="preserve"> % Latvijas iedzīvotāju, taču, pateicoties sistēmas darbībai, vienai piektdaļai iedzīvotāju sociālie transferti ir novērsuši nabadzības risku.  </w:t>
      </w:r>
    </w:p>
    <w:p w:rsidR="000949FC" w:rsidRPr="0063727B" w:rsidRDefault="000949FC" w:rsidP="000949FC">
      <w:pPr>
        <w:autoSpaceDE w:val="0"/>
        <w:autoSpaceDN w:val="0"/>
        <w:adjustRightInd w:val="0"/>
        <w:spacing w:after="0" w:line="240" w:lineRule="auto"/>
        <w:ind w:firstLine="720"/>
        <w:jc w:val="right"/>
        <w:rPr>
          <w:rFonts w:ascii="Times New Roman" w:hAnsi="Times New Roman" w:cs="Times New Roman"/>
          <w:sz w:val="24"/>
          <w:szCs w:val="24"/>
        </w:rPr>
      </w:pPr>
      <w:r w:rsidRPr="0063727B">
        <w:rPr>
          <w:rFonts w:ascii="Times New Roman" w:hAnsi="Times New Roman" w:cs="Times New Roman"/>
          <w:sz w:val="24"/>
          <w:szCs w:val="24"/>
        </w:rPr>
        <w:t>5.attēls</w:t>
      </w:r>
    </w:p>
    <w:p w:rsidR="000949FC" w:rsidRPr="0063727B" w:rsidRDefault="005F1ABF" w:rsidP="000949FC">
      <w:pPr>
        <w:autoSpaceDE w:val="0"/>
        <w:autoSpaceDN w:val="0"/>
        <w:adjustRightInd w:val="0"/>
        <w:spacing w:after="0" w:line="240" w:lineRule="auto"/>
        <w:ind w:firstLine="720"/>
        <w:jc w:val="center"/>
        <w:rPr>
          <w:rFonts w:ascii="Times New Roman" w:hAnsi="Times New Roman" w:cs="Times New Roman"/>
          <w:sz w:val="24"/>
          <w:szCs w:val="24"/>
        </w:rPr>
      </w:pPr>
      <w:r w:rsidRPr="0063727B">
        <w:rPr>
          <w:noProof/>
          <w:lang w:eastAsia="lv-LV"/>
        </w:rPr>
        <w:drawing>
          <wp:inline distT="0" distB="0" distL="0" distR="0" wp14:anchorId="28D9C813" wp14:editId="45DD593E">
            <wp:extent cx="4428876" cy="2377440"/>
            <wp:effectExtent l="0" t="0" r="10160" b="2286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9FC" w:rsidRPr="0063727B" w:rsidRDefault="000949FC" w:rsidP="000949FC">
      <w:pPr>
        <w:spacing w:after="0" w:line="240" w:lineRule="auto"/>
        <w:ind w:left="661" w:firstLine="720"/>
        <w:rPr>
          <w:rFonts w:ascii="Times New Roman" w:hAnsi="Times New Roman" w:cs="Times New Roman"/>
          <w:sz w:val="20"/>
          <w:szCs w:val="20"/>
        </w:rPr>
      </w:pPr>
      <w:r w:rsidRPr="0063727B">
        <w:rPr>
          <w:rFonts w:ascii="Times New Roman" w:hAnsi="Times New Roman" w:cs="Times New Roman"/>
          <w:sz w:val="20"/>
          <w:szCs w:val="20"/>
        </w:rPr>
        <w:t>Avots: Centrālā statistikas pārvalde</w:t>
      </w:r>
    </w:p>
    <w:p w:rsidR="002A2913" w:rsidRPr="0063727B" w:rsidRDefault="002A2913" w:rsidP="00B10EDA">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D61D7C" w:rsidP="00B10EDA">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Tomēr, lai arī sociālās drošības sistēmas kopējā ietekme </w:t>
      </w:r>
      <w:r w:rsidR="00796A9A" w:rsidRPr="0063727B">
        <w:rPr>
          <w:rFonts w:ascii="Times New Roman" w:hAnsi="Times New Roman" w:cs="Times New Roman"/>
          <w:sz w:val="24"/>
          <w:szCs w:val="24"/>
        </w:rPr>
        <w:t>uz</w:t>
      </w:r>
      <w:r w:rsidRPr="0063727B">
        <w:rPr>
          <w:rFonts w:ascii="Times New Roman" w:hAnsi="Times New Roman" w:cs="Times New Roman"/>
          <w:sz w:val="24"/>
          <w:szCs w:val="24"/>
        </w:rPr>
        <w:t xml:space="preserve"> </w:t>
      </w:r>
      <w:r w:rsidR="00796A9A" w:rsidRPr="0063727B">
        <w:rPr>
          <w:rFonts w:ascii="Times New Roman" w:hAnsi="Times New Roman" w:cs="Times New Roman"/>
          <w:sz w:val="24"/>
          <w:szCs w:val="24"/>
        </w:rPr>
        <w:t xml:space="preserve">nabadzības mazināšanu tiek konstatēta, </w:t>
      </w:r>
      <w:r w:rsidRPr="0063727B">
        <w:rPr>
          <w:rFonts w:ascii="Times New Roman" w:hAnsi="Times New Roman" w:cs="Times New Roman"/>
          <w:sz w:val="24"/>
          <w:szCs w:val="24"/>
        </w:rPr>
        <w:t xml:space="preserve">PB pētījumā </w:t>
      </w:r>
      <w:r w:rsidR="00796A9A" w:rsidRPr="0063727B">
        <w:rPr>
          <w:rFonts w:ascii="Times New Roman" w:hAnsi="Times New Roman" w:cs="Times New Roman"/>
          <w:sz w:val="24"/>
          <w:szCs w:val="24"/>
        </w:rPr>
        <w:t>katrā no jomām ir identificēti trūkumi, kuri prasa izmaiņas rīcībpolitikās, lai panāktu gan mērķētāku atbalsta sniegšanu trūcīgākajiem valsts iedzīvotājiem, gan sociālās palīdzības klientu motivāciju iesaistīties algotā darbā, gan precīzāk izdalīt iedzīvotāju grupas, kurām ir nepieciešams atbalsts, kā arī efektīvāku nodarbinātības pasākumu ieviešanu</w:t>
      </w:r>
      <w:r w:rsidRPr="0063727B">
        <w:rPr>
          <w:rFonts w:ascii="Times New Roman" w:hAnsi="Times New Roman" w:cs="Times New Roman"/>
          <w:sz w:val="24"/>
          <w:szCs w:val="24"/>
        </w:rPr>
        <w:t xml:space="preserve">. </w:t>
      </w:r>
    </w:p>
    <w:p w:rsidR="00D61D7C" w:rsidRPr="0063727B" w:rsidRDefault="00D61D7C" w:rsidP="00B10EDA">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9A1501">
      <w:pPr>
        <w:pStyle w:val="Heading2"/>
        <w:numPr>
          <w:ilvl w:val="0"/>
          <w:numId w:val="20"/>
        </w:numPr>
        <w:tabs>
          <w:tab w:val="left" w:pos="1418"/>
        </w:tabs>
        <w:rPr>
          <w:rFonts w:ascii="Times New Roman" w:hAnsi="Times New Roman" w:cs="Times New Roman"/>
          <w:color w:val="auto"/>
          <w:sz w:val="24"/>
          <w:szCs w:val="24"/>
          <w:lang w:val="lv-LV"/>
        </w:rPr>
      </w:pPr>
      <w:r w:rsidRPr="0063727B">
        <w:rPr>
          <w:rFonts w:ascii="Times New Roman" w:hAnsi="Times New Roman" w:cs="Times New Roman"/>
          <w:color w:val="auto"/>
          <w:sz w:val="24"/>
          <w:szCs w:val="24"/>
          <w:lang w:val="lv-LV"/>
        </w:rPr>
        <w:t xml:space="preserve"> </w:t>
      </w:r>
      <w:bookmarkStart w:id="24" w:name="_Toc372812634"/>
      <w:r w:rsidRPr="0063727B">
        <w:rPr>
          <w:rFonts w:ascii="Times New Roman" w:hAnsi="Times New Roman" w:cs="Times New Roman"/>
          <w:color w:val="auto"/>
          <w:sz w:val="24"/>
          <w:szCs w:val="24"/>
          <w:lang w:val="lv-LV"/>
        </w:rPr>
        <w:t>Sociālā apdrošināšana</w:t>
      </w:r>
      <w:bookmarkEnd w:id="24"/>
    </w:p>
    <w:p w:rsidR="00343AF5" w:rsidRPr="0063727B" w:rsidRDefault="00343AF5" w:rsidP="00C3384C">
      <w:pPr>
        <w:autoSpaceDE w:val="0"/>
        <w:autoSpaceDN w:val="0"/>
        <w:adjustRightInd w:val="0"/>
        <w:spacing w:after="0" w:line="240" w:lineRule="auto"/>
        <w:ind w:firstLine="709"/>
        <w:jc w:val="both"/>
        <w:rPr>
          <w:rFonts w:ascii="Times New Roman" w:hAnsi="Times New Roman" w:cs="Times New Roman"/>
          <w:sz w:val="24"/>
          <w:szCs w:val="24"/>
        </w:rPr>
      </w:pPr>
    </w:p>
    <w:p w:rsidR="00343AF5" w:rsidRPr="0063727B" w:rsidRDefault="00343AF5" w:rsidP="00C3384C">
      <w:pPr>
        <w:autoSpaceDE w:val="0"/>
        <w:autoSpaceDN w:val="0"/>
        <w:adjustRightInd w:val="0"/>
        <w:spacing w:after="0" w:line="240" w:lineRule="auto"/>
        <w:ind w:firstLine="709"/>
        <w:jc w:val="both"/>
        <w:rPr>
          <w:rFonts w:ascii="Times New Roman" w:hAnsi="Times New Roman" w:cs="Times New Roman"/>
          <w:b/>
          <w:bCs/>
          <w:sz w:val="24"/>
          <w:szCs w:val="24"/>
          <w:lang w:eastAsia="lv-LV"/>
        </w:rPr>
      </w:pPr>
      <w:r w:rsidRPr="0063727B">
        <w:rPr>
          <w:rFonts w:ascii="Times New Roman" w:hAnsi="Times New Roman" w:cs="Times New Roman"/>
          <w:sz w:val="24"/>
          <w:szCs w:val="24"/>
        </w:rPr>
        <w:t xml:space="preserve">Latvijā jau kopš 1996.gada ir veikta nozīmīga sociālās apdrošināšanas sistēmas reforma, t.i., ir ieviesta jauna, </w:t>
      </w:r>
      <w:r w:rsidRPr="0063727B">
        <w:rPr>
          <w:rFonts w:ascii="Times New Roman" w:hAnsi="Times New Roman" w:cs="Times New Roman"/>
          <w:b/>
          <w:bCs/>
          <w:sz w:val="24"/>
          <w:szCs w:val="24"/>
        </w:rPr>
        <w:t>uz sociālās apdrošināšanas iemaksām balstīta sistēma</w:t>
      </w:r>
      <w:r w:rsidRPr="0063727B">
        <w:rPr>
          <w:rFonts w:ascii="Times New Roman" w:hAnsi="Times New Roman" w:cs="Times New Roman"/>
          <w:sz w:val="24"/>
          <w:szCs w:val="24"/>
        </w:rPr>
        <w:t xml:space="preserve">, kas garantē </w:t>
      </w:r>
      <w:r w:rsidRPr="0063727B">
        <w:rPr>
          <w:rFonts w:ascii="Times New Roman" w:hAnsi="Times New Roman" w:cs="Times New Roman"/>
          <w:b/>
          <w:bCs/>
          <w:sz w:val="24"/>
          <w:szCs w:val="24"/>
        </w:rPr>
        <w:t>aizsardzību</w:t>
      </w:r>
      <w:r w:rsidRPr="0063727B">
        <w:rPr>
          <w:rFonts w:ascii="Times New Roman" w:hAnsi="Times New Roman" w:cs="Times New Roman"/>
          <w:sz w:val="24"/>
          <w:szCs w:val="24"/>
        </w:rPr>
        <w:t xml:space="preserve"> </w:t>
      </w:r>
      <w:r w:rsidRPr="0063727B">
        <w:rPr>
          <w:rFonts w:ascii="Times New Roman" w:hAnsi="Times New Roman" w:cs="Times New Roman"/>
          <w:b/>
          <w:bCs/>
          <w:sz w:val="24"/>
          <w:szCs w:val="24"/>
        </w:rPr>
        <w:t>visu tradicionālo sociālo risku gadījumā</w:t>
      </w:r>
      <w:r w:rsidRPr="0063727B">
        <w:rPr>
          <w:rFonts w:ascii="Times New Roman" w:hAnsi="Times New Roman" w:cs="Times New Roman"/>
          <w:sz w:val="24"/>
          <w:szCs w:val="24"/>
        </w:rPr>
        <w:t xml:space="preserve"> – </w:t>
      </w:r>
      <w:r w:rsidRPr="0063727B">
        <w:rPr>
          <w:rFonts w:ascii="Times New Roman" w:hAnsi="Times New Roman" w:cs="Times New Roman"/>
          <w:i/>
          <w:iCs/>
          <w:sz w:val="24"/>
          <w:szCs w:val="24"/>
        </w:rPr>
        <w:t xml:space="preserve">iestājoties pensijas vecumam, iegūstot invaliditāti, zaudējot apgādnieku, slimības gadījumā, pirmsdzemdību un </w:t>
      </w:r>
      <w:r w:rsidRPr="0063727B">
        <w:rPr>
          <w:rFonts w:ascii="Times New Roman" w:hAnsi="Times New Roman" w:cs="Times New Roman"/>
          <w:i/>
          <w:iCs/>
          <w:sz w:val="24"/>
          <w:szCs w:val="24"/>
        </w:rPr>
        <w:lastRenderedPageBreak/>
        <w:t>pēcdzemdību periodā, kopjot bērnu, zaudējot darbu, kā arī ciešot darba negadījumā vai saslimstot ar arodslimību.</w:t>
      </w:r>
      <w:r w:rsidRPr="0063727B">
        <w:rPr>
          <w:rFonts w:ascii="Times New Roman" w:hAnsi="Times New Roman" w:cs="Times New Roman"/>
          <w:sz w:val="24"/>
          <w:szCs w:val="24"/>
        </w:rPr>
        <w:t xml:space="preserve"> </w:t>
      </w:r>
    </w:p>
    <w:p w:rsidR="00FD1C70" w:rsidRPr="0063727B" w:rsidRDefault="00B50EBE" w:rsidP="00FD1C70">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Sociālā apdrošināšana atbilstoši individuālajām sociālās apdrošināšanas iemaksām garantē noteiktu ienākumu aizvietojumu. </w:t>
      </w:r>
      <w:r w:rsidR="00343AF5" w:rsidRPr="0063727B">
        <w:rPr>
          <w:rFonts w:ascii="Times New Roman" w:hAnsi="Times New Roman" w:cs="Times New Roman"/>
          <w:sz w:val="24"/>
          <w:szCs w:val="24"/>
        </w:rPr>
        <w:t xml:space="preserve">Piemēram, ar demogrāfiju saistīto pabalstu atvietojuma līmenis noteikts 70% (vecāku pabalstam) un 80% (maternitātes un paternitātes pabalstam) apmērā, slimības pabalstam – 80% apmērā, bezdarbnieka pabalsta atvietojuma līmenis – atkarīgs gan no personas individuālā apdrošināšanas stāža, gan bezdarbnieka pabalsta saņemšanas ilguma, savukārt invaliditātes pensijas atvietojums – no personas individuālā apdrošināšanas stāža, vidējās apdrošināšanas iemaksu algas pirms invaliditātes noteikšanas un noteiktās invaliditātes grupas. </w:t>
      </w:r>
      <w:r w:rsidR="00FD1C70" w:rsidRPr="0063727B">
        <w:rPr>
          <w:rFonts w:ascii="Times New Roman" w:hAnsi="Times New Roman" w:cs="Times New Roman"/>
          <w:sz w:val="24"/>
          <w:szCs w:val="24"/>
        </w:rPr>
        <w:t xml:space="preserve">Vecuma pensijas atvietojuma līmeni ietekmē gan individuālais apdrošināšanas stāžs un vidējā apdrošināšanas iemaksu alga, no kuras veiktas sociālās iemaksas, gan pensijas kapitāla indeksi un pensionēšanās vecums, gan pensijas aprēķināšanā piemērojamās garantijas un papildus atvieglojumi. Tā kā sociālās apdrošināšanas pensijas un pabalsti ir tieši atkarīgi no ienākumiem, no kuriem deklarētas/veiktas sociālās apdrošināšanas iemaksas, veidojot šo sistēmu, tika domāts ar to netieši radīt ieinteresētību </w:t>
      </w:r>
      <w:r w:rsidR="00FD1C70" w:rsidRPr="0063727B">
        <w:rPr>
          <w:rFonts w:ascii="Times New Roman" w:hAnsi="Times New Roman" w:cs="Times New Roman"/>
          <w:sz w:val="24"/>
          <w:szCs w:val="24"/>
          <w:u w:val="single"/>
        </w:rPr>
        <w:t>visu ienākumu uzrādīšanā</w:t>
      </w:r>
      <w:r w:rsidR="00FD1C70" w:rsidRPr="0063727B">
        <w:rPr>
          <w:rFonts w:ascii="Times New Roman" w:hAnsi="Times New Roman" w:cs="Times New Roman"/>
          <w:sz w:val="24"/>
          <w:szCs w:val="24"/>
        </w:rPr>
        <w:t xml:space="preserve">, </w:t>
      </w:r>
      <w:r w:rsidR="00FD1C70" w:rsidRPr="0063727B">
        <w:rPr>
          <w:rFonts w:ascii="Times New Roman" w:hAnsi="Times New Roman" w:cs="Times New Roman"/>
          <w:sz w:val="24"/>
          <w:szCs w:val="24"/>
          <w:u w:val="single"/>
        </w:rPr>
        <w:t>regulārā iemaksu veikšanā</w:t>
      </w:r>
      <w:r w:rsidR="00FD1C70" w:rsidRPr="0063727B">
        <w:rPr>
          <w:rFonts w:ascii="Times New Roman" w:hAnsi="Times New Roman" w:cs="Times New Roman"/>
          <w:sz w:val="24"/>
          <w:szCs w:val="24"/>
        </w:rPr>
        <w:t xml:space="preserve">, kā arī </w:t>
      </w:r>
      <w:r w:rsidR="00FD1C70" w:rsidRPr="0063727B">
        <w:rPr>
          <w:rFonts w:ascii="Times New Roman" w:hAnsi="Times New Roman" w:cs="Times New Roman"/>
          <w:sz w:val="24"/>
          <w:szCs w:val="24"/>
          <w:u w:val="single"/>
        </w:rPr>
        <w:t>motivēt ilgāk palikt darba tirgū</w:t>
      </w:r>
      <w:r w:rsidR="00FD1C70" w:rsidRPr="0063727B">
        <w:rPr>
          <w:rFonts w:ascii="Times New Roman" w:hAnsi="Times New Roman" w:cs="Times New Roman"/>
          <w:sz w:val="24"/>
          <w:szCs w:val="24"/>
        </w:rPr>
        <w:t>.</w:t>
      </w:r>
    </w:p>
    <w:p w:rsidR="00343AF5" w:rsidRPr="0063727B" w:rsidRDefault="00343AF5" w:rsidP="00194501">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Palielinoties ienākumiem un līdz ar to arī sociālajām iemaksām, palielināsies arī sociālās apdrošināšanas pakalpojumu vidējie apmēri un apdrošināto cilvēku aizsardzība dažādu sociālo risku </w:t>
      </w:r>
      <w:r w:rsidR="00833E32" w:rsidRPr="0063727B">
        <w:rPr>
          <w:rFonts w:ascii="Times New Roman" w:hAnsi="Times New Roman" w:cs="Times New Roman"/>
          <w:sz w:val="24"/>
          <w:szCs w:val="24"/>
        </w:rPr>
        <w:t>gadījumos</w:t>
      </w:r>
      <w:r w:rsidRPr="0063727B">
        <w:rPr>
          <w:rFonts w:ascii="Times New Roman" w:hAnsi="Times New Roman" w:cs="Times New Roman"/>
          <w:sz w:val="24"/>
          <w:szCs w:val="24"/>
        </w:rPr>
        <w:t xml:space="preserve">. </w:t>
      </w:r>
    </w:p>
    <w:p w:rsidR="00343AF5" w:rsidRPr="0063727B" w:rsidRDefault="00343AF5" w:rsidP="00EA07C2">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 xml:space="preserve">Vērtējot valsts </w:t>
      </w:r>
      <w:r w:rsidRPr="0063727B">
        <w:rPr>
          <w:rFonts w:ascii="Times New Roman" w:hAnsi="Times New Roman" w:cs="Times New Roman"/>
          <w:b/>
          <w:bCs/>
          <w:sz w:val="24"/>
          <w:szCs w:val="24"/>
          <w:lang w:eastAsia="lv-LV"/>
        </w:rPr>
        <w:t>sniegto atbalstu bezdarba gadījumā</w:t>
      </w:r>
      <w:r w:rsidRPr="0063727B">
        <w:rPr>
          <w:rStyle w:val="FootnoteReference"/>
          <w:rFonts w:ascii="Times New Roman" w:hAnsi="Times New Roman" w:cs="Times New Roman"/>
          <w:sz w:val="24"/>
          <w:szCs w:val="24"/>
          <w:lang w:eastAsia="lv-LV"/>
        </w:rPr>
        <w:footnoteReference w:id="53"/>
      </w:r>
      <w:r w:rsidRPr="0063727B">
        <w:rPr>
          <w:rFonts w:ascii="Times New Roman" w:hAnsi="Times New Roman" w:cs="Times New Roman"/>
          <w:sz w:val="24"/>
          <w:szCs w:val="24"/>
          <w:lang w:eastAsia="lv-LV"/>
        </w:rPr>
        <w:t>, PB pētījumā atzīts, ka salīdzinājumā ar citām ES dalībvalstīm Latvijā ir relatīvi viegli nosacījumi bezdarbnieka pabalsta saņemšanai. Kā negatīvie faktori tiek minēti stingrie nosacījumi pabalsta apmēra noteikšanā, īpaši attiecībā uz darba ņēmējiem ar zemiem ienākumiem. Neraugoties uz to, ka Latvijā atvietojuma līmenis bezdarba gadījumā vidēji ir līdzvērtīgs citu ES dalībvalstu atvietojuma līmenim, Latvija ir vienīgā valsts, kurā bezdarbnieka pabalstam nav noteikts minimālais un maksimālais apmēra ierobežojums (izņemot krīzes periodu, kad līdz 2014.gada beigām noteikti pabalsta izmaksas ierobežojumi). Tādējādi sistēma ir labvēlīgāka strādājošiem ar augstiem ienākumiem un mazāk aizsargā zemo algu saņēmējus. Turklāt starp esošās sistēmas negatīvajiem aspektiem tiek minēts bezdarbnieka pabalsta izmaksas ilgums, kas, neņemot vērā tā saņemšanas perioda pagarināšanu krīzes periodā, joprojām ir īsākais starp lielāko daļu ES un OECD valstīm. Tādējādi pie augstiem bezdarba rādītājiem, īpaši ilgstošā bezdarba, un ierobežotām nodarbinātības iespējām pēckrīzes situācijā tiek radīta slodze sociālās palīdzības sistēmai un paaugstinās to bezdarbnieku nabadzības risks, kuri nesaņem bezdarbnieka pabalstu.</w:t>
      </w:r>
      <w:r w:rsidR="0065092E" w:rsidRPr="0063727B">
        <w:rPr>
          <w:rFonts w:ascii="Times New Roman" w:hAnsi="Times New Roman" w:cs="Times New Roman"/>
          <w:sz w:val="24"/>
          <w:szCs w:val="24"/>
          <w:lang w:eastAsia="lv-LV"/>
        </w:rPr>
        <w:t xml:space="preserve"> Ņemot vērā identificētos trūkumus</w:t>
      </w:r>
      <w:r w:rsidR="00957052" w:rsidRPr="0063727B">
        <w:rPr>
          <w:rFonts w:ascii="Times New Roman" w:hAnsi="Times New Roman" w:cs="Times New Roman"/>
          <w:sz w:val="24"/>
          <w:szCs w:val="24"/>
          <w:lang w:eastAsia="lv-LV"/>
        </w:rPr>
        <w:t>,</w:t>
      </w:r>
      <w:r w:rsidR="0065092E" w:rsidRPr="0063727B">
        <w:rPr>
          <w:rFonts w:ascii="Times New Roman" w:hAnsi="Times New Roman" w:cs="Times New Roman"/>
          <w:sz w:val="24"/>
          <w:szCs w:val="24"/>
          <w:lang w:eastAsia="lv-LV"/>
        </w:rPr>
        <w:t xml:space="preserve"> </w:t>
      </w:r>
      <w:r w:rsidR="00957052" w:rsidRPr="0063727B">
        <w:rPr>
          <w:rFonts w:ascii="Times New Roman" w:hAnsi="Times New Roman" w:cs="Times New Roman"/>
          <w:sz w:val="24"/>
          <w:szCs w:val="24"/>
          <w:lang w:eastAsia="lv-LV"/>
        </w:rPr>
        <w:t>ir nepieciešams veikt padziļinātāku izpēti, apzinot problēmu dažādos cēloņus un iespējamo risinājumu ietekmi.</w:t>
      </w:r>
    </w:p>
    <w:p w:rsidR="00343AF5" w:rsidRPr="0063727B" w:rsidRDefault="00343AF5" w:rsidP="001F225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Veidojot sociālās drošības sistēmu, tika domāts par to, lai </w:t>
      </w:r>
      <w:r w:rsidRPr="0063727B">
        <w:rPr>
          <w:rFonts w:ascii="Times New Roman" w:hAnsi="Times New Roman" w:cs="Times New Roman"/>
          <w:b/>
          <w:bCs/>
          <w:sz w:val="24"/>
          <w:szCs w:val="24"/>
        </w:rPr>
        <w:t>sociālās apdrošināšanas sistēma būtu pašfinansējoša</w:t>
      </w:r>
      <w:r w:rsidRPr="0063727B">
        <w:rPr>
          <w:rFonts w:ascii="Times New Roman" w:hAnsi="Times New Roman" w:cs="Times New Roman"/>
          <w:sz w:val="24"/>
          <w:szCs w:val="24"/>
        </w:rPr>
        <w:t>, proti, tās ieņēmumi segtu izdevumus</w:t>
      </w:r>
      <w:r w:rsidR="00DF7BD9"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 Laika gaitā papildus pieņemtie lēmumi par pakalpojumiem, kas tiek finansēti no sociālās apdrošināšanas budžeta, bet nav finansiāli segti ar sociālās apdrošināšanas iemaksām, ietekmēja speciālā budžeta stabilitāti. Attiecīgi 2010.gadā Ministru kabinets apstiprināja koncepciju par sociālās apdrošināšanas sistēmas stabilitāti ilgtermiņā</w:t>
      </w:r>
      <w:r w:rsidRPr="0063727B">
        <w:rPr>
          <w:rStyle w:val="FootnoteReference"/>
          <w:rFonts w:ascii="Times New Roman" w:hAnsi="Times New Roman" w:cs="Times New Roman"/>
          <w:sz w:val="24"/>
          <w:szCs w:val="24"/>
        </w:rPr>
        <w:footnoteReference w:id="54"/>
      </w:r>
      <w:r w:rsidRPr="0063727B">
        <w:rPr>
          <w:rFonts w:ascii="Times New Roman" w:hAnsi="Times New Roman" w:cs="Times New Roman"/>
          <w:sz w:val="24"/>
          <w:szCs w:val="24"/>
        </w:rPr>
        <w:t xml:space="preserve">, paredzot vairāku pasākumu īstenošanu ilgtermiņā, tai skaitā pensionēšanās vecuma celšanu un sociālās apdrošināšanas budžetam neraksturīgu izdevumu finansēšanas pārcelšanu uz valsts pamatbudžetu. </w:t>
      </w:r>
    </w:p>
    <w:p w:rsidR="00343AF5" w:rsidRPr="0063727B" w:rsidRDefault="00343AF5" w:rsidP="001F225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lastRenderedPageBreak/>
        <w:t>Kaut arī sociālās tiesības, pie kurām pieder arī tiesības uz sociālo nodrošinājumu, ir ļoti nozīmīgas, taču vienlaikus arī īpašas, atšķirīgas cilvēktiesības, jo šo tiesību realizācija ir atkarīga no katras valsts ekonomiskās situācijas un pieejamiem resursiem, ko ietekmē spēkā esošo nodokļu iekasēšana. Tātad valstij ir ne tikai tiesības, bet arī pienākums savas saistības sociālo tiesību jomā samērot ar savām ekonomiskajām iespējām. Pretējā gadījumā var tikt apgrūtināta citu valsts pienākumu izpilde, tajā skaitā citu sociālo tiesību realizēšana. Īpaši ir ņemama vērā nepieciešamība izvairīties no deficīta izveidošanās speciālajā budžetā, kā arī nepieciešamība nodrošināt to, lai pensiju un pabalstu izmaksas būtu iespējamas arī nākotnē.</w:t>
      </w:r>
    </w:p>
    <w:p w:rsidR="00343AF5" w:rsidRPr="0063727B" w:rsidRDefault="00343AF5" w:rsidP="001F225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Valstī no 1996.gada ir noteikts </w:t>
      </w:r>
      <w:r w:rsidRPr="0063727B">
        <w:rPr>
          <w:rFonts w:ascii="Times New Roman" w:hAnsi="Times New Roman" w:cs="Times New Roman"/>
          <w:b/>
          <w:bCs/>
          <w:sz w:val="24"/>
          <w:szCs w:val="24"/>
        </w:rPr>
        <w:t>vecuma pensijas minimālais apmērs</w:t>
      </w:r>
      <w:r w:rsidRPr="0063727B">
        <w:rPr>
          <w:rFonts w:ascii="Times New Roman" w:hAnsi="Times New Roman" w:cs="Times New Roman"/>
          <w:sz w:val="24"/>
          <w:szCs w:val="24"/>
        </w:rPr>
        <w:t xml:space="preserve">, t.i., ja personai aprēķinātās pensijas apmērs ir zems (nav pietiekams), no sociālās apdrošināšanas budžeta līdzekļiem tiek piemaksāts līdz noteiktam līmenim (t.i., noteikts minimālais ienākumu slieksnis pensijām). Sociālās apdrošināšanas sistēmā minimālie pensijas apmēri personai galvenokārt veidojas gadījumos, ja personai darba periods ir neliels, vai arī tā strādājusi ar salīdzinoši zemu atalgojumu, vai izvēlējusies izmantot sistēmas paredzētos atvieglojumus iemaksu veikšanai (piemēram, autoratlīdzības saņēmēji, </w:t>
      </w:r>
      <w:proofErr w:type="spellStart"/>
      <w:r w:rsidRPr="0063727B">
        <w:rPr>
          <w:rFonts w:ascii="Times New Roman" w:hAnsi="Times New Roman" w:cs="Times New Roman"/>
          <w:sz w:val="24"/>
          <w:szCs w:val="24"/>
        </w:rPr>
        <w:t>patentmaksātāji</w:t>
      </w:r>
      <w:proofErr w:type="spellEnd"/>
      <w:r w:rsidRPr="0063727B">
        <w:rPr>
          <w:rFonts w:ascii="Times New Roman" w:hAnsi="Times New Roman" w:cs="Times New Roman"/>
          <w:sz w:val="24"/>
          <w:szCs w:val="24"/>
        </w:rPr>
        <w:t>).</w:t>
      </w:r>
    </w:p>
    <w:p w:rsidR="00343AF5" w:rsidRPr="0063727B" w:rsidRDefault="00343AF5" w:rsidP="001F225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Šobrīd minimālā vecuma pensija tiek noteikta, pamatojoties uz valsts sociālā nodrošinājuma pabalsta</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apmēru</w:t>
      </w:r>
      <w:r w:rsidRPr="0063727B">
        <w:rPr>
          <w:rStyle w:val="FootnoteReference"/>
          <w:rFonts w:ascii="Times New Roman" w:hAnsi="Times New Roman" w:cs="Times New Roman"/>
          <w:sz w:val="24"/>
          <w:szCs w:val="24"/>
        </w:rPr>
        <w:footnoteReference w:id="55"/>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(skat. 2.2.apakš</w:t>
      </w:r>
      <w:r w:rsidR="004C0F54" w:rsidRPr="0063727B">
        <w:rPr>
          <w:rFonts w:ascii="Times New Roman" w:hAnsi="Times New Roman" w:cs="Times New Roman"/>
          <w:sz w:val="24"/>
          <w:szCs w:val="24"/>
        </w:rPr>
        <w:t>no</w:t>
      </w:r>
      <w:r w:rsidRPr="0063727B">
        <w:rPr>
          <w:rFonts w:ascii="Times New Roman" w:hAnsi="Times New Roman" w:cs="Times New Roman"/>
          <w:sz w:val="24"/>
          <w:szCs w:val="24"/>
        </w:rPr>
        <w:t xml:space="preserve">daļu), tam piemērojot attiecīgos koeficientus, ņemot vērā personas apdrošināšanas stāža ilgumu. Invaliditātes pensijām tiek noteikti atšķirīgi koeficienti I (lielāks) un II invaliditātes grupai un minimālie pensiju apmēri personām, kuras atzītas par invalīdiem kopš bērnības, ir augstāki nekā pārējām personām. Apgādnieka zaudējuma pensija nedrīkst būt mazāka par valsts sociālā nodrošinājuma pabalstu, turklāt katram apgādājamajam ne mazāk par 65% no valsts sociālā nodrošinājuma pabalsta (skat. </w:t>
      </w:r>
      <w:r w:rsidR="004C0F54" w:rsidRPr="0063727B">
        <w:rPr>
          <w:rFonts w:ascii="Times New Roman" w:hAnsi="Times New Roman" w:cs="Times New Roman"/>
          <w:sz w:val="24"/>
          <w:szCs w:val="24"/>
        </w:rPr>
        <w:t>3</w:t>
      </w:r>
      <w:r w:rsidRPr="0063727B">
        <w:rPr>
          <w:rFonts w:ascii="Times New Roman" w:hAnsi="Times New Roman" w:cs="Times New Roman"/>
          <w:sz w:val="24"/>
          <w:szCs w:val="24"/>
        </w:rPr>
        <w:t xml:space="preserve">.tabulu pielikumā). </w:t>
      </w:r>
    </w:p>
    <w:p w:rsidR="00343AF5" w:rsidRPr="0063727B" w:rsidRDefault="00343AF5" w:rsidP="004F4A2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2013.gada maijā no visiem vecuma pensijas saņēmējiem minimālās vecuma pensijas saņēma 13,5% vecuma pensionāri, savukārt minimālās invaliditātes pensijas - 25%. Proporcija ir salīdzinoši augsta, īpaši attiecībā uz invaliditātes pensiju saņēmējiem. Tomēr,</w:t>
      </w:r>
      <w:r w:rsidRPr="0063727B">
        <w:rPr>
          <w:rFonts w:ascii="Times New Roman" w:hAnsi="Times New Roman" w:cs="Times New Roman"/>
          <w:strike/>
          <w:sz w:val="24"/>
          <w:szCs w:val="24"/>
        </w:rPr>
        <w:t xml:space="preserve"> s</w:t>
      </w:r>
      <w:r w:rsidRPr="0063727B">
        <w:rPr>
          <w:rFonts w:ascii="Times New Roman" w:hAnsi="Times New Roman" w:cs="Times New Roman"/>
          <w:sz w:val="24"/>
          <w:szCs w:val="24"/>
        </w:rPr>
        <w:t xml:space="preserve">alīdzinot 2013.gada maija vidējos valsts pensiju apmērus un likumdošanā atrunātos minimālos garantētos apmērus, redzams, ka, piemēram, invaliditātes pensijas gadījumā likumdošanā noteiktais minimālais apmērs sastāda 61% vai 53% no valstī vidējās invaliditātes pensijas apmēra. Tātad jau šobrīd personai tiek garantēts apmērs, kas ir vairāk nekā puse no tā apmēra, kādu saņem personas, kuras sociālās apdrošināšanas iemaksas veic ilgākā laika periodā vai no salīdzinoši lieliem ienākumiem. Vecuma pensijas gadījumā personām ar apdrošināšanas stāžu vairāk kā 40 gadi, tiek garantēti proporcionāli pret vidējo vecuma pensijas apmēru 40%. Jāatzīmē, ka vidējais vecuma pensijas apmērs š.g. maijā Ls 190,41 ir pie vidējā apdrošināšanas stāža, kas ir vairāk </w:t>
      </w:r>
      <w:r w:rsidR="001774FF" w:rsidRPr="0063727B">
        <w:rPr>
          <w:rFonts w:ascii="Times New Roman" w:hAnsi="Times New Roman" w:cs="Times New Roman"/>
          <w:sz w:val="24"/>
          <w:szCs w:val="24"/>
        </w:rPr>
        <w:t>ne</w:t>
      </w:r>
      <w:r w:rsidRPr="0063727B">
        <w:rPr>
          <w:rFonts w:ascii="Times New Roman" w:hAnsi="Times New Roman" w:cs="Times New Roman"/>
          <w:sz w:val="24"/>
          <w:szCs w:val="24"/>
        </w:rPr>
        <w:t xml:space="preserve">kā 38 gadi. </w:t>
      </w:r>
    </w:p>
    <w:p w:rsidR="00343AF5" w:rsidRPr="0063727B" w:rsidRDefault="00343AF5" w:rsidP="006F51F7">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Spēkā esošais minimālais vecuma pensijas apmērs ir salīdzinoši zems un saņēmēju skaits salīdzinoši augsts. No vienas puses, minimālajam apmēram jābūt noteiktam tādā apmērā, lai tiktu nosegtas indivīda pamatvajadzības, tomēr, no otras puses, tas nedrīkst ietekmēt cilvēku motivāciju veikt sociālās apdrošināšanas iemaksas. Nosakot augstus minimālos vecuma pensijas apmērus, cilvēkiem nebūs motivācijas maksāt sociālās apdrošināšanas iemaksas no visiem darba ienākumiem, jo, strādājot un veicot sociālās apdrošināšanas iemaksas no minimālās darba algas, garantētais pensijas apmērs tuvināsies vidējam pensijas apmēram. 2012.gadā 36% no darba ņēmējiem veica sociālās apdrošināšanas iemaksas no ienākumiem līdz minimālās darba algas apmēram (Ls 200). Gadījumā, ja cilvēks visu savu darba mūžu, t.i., 40 gadus, strādājis un maksājis sociālās apdrošināšanas iemaksas no minimālās darba algas, tad 65 gadu vecumā viņa vecuma pensija ir tikai </w:t>
      </w:r>
      <w:r w:rsidRPr="0063727B">
        <w:rPr>
          <w:rFonts w:ascii="Times New Roman" w:hAnsi="Times New Roman" w:cs="Times New Roman"/>
          <w:sz w:val="24"/>
          <w:szCs w:val="24"/>
        </w:rPr>
        <w:lastRenderedPageBreak/>
        <w:t xml:space="preserve">nedaudz pāri minimālajam apmēram (skat. </w:t>
      </w:r>
      <w:r w:rsidR="004C0F54" w:rsidRPr="0063727B">
        <w:rPr>
          <w:rFonts w:ascii="Times New Roman" w:hAnsi="Times New Roman" w:cs="Times New Roman"/>
          <w:sz w:val="24"/>
          <w:szCs w:val="24"/>
        </w:rPr>
        <w:t>4</w:t>
      </w:r>
      <w:r w:rsidRPr="0063727B">
        <w:rPr>
          <w:rFonts w:ascii="Times New Roman" w:hAnsi="Times New Roman" w:cs="Times New Roman"/>
          <w:sz w:val="24"/>
          <w:szCs w:val="24"/>
        </w:rPr>
        <w:t>.tabulu pielikumā). Savukārt, ja darba mūžs ir īsāks un šajā laikā strādāts tikai ar minimālo darba algu, tad vecuma pensija tiks noteikta minimālajā apmērā.</w:t>
      </w:r>
    </w:p>
    <w:p w:rsidR="00343AF5" w:rsidRPr="0063727B" w:rsidRDefault="00343AF5" w:rsidP="00983C08">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u w:val="single"/>
        </w:rPr>
        <w:t>Jebkuras papildus garantijas, kas tiek piemērotas pensiju aprēķinā, lai palielinātu piešķirtās pensijas apmēru (</w:t>
      </w:r>
      <w:r w:rsidRPr="0063727B">
        <w:rPr>
          <w:rFonts w:ascii="Times New Roman" w:hAnsi="Times New Roman" w:cs="Times New Roman"/>
          <w:i/>
          <w:iCs/>
          <w:sz w:val="24"/>
          <w:szCs w:val="24"/>
          <w:u w:val="single"/>
        </w:rPr>
        <w:t>no speciālā budžeta</w:t>
      </w:r>
      <w:r w:rsidRPr="0063727B">
        <w:rPr>
          <w:rFonts w:ascii="Times New Roman" w:hAnsi="Times New Roman" w:cs="Times New Roman"/>
          <w:sz w:val="24"/>
          <w:szCs w:val="24"/>
          <w:u w:val="single"/>
        </w:rPr>
        <w:t xml:space="preserve">), un, kurām nav reāla sociālās apdrošināšanas iemaksu seguma, ir papildus finanšu slogs pārējiem sistēmas dalībniekiem. </w:t>
      </w:r>
      <w:r w:rsidRPr="0063727B">
        <w:rPr>
          <w:rFonts w:ascii="Times New Roman" w:hAnsi="Times New Roman" w:cs="Times New Roman"/>
          <w:sz w:val="24"/>
          <w:szCs w:val="24"/>
        </w:rPr>
        <w:t xml:space="preserve">Turklāt jāņem vērā, ka tas ietekmē ne tikai sociālās apdrošināšanas sistēmas stabilitāti, bet arī pašas personas ienākumus nākotnē. </w:t>
      </w:r>
    </w:p>
    <w:p w:rsidR="00343AF5" w:rsidRPr="0063727B" w:rsidRDefault="00343AF5" w:rsidP="00B95C68">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Saskaņā ar statistikas rādītājiem, kas analizēti ziņojuma 1.1.nodaļā, ekonomikas augšupejas un attīstības posmā viens no lielākajiem nabadzības riskiem pēc vecuma grupām ir tieši vecāka gadagājuma cilvēkiem. Nabadzības risks sāk pieaugt, sākot no 50 gadu vecuma, kas ir saistīts ar nespēju saglabāt savu vietu darba tirgū </w:t>
      </w:r>
      <w:r w:rsidR="0090345B" w:rsidRPr="0063727B">
        <w:rPr>
          <w:rFonts w:ascii="Times New Roman" w:hAnsi="Times New Roman" w:cs="Times New Roman"/>
          <w:sz w:val="24"/>
          <w:szCs w:val="24"/>
        </w:rPr>
        <w:t xml:space="preserve">jauno </w:t>
      </w:r>
      <w:r w:rsidRPr="0063727B">
        <w:rPr>
          <w:rFonts w:ascii="Times New Roman" w:hAnsi="Times New Roman" w:cs="Times New Roman"/>
          <w:sz w:val="24"/>
          <w:szCs w:val="24"/>
        </w:rPr>
        <w:t xml:space="preserve">iemaņu </w:t>
      </w:r>
      <w:r w:rsidR="0090345B" w:rsidRPr="0063727B">
        <w:rPr>
          <w:rFonts w:ascii="Times New Roman" w:hAnsi="Times New Roman" w:cs="Times New Roman"/>
          <w:sz w:val="24"/>
          <w:szCs w:val="24"/>
        </w:rPr>
        <w:t xml:space="preserve">trūkuma </w:t>
      </w:r>
      <w:r w:rsidRPr="0063727B">
        <w:rPr>
          <w:rFonts w:ascii="Times New Roman" w:hAnsi="Times New Roman" w:cs="Times New Roman"/>
          <w:sz w:val="24"/>
          <w:szCs w:val="24"/>
        </w:rPr>
        <w:t xml:space="preserve">vai veselības stāvokļa dēļ. PB pētījumā datu analīze liecina, ka lielākā iedzīvotāju grupa, kas saskaras ar grūtībām darba tirgū un attiecīgi arī ar neregulāriem ienākumiem, ir tieši vecāka gadagājuma iedzīvotāji, kuriem tai skaitā ir arī hroniskas saslimšanas. Galvenos ienākumus vecuma posmā, sākot no 65 gadiem, sastāda tieši pensijas. Jāmin, ka 10% līdz 14% no GMI pabalsta saņēmējiem ir vecuma un invaliditātes pensiju saņēmēji. Nozīmīgs atbalsts nepieciešams ne tikai attiecībā uz ienākumiem, bet arī sociālo un veselības aprūpes pakalpojumu pieejamības nodrošināšanā. </w:t>
      </w:r>
    </w:p>
    <w:p w:rsidR="005C487D" w:rsidRPr="0063727B" w:rsidRDefault="005C487D" w:rsidP="005C487D">
      <w:pPr>
        <w:autoSpaceDE w:val="0"/>
        <w:autoSpaceDN w:val="0"/>
        <w:adjustRightInd w:val="0"/>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Sociālās apdrošināšanas sistēmas darbības </w:t>
      </w:r>
      <w:r w:rsidRPr="0063727B">
        <w:rPr>
          <w:rFonts w:ascii="Times New Roman" w:hAnsi="Times New Roman" w:cs="Times New Roman"/>
          <w:sz w:val="24"/>
          <w:szCs w:val="24"/>
          <w:u w:val="single"/>
        </w:rPr>
        <w:t>pamatprincips ir pašfinansēšanās</w:t>
      </w:r>
      <w:r w:rsidRPr="0063727B">
        <w:rPr>
          <w:rFonts w:ascii="Times New Roman" w:hAnsi="Times New Roman" w:cs="Times New Roman"/>
          <w:sz w:val="24"/>
          <w:szCs w:val="24"/>
        </w:rPr>
        <w:t xml:space="preserve">, tāpēc jebkuras izmaiņas saistībā ar minimālās pensijas apmēriem ir jāvērtē līdz ar vidējiem pensiju apmēriem. Turklāt, lai palielinātu ienākumus vecāka gadagājuma cilvēkiem, ir nepieciešams veikt īstermiņa pasākumus, kas vērti uz esošo vecāka gadagājuma cilvēku un personu ar invaliditāti ienākumu palielināšanu, savukārt ilgtermiņā jāveic pasākumi, kas motivētu cilvēkus gūt maksimālu ieguvumu no sociālās apdrošināšanas sistēmas un jau šobrīd rūpēties par saviem nākotnes ienākumiem. Kā viens no iespējamajiem risinājumiem, lai atslogotu sociālās apdrošināšanas sistēmu no papildus izmaksām, kas veidojas piešķirto mazo pensiju apmērus paaugstinot līdz minimālajam līmenim, kā arī, lai sekmētu lielāku valsts atbildību par finansiālo nodrošinājumu personām, iestājoties invaliditātei, zaudējot kādu no apgādniekiem vai sasniedzot vecumdienas, būtu aizstāt šobrīd noteiktos minimālos pensijas apmērus ar visiem vienādu – </w:t>
      </w:r>
      <w:r w:rsidRPr="0063727B">
        <w:rPr>
          <w:rFonts w:ascii="Times New Roman" w:hAnsi="Times New Roman" w:cs="Times New Roman"/>
          <w:b/>
          <w:bCs/>
          <w:sz w:val="24"/>
          <w:szCs w:val="24"/>
        </w:rPr>
        <w:t>bāzes jeb sociālo pensiju</w:t>
      </w:r>
      <w:r w:rsidRPr="0063727B">
        <w:rPr>
          <w:rFonts w:ascii="Times New Roman" w:hAnsi="Times New Roman" w:cs="Times New Roman"/>
          <w:sz w:val="24"/>
          <w:szCs w:val="24"/>
        </w:rPr>
        <w:t xml:space="preserve">, kuras finansēšana tiktu nodrošināta no valsts pamatbudžeta. Tādējādi, piemēram, vecuma pensija sastāvētu no divām daļām – (1) </w:t>
      </w:r>
      <w:r w:rsidRPr="0063727B">
        <w:rPr>
          <w:rFonts w:ascii="Times New Roman" w:hAnsi="Times New Roman" w:cs="Times New Roman"/>
          <w:sz w:val="24"/>
          <w:szCs w:val="24"/>
          <w:u w:val="single"/>
        </w:rPr>
        <w:t>bāzes jeb sociālās pensijas</w:t>
      </w:r>
      <w:r w:rsidRPr="0063727B">
        <w:rPr>
          <w:rFonts w:ascii="Times New Roman" w:hAnsi="Times New Roman" w:cs="Times New Roman"/>
          <w:sz w:val="24"/>
          <w:szCs w:val="24"/>
        </w:rPr>
        <w:t xml:space="preserve">, ko izmaksātu no valsts pamatbudžeta, un </w:t>
      </w:r>
      <w:r w:rsidRPr="0063727B">
        <w:rPr>
          <w:rFonts w:ascii="Times New Roman" w:hAnsi="Times New Roman" w:cs="Times New Roman"/>
          <w:sz w:val="24"/>
          <w:szCs w:val="24"/>
          <w:u w:val="single"/>
        </w:rPr>
        <w:t>(2) sociālās apdrošināšanas pensijas</w:t>
      </w:r>
      <w:r w:rsidRPr="0063727B">
        <w:rPr>
          <w:rFonts w:ascii="Times New Roman" w:hAnsi="Times New Roman" w:cs="Times New Roman"/>
          <w:sz w:val="24"/>
          <w:szCs w:val="24"/>
        </w:rPr>
        <w:t xml:space="preserve">, kas aprēķinātas no indivīda veiktajām sociālajām iemaksām un finansētas no speciālā budžeta. </w:t>
      </w:r>
    </w:p>
    <w:p w:rsidR="00343AF5" w:rsidRPr="0063727B" w:rsidRDefault="00343AF5" w:rsidP="005C12B5">
      <w:pPr>
        <w:autoSpaceDE w:val="0"/>
        <w:autoSpaceDN w:val="0"/>
        <w:adjustRightInd w:val="0"/>
        <w:spacing w:after="0" w:line="240" w:lineRule="auto"/>
        <w:ind w:firstLine="720"/>
        <w:jc w:val="both"/>
        <w:rPr>
          <w:rFonts w:ascii="Times New Roman" w:hAnsi="Times New Roman" w:cs="Times New Roman"/>
          <w:b/>
          <w:bCs/>
          <w:sz w:val="24"/>
          <w:szCs w:val="24"/>
          <w:u w:val="single"/>
        </w:rPr>
      </w:pPr>
    </w:p>
    <w:p w:rsidR="00343AF5" w:rsidRPr="0063727B" w:rsidRDefault="00343AF5" w:rsidP="005C12B5">
      <w:pPr>
        <w:autoSpaceDE w:val="0"/>
        <w:autoSpaceDN w:val="0"/>
        <w:adjustRightInd w:val="0"/>
        <w:spacing w:after="0" w:line="240" w:lineRule="auto"/>
        <w:ind w:firstLine="720"/>
        <w:jc w:val="both"/>
        <w:rPr>
          <w:rFonts w:ascii="Times New Roman" w:hAnsi="Times New Roman" w:cs="Times New Roman"/>
          <w:b/>
          <w:bCs/>
          <w:sz w:val="24"/>
          <w:szCs w:val="24"/>
        </w:rPr>
      </w:pPr>
      <w:r w:rsidRPr="0063727B">
        <w:rPr>
          <w:rFonts w:ascii="Times New Roman" w:hAnsi="Times New Roman" w:cs="Times New Roman"/>
          <w:b/>
          <w:bCs/>
          <w:sz w:val="24"/>
          <w:szCs w:val="24"/>
        </w:rPr>
        <w:t>Būtiskākie secinājumi un iespējamie problēmu risinājumi:</w:t>
      </w:r>
    </w:p>
    <w:p w:rsidR="00343AF5" w:rsidRPr="0063727B" w:rsidRDefault="00343AF5" w:rsidP="006F51F7">
      <w:pPr>
        <w:autoSpaceDE w:val="0"/>
        <w:autoSpaceDN w:val="0"/>
        <w:adjustRightInd w:val="0"/>
        <w:spacing w:after="0" w:line="240" w:lineRule="auto"/>
        <w:jc w:val="both"/>
        <w:rPr>
          <w:rFonts w:ascii="Times New Roman" w:hAnsi="Times New Roman" w:cs="Times New Roman"/>
          <w:sz w:val="24"/>
          <w:szCs w:val="24"/>
        </w:rPr>
      </w:pPr>
    </w:p>
    <w:p w:rsidR="00001676" w:rsidRPr="0063727B" w:rsidRDefault="00001676" w:rsidP="0000167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63727B">
        <w:rPr>
          <w:rFonts w:ascii="Times New Roman" w:hAnsi="Times New Roman" w:cs="Times New Roman"/>
          <w:sz w:val="24"/>
          <w:szCs w:val="24"/>
        </w:rPr>
        <w:t>Valsts sociālās apdrošināšanas sistēmas pamatbūtība ir pašfinansēšanās</w:t>
      </w:r>
      <w:r w:rsidR="002F1076" w:rsidRPr="0063727B">
        <w:rPr>
          <w:rFonts w:ascii="Times New Roman" w:hAnsi="Times New Roman" w:cs="Times New Roman"/>
          <w:sz w:val="24"/>
          <w:szCs w:val="24"/>
        </w:rPr>
        <w:t>, un</w:t>
      </w:r>
      <w:r w:rsidRPr="0063727B">
        <w:rPr>
          <w:rFonts w:ascii="Times New Roman" w:hAnsi="Times New Roman" w:cs="Times New Roman"/>
          <w:sz w:val="24"/>
          <w:szCs w:val="24"/>
        </w:rPr>
        <w:t xml:space="preserve"> pensiju/pabalstu apmēri, ko indivīds gūst no šīs sistēmas, lielākajā daļā gadījumu ir atkarīgi no individuālajām sociālās apdrošināšanas iemaksām; </w:t>
      </w:r>
    </w:p>
    <w:p w:rsidR="00001676" w:rsidRPr="0063727B" w:rsidRDefault="00001676" w:rsidP="0000167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63727B">
        <w:rPr>
          <w:rFonts w:ascii="Times New Roman" w:hAnsi="Times New Roman" w:cs="Times New Roman"/>
          <w:sz w:val="24"/>
          <w:szCs w:val="24"/>
        </w:rPr>
        <w:t>minimālie vecuma pensijas apmēri ir relatīvi zemi, taču, nosakot augstus minimālos vecuma pensijas apmērus, var tikt radīta negatīva ietekme uz cilvēku motivāciju maksāt sociālās apdrošināšanas iemaksas no visiem darba ienākumiem;</w:t>
      </w:r>
    </w:p>
    <w:p w:rsidR="00001676" w:rsidRPr="0063727B" w:rsidRDefault="00001676" w:rsidP="0000167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63727B">
        <w:rPr>
          <w:rFonts w:ascii="Times New Roman" w:hAnsi="Times New Roman" w:cs="Times New Roman"/>
          <w:sz w:val="24"/>
          <w:szCs w:val="24"/>
          <w:lang w:eastAsia="lv-LV"/>
        </w:rPr>
        <w:t xml:space="preserve">bezdarba apdrošināšanas sistēma mazāk aizsargā zemo algu saņēmējus, tāpēc ir nepieciešams izvērtēt iespējamos risinājumus šīs iedzīvotāju grupas augstākai sociālajai aizsardzībai; </w:t>
      </w:r>
    </w:p>
    <w:p w:rsidR="00001676" w:rsidRPr="0063727B" w:rsidRDefault="00001676" w:rsidP="00001676">
      <w:pPr>
        <w:pStyle w:val="ListParagraph"/>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63727B">
        <w:rPr>
          <w:rFonts w:ascii="Times New Roman" w:hAnsi="Times New Roman" w:cs="Times New Roman"/>
          <w:sz w:val="24"/>
          <w:szCs w:val="24"/>
        </w:rPr>
        <w:lastRenderedPageBreak/>
        <w:t xml:space="preserve">lai uzlabotu pensiju saņēmēju finansiālo situāciju un atslogotu sociālās apdrošināšanas sistēmu no papildus izmaksām, izvērtēt iespēju noteikt valsts pamatbudžeta finansētu </w:t>
      </w:r>
      <w:r w:rsidRPr="0063727B">
        <w:rPr>
          <w:rFonts w:ascii="Times New Roman" w:hAnsi="Times New Roman" w:cs="Times New Roman"/>
          <w:bCs/>
          <w:sz w:val="24"/>
          <w:szCs w:val="24"/>
        </w:rPr>
        <w:t xml:space="preserve">bāzes </w:t>
      </w:r>
      <w:r w:rsidRPr="0063727B">
        <w:rPr>
          <w:rFonts w:ascii="Times New Roman" w:hAnsi="Times New Roman" w:cs="Times New Roman"/>
          <w:sz w:val="24"/>
          <w:szCs w:val="24"/>
        </w:rPr>
        <w:t>jeb</w:t>
      </w:r>
      <w:r w:rsidRPr="0063727B">
        <w:rPr>
          <w:rFonts w:ascii="Times New Roman" w:hAnsi="Times New Roman" w:cs="Times New Roman"/>
          <w:bCs/>
          <w:sz w:val="24"/>
          <w:szCs w:val="24"/>
        </w:rPr>
        <w:t xml:space="preserve"> sociālo pensiju</w:t>
      </w:r>
      <w:r w:rsidRPr="0063727B">
        <w:rPr>
          <w:rFonts w:ascii="Times New Roman" w:hAnsi="Times New Roman" w:cs="Times New Roman"/>
          <w:sz w:val="24"/>
          <w:szCs w:val="24"/>
        </w:rPr>
        <w:t xml:space="preserve">.  </w:t>
      </w:r>
    </w:p>
    <w:p w:rsidR="00861C24" w:rsidRPr="0063727B" w:rsidRDefault="00861C24" w:rsidP="00861C24">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343AF5" w:rsidRPr="0063727B" w:rsidRDefault="00343AF5" w:rsidP="009A1501">
      <w:pPr>
        <w:pStyle w:val="Heading2"/>
        <w:numPr>
          <w:ilvl w:val="0"/>
          <w:numId w:val="20"/>
        </w:numPr>
        <w:tabs>
          <w:tab w:val="left" w:pos="1418"/>
        </w:tabs>
        <w:rPr>
          <w:rFonts w:ascii="Times New Roman" w:hAnsi="Times New Roman" w:cs="Times New Roman"/>
          <w:color w:val="auto"/>
          <w:sz w:val="24"/>
          <w:szCs w:val="24"/>
          <w:lang w:val="lv-LV"/>
        </w:rPr>
      </w:pPr>
      <w:r w:rsidRPr="0063727B">
        <w:rPr>
          <w:rFonts w:ascii="Times New Roman" w:hAnsi="Times New Roman" w:cs="Times New Roman"/>
          <w:color w:val="auto"/>
          <w:sz w:val="24"/>
          <w:szCs w:val="24"/>
          <w:lang w:val="lv-LV"/>
        </w:rPr>
        <w:t xml:space="preserve"> </w:t>
      </w:r>
      <w:bookmarkStart w:id="25" w:name="_Toc372812635"/>
      <w:r w:rsidRPr="0063727B">
        <w:rPr>
          <w:rFonts w:ascii="Times New Roman" w:hAnsi="Times New Roman" w:cs="Times New Roman"/>
          <w:color w:val="auto"/>
          <w:sz w:val="24"/>
          <w:szCs w:val="24"/>
          <w:lang w:val="lv-LV"/>
        </w:rPr>
        <w:t>Valsts sociālie pabalsti (universālie pabalsti)</w:t>
      </w:r>
      <w:bookmarkEnd w:id="25"/>
    </w:p>
    <w:p w:rsidR="00343AF5" w:rsidRPr="0063727B" w:rsidRDefault="00343AF5" w:rsidP="00075D36">
      <w:pPr>
        <w:pStyle w:val="NormalWeb"/>
        <w:shd w:val="clear" w:color="auto" w:fill="FFFFFF"/>
        <w:spacing w:before="0" w:after="0"/>
        <w:ind w:firstLine="720"/>
        <w:jc w:val="both"/>
      </w:pPr>
    </w:p>
    <w:p w:rsidR="00343AF5" w:rsidRPr="0063727B" w:rsidRDefault="00343AF5" w:rsidP="002E6457">
      <w:pPr>
        <w:pStyle w:val="NormalWeb"/>
        <w:shd w:val="clear" w:color="auto" w:fill="FFFFFF"/>
        <w:spacing w:before="0" w:after="0"/>
        <w:ind w:firstLine="720"/>
        <w:jc w:val="both"/>
      </w:pPr>
      <w:r w:rsidRPr="0063727B">
        <w:t xml:space="preserve">Latvijā valsts sociālie pabalsti, papildinot valsts sociālās apdrošināšanas sistēmu, sniedz universālu valsts atbalstu naudas izmaksu veidā pie noteiktām iedzīvotāju grupām piederīgām personām noteiktās dzīves situācijās, vai iegūstot noteiktu statusu (skat. </w:t>
      </w:r>
      <w:r w:rsidR="004C0F54" w:rsidRPr="0063727B">
        <w:t>5</w:t>
      </w:r>
      <w:r w:rsidRPr="0063727B">
        <w:t xml:space="preserve">.tabulu pielikumā). Valsts sociālie pabalsti tiek finansēti no valsts pamatbudžeta, t.i., no vispārējiem nodokļiem, un to apmērs ir atkarīgs no valsts finansiālajām iespējām. Valsts sociālie pabalsti tiek regulāri pārskatīti, taču </w:t>
      </w:r>
      <w:r w:rsidR="00861C24" w:rsidRPr="0063727B">
        <w:t>lielākā to daļa</w:t>
      </w:r>
      <w:r w:rsidRPr="0063727B">
        <w:t xml:space="preserve"> nav piesaistīti ne pie viena sociāli ekonomiska rādītāja. Latvijā universālo pabalstu piešķiršana nav atkarīga no ģimenes materiālā stāvokļa jeb to piešķiršanā netiek piemērota ienākumu pārbaude. </w:t>
      </w:r>
    </w:p>
    <w:p w:rsidR="00343AF5" w:rsidRPr="0063727B" w:rsidRDefault="00343AF5">
      <w:pPr>
        <w:pStyle w:val="NormalWeb"/>
        <w:shd w:val="clear" w:color="auto" w:fill="FFFFFF"/>
        <w:spacing w:before="0" w:after="0"/>
        <w:ind w:firstLine="720"/>
        <w:jc w:val="both"/>
      </w:pPr>
      <w:r w:rsidRPr="0063727B">
        <w:t>PB pētījuma</w:t>
      </w:r>
      <w:r w:rsidRPr="0063727B">
        <w:rPr>
          <w:i/>
          <w:iCs/>
        </w:rPr>
        <w:t xml:space="preserve"> </w:t>
      </w:r>
      <w:r w:rsidRPr="0063727B">
        <w:t xml:space="preserve">rezultāti liecina, ka Latvijas sociālā atbalsta sistēma pārsvarā (90%) nav ienākumu testēta, t.i., universāls atbalsts tiek sniegts neatkarīgi no saņēmēja ienākumiem. Vismaz vienu no sociālā atbalsta transfertiem saņem 60% no trūcīgākās mājsaimniecību kvintiles un 50% no turīgākās mājsaimniecību kvintiles. 2009.gadā visa sociālā atbalsta pārklājums attiecībā uz </w:t>
      </w:r>
      <w:r w:rsidR="00D47A27" w:rsidRPr="0063727B">
        <w:t>nabadzīgāko</w:t>
      </w:r>
      <w:r w:rsidRPr="0063727B">
        <w:t xml:space="preserve"> mājsaimniecību kvintili bija līdz 20%, bet turīgāko – 27,5%. 30% no ģimenes pabalstu finanšu līdzekļiem tiek izmaksāti turīgākai mājsaimniecību </w:t>
      </w:r>
      <w:proofErr w:type="spellStart"/>
      <w:r w:rsidRPr="0063727B">
        <w:t>kvintilei</w:t>
      </w:r>
      <w:proofErr w:type="spellEnd"/>
      <w:r w:rsidRPr="0063727B">
        <w:t xml:space="preserve">, bet trūcīgākai – ap 20%. </w:t>
      </w:r>
      <w:r w:rsidR="00D47A27" w:rsidRPr="0063727B">
        <w:t>Tāpēc,</w:t>
      </w:r>
      <w:r w:rsidRPr="0063727B">
        <w:t xml:space="preserve"> ņemot vērā augstos nabadzības riskus valstī, PB ierosina pabalstus veidot mērķtiecīgākus, līdzekļus vairāk novirzot iedzīvotājiem ar zemiem vai nepietiekamiem ienākumiem.</w:t>
      </w:r>
    </w:p>
    <w:p w:rsidR="0010673B" w:rsidRPr="0063727B" w:rsidRDefault="00343AF5" w:rsidP="005B5B76">
      <w:pPr>
        <w:pStyle w:val="NormalWeb"/>
        <w:shd w:val="clear" w:color="auto" w:fill="FFFFFF"/>
        <w:spacing w:before="0" w:after="0"/>
        <w:ind w:firstLine="720"/>
        <w:jc w:val="both"/>
      </w:pPr>
      <w:r w:rsidRPr="0063727B">
        <w:t xml:space="preserve">Latvijā ir noteikti </w:t>
      </w:r>
      <w:r w:rsidR="00E70BF6" w:rsidRPr="0063727B">
        <w:t>17 valsts sociālie pabalstu veidi</w:t>
      </w:r>
      <w:r w:rsidRPr="0063727B">
        <w:t xml:space="preserve">: </w:t>
      </w:r>
    </w:p>
    <w:p w:rsidR="0010673B" w:rsidRPr="0063727B" w:rsidRDefault="0010673B" w:rsidP="009A1501">
      <w:pPr>
        <w:numPr>
          <w:ilvl w:val="0"/>
          <w:numId w:val="24"/>
        </w:numPr>
        <w:spacing w:after="0" w:line="240" w:lineRule="auto"/>
        <w:ind w:left="1134" w:hanging="357"/>
        <w:jc w:val="both"/>
        <w:rPr>
          <w:rFonts w:ascii="Times New Roman" w:hAnsi="Times New Roman" w:cs="Times New Roman"/>
          <w:sz w:val="24"/>
          <w:szCs w:val="24"/>
        </w:rPr>
      </w:pPr>
      <w:r w:rsidRPr="0063727B">
        <w:rPr>
          <w:rFonts w:ascii="Times New Roman" w:hAnsi="Times New Roman" w:cs="Times New Roman"/>
          <w:sz w:val="24"/>
          <w:szCs w:val="24"/>
        </w:rPr>
        <w:t>Bērna piedzimšanas pabalsts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Bērna kopšanas pabalsts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Bērna invalīda kopšanas pabalsts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Ģimenes valsts pabalsts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Pabalsts invalīdam, kuram nepieciešama īpaša kopšana</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Piemaksa pie ģimenes valsts pabalsta par bērnu invalīdu</w:t>
      </w:r>
      <w:r w:rsidR="00E70BF6" w:rsidRPr="0063727B">
        <w:rPr>
          <w:rFonts w:ascii="Times New Roman" w:hAnsi="Times New Roman" w:cs="Times New Roman"/>
          <w:sz w:val="24"/>
          <w:szCs w:val="24"/>
        </w:rPr>
        <w:t>;</w:t>
      </w:r>
    </w:p>
    <w:p w:rsidR="0010673B" w:rsidRPr="0063727B" w:rsidRDefault="00E70BF6"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w:t>
      </w:r>
      <w:r w:rsidR="0010673B" w:rsidRPr="0063727B">
        <w:rPr>
          <w:rFonts w:ascii="Times New Roman" w:hAnsi="Times New Roman" w:cs="Times New Roman"/>
          <w:sz w:val="24"/>
          <w:szCs w:val="24"/>
        </w:rPr>
        <w:t>tbalst</w:t>
      </w:r>
      <w:r w:rsidRPr="0063727B">
        <w:rPr>
          <w:rFonts w:ascii="Times New Roman" w:hAnsi="Times New Roman" w:cs="Times New Roman"/>
          <w:sz w:val="24"/>
          <w:szCs w:val="24"/>
        </w:rPr>
        <w:t>s</w:t>
      </w:r>
      <w:r w:rsidR="0010673B" w:rsidRPr="0063727B">
        <w:rPr>
          <w:rFonts w:ascii="Times New Roman" w:hAnsi="Times New Roman" w:cs="Times New Roman"/>
          <w:sz w:val="24"/>
          <w:szCs w:val="24"/>
        </w:rPr>
        <w:t xml:space="preserve"> </w:t>
      </w:r>
      <w:r w:rsidRPr="0063727B">
        <w:rPr>
          <w:rFonts w:ascii="Times New Roman" w:hAnsi="Times New Roman" w:cs="Times New Roman"/>
          <w:sz w:val="24"/>
          <w:szCs w:val="24"/>
        </w:rPr>
        <w:t>ar celiakiju slimiem bērniem, kuriem nav noteikta invaliditāte;</w:t>
      </w:r>
      <w:r w:rsidR="0010673B" w:rsidRPr="0063727B">
        <w:rPr>
          <w:rFonts w:ascii="Times New Roman" w:hAnsi="Times New Roman" w:cs="Times New Roman"/>
          <w:sz w:val="24"/>
          <w:szCs w:val="24"/>
        </w:rPr>
        <w:t xml:space="preserve"> </w:t>
      </w:r>
    </w:p>
    <w:p w:rsidR="00E70BF6"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Pabalsts aizbildnim par bērna uzturēšanu</w:t>
      </w:r>
      <w:r w:rsidR="00E70BF6" w:rsidRPr="0063727B">
        <w:rPr>
          <w:rFonts w:ascii="Times New Roman" w:hAnsi="Times New Roman" w:cs="Times New Roman"/>
          <w:sz w:val="24"/>
          <w:szCs w:val="24"/>
        </w:rPr>
        <w:t>;</w:t>
      </w:r>
    </w:p>
    <w:p w:rsidR="0010673B" w:rsidRPr="0063727B" w:rsidRDefault="00E70BF6"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w:t>
      </w:r>
      <w:r w:rsidR="0010673B" w:rsidRPr="0063727B">
        <w:rPr>
          <w:rFonts w:ascii="Times New Roman" w:hAnsi="Times New Roman" w:cs="Times New Roman"/>
          <w:sz w:val="24"/>
          <w:szCs w:val="24"/>
        </w:rPr>
        <w:t>tlīdzība par aizbildņa pienākumu pildīšanu</w:t>
      </w:r>
      <w:r w:rsidRPr="0063727B">
        <w:rPr>
          <w:rFonts w:ascii="Times New Roman" w:hAnsi="Times New Roman" w:cs="Times New Roman"/>
          <w:sz w:val="24"/>
          <w:szCs w:val="24"/>
        </w:rPr>
        <w:t>;</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Atlīdzība par audžuģimenes pienākumu pildīšanu</w:t>
      </w:r>
      <w:r w:rsidR="00E70BF6" w:rsidRPr="0063727B">
        <w:rPr>
          <w:rFonts w:ascii="Times New Roman" w:hAnsi="Times New Roman" w:cs="Times New Roman"/>
          <w:sz w:val="24"/>
          <w:szCs w:val="24"/>
        </w:rPr>
        <w:t>;</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Atlīdzība par adoptējamā bērna aprūpi</w:t>
      </w:r>
      <w:r w:rsidR="00E70BF6" w:rsidRPr="0063727B">
        <w:rPr>
          <w:rFonts w:ascii="Times New Roman" w:hAnsi="Times New Roman" w:cs="Times New Roman"/>
          <w:sz w:val="24"/>
          <w:szCs w:val="24"/>
        </w:rPr>
        <w:t>;</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Atlīdzība par adopciju</w:t>
      </w:r>
      <w:r w:rsidR="00E70BF6" w:rsidRPr="0063727B">
        <w:rPr>
          <w:rFonts w:ascii="Times New Roman" w:hAnsi="Times New Roman" w:cs="Times New Roman"/>
          <w:sz w:val="24"/>
          <w:szCs w:val="24"/>
        </w:rPr>
        <w:t>;</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Valsts sociālā nodrošinājuma pabalsts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Pabalsts transporta izdevumu kompensēšanai invalīdiem, kuriem ir apgrūtināta pārvietošanās</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E70BF6" w:rsidRPr="0063727B" w:rsidRDefault="00E70BF6"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Apbedīšanas pabalsts</w:t>
      </w:r>
      <w:r w:rsidR="005B5B7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before="100" w:beforeAutospacing="1" w:after="100" w:afterAutospacing="1"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Valsts sociālais pabalsts ČAES avārijas seku likvidēšanas dalībniekam vai viņa ģimenei</w:t>
      </w:r>
      <w:r w:rsidR="00E70BF6"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10673B" w:rsidRPr="0063727B" w:rsidRDefault="0010673B" w:rsidP="009A1501">
      <w:pPr>
        <w:numPr>
          <w:ilvl w:val="0"/>
          <w:numId w:val="24"/>
        </w:numPr>
        <w:spacing w:after="120" w:line="240" w:lineRule="auto"/>
        <w:ind w:left="1134" w:hanging="357"/>
        <w:jc w:val="both"/>
        <w:rPr>
          <w:rFonts w:ascii="Times New Roman" w:hAnsi="Times New Roman" w:cs="Times New Roman"/>
          <w:sz w:val="24"/>
          <w:szCs w:val="24"/>
        </w:rPr>
      </w:pPr>
      <w:r w:rsidRPr="0063727B">
        <w:rPr>
          <w:rFonts w:ascii="Times New Roman" w:hAnsi="Times New Roman" w:cs="Times New Roman"/>
          <w:sz w:val="24"/>
          <w:szCs w:val="24"/>
        </w:rPr>
        <w:t>Valsts speciālais pabalsts Latvijas neatkarības atgūšanas procesā bojā gājušo personu bērniem</w:t>
      </w:r>
      <w:r w:rsidR="00E70BF6" w:rsidRPr="0063727B">
        <w:rPr>
          <w:rFonts w:ascii="Times New Roman" w:hAnsi="Times New Roman" w:cs="Times New Roman"/>
          <w:sz w:val="24"/>
          <w:szCs w:val="24"/>
        </w:rPr>
        <w:t>.</w:t>
      </w:r>
    </w:p>
    <w:p w:rsidR="005B5B76" w:rsidRPr="0063727B" w:rsidRDefault="00E70BF6" w:rsidP="005A19EF">
      <w:pPr>
        <w:spacing w:after="0" w:line="240" w:lineRule="auto"/>
        <w:ind w:firstLine="720"/>
        <w:jc w:val="both"/>
        <w:rPr>
          <w:rStyle w:val="apple-converted-space"/>
          <w:rFonts w:ascii="Times New Roman" w:hAnsi="Times New Roman" w:cs="Times New Roman"/>
          <w:bCs/>
          <w:sz w:val="24"/>
          <w:szCs w:val="24"/>
          <w:shd w:val="clear" w:color="auto" w:fill="FFFFFF"/>
        </w:rPr>
      </w:pPr>
      <w:r w:rsidRPr="0063727B">
        <w:rPr>
          <w:rStyle w:val="apple-converted-space"/>
          <w:rFonts w:ascii="Times New Roman" w:hAnsi="Times New Roman" w:cs="Times New Roman"/>
          <w:bCs/>
          <w:sz w:val="24"/>
          <w:szCs w:val="24"/>
          <w:shd w:val="clear" w:color="auto" w:fill="FFFFFF"/>
        </w:rPr>
        <w:t>Kā redzams</w:t>
      </w:r>
      <w:r w:rsidR="005B5B76" w:rsidRPr="0063727B">
        <w:rPr>
          <w:rStyle w:val="apple-converted-space"/>
          <w:rFonts w:ascii="Times New Roman" w:hAnsi="Times New Roman" w:cs="Times New Roman"/>
          <w:bCs/>
          <w:sz w:val="24"/>
          <w:szCs w:val="24"/>
          <w:shd w:val="clear" w:color="auto" w:fill="FFFFFF"/>
        </w:rPr>
        <w:t>,</w:t>
      </w:r>
      <w:r w:rsidRPr="0063727B">
        <w:rPr>
          <w:rStyle w:val="apple-converted-space"/>
          <w:rFonts w:ascii="Times New Roman" w:hAnsi="Times New Roman" w:cs="Times New Roman"/>
          <w:b/>
          <w:bCs/>
          <w:sz w:val="24"/>
          <w:szCs w:val="24"/>
          <w:shd w:val="clear" w:color="auto" w:fill="FFFFFF"/>
        </w:rPr>
        <w:t xml:space="preserve"> </w:t>
      </w:r>
      <w:r w:rsidRPr="0063727B">
        <w:rPr>
          <w:rStyle w:val="apple-converted-space"/>
          <w:rFonts w:ascii="Times New Roman" w:hAnsi="Times New Roman" w:cs="Times New Roman"/>
          <w:bCs/>
          <w:sz w:val="24"/>
          <w:szCs w:val="24"/>
          <w:shd w:val="clear" w:color="auto" w:fill="FFFFFF"/>
        </w:rPr>
        <w:t>valsts sociālie pabalsti</w:t>
      </w:r>
      <w:r w:rsidRPr="0063727B">
        <w:rPr>
          <w:rStyle w:val="apple-converted-space"/>
          <w:rFonts w:ascii="Times New Roman" w:hAnsi="Times New Roman" w:cs="Times New Roman"/>
          <w:b/>
          <w:bCs/>
          <w:sz w:val="24"/>
          <w:szCs w:val="24"/>
          <w:shd w:val="clear" w:color="auto" w:fill="FFFFFF"/>
        </w:rPr>
        <w:t xml:space="preserve"> </w:t>
      </w:r>
      <w:r w:rsidRPr="0063727B">
        <w:rPr>
          <w:rStyle w:val="apple-converted-space"/>
          <w:rFonts w:ascii="Times New Roman" w:hAnsi="Times New Roman" w:cs="Times New Roman"/>
          <w:bCs/>
          <w:sz w:val="24"/>
          <w:szCs w:val="24"/>
          <w:shd w:val="clear" w:color="auto" w:fill="FFFFFF"/>
        </w:rPr>
        <w:t>pamatā tiek</w:t>
      </w:r>
      <w:r w:rsidRPr="0063727B">
        <w:rPr>
          <w:rStyle w:val="apple-converted-space"/>
          <w:rFonts w:ascii="Times New Roman" w:hAnsi="Times New Roman" w:cs="Times New Roman"/>
          <w:b/>
          <w:bCs/>
          <w:sz w:val="24"/>
          <w:szCs w:val="24"/>
          <w:shd w:val="clear" w:color="auto" w:fill="FFFFFF"/>
        </w:rPr>
        <w:t xml:space="preserve"> </w:t>
      </w:r>
      <w:r w:rsidRPr="0063727B">
        <w:rPr>
          <w:rStyle w:val="apple-converted-space"/>
          <w:rFonts w:ascii="Times New Roman" w:hAnsi="Times New Roman" w:cs="Times New Roman"/>
          <w:bCs/>
          <w:sz w:val="24"/>
          <w:szCs w:val="24"/>
          <w:shd w:val="clear" w:color="auto" w:fill="FFFFFF"/>
        </w:rPr>
        <w:t>piešķirti ģimenēm ar bērniem</w:t>
      </w:r>
      <w:r w:rsidR="005B5B76" w:rsidRPr="0063727B">
        <w:rPr>
          <w:rStyle w:val="apple-converted-space"/>
          <w:rFonts w:ascii="Times New Roman" w:hAnsi="Times New Roman" w:cs="Times New Roman"/>
          <w:bCs/>
          <w:sz w:val="24"/>
          <w:szCs w:val="24"/>
          <w:shd w:val="clear" w:color="auto" w:fill="FFFFFF"/>
        </w:rPr>
        <w:t xml:space="preserve"> (tai skaitā audžuģimenēm un aizbildņiem) un personām ar invaliditāti. Jāatzīmē, ka šīs ir iedzīvotāju grupas, kuras ir pakļautas salīdzinoši lielākiem nabadzības un sociālās </w:t>
      </w:r>
      <w:r w:rsidR="005B5B76" w:rsidRPr="0063727B">
        <w:rPr>
          <w:rStyle w:val="apple-converted-space"/>
          <w:rFonts w:ascii="Times New Roman" w:hAnsi="Times New Roman" w:cs="Times New Roman"/>
          <w:bCs/>
          <w:sz w:val="24"/>
          <w:szCs w:val="24"/>
          <w:shd w:val="clear" w:color="auto" w:fill="FFFFFF"/>
        </w:rPr>
        <w:lastRenderedPageBreak/>
        <w:t xml:space="preserve">atstumtības riskiem, tāpēc, lai kādu no pabalstiem mērķētu, pamatojoties uz ienākumu izvērtējumu, tas varētu izraisīt zināmu pretestību, apzinoties, ka ģimenes ar bērniem un personas ar invaliditāti ir vienas no prioritārajām mērķa grupām, kurām ir svarīgs ikviens atbalsta veids, ņemot vērā </w:t>
      </w:r>
      <w:r w:rsidR="00D47A27" w:rsidRPr="0063727B">
        <w:rPr>
          <w:rStyle w:val="apple-converted-space"/>
          <w:rFonts w:ascii="Times New Roman" w:hAnsi="Times New Roman" w:cs="Times New Roman"/>
          <w:bCs/>
          <w:sz w:val="24"/>
          <w:szCs w:val="24"/>
          <w:shd w:val="clear" w:color="auto" w:fill="FFFFFF"/>
        </w:rPr>
        <w:t xml:space="preserve">arī </w:t>
      </w:r>
      <w:r w:rsidR="00A2149C" w:rsidRPr="0063727B">
        <w:rPr>
          <w:rStyle w:val="apple-converted-space"/>
          <w:rFonts w:ascii="Times New Roman" w:hAnsi="Times New Roman" w:cs="Times New Roman"/>
          <w:bCs/>
          <w:sz w:val="24"/>
          <w:szCs w:val="24"/>
          <w:shd w:val="clear" w:color="auto" w:fill="FFFFFF"/>
        </w:rPr>
        <w:t>demogrāfiskos izaicinājumus</w:t>
      </w:r>
      <w:r w:rsidR="005B5B76" w:rsidRPr="0063727B">
        <w:rPr>
          <w:rStyle w:val="apple-converted-space"/>
          <w:rFonts w:ascii="Times New Roman" w:hAnsi="Times New Roman" w:cs="Times New Roman"/>
          <w:bCs/>
          <w:sz w:val="24"/>
          <w:szCs w:val="24"/>
          <w:shd w:val="clear" w:color="auto" w:fill="FFFFFF"/>
        </w:rPr>
        <w:t xml:space="preserve">. </w:t>
      </w:r>
    </w:p>
    <w:p w:rsidR="00343AF5" w:rsidRPr="0063727B" w:rsidRDefault="005B5B76" w:rsidP="005A19EF">
      <w:pPr>
        <w:spacing w:after="0" w:line="240" w:lineRule="auto"/>
        <w:ind w:firstLine="720"/>
        <w:jc w:val="both"/>
        <w:rPr>
          <w:rFonts w:ascii="Times New Roman" w:hAnsi="Times New Roman" w:cs="Times New Roman"/>
          <w:sz w:val="24"/>
          <w:szCs w:val="24"/>
        </w:rPr>
      </w:pPr>
      <w:r w:rsidRPr="0063727B">
        <w:rPr>
          <w:rStyle w:val="apple-converted-space"/>
          <w:rFonts w:ascii="Times New Roman" w:hAnsi="Times New Roman" w:cs="Times New Roman"/>
          <w:bCs/>
          <w:sz w:val="24"/>
          <w:szCs w:val="24"/>
          <w:shd w:val="clear" w:color="auto" w:fill="FFFFFF"/>
        </w:rPr>
        <w:t xml:space="preserve"> </w:t>
      </w:r>
      <w:r w:rsidR="00343AF5" w:rsidRPr="0063727B">
        <w:rPr>
          <w:rStyle w:val="apple-converted-space"/>
          <w:rFonts w:ascii="Times New Roman" w:hAnsi="Times New Roman" w:cs="Times New Roman"/>
          <w:b/>
          <w:bCs/>
          <w:sz w:val="24"/>
          <w:szCs w:val="24"/>
          <w:shd w:val="clear" w:color="auto" w:fill="FFFFFF"/>
        </w:rPr>
        <w:t>Valsts sociālā nodrošinājuma pabalst</w:t>
      </w:r>
      <w:r w:rsidR="00A2149C" w:rsidRPr="0063727B">
        <w:rPr>
          <w:rStyle w:val="apple-converted-space"/>
          <w:rFonts w:ascii="Times New Roman" w:hAnsi="Times New Roman" w:cs="Times New Roman"/>
          <w:b/>
          <w:bCs/>
          <w:sz w:val="24"/>
          <w:szCs w:val="24"/>
          <w:shd w:val="clear" w:color="auto" w:fill="FFFFFF"/>
        </w:rPr>
        <w:t>s</w:t>
      </w:r>
      <w:r w:rsidR="00343AF5" w:rsidRPr="0063727B">
        <w:rPr>
          <w:rStyle w:val="FootnoteReference"/>
          <w:rFonts w:ascii="Times New Roman" w:hAnsi="Times New Roman" w:cs="Times New Roman"/>
          <w:sz w:val="24"/>
          <w:szCs w:val="24"/>
          <w:shd w:val="clear" w:color="auto" w:fill="FFFFFF"/>
        </w:rPr>
        <w:footnoteReference w:id="56"/>
      </w:r>
      <w:r w:rsidR="00343AF5" w:rsidRPr="0063727B">
        <w:rPr>
          <w:rFonts w:ascii="Times New Roman" w:hAnsi="Times New Roman" w:cs="Times New Roman"/>
          <w:sz w:val="24"/>
          <w:szCs w:val="24"/>
          <w:lang w:eastAsia="lv-LV"/>
        </w:rPr>
        <w:t xml:space="preserve"> </w:t>
      </w:r>
      <w:r w:rsidR="00E70BF6" w:rsidRPr="0063727B">
        <w:rPr>
          <w:rFonts w:ascii="Times New Roman" w:hAnsi="Times New Roman" w:cs="Times New Roman"/>
          <w:sz w:val="24"/>
          <w:szCs w:val="24"/>
          <w:lang w:eastAsia="lv-LV"/>
        </w:rPr>
        <w:t xml:space="preserve">ir viens no valsts definētajiem pabalstiem, </w:t>
      </w:r>
      <w:r w:rsidR="00A2149C" w:rsidRPr="0063727B">
        <w:rPr>
          <w:rFonts w:ascii="Times New Roman" w:hAnsi="Times New Roman" w:cs="Times New Roman"/>
          <w:sz w:val="24"/>
          <w:szCs w:val="24"/>
          <w:lang w:eastAsia="lv-LV"/>
        </w:rPr>
        <w:t>kura noteiktais apmērs ietekmē vairākus pakalpojumus un to apmērus</w:t>
      </w:r>
      <w:r w:rsidR="00A2149C" w:rsidRPr="0063727B">
        <w:rPr>
          <w:rStyle w:val="FootnoteReference"/>
          <w:rFonts w:ascii="Times New Roman" w:hAnsi="Times New Roman" w:cs="Times New Roman"/>
          <w:sz w:val="24"/>
          <w:szCs w:val="24"/>
          <w:lang w:eastAsia="lv-LV"/>
        </w:rPr>
        <w:footnoteReference w:id="57"/>
      </w:r>
      <w:r w:rsidR="00A2149C" w:rsidRPr="0063727B">
        <w:rPr>
          <w:rFonts w:ascii="Times New Roman" w:hAnsi="Times New Roman" w:cs="Times New Roman"/>
          <w:sz w:val="24"/>
          <w:szCs w:val="24"/>
          <w:lang w:eastAsia="lv-LV"/>
        </w:rPr>
        <w:t xml:space="preserve">, tāpēc jebkuras izmaiņas saistībā ar šī pabalsta apmēru ir jāvērtē kontekstā ar </w:t>
      </w:r>
      <w:r w:rsidR="00834A26" w:rsidRPr="0063727B">
        <w:rPr>
          <w:rFonts w:ascii="Times New Roman" w:hAnsi="Times New Roman" w:cs="Times New Roman"/>
          <w:sz w:val="24"/>
          <w:szCs w:val="24"/>
          <w:lang w:eastAsia="lv-LV"/>
        </w:rPr>
        <w:t xml:space="preserve">tā </w:t>
      </w:r>
      <w:r w:rsidR="00A2149C" w:rsidRPr="0063727B">
        <w:rPr>
          <w:rFonts w:ascii="Times New Roman" w:hAnsi="Times New Roman" w:cs="Times New Roman"/>
          <w:sz w:val="24"/>
          <w:szCs w:val="24"/>
          <w:lang w:eastAsia="lv-LV"/>
        </w:rPr>
        <w:t xml:space="preserve">ietekmi uz </w:t>
      </w:r>
      <w:r w:rsidR="00834A26" w:rsidRPr="0063727B">
        <w:rPr>
          <w:rFonts w:ascii="Times New Roman" w:hAnsi="Times New Roman" w:cs="Times New Roman"/>
          <w:sz w:val="24"/>
          <w:szCs w:val="24"/>
          <w:lang w:eastAsia="lv-LV"/>
        </w:rPr>
        <w:t xml:space="preserve">pabalstu apmēriem, kas </w:t>
      </w:r>
      <w:r w:rsidR="00A2149C" w:rsidRPr="0063727B">
        <w:rPr>
          <w:rFonts w:ascii="Times New Roman" w:hAnsi="Times New Roman" w:cs="Times New Roman"/>
          <w:sz w:val="24"/>
          <w:szCs w:val="24"/>
          <w:lang w:eastAsia="lv-LV"/>
        </w:rPr>
        <w:t xml:space="preserve">ar </w:t>
      </w:r>
      <w:r w:rsidR="00834A26" w:rsidRPr="0063727B">
        <w:rPr>
          <w:rFonts w:ascii="Times New Roman" w:hAnsi="Times New Roman" w:cs="Times New Roman"/>
          <w:sz w:val="24"/>
          <w:szCs w:val="24"/>
          <w:lang w:eastAsia="lv-LV"/>
        </w:rPr>
        <w:t xml:space="preserve">to ir </w:t>
      </w:r>
      <w:r w:rsidR="00A2149C" w:rsidRPr="0063727B">
        <w:rPr>
          <w:rFonts w:ascii="Times New Roman" w:hAnsi="Times New Roman" w:cs="Times New Roman"/>
          <w:sz w:val="24"/>
          <w:szCs w:val="24"/>
          <w:lang w:eastAsia="lv-LV"/>
        </w:rPr>
        <w:t>saist</w:t>
      </w:r>
      <w:r w:rsidR="00834A26" w:rsidRPr="0063727B">
        <w:rPr>
          <w:rFonts w:ascii="Times New Roman" w:hAnsi="Times New Roman" w:cs="Times New Roman"/>
          <w:sz w:val="24"/>
          <w:szCs w:val="24"/>
          <w:lang w:eastAsia="lv-LV"/>
        </w:rPr>
        <w:t>īti</w:t>
      </w:r>
      <w:r w:rsidR="00A2149C" w:rsidRPr="0063727B">
        <w:rPr>
          <w:rFonts w:ascii="Times New Roman" w:hAnsi="Times New Roman" w:cs="Times New Roman"/>
          <w:sz w:val="24"/>
          <w:szCs w:val="24"/>
          <w:lang w:eastAsia="lv-LV"/>
        </w:rPr>
        <w:t xml:space="preserve">. </w:t>
      </w:r>
      <w:r w:rsidR="00834A26" w:rsidRPr="0063727B">
        <w:rPr>
          <w:rFonts w:ascii="Times New Roman" w:hAnsi="Times New Roman" w:cs="Times New Roman"/>
          <w:sz w:val="24"/>
          <w:szCs w:val="24"/>
        </w:rPr>
        <w:t xml:space="preserve">Valsts sociālā nodrošinājuma pabalsta apmērs ir 45 lati mēnesī, un tas nav piesaistīts ne pie viena sociāli ekonomiska rādītāja, kā arī tā apmērs nav mainīts kopš 2006.gada (izņemot personām ar invaliditāti kopš bērnības, kurām valsts sociālā nodrošinājuma pabalsta apmērs ir noteikts augstāks nekā vispārējā gadījumā, un kopš 01.01.2009. ir Ls 75 mēnesī). Valsts sociālā nodrošinājuma pabalstu </w:t>
      </w:r>
      <w:r w:rsidR="00343AF5" w:rsidRPr="0063727B">
        <w:rPr>
          <w:rFonts w:ascii="Times New Roman" w:hAnsi="Times New Roman" w:cs="Times New Roman"/>
          <w:sz w:val="24"/>
          <w:szCs w:val="24"/>
        </w:rPr>
        <w:t>piešķir personai, kurai nav tiesību saņemt valsts pensiju (izņemot apgādnieka zaudējuma pensiju invalīdam) vai apdrošināšanas atlīdzību sakarā ar nelaimes gadījumu darbā vai arodslimību, ja persona:</w:t>
      </w:r>
    </w:p>
    <w:p w:rsidR="00343AF5" w:rsidRPr="0063727B" w:rsidRDefault="00343AF5" w:rsidP="009A1501">
      <w:pPr>
        <w:pStyle w:val="ListParagraph"/>
        <w:numPr>
          <w:ilvl w:val="0"/>
          <w:numId w:val="17"/>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nav nodarbināta un par pieciem gadiem ir pārsniegusi pensionēšanās vecumu; </w:t>
      </w:r>
    </w:p>
    <w:p w:rsidR="00343AF5" w:rsidRPr="0063727B" w:rsidRDefault="00343AF5" w:rsidP="009A1501">
      <w:pPr>
        <w:pStyle w:val="ListParagraph"/>
        <w:numPr>
          <w:ilvl w:val="0"/>
          <w:numId w:val="17"/>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atzīta par invalīdu un pārsniegusi 18 gadu vecumu;</w:t>
      </w:r>
    </w:p>
    <w:p w:rsidR="00343AF5" w:rsidRPr="0063727B" w:rsidRDefault="00343AF5" w:rsidP="009A1501">
      <w:pPr>
        <w:pStyle w:val="ListParagraph"/>
        <w:numPr>
          <w:ilvl w:val="0"/>
          <w:numId w:val="17"/>
        </w:numPr>
        <w:spacing w:after="120" w:line="240" w:lineRule="auto"/>
        <w:ind w:left="1077" w:hanging="357"/>
        <w:jc w:val="both"/>
        <w:rPr>
          <w:rFonts w:ascii="Times New Roman" w:hAnsi="Times New Roman" w:cs="Times New Roman"/>
          <w:sz w:val="24"/>
          <w:szCs w:val="24"/>
        </w:rPr>
      </w:pPr>
      <w:r w:rsidRPr="0063727B">
        <w:rPr>
          <w:rFonts w:ascii="Times New Roman" w:hAnsi="Times New Roman" w:cs="Times New Roman"/>
          <w:sz w:val="24"/>
          <w:szCs w:val="24"/>
        </w:rPr>
        <w:t xml:space="preserve">nav sasniegusi pilngadību, ir zaudējusi vienu vai abus apgādniekus un nav stājusies laulībā. </w:t>
      </w:r>
    </w:p>
    <w:p w:rsidR="00343AF5" w:rsidRPr="0063727B" w:rsidRDefault="00343AF5" w:rsidP="001F6104">
      <w:pPr>
        <w:spacing w:after="0" w:line="240" w:lineRule="auto"/>
        <w:ind w:firstLine="709"/>
        <w:jc w:val="both"/>
        <w:rPr>
          <w:rFonts w:ascii="Times New Roman" w:hAnsi="Times New Roman" w:cs="Times New Roman"/>
          <w:sz w:val="24"/>
          <w:szCs w:val="24"/>
          <w:lang w:eastAsia="lv-LV"/>
        </w:rPr>
      </w:pPr>
      <w:r w:rsidRPr="0063727B">
        <w:rPr>
          <w:rFonts w:ascii="Times New Roman" w:hAnsi="Times New Roman" w:cs="Times New Roman"/>
          <w:sz w:val="24"/>
          <w:szCs w:val="24"/>
        </w:rPr>
        <w:t xml:space="preserve">Sākoties krīzei, tika samazināts </w:t>
      </w:r>
      <w:r w:rsidRPr="0063727B">
        <w:rPr>
          <w:rFonts w:ascii="Times New Roman" w:hAnsi="Times New Roman" w:cs="Times New Roman"/>
          <w:b/>
          <w:bCs/>
          <w:sz w:val="24"/>
          <w:szCs w:val="24"/>
        </w:rPr>
        <w:t>ģimenes valsts pabalsts</w:t>
      </w:r>
      <w:r w:rsidRPr="0063727B">
        <w:rPr>
          <w:rStyle w:val="FootnoteReference"/>
          <w:rFonts w:ascii="Times New Roman" w:hAnsi="Times New Roman" w:cs="Times New Roman"/>
          <w:sz w:val="24"/>
          <w:szCs w:val="24"/>
        </w:rPr>
        <w:footnoteReference w:id="58"/>
      </w:r>
      <w:r w:rsidRPr="0063727B">
        <w:rPr>
          <w:rFonts w:ascii="Times New Roman" w:hAnsi="Times New Roman" w:cs="Times New Roman"/>
          <w:sz w:val="24"/>
          <w:szCs w:val="24"/>
        </w:rPr>
        <w:t xml:space="preserve"> un </w:t>
      </w:r>
      <w:r w:rsidRPr="0063727B">
        <w:rPr>
          <w:rFonts w:ascii="Times New Roman" w:hAnsi="Times New Roman" w:cs="Times New Roman"/>
          <w:b/>
          <w:bCs/>
          <w:sz w:val="24"/>
          <w:szCs w:val="24"/>
        </w:rPr>
        <w:t>bērna piedzimšanas pabalsts</w:t>
      </w:r>
      <w:r w:rsidRPr="0063727B">
        <w:rPr>
          <w:rStyle w:val="FootnoteReference"/>
          <w:rFonts w:ascii="Times New Roman" w:hAnsi="Times New Roman" w:cs="Times New Roman"/>
          <w:sz w:val="24"/>
          <w:szCs w:val="24"/>
        </w:rPr>
        <w:footnoteReference w:id="59"/>
      </w:r>
      <w:r w:rsidRPr="0063727B">
        <w:rPr>
          <w:rFonts w:ascii="Times New Roman" w:hAnsi="Times New Roman" w:cs="Times New Roman"/>
          <w:sz w:val="24"/>
          <w:szCs w:val="24"/>
        </w:rPr>
        <w:t xml:space="preserve"> – gan apjoms, gan saņēmēju loks. Jāatzīmē, ka par ģimenes valsts pabalstu norisinās diskusijas jau kopš 2008.gada, vērtējot tā kopējās izmaksas valsts budžetā un potenciālo ieguvumu ģimenes budžetā. Bērna piedzimšanas pabalsts </w:t>
      </w:r>
      <w:r w:rsidRPr="0063727B">
        <w:rPr>
          <w:rFonts w:ascii="Times New Roman" w:hAnsi="Times New Roman" w:cs="Times New Roman"/>
          <w:sz w:val="24"/>
          <w:szCs w:val="24"/>
          <w:lang w:eastAsia="lv-LV"/>
        </w:rPr>
        <w:t xml:space="preserve">ir vienreiz izmaksājama naudas summa, kuras apmērs balstīts uz Centrālās statistikas pārvaldes 2003.gada janvārī noteiktās zīdaiņa pūriņa vērtības naudas izteiksmē faktiskajās cenās. 2014.gada budžeta bāzē bērna piedzimšanas pabalsta paredzētais saņēmēju skaits noteikts 1734 vidēji mēnesī, finansējums - 6 milj. lati gadā. Bērna piedzimšanas pabalsta kā valsts universālā pabalsta mērķis ir nodrošināt visām jaundzimušo ģimenēm nepieciešamo priekšmetu un preču iegādi (zīdaiņa pūriņu), kura apjoms katram bērnam ir vienāds, jo nodrošina jaundzimušā bērnu tiesības uz vienlīdzīgu attieksmi. </w:t>
      </w:r>
    </w:p>
    <w:p w:rsidR="00343AF5" w:rsidRDefault="00343AF5" w:rsidP="00861C24">
      <w:pPr>
        <w:pStyle w:val="NormalWeb"/>
        <w:shd w:val="clear" w:color="auto" w:fill="FFFFFF"/>
        <w:spacing w:before="0" w:after="0"/>
        <w:ind w:firstLine="720"/>
        <w:jc w:val="both"/>
      </w:pPr>
      <w:r w:rsidRPr="0063727B">
        <w:t xml:space="preserve">Latvijā noteiktais </w:t>
      </w:r>
      <w:r w:rsidRPr="0063727B">
        <w:rPr>
          <w:b/>
          <w:bCs/>
        </w:rPr>
        <w:t>ģimenes valsts pabalsta</w:t>
      </w:r>
      <w:r w:rsidRPr="0063727B">
        <w:t xml:space="preserve"> apmērs (Ls 8 jeb 11,4 eiro mēnesī) ir zemākais Baltijas valstu vidū (sk. </w:t>
      </w:r>
      <w:r w:rsidR="007F0ADB" w:rsidRPr="0063727B">
        <w:t>6</w:t>
      </w:r>
      <w:r w:rsidRPr="0063727B">
        <w:t>.attēlu), kā arī viens no zemākajiem ES/EEZ</w:t>
      </w:r>
      <w:r w:rsidRPr="0063727B">
        <w:rPr>
          <w:rStyle w:val="FootnoteReference"/>
        </w:rPr>
        <w:footnoteReference w:id="60"/>
      </w:r>
      <w:r w:rsidRPr="0063727B">
        <w:t xml:space="preserve"> valstu vidū, izņemot dažas valstis, kur pabalsta apmērs atsevišķām vecuma kategorijām ir zemāks, piemēram, Rumānijā bērniem 2-18 gadu vecumā pabalsta apmērs ir 9,4 eiro mēnesī. Neatkarīgi no jau 2009.-2010.gadā veiktajām izmaiņām valsts pabalstu jomā, tai skaitā ģimenes valsts pabalsta jomā, starptautiskie aizdevēji – gan Starptautiskais Valūtas fonds, </w:t>
      </w:r>
      <w:r w:rsidRPr="0063727B">
        <w:lastRenderedPageBreak/>
        <w:t>gan PB ir norādījuši, ka, ņemot vērā valsts finansiālās iespējas, ģimenes valsts pabalsta sistēmas efektīvas darbības nodrošināšanai nākotnē ir svarīgi noteikt šo pabalstu mērķētāku, sašaurinot pabalsta saņēmēju loku. 2012.gadā ģimenes valsts pabalstu saņēma 15,4% no iedzīvotājiem.</w:t>
      </w:r>
    </w:p>
    <w:p w:rsidR="00343AF5" w:rsidRPr="0063727B" w:rsidRDefault="007F0ADB" w:rsidP="004412EA">
      <w:pPr>
        <w:spacing w:after="0" w:line="240" w:lineRule="auto"/>
        <w:ind w:right="74"/>
        <w:jc w:val="right"/>
        <w:rPr>
          <w:rFonts w:ascii="Times New Roman" w:hAnsi="Times New Roman" w:cs="Times New Roman"/>
          <w:sz w:val="24"/>
          <w:szCs w:val="24"/>
        </w:rPr>
      </w:pPr>
      <w:r w:rsidRPr="0063727B">
        <w:rPr>
          <w:rFonts w:ascii="Times New Roman" w:hAnsi="Times New Roman" w:cs="Times New Roman"/>
          <w:sz w:val="24"/>
          <w:szCs w:val="24"/>
        </w:rPr>
        <w:t>6</w:t>
      </w:r>
      <w:r w:rsidR="00343AF5" w:rsidRPr="0063727B">
        <w:rPr>
          <w:rFonts w:ascii="Times New Roman" w:hAnsi="Times New Roman" w:cs="Times New Roman"/>
          <w:sz w:val="24"/>
          <w:szCs w:val="24"/>
        </w:rPr>
        <w:t>.attēls</w:t>
      </w:r>
    </w:p>
    <w:p w:rsidR="00343AF5" w:rsidRPr="0063727B" w:rsidRDefault="00343AF5" w:rsidP="004412EA">
      <w:pPr>
        <w:spacing w:after="0" w:line="240" w:lineRule="auto"/>
        <w:ind w:right="74"/>
        <w:jc w:val="center"/>
        <w:rPr>
          <w:rFonts w:ascii="Times New Roman" w:hAnsi="Times New Roman" w:cs="Times New Roman"/>
          <w:b/>
          <w:bCs/>
          <w:i/>
          <w:iCs/>
          <w:sz w:val="24"/>
          <w:szCs w:val="24"/>
        </w:rPr>
      </w:pPr>
      <w:r w:rsidRPr="0063727B">
        <w:rPr>
          <w:rFonts w:ascii="Times New Roman" w:hAnsi="Times New Roman" w:cs="Times New Roman"/>
          <w:b/>
          <w:bCs/>
          <w:sz w:val="24"/>
          <w:szCs w:val="24"/>
        </w:rPr>
        <w:t>Ģimenes pabalsta izmaksas periodi un apmēri</w:t>
      </w:r>
      <w:r w:rsidRPr="0063727B">
        <w:rPr>
          <w:rFonts w:ascii="Times New Roman" w:hAnsi="Times New Roman" w:cs="Times New Roman"/>
          <w:b/>
          <w:bCs/>
          <w:i/>
          <w:iCs/>
          <w:sz w:val="24"/>
          <w:szCs w:val="24"/>
        </w:rPr>
        <w:t xml:space="preserve"> </w:t>
      </w:r>
      <w:r w:rsidRPr="0063727B">
        <w:rPr>
          <w:rFonts w:ascii="Times New Roman" w:hAnsi="Times New Roman" w:cs="Times New Roman"/>
          <w:b/>
          <w:bCs/>
          <w:sz w:val="24"/>
          <w:szCs w:val="24"/>
        </w:rPr>
        <w:t>Baltijas</w:t>
      </w:r>
      <w:r w:rsidRPr="0063727B">
        <w:rPr>
          <w:rFonts w:ascii="Times New Roman" w:hAnsi="Times New Roman" w:cs="Times New Roman"/>
          <w:b/>
          <w:bCs/>
          <w:i/>
          <w:iCs/>
          <w:sz w:val="24"/>
          <w:szCs w:val="24"/>
        </w:rPr>
        <w:t xml:space="preserve"> </w:t>
      </w:r>
      <w:r w:rsidRPr="0063727B">
        <w:rPr>
          <w:rFonts w:ascii="Times New Roman" w:hAnsi="Times New Roman" w:cs="Times New Roman"/>
          <w:b/>
          <w:bCs/>
          <w:sz w:val="24"/>
          <w:szCs w:val="24"/>
        </w:rPr>
        <w:t>valstīs</w:t>
      </w:r>
      <w:r w:rsidRPr="0063727B">
        <w:rPr>
          <w:rStyle w:val="FootnoteReference"/>
          <w:rFonts w:ascii="Times New Roman" w:hAnsi="Times New Roman" w:cs="Times New Roman"/>
          <w:b/>
          <w:bCs/>
          <w:iCs/>
          <w:sz w:val="24"/>
          <w:szCs w:val="24"/>
        </w:rPr>
        <w:footnoteReference w:id="61"/>
      </w:r>
    </w:p>
    <w:p w:rsidR="00343AF5" w:rsidRPr="0063727B" w:rsidRDefault="00F348BC" w:rsidP="004412EA">
      <w:pPr>
        <w:ind w:right="71" w:firstLine="720"/>
        <w:jc w:val="both"/>
        <w:rPr>
          <w:rFonts w:ascii="Times New Roman" w:hAnsi="Times New Roman" w:cs="Times New Roman"/>
          <w:sz w:val="24"/>
          <w:szCs w:val="24"/>
        </w:rPr>
      </w:pPr>
      <w:r w:rsidRPr="0063727B">
        <w:rPr>
          <w:noProof/>
          <w:lang w:eastAsia="lv-LV"/>
        </w:rPr>
        <w:drawing>
          <wp:anchor distT="0" distB="0" distL="114300" distR="114300" simplePos="0" relativeHeight="251668992" behindDoc="0" locked="0" layoutInCell="1" allowOverlap="1" wp14:anchorId="57B57F48" wp14:editId="68E0CC3D">
            <wp:simplePos x="0" y="0"/>
            <wp:positionH relativeFrom="column">
              <wp:posOffset>720339</wp:posOffset>
            </wp:positionH>
            <wp:positionV relativeFrom="paragraph">
              <wp:posOffset>98839</wp:posOffset>
            </wp:positionV>
            <wp:extent cx="4362450" cy="1314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AF5" w:rsidRPr="0063727B" w:rsidRDefault="00343AF5" w:rsidP="004412EA">
      <w:pPr>
        <w:ind w:right="71" w:firstLine="720"/>
        <w:jc w:val="both"/>
        <w:rPr>
          <w:rFonts w:ascii="Times New Roman" w:hAnsi="Times New Roman" w:cs="Times New Roman"/>
          <w:sz w:val="24"/>
          <w:szCs w:val="24"/>
        </w:rPr>
      </w:pPr>
    </w:p>
    <w:p w:rsidR="00343AF5" w:rsidRPr="0063727B" w:rsidRDefault="00343AF5" w:rsidP="004412EA">
      <w:pPr>
        <w:ind w:right="71" w:firstLine="720"/>
        <w:jc w:val="both"/>
        <w:rPr>
          <w:rFonts w:ascii="Times New Roman" w:hAnsi="Times New Roman" w:cs="Times New Roman"/>
          <w:sz w:val="24"/>
          <w:szCs w:val="24"/>
        </w:rPr>
      </w:pPr>
    </w:p>
    <w:p w:rsidR="00343AF5" w:rsidRPr="0063727B" w:rsidRDefault="00343AF5" w:rsidP="004412EA">
      <w:pPr>
        <w:pStyle w:val="NormalWeb"/>
        <w:shd w:val="clear" w:color="auto" w:fill="FFFFFF"/>
        <w:spacing w:before="0" w:after="0"/>
        <w:ind w:left="426" w:firstLine="283"/>
        <w:jc w:val="both"/>
        <w:rPr>
          <w:sz w:val="20"/>
          <w:szCs w:val="20"/>
          <w:highlight w:val="yellow"/>
        </w:rPr>
      </w:pPr>
    </w:p>
    <w:p w:rsidR="00343AF5" w:rsidRPr="0063727B" w:rsidRDefault="00343AF5" w:rsidP="004412EA">
      <w:pPr>
        <w:pStyle w:val="NormalWeb"/>
        <w:shd w:val="clear" w:color="auto" w:fill="FFFFFF"/>
        <w:spacing w:before="0" w:after="0"/>
        <w:ind w:left="426" w:firstLine="283"/>
        <w:jc w:val="both"/>
        <w:rPr>
          <w:sz w:val="20"/>
          <w:szCs w:val="20"/>
          <w:highlight w:val="yellow"/>
        </w:rPr>
      </w:pPr>
    </w:p>
    <w:p w:rsidR="00343AF5" w:rsidRPr="0063727B" w:rsidRDefault="00343AF5" w:rsidP="004412EA">
      <w:pPr>
        <w:pStyle w:val="NormalWeb"/>
        <w:shd w:val="clear" w:color="auto" w:fill="FFFFFF"/>
        <w:spacing w:before="0" w:after="0"/>
        <w:ind w:left="426" w:firstLine="283"/>
        <w:jc w:val="both"/>
        <w:rPr>
          <w:sz w:val="20"/>
          <w:szCs w:val="20"/>
          <w:highlight w:val="yellow"/>
        </w:rPr>
      </w:pPr>
    </w:p>
    <w:p w:rsidR="00343AF5" w:rsidRPr="0063727B" w:rsidRDefault="00343AF5" w:rsidP="004412EA">
      <w:pPr>
        <w:pStyle w:val="NormalWeb"/>
        <w:shd w:val="clear" w:color="auto" w:fill="FFFFFF"/>
        <w:spacing w:before="0" w:after="0"/>
        <w:ind w:left="426" w:firstLine="283"/>
        <w:jc w:val="both"/>
        <w:rPr>
          <w:sz w:val="20"/>
          <w:szCs w:val="20"/>
        </w:rPr>
      </w:pPr>
      <w:r w:rsidRPr="0063727B">
        <w:rPr>
          <w:sz w:val="20"/>
          <w:szCs w:val="20"/>
        </w:rPr>
        <w:t>Avots: MISSOC salīdzinošās tabulas.</w:t>
      </w:r>
    </w:p>
    <w:p w:rsidR="00343AF5" w:rsidRPr="0063727B" w:rsidRDefault="00343AF5" w:rsidP="00835CFE">
      <w:pPr>
        <w:pStyle w:val="NormalWeb"/>
        <w:shd w:val="clear" w:color="auto" w:fill="FFFFFF"/>
        <w:spacing w:before="0" w:after="0"/>
        <w:ind w:firstLine="691"/>
        <w:jc w:val="both"/>
      </w:pPr>
    </w:p>
    <w:p w:rsidR="00343AF5" w:rsidRPr="0063727B" w:rsidRDefault="00343AF5" w:rsidP="00835CFE">
      <w:pPr>
        <w:pStyle w:val="NormalWeb"/>
        <w:shd w:val="clear" w:color="auto" w:fill="FFFFFF"/>
        <w:spacing w:before="0" w:after="0"/>
        <w:ind w:firstLine="691"/>
        <w:jc w:val="both"/>
      </w:pPr>
      <w:r w:rsidRPr="0063727B">
        <w:t>Savukārt Eiropas Sociālo tiesību komitejas secinājumos par situāciju Latvijā 2011.gadā</w:t>
      </w:r>
      <w:r w:rsidRPr="0063727B">
        <w:rPr>
          <w:rStyle w:val="FootnoteReference"/>
        </w:rPr>
        <w:footnoteReference w:id="62"/>
      </w:r>
      <w:r w:rsidRPr="0063727B">
        <w:t xml:space="preserve"> norādīts, ka ģimenes un bērnu pabalsti kopumā nav uzskatāmi par adekvātu ienākumu papildinājumu, jo tie sastāda tikai 2,47% no vidējiem ekvivalentajiem ienākumiem 2009.gadā. Vienlaikus, ņemot vērā ģimenes un cita veida pabalstu zemo līmeni, Eiropas Sociālo tiesību komiteja secina, ka Latvijas situācija neatbilst Eiropas Sociālās hartas 16.pantam</w:t>
      </w:r>
      <w:r w:rsidRPr="0063727B">
        <w:rPr>
          <w:rStyle w:val="FootnoteReference"/>
        </w:rPr>
        <w:footnoteReference w:id="63"/>
      </w:r>
      <w:r w:rsidRPr="0063727B">
        <w:t xml:space="preserve">.   </w:t>
      </w:r>
    </w:p>
    <w:p w:rsidR="00343AF5" w:rsidRPr="0063727B" w:rsidRDefault="00343AF5" w:rsidP="004E79E5">
      <w:pPr>
        <w:pStyle w:val="NormalWeb"/>
        <w:shd w:val="clear" w:color="auto" w:fill="FFFFFF"/>
        <w:spacing w:before="0" w:after="0"/>
        <w:ind w:firstLine="692"/>
        <w:jc w:val="both"/>
      </w:pPr>
      <w:r w:rsidRPr="0063727B">
        <w:t xml:space="preserve">Ministru kabineta 2012.gada 10.jūlija sēdē tika izskatīts Labklājības ministrijas izstrādātais informatīvais ziņojums „Par sociālās aizsardzības jomas tiesību normu, kurām jāsāk darboties 2013. – 2015.gadā, ieviešanas izvērtējumu”, kurā, ņemot vērā nepieciešamību nodrošināt vispusīgu atbalstu ģimenēm ar bērniem, jo īpaši atbalstot daudzbērnu ģimenes, kā arī ņemot vērā ekspertu ieteikumus par nepieciešamību padarīt valsts sniegto atbalstu mērķētāku, Labklājības ministrija atbalstīja risinājumu turpmāk </w:t>
      </w:r>
      <w:r w:rsidRPr="0063727B">
        <w:rPr>
          <w:u w:val="single"/>
        </w:rPr>
        <w:t>saglabāt ģimenes valsts pabalsta izmaksu pašreizējā apmērā, kombinējot to ar citām mērķētām valsts sniegtā atbalsta formām</w:t>
      </w:r>
      <w:r w:rsidRPr="0063727B">
        <w:t>, bet ar 2015.gada 1.janvāri atjaunot ģimenes valsts pabalsta apmēra diferenciāciju. Saskaņā ar Valsts sociālo pabalstu likumu</w:t>
      </w:r>
      <w:r w:rsidRPr="0063727B">
        <w:rPr>
          <w:rStyle w:val="FootnoteReference"/>
        </w:rPr>
        <w:footnoteReference w:id="64"/>
      </w:r>
      <w:r w:rsidRPr="0063727B">
        <w:t xml:space="preserve"> no 2015.gada 1.janvāra ir noteikta ģimenes valsts pabalsta apmēra diferenciācija atkarībā no bērna skaita ģimenē - par otro bērnu ģimenes valsts pabalsts ir 2 reizes, bet par trešo bērnu un nākamajiem bērniem - 3 reizes lielāks nekā par pirmo bērnu ģimenē. </w:t>
      </w:r>
    </w:p>
    <w:p w:rsidR="00343AF5" w:rsidRPr="0063727B" w:rsidRDefault="00343AF5" w:rsidP="00F407B5">
      <w:pPr>
        <w:spacing w:after="0" w:line="240" w:lineRule="auto"/>
        <w:ind w:right="74"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Dažādās ES/EEZ valstīs pēdējos gados ir novērojama tendence ieviest ienākumu pārbaudes nosacījumus un apmēra ierobežojumus, t.sk., attiecībā uz ģimenes pabalstiem. Pēdējos 10 gados ES/EEZ valstu īpatsvars, kurās ģimenes pabalstam ir universāls raksturs, samazinājās no 80% līdz 52%, bet dažas valstis (Lietuva, Čehija, Vācija) pavisam nesen – kopš 2009./2010.gada – uzsāka piemērot ienākumu pārbaudes nosacījumus attiecībā uz atsevišķām pabalstu saņēmēju kategorijām. Atbilstoši PB aprēķiniem 2010.gadā ģimenes </w:t>
      </w:r>
      <w:r w:rsidRPr="0063727B">
        <w:rPr>
          <w:rFonts w:ascii="Times New Roman" w:hAnsi="Times New Roman" w:cs="Times New Roman"/>
          <w:sz w:val="24"/>
          <w:szCs w:val="24"/>
        </w:rPr>
        <w:lastRenderedPageBreak/>
        <w:t>valsts pabalstu un tā piemaksu par bērnu ar invaliditāti saņēma 35,3% nabadzīgo personu (55,6% no visām zem nabadzības riska robežas esošajām personām) un 64,7% pārējie (43,8% no visiem pārējiem, kuri atrodas virs nabadzības riska sliekšņa). Saskaņā ar PB pētījumā veiktajiem aprēķiniem ģimenes valsts pabalsts un tā piemaksa par bērnu ar invaliditāti</w:t>
      </w:r>
      <w:r w:rsidRPr="0063727B">
        <w:rPr>
          <w:rStyle w:val="FootnoteReference"/>
          <w:rFonts w:ascii="Times New Roman" w:hAnsi="Times New Roman" w:cs="Times New Roman"/>
          <w:sz w:val="24"/>
          <w:szCs w:val="24"/>
        </w:rPr>
        <w:footnoteReference w:id="65"/>
      </w:r>
      <w:r w:rsidRPr="0063727B">
        <w:rPr>
          <w:rFonts w:ascii="Times New Roman" w:hAnsi="Times New Roman" w:cs="Times New Roman"/>
          <w:sz w:val="24"/>
          <w:szCs w:val="24"/>
        </w:rPr>
        <w:t xml:space="preserve"> nabadzīgas ģimenes budžetā veido 9,3% no visiem ienākumiem, savukārt pārējām ģimenēm tie ir tikai 1,8%</w:t>
      </w:r>
      <w:r w:rsidRPr="0063727B">
        <w:rPr>
          <w:rStyle w:val="FootnoteReference"/>
          <w:rFonts w:ascii="Times New Roman" w:hAnsi="Times New Roman" w:cs="Times New Roman"/>
          <w:sz w:val="24"/>
          <w:szCs w:val="24"/>
        </w:rPr>
        <w:footnoteReference w:id="66"/>
      </w:r>
      <w:r w:rsidRPr="0063727B">
        <w:rPr>
          <w:rFonts w:ascii="Times New Roman" w:hAnsi="Times New Roman" w:cs="Times New Roman"/>
          <w:sz w:val="24"/>
          <w:szCs w:val="24"/>
        </w:rPr>
        <w:t xml:space="preserve">.     </w:t>
      </w:r>
    </w:p>
    <w:p w:rsidR="00343AF5" w:rsidRPr="0063727B" w:rsidRDefault="00343AF5" w:rsidP="00187CF2">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Ņemot vērā, ka ģimenes valsts pabalsta izmaksa prasa ievērojamus valsts pamatbudžeta izdevumus (Ls 30 050,3 tūkst.</w:t>
      </w:r>
      <w:r w:rsidRPr="0063727B">
        <w:t xml:space="preserve"> </w:t>
      </w:r>
      <w:r w:rsidRPr="0063727B">
        <w:rPr>
          <w:rFonts w:ascii="Times New Roman" w:hAnsi="Times New Roman" w:cs="Times New Roman"/>
          <w:sz w:val="24"/>
          <w:szCs w:val="24"/>
        </w:rPr>
        <w:t xml:space="preserve">2013.gadā; skat. </w:t>
      </w:r>
      <w:r w:rsidR="003A4FE3" w:rsidRPr="0063727B">
        <w:rPr>
          <w:rFonts w:ascii="Times New Roman" w:hAnsi="Times New Roman" w:cs="Times New Roman"/>
          <w:sz w:val="24"/>
          <w:szCs w:val="24"/>
        </w:rPr>
        <w:t>6</w:t>
      </w:r>
      <w:r w:rsidRPr="0063727B">
        <w:rPr>
          <w:rFonts w:ascii="Times New Roman" w:hAnsi="Times New Roman" w:cs="Times New Roman"/>
          <w:sz w:val="24"/>
          <w:szCs w:val="24"/>
        </w:rPr>
        <w:t>.tabulu pielikumā), taču ģimenes valsts pabalsta ietekme uz ģimenes budžetu ir nozīmīga tieši</w:t>
      </w:r>
      <w:r w:rsidR="00A55184" w:rsidRPr="0063727B">
        <w:rPr>
          <w:rFonts w:ascii="Times New Roman" w:hAnsi="Times New Roman" w:cs="Times New Roman"/>
          <w:sz w:val="24"/>
          <w:szCs w:val="24"/>
        </w:rPr>
        <w:t xml:space="preserve"> mājsaimniecībās ar zemiem ienākumiem</w:t>
      </w:r>
      <w:r w:rsidRPr="0063727B">
        <w:rPr>
          <w:rFonts w:ascii="Times New Roman" w:hAnsi="Times New Roman" w:cs="Times New Roman"/>
          <w:sz w:val="24"/>
          <w:szCs w:val="24"/>
        </w:rPr>
        <w:t xml:space="preserve">, </w:t>
      </w:r>
      <w:r w:rsidR="00A55184" w:rsidRPr="0063727B">
        <w:rPr>
          <w:rFonts w:ascii="Times New Roman" w:hAnsi="Times New Roman" w:cs="Times New Roman"/>
          <w:sz w:val="24"/>
          <w:szCs w:val="24"/>
        </w:rPr>
        <w:t xml:space="preserve">jo relatīvi turīgākajās ģimenēs ar bērniem </w:t>
      </w:r>
      <w:r w:rsidRPr="0063727B">
        <w:rPr>
          <w:rFonts w:ascii="Times New Roman" w:hAnsi="Times New Roman" w:cs="Times New Roman"/>
          <w:sz w:val="24"/>
          <w:szCs w:val="24"/>
        </w:rPr>
        <w:t>ģimenes valsts pabalsta ietekme ir salīdzinoši zema, attiecīgi ir pamats pārskatīt atbalsta sistēmu ģimenēm ar bērniem, kā finanšu avotu izmantojot ģimenes valsts pabalsta plānotos finanšu līdzekļus. Ņemot vērā, ka piemaksai pie ģimenes valsts pabalsta par bērnu ar invaliditāti ir nozīmīga sociāla un finansiāla funkcija, to nepieciešams pārveidot un noteikt kā neatkarīgu pabalsta veidu.</w:t>
      </w:r>
    </w:p>
    <w:p w:rsidR="00343AF5" w:rsidRPr="0063727B" w:rsidRDefault="00343AF5">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Ģimenes valsts pabalsta izdevumu pārstrukturēšanu iespējams ieviest ne ātrāk kā divu gadu periodā, proti, sākot no 2016.gada, tādējādi ievērojot tiesiskās paļāvības principu un dodot cilvēkiem laiku izprast reformas pamatmērķi un iepazīties ar citās sistēmās ieviesto atbalstu ģimenēm ar bērniem. Ģimenes valsts pabalsta izdevumu restrukturizācijai nepieciešams atrast </w:t>
      </w:r>
      <w:proofErr w:type="spellStart"/>
      <w:r w:rsidRPr="0063727B">
        <w:rPr>
          <w:rFonts w:ascii="Times New Roman" w:hAnsi="Times New Roman" w:cs="Times New Roman"/>
          <w:sz w:val="24"/>
          <w:szCs w:val="24"/>
        </w:rPr>
        <w:t>optimālāko</w:t>
      </w:r>
      <w:proofErr w:type="spellEnd"/>
      <w:r w:rsidRPr="0063727B">
        <w:rPr>
          <w:rFonts w:ascii="Times New Roman" w:hAnsi="Times New Roman" w:cs="Times New Roman"/>
          <w:sz w:val="24"/>
          <w:szCs w:val="24"/>
        </w:rPr>
        <w:t xml:space="preserve"> risinājuma variantu, kura ietvaros sociālās aizsardzības pasākumu veidā sniedzamais atbalsts ģimenēm ar bērniem būtu efektīvāks gan pēc saņēmēju mērķauditorijas, gan pēc skaidriem sasniedzamiem rezultātiem, tai skaitā, lielāks atbalsts tiktu sniegts paaugstināta sociālā riska grupām (viena vecāka vai daudzbērnu ģimenēm ar zemiem ienākumiem), novēršot nabadzības risku sociāli mazāk aizsargātām ģimenēm ar bērniem.</w:t>
      </w:r>
    </w:p>
    <w:p w:rsidR="00343AF5" w:rsidRPr="0063727B" w:rsidRDefault="00343AF5" w:rsidP="00BB0E5A">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PB pētījumā papildus uzsvērts, ka </w:t>
      </w:r>
      <w:r w:rsidRPr="0063727B">
        <w:rPr>
          <w:rFonts w:ascii="Times New Roman" w:hAnsi="Times New Roman" w:cs="Times New Roman"/>
          <w:b/>
          <w:bCs/>
          <w:sz w:val="24"/>
          <w:szCs w:val="24"/>
        </w:rPr>
        <w:t>bērna piedzimšanas pabalsts</w:t>
      </w:r>
      <w:r w:rsidRPr="0063727B">
        <w:rPr>
          <w:rFonts w:ascii="Times New Roman" w:hAnsi="Times New Roman" w:cs="Times New Roman"/>
          <w:sz w:val="24"/>
          <w:szCs w:val="24"/>
        </w:rPr>
        <w:t xml:space="preserve"> ir īpaši regresīvs, jo vairāk kā puse no pabalstiem tiek novirzīti turīgākajām </w:t>
      </w:r>
      <w:proofErr w:type="spellStart"/>
      <w:r w:rsidRPr="0063727B">
        <w:rPr>
          <w:rFonts w:ascii="Times New Roman" w:hAnsi="Times New Roman" w:cs="Times New Roman"/>
          <w:sz w:val="24"/>
          <w:szCs w:val="24"/>
        </w:rPr>
        <w:t>kvintilēm</w:t>
      </w:r>
      <w:proofErr w:type="spellEnd"/>
      <w:r w:rsidRPr="0063727B">
        <w:rPr>
          <w:rFonts w:ascii="Times New Roman" w:hAnsi="Times New Roman" w:cs="Times New Roman"/>
          <w:sz w:val="24"/>
          <w:szCs w:val="24"/>
        </w:rPr>
        <w:t xml:space="preserve"> un tikai 16% nabadzīgākajai jeb 1.kvintilei, tādēļ šeit tiek saskatīta izdevumu ietaupīšanas iespēja par labu ienākumu testētam atbalstam. PB secina</w:t>
      </w:r>
      <w:r w:rsidRPr="0063727B">
        <w:rPr>
          <w:rStyle w:val="FootnoteReference"/>
          <w:rFonts w:ascii="Times New Roman" w:hAnsi="Times New Roman" w:cs="Times New Roman"/>
          <w:sz w:val="24"/>
          <w:szCs w:val="24"/>
        </w:rPr>
        <w:footnoteReference w:id="67"/>
      </w:r>
      <w:r w:rsidRPr="0063727B">
        <w:rPr>
          <w:rFonts w:ascii="Times New Roman" w:hAnsi="Times New Roman" w:cs="Times New Roman"/>
          <w:sz w:val="24"/>
          <w:szCs w:val="24"/>
        </w:rPr>
        <w:t>, ka kopējam naudas pabalstu apmēram ģimenēm, visticamāk, ir nozīmīga ietekme uz dzimstību, bet šāda pieeja prasa ievērojamas izmaksas, jo piedzimšanas pabalsti parasti tiek nodrošināti visām ģimenēm neatkarīgi no to ienākumu līmeņa. Vairāki veiksmīgi piemēri parāda, ka atbalsts pakalpojumu veidā (piemēram, bezmaksas pieejama bērnu aprūpe) vairāk ietekmē dzimstību, nekā tikai naudas pabalsti. 18 EDSO</w:t>
      </w:r>
      <w:r w:rsidRPr="0063727B">
        <w:rPr>
          <w:rStyle w:val="FootnoteReference"/>
          <w:rFonts w:ascii="Times New Roman" w:hAnsi="Times New Roman" w:cs="Times New Roman"/>
          <w:sz w:val="24"/>
          <w:szCs w:val="24"/>
        </w:rPr>
        <w:footnoteReference w:id="68"/>
      </w:r>
      <w:r w:rsidRPr="0063727B">
        <w:rPr>
          <w:rFonts w:ascii="Times New Roman" w:hAnsi="Times New Roman" w:cs="Times New Roman"/>
          <w:sz w:val="24"/>
          <w:szCs w:val="24"/>
        </w:rPr>
        <w:t xml:space="preserve"> valstīs veiktā pētījuma par dzimstības līmeņa izmaiņām laika periodā no 1982.gada līdz 2007.gadam rezultāti apliecināja, ka efektīva pabalstu sistēma bērniem no gada vecuma un apmaksāto bērnu aprūpes pakalpojumu pieejamība bērniem līdz trīs gadu vecumam intensīvāk veicina dzimstību nekā dažādu atvaļinājumu un pabalstu piešķiršana, t.sk., subsidētiem bērna aprūpes pakalpojumiem, aizstājot bērna agrīnā vecumā kopšanu ar vecākiem un veicinot sieviešu darba gaitas nepārtrauktību, ir būtiskākā ietekme uz dzimstību</w:t>
      </w:r>
      <w:r w:rsidRPr="0063727B">
        <w:rPr>
          <w:rStyle w:val="FootnoteReference"/>
          <w:rFonts w:ascii="Times New Roman" w:hAnsi="Times New Roman" w:cs="Times New Roman"/>
          <w:sz w:val="24"/>
          <w:szCs w:val="24"/>
        </w:rPr>
        <w:footnoteReference w:id="69"/>
      </w:r>
      <w:r w:rsidRPr="0063727B">
        <w:rPr>
          <w:rFonts w:ascii="Times New Roman" w:hAnsi="Times New Roman" w:cs="Times New Roman"/>
          <w:sz w:val="24"/>
          <w:szCs w:val="24"/>
        </w:rPr>
        <w:t xml:space="preserve">. Tāpat vairāki pētījumi un OECD dati par dzimstības un sieviešu nodarbinātības </w:t>
      </w:r>
      <w:r w:rsidRPr="0063727B">
        <w:rPr>
          <w:rFonts w:ascii="Times New Roman" w:hAnsi="Times New Roman" w:cs="Times New Roman"/>
          <w:sz w:val="24"/>
          <w:szCs w:val="24"/>
        </w:rPr>
        <w:lastRenderedPageBreak/>
        <w:t xml:space="preserve">dinamiku ļauj secināt, ka pabalstu ģimenēm ar bērniem sistēmu pilnveidošana, vienlaikus nenodrošinot vecāku darba un ģimenes dzīvi līdzsvarošos līdzekļus, t.sk., pirmsskolas izglītības iestāžu pieejamību un subsidētus bērnu aprūpes pakalpojumus, nevar efektīvi veicināt nodarbinātību un dzimstību, kā arī pabalstu apmēru un piešķiršanas nosacījumu pārskatīšana ģimenēm ar bērniem jāveic, vienlaikus nodrošinot arī bērnu aprūpes pakalpojumu pieejamību. </w:t>
      </w:r>
      <w:r w:rsidRPr="0063727B">
        <w:rPr>
          <w:rFonts w:ascii="Times New Roman" w:hAnsi="Times New Roman" w:cs="Times New Roman"/>
          <w:sz w:val="24"/>
          <w:szCs w:val="24"/>
          <w:lang w:eastAsia="lv-LV"/>
        </w:rPr>
        <w:t xml:space="preserve">Ņemot vērā, ka Latvijai ir viens no mazākiem pakalpojumu segumiem ģimenēm ar bērniem ES/EEZ valstīs, t.sk., bērniem vecumā no gada nav pieejami pašvaldību pirmsskolas izglītības iestāžu pakalpojumi, kā arī valsts un pašvaldības nepiedāvā subsidētus alternatīvus bērna aprūpes pakalpojumus, nepieciešams attīstīt alternatīvus bērna pieskatīšanas pakalpojumus un subsīdiju sistēmu ģimenēm ar bērniem agrīnā vecumā. </w:t>
      </w:r>
      <w:r w:rsidRPr="0063727B">
        <w:rPr>
          <w:rFonts w:ascii="Times New Roman" w:hAnsi="Times New Roman" w:cs="Times New Roman"/>
          <w:sz w:val="24"/>
          <w:szCs w:val="24"/>
        </w:rPr>
        <w:t>No 2013.gada 1.septembra valstī ir nodrošināts valsts atbalsta bērna uzraudzības pakalpojuma vai privāto pirmsskolas izglītības iestāžu pakalpojuma saņemšanai, bet tā mērķauditorija un apmērs pakāpeniski jāpaplašina</w:t>
      </w:r>
      <w:r w:rsidRPr="0063727B">
        <w:rPr>
          <w:rFonts w:ascii="Times New Roman" w:hAnsi="Times New Roman" w:cs="Times New Roman"/>
          <w:sz w:val="24"/>
          <w:szCs w:val="24"/>
          <w:lang w:eastAsia="lv-LV"/>
        </w:rPr>
        <w:t>. Savukārt, ja bērns apmeklē pirmsskolas izglītības iestādi vai skolu, ģimenēm ar bērniem ir nepieciešams lielāks atbalsts, lai kompensētu uzdevumus, kas rodas izglītības iegūšanas laikā, - finansējums brīvpusdienām, mācību līdzekļu iegādei</w:t>
      </w:r>
      <w:r w:rsidRPr="0063727B">
        <w:rPr>
          <w:rStyle w:val="FootnoteReference"/>
          <w:rFonts w:ascii="Times New Roman" w:hAnsi="Times New Roman" w:cs="Times New Roman"/>
          <w:sz w:val="24"/>
          <w:szCs w:val="24"/>
          <w:lang w:eastAsia="lv-LV"/>
        </w:rPr>
        <w:footnoteReference w:id="70"/>
      </w:r>
      <w:r w:rsidRPr="0063727B">
        <w:rPr>
          <w:rFonts w:ascii="Times New Roman" w:hAnsi="Times New Roman" w:cs="Times New Roman"/>
          <w:sz w:val="24"/>
          <w:szCs w:val="24"/>
          <w:lang w:eastAsia="lv-LV"/>
        </w:rPr>
        <w:t xml:space="preserve"> u.c.</w:t>
      </w:r>
    </w:p>
    <w:p w:rsidR="00343AF5" w:rsidRPr="0063727B" w:rsidRDefault="00343AF5" w:rsidP="0041738D">
      <w:pPr>
        <w:autoSpaceDE w:val="0"/>
        <w:autoSpaceDN w:val="0"/>
        <w:adjustRightInd w:val="0"/>
        <w:spacing w:after="0" w:line="240" w:lineRule="auto"/>
        <w:ind w:firstLine="709"/>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Atbilstoši MISSOC</w:t>
      </w:r>
      <w:r w:rsidRPr="0063727B">
        <w:rPr>
          <w:rStyle w:val="FootnoteReference"/>
          <w:rFonts w:ascii="Times New Roman" w:hAnsi="Times New Roman" w:cs="Times New Roman"/>
          <w:sz w:val="24"/>
          <w:szCs w:val="24"/>
          <w:lang w:eastAsia="lv-LV"/>
        </w:rPr>
        <w:footnoteReference w:id="71"/>
      </w:r>
      <w:r w:rsidRPr="0063727B">
        <w:rPr>
          <w:rFonts w:ascii="Times New Roman" w:hAnsi="Times New Roman" w:cs="Times New Roman"/>
          <w:sz w:val="24"/>
          <w:szCs w:val="24"/>
          <w:lang w:eastAsia="lv-LV"/>
        </w:rPr>
        <w:t xml:space="preserve"> datiem, bērna piedzimšanas pabalsts ir normatīvi noteikts lielākajā daļā no ES/EEZ valstīm – 20 valstīs, bet 11 valstīs (Islandē, Zviedrijā, Vācijā, Šveicē, Maltā, Grieķijā, Rumānijā Ungārijā, Nīderlandē, Austrijā, Portugālē) šāda pabalsts nepastāv. Pārsvarā (16 valstīs) pabalsts tiek izmaksāts vispārējās nodokļu finansētās sistēmas ietvaros kā valsts sociālais pabalsts. Vairākās valstīs (Bulgārijā, Čehijā, Slovākijā, Lihtenšteinā, Polijā, Francijā) ir noteiktas dažādas piemaksas pie bērna piedzimšanas pabalsta, piemēram, Čehijā (268 eiro) un Lihtenšteinā (2 276 eiro) tiek izmaksāta piemaksa dvīņu un vairāku bērnu piedzimšanas gadījumā. Salīdzinošā analīze liecina, ka arī ES/EEZ ietvaros 80% valstu nepiemēro ienākumu testēšanas nosacījumus bērnu piedzimšanas pabalstiem un tikai divās valstīs (Grieķijā un Spānijā) bērna piedzimšanas pabalsts tiek diferencēts atkarībā no bērnu secības ģimenē – par otro un nākamiem bērniem tā apmērs palielinās.</w:t>
      </w:r>
      <w:r w:rsidRPr="0063727B">
        <w:t xml:space="preserve"> </w:t>
      </w:r>
    </w:p>
    <w:p w:rsidR="00343AF5" w:rsidRPr="0063727B" w:rsidRDefault="00343AF5" w:rsidP="000C3607">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Atbilstoši Valsts sociālo pabalstu likumā</w:t>
      </w:r>
      <w:r w:rsidRPr="0063727B">
        <w:rPr>
          <w:rStyle w:val="FootnoteReference"/>
          <w:rFonts w:ascii="Times New Roman" w:hAnsi="Times New Roman" w:cs="Times New Roman"/>
          <w:sz w:val="24"/>
          <w:szCs w:val="24"/>
        </w:rPr>
        <w:footnoteReference w:id="72"/>
      </w:r>
      <w:r w:rsidRPr="0063727B">
        <w:rPr>
          <w:rFonts w:ascii="Times New Roman" w:hAnsi="Times New Roman" w:cs="Times New Roman"/>
          <w:sz w:val="24"/>
          <w:szCs w:val="24"/>
        </w:rPr>
        <w:t xml:space="preserve"> noteiktajam, </w:t>
      </w:r>
      <w:r w:rsidRPr="0063727B">
        <w:rPr>
          <w:rFonts w:ascii="Times New Roman" w:hAnsi="Times New Roman" w:cs="Times New Roman"/>
          <w:b/>
          <w:bCs/>
          <w:sz w:val="24"/>
          <w:szCs w:val="24"/>
        </w:rPr>
        <w:t xml:space="preserve">bērna kopšanas pabalstu </w:t>
      </w:r>
      <w:r w:rsidRPr="0063727B">
        <w:rPr>
          <w:rFonts w:ascii="Times New Roman" w:hAnsi="Times New Roman" w:cs="Times New Roman"/>
          <w:sz w:val="24"/>
          <w:szCs w:val="24"/>
        </w:rPr>
        <w:t>piešķir personai, kura kopj bērnu:</w:t>
      </w:r>
    </w:p>
    <w:p w:rsidR="00343AF5" w:rsidRPr="0063727B" w:rsidRDefault="00343AF5" w:rsidP="009A1501">
      <w:pPr>
        <w:numPr>
          <w:ilvl w:val="0"/>
          <w:numId w:val="13"/>
        </w:numPr>
        <w:tabs>
          <w:tab w:val="num" w:pos="720"/>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līdz viena gada vecumam, ja šī persona nav bijusi nodarbināta pabalsta piešķiršanas dienā (nav uzskatāma par darba ņēmēju vai pašnodarbināto saskaņā ar likumu "Par valsts sociālo apdrošināšanu");</w:t>
      </w:r>
    </w:p>
    <w:p w:rsidR="00343AF5" w:rsidRPr="0063727B" w:rsidRDefault="00343AF5" w:rsidP="009A1501">
      <w:pPr>
        <w:numPr>
          <w:ilvl w:val="0"/>
          <w:numId w:val="13"/>
        </w:numPr>
        <w:tabs>
          <w:tab w:val="num" w:pos="720"/>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no viena gada līdz divu gadu vecumam.</w:t>
      </w:r>
    </w:p>
    <w:p w:rsidR="00343AF5" w:rsidRPr="0063727B" w:rsidRDefault="00343AF5" w:rsidP="000C3607">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Bērna kopšanas pabalstu nepiešķir par bērnu, ja par tā piedzimšanu vai kopšanu ir piešķirts maternitātes pabalsts vai vecāku pabalsts par to pašu laikposmu. Ja bērna kopšanas pabalsts piešķirts par dvīņiem vai vairākiem vienās dzemdībās dzimušiem bērniem, par katru nākamo bērnu papildus pabalstam piešķir piemaksu Ministru kabineta noteiktajā apmērā. Faktiski bērna kopšanas pabalsta saņēmēji, kuri kopj bērnu vecumā līdz gadam, ir nenodarbinātas personas, t.sk., bezdarbnieki, studenti u.c. </w:t>
      </w:r>
    </w:p>
    <w:p w:rsidR="00343AF5" w:rsidRPr="0063727B" w:rsidRDefault="00343AF5" w:rsidP="000C3607">
      <w:pPr>
        <w:pStyle w:val="NormalWeb"/>
        <w:shd w:val="clear" w:color="auto" w:fill="FFFFFF"/>
        <w:spacing w:before="0" w:after="0"/>
        <w:ind w:firstLine="720"/>
        <w:jc w:val="both"/>
      </w:pPr>
      <w:r w:rsidRPr="0063727B">
        <w:t>PB pētījuma</w:t>
      </w:r>
      <w:r w:rsidRPr="0063727B">
        <w:rPr>
          <w:i/>
          <w:iCs/>
        </w:rPr>
        <w:t xml:space="preserve"> </w:t>
      </w:r>
      <w:r w:rsidRPr="0063727B">
        <w:t xml:space="preserve">rezultāti liecina, ka īslaicīgi pabalsti (t.sk., bērna kopšanas pabalstam, kuru par bērna kopšanu vecumā līdz gadam piešķir tikai nenodarbinātām personām), salīdzinot, piemērām, ar ģimenes valsts pabalstu, ir daudz labāk mērķēti trūcīgām mājsaimniecībām - 70% pārklājums 1. un 2.kvintilē. Ņemot vērā iepriekš minēto un to, ka </w:t>
      </w:r>
      <w:r w:rsidRPr="0063727B">
        <w:lastRenderedPageBreak/>
        <w:t>25% no bērna kopšanas pabalsta saņēmēju kopskaita nav nodarbināti (2013.gada Valsts sociālās apdrošināšanas aģentūras dati), t.i., vecāki ar bērniem līdz gada vecumam, ienākumu pārbaudes nosacījumu piemērošana šim pabalstam pie pašreiz spēkā esošiem piešķiršanas nosacījumiem nebūtu lietderīga.</w:t>
      </w:r>
    </w:p>
    <w:p w:rsidR="00343AF5" w:rsidRPr="0063727B" w:rsidRDefault="00343AF5" w:rsidP="00871041">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Ģimenēm ar bērniem, kur ienākumi tiek gūti no algota darba, atbalsts primāri sniedzams</w:t>
      </w:r>
      <w:r w:rsidRPr="0063727B">
        <w:rPr>
          <w:rFonts w:ascii="Times New Roman" w:hAnsi="Times New Roman" w:cs="Times New Roman"/>
          <w:b/>
          <w:bCs/>
          <w:sz w:val="24"/>
          <w:szCs w:val="24"/>
        </w:rPr>
        <w:t xml:space="preserve"> nodokļu atvieglojumu veidā</w:t>
      </w:r>
      <w:r w:rsidRPr="0063727B">
        <w:rPr>
          <w:rFonts w:ascii="Times New Roman" w:hAnsi="Times New Roman" w:cs="Times New Roman"/>
          <w:bCs/>
          <w:sz w:val="24"/>
          <w:szCs w:val="24"/>
        </w:rPr>
        <w:t>.</w:t>
      </w:r>
      <w:r w:rsidRPr="0063727B">
        <w:rPr>
          <w:rFonts w:ascii="Times New Roman" w:hAnsi="Times New Roman" w:cs="Times New Roman"/>
          <w:sz w:val="24"/>
          <w:szCs w:val="24"/>
        </w:rPr>
        <w:t xml:space="preserve"> 2012.-2013.gadā īstenoto politikas iniciatīvu rezultātā tiek prognozēta ienākumu pieejamības palielināšanās vidējai ģimenei ar diviem bērniem, tomēr tas minimāli varētu ietekmēt nabadzības riskam pakļautās mājsaimniecības, kuru finansiālo situāciju ievērojami neietekmē iedzīvotāja ienākumu nodokļa (IIN) likmes samazinājums. Minimālās darba algas saņēmēji ar vienu vai diviem apgādājamiem nav atbrīvoti no nodokļu nomaksas, bet, piemērojot IIN neapliekamo minimumu un nodokļu atvieglojumus par apgādājamiem personai ar diviem un vairāk apgādājamiem, iedzīvotāju ienākuma nodoklis nav jāmaksā (skat. </w:t>
      </w:r>
      <w:r w:rsidR="003A4FE3" w:rsidRPr="0063727B">
        <w:rPr>
          <w:rFonts w:ascii="Times New Roman" w:hAnsi="Times New Roman" w:cs="Times New Roman"/>
          <w:sz w:val="24"/>
          <w:szCs w:val="24"/>
        </w:rPr>
        <w:t>7</w:t>
      </w:r>
      <w:r w:rsidRPr="0063727B">
        <w:rPr>
          <w:rFonts w:ascii="Times New Roman" w:hAnsi="Times New Roman" w:cs="Times New Roman"/>
          <w:sz w:val="24"/>
          <w:szCs w:val="24"/>
        </w:rPr>
        <w:t>.tabulu pielikumā).</w:t>
      </w:r>
    </w:p>
    <w:p w:rsidR="00343AF5" w:rsidRPr="0063727B" w:rsidRDefault="00343AF5" w:rsidP="004D79F0">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Atbilstoši </w:t>
      </w:r>
      <w:r w:rsidR="003C555B" w:rsidRPr="0063727B">
        <w:rPr>
          <w:rFonts w:ascii="Times New Roman" w:hAnsi="Times New Roman" w:cs="Times New Roman"/>
          <w:sz w:val="24"/>
          <w:szCs w:val="24"/>
        </w:rPr>
        <w:t>valsts budžeta 2014.gada likumprojektam,</w:t>
      </w:r>
      <w:r w:rsidRPr="0063727B">
        <w:rPr>
          <w:rFonts w:ascii="Times New Roman" w:hAnsi="Times New Roman" w:cs="Times New Roman"/>
          <w:sz w:val="24"/>
          <w:szCs w:val="24"/>
        </w:rPr>
        <w:t xml:space="preserve"> 2014.gadā paredzēts paaugstināt minimālo algu no 200 </w:t>
      </w:r>
      <w:r w:rsidR="003C555B" w:rsidRPr="0063727B">
        <w:rPr>
          <w:rFonts w:ascii="Times New Roman" w:hAnsi="Times New Roman" w:cs="Times New Roman"/>
          <w:sz w:val="24"/>
          <w:szCs w:val="24"/>
        </w:rPr>
        <w:t>līdz</w:t>
      </w:r>
      <w:r w:rsidRPr="0063727B">
        <w:rPr>
          <w:rFonts w:ascii="Times New Roman" w:hAnsi="Times New Roman" w:cs="Times New Roman"/>
          <w:sz w:val="24"/>
          <w:szCs w:val="24"/>
        </w:rPr>
        <w:t xml:space="preserve"> 225 latiem, </w:t>
      </w:r>
      <w:r w:rsidR="003C555B" w:rsidRPr="0063727B">
        <w:rPr>
          <w:rFonts w:ascii="Times New Roman" w:hAnsi="Times New Roman" w:cs="Times New Roman"/>
          <w:sz w:val="24"/>
          <w:szCs w:val="24"/>
        </w:rPr>
        <w:t>palielināt</w:t>
      </w:r>
      <w:r w:rsidRPr="0063727B">
        <w:rPr>
          <w:rFonts w:ascii="Times New Roman" w:hAnsi="Times New Roman" w:cs="Times New Roman"/>
          <w:sz w:val="24"/>
          <w:szCs w:val="24"/>
        </w:rPr>
        <w:t xml:space="preserve"> neapliekamo minimumu</w:t>
      </w:r>
      <w:r w:rsidR="003C555B" w:rsidRPr="0063727B">
        <w:rPr>
          <w:rFonts w:ascii="Times New Roman" w:hAnsi="Times New Roman" w:cs="Times New Roman"/>
          <w:sz w:val="24"/>
          <w:szCs w:val="24"/>
        </w:rPr>
        <w:t xml:space="preserve"> no </w:t>
      </w:r>
      <w:r w:rsidR="003C555B" w:rsidRPr="0063727B">
        <w:rPr>
          <w:rFonts w:ascii="Times New Roman" w:hAnsi="Times New Roman" w:cs="Times New Roman"/>
          <w:sz w:val="24"/>
          <w:szCs w:val="24"/>
          <w:lang w:eastAsia="lv-LV"/>
        </w:rPr>
        <w:t>45 līdz 53 latiem</w:t>
      </w:r>
      <w:r w:rsidRPr="0063727B">
        <w:rPr>
          <w:rFonts w:ascii="Times New Roman" w:hAnsi="Times New Roman" w:cs="Times New Roman"/>
          <w:sz w:val="24"/>
          <w:szCs w:val="24"/>
        </w:rPr>
        <w:t>,</w:t>
      </w:r>
      <w:r w:rsidR="003C555B" w:rsidRPr="0063727B">
        <w:rPr>
          <w:rFonts w:ascii="Times New Roman" w:hAnsi="Times New Roman" w:cs="Times New Roman"/>
          <w:sz w:val="24"/>
          <w:szCs w:val="24"/>
        </w:rPr>
        <w:t xml:space="preserve"> kā arī</w:t>
      </w:r>
      <w:r w:rsidRPr="0063727B">
        <w:rPr>
          <w:rFonts w:ascii="Times New Roman" w:hAnsi="Times New Roman" w:cs="Times New Roman"/>
          <w:sz w:val="24"/>
          <w:szCs w:val="24"/>
        </w:rPr>
        <w:t xml:space="preserve"> paaugstināt </w:t>
      </w:r>
      <w:r w:rsidR="003C555B" w:rsidRPr="0063727B">
        <w:rPr>
          <w:rFonts w:ascii="Times New Roman" w:hAnsi="Times New Roman" w:cs="Times New Roman"/>
          <w:sz w:val="24"/>
          <w:szCs w:val="24"/>
        </w:rPr>
        <w:t>IIN</w:t>
      </w:r>
      <w:r w:rsidRPr="0063727B">
        <w:rPr>
          <w:rFonts w:ascii="Times New Roman" w:hAnsi="Times New Roman" w:cs="Times New Roman"/>
          <w:sz w:val="24"/>
          <w:szCs w:val="24"/>
        </w:rPr>
        <w:t xml:space="preserve"> atvieglojumu par apgādībā esošām personām no 80 latiem līdz </w:t>
      </w:r>
      <w:r w:rsidR="003C555B" w:rsidRPr="0063727B">
        <w:rPr>
          <w:rFonts w:ascii="Times New Roman" w:hAnsi="Times New Roman" w:cs="Times New Roman"/>
          <w:sz w:val="24"/>
          <w:szCs w:val="24"/>
        </w:rPr>
        <w:t>116</w:t>
      </w:r>
      <w:r w:rsidRPr="0063727B">
        <w:rPr>
          <w:rFonts w:ascii="Times New Roman" w:hAnsi="Times New Roman" w:cs="Times New Roman"/>
          <w:sz w:val="24"/>
          <w:szCs w:val="24"/>
        </w:rPr>
        <w:t xml:space="preserve"> latiem mēnesī. Atvieglojuma par apgādībā esošu personu paaugstināšana samazinātu darbaspēka nodokļu slogu, it īpaši ģimenēm ar bērniem. Tomēr daudzbērnu ģimenēm, kuru ienākumi nepārsniedz valstī noteikto minimālo algu, būs vismazākais ieguvums no iepriekš minētiem pasākumiem (tikai 12,5%), salīdzinot, piemēram, ar ģimenēm ar vienu bērnu (ieguvums 19,6%). Ņemot vērā, ka Latvijā ir viena no zemākajām darba algām ES dalībvalstīs (skat. 7.un 8.attēlu pielikumā), būtu nepieciešami papildu kompensējošie pasākumi daudzbērnu ģimenēm ar zemiem ienākumiem.</w:t>
      </w:r>
    </w:p>
    <w:p w:rsidR="00343AF5" w:rsidRPr="0063727B" w:rsidRDefault="00343AF5" w:rsidP="00277DC0">
      <w:pPr>
        <w:autoSpaceDE w:val="0"/>
        <w:autoSpaceDN w:val="0"/>
        <w:adjustRightInd w:val="0"/>
        <w:spacing w:after="0" w:line="240" w:lineRule="auto"/>
        <w:ind w:firstLine="720"/>
        <w:jc w:val="both"/>
        <w:rPr>
          <w:rFonts w:ascii="Times New Roman" w:hAnsi="Times New Roman" w:cs="Times New Roman"/>
          <w:sz w:val="24"/>
          <w:szCs w:val="24"/>
        </w:rPr>
      </w:pPr>
    </w:p>
    <w:p w:rsidR="00343AF5" w:rsidRPr="0063727B" w:rsidRDefault="00343AF5" w:rsidP="00277DC0">
      <w:pPr>
        <w:autoSpaceDE w:val="0"/>
        <w:autoSpaceDN w:val="0"/>
        <w:adjustRightInd w:val="0"/>
        <w:spacing w:after="0" w:line="240" w:lineRule="auto"/>
        <w:ind w:firstLine="720"/>
        <w:jc w:val="both"/>
        <w:rPr>
          <w:rFonts w:ascii="Times New Roman" w:hAnsi="Times New Roman" w:cs="Times New Roman"/>
          <w:b/>
          <w:bCs/>
          <w:sz w:val="24"/>
          <w:szCs w:val="24"/>
        </w:rPr>
      </w:pPr>
      <w:r w:rsidRPr="0063727B">
        <w:rPr>
          <w:rFonts w:ascii="Times New Roman" w:hAnsi="Times New Roman" w:cs="Times New Roman"/>
          <w:b/>
          <w:bCs/>
          <w:sz w:val="24"/>
          <w:szCs w:val="24"/>
        </w:rPr>
        <w:t>Būtiskākie secinājumi un iespējamie problēmu risinājumi:</w:t>
      </w:r>
    </w:p>
    <w:p w:rsidR="00343AF5" w:rsidRPr="0063727B" w:rsidRDefault="00343AF5" w:rsidP="00D03AF5">
      <w:pPr>
        <w:pStyle w:val="NormalWeb"/>
        <w:shd w:val="clear" w:color="auto" w:fill="FFFFFF"/>
        <w:spacing w:before="0"/>
        <w:jc w:val="both"/>
        <w:rPr>
          <w:b/>
          <w:bCs/>
          <w:u w:val="single"/>
          <w:lang w:eastAsia="en-US"/>
        </w:rPr>
      </w:pPr>
    </w:p>
    <w:p w:rsidR="00343AF5" w:rsidRPr="0063727B" w:rsidRDefault="00363D25" w:rsidP="009A1501">
      <w:pPr>
        <w:pStyle w:val="NormalWeb"/>
        <w:numPr>
          <w:ilvl w:val="0"/>
          <w:numId w:val="23"/>
        </w:numPr>
        <w:shd w:val="clear" w:color="auto" w:fill="FFFFFF"/>
        <w:tabs>
          <w:tab w:val="clear" w:pos="2880"/>
          <w:tab w:val="num" w:pos="540"/>
        </w:tabs>
        <w:spacing w:before="0"/>
        <w:ind w:left="540"/>
        <w:jc w:val="both"/>
      </w:pPr>
      <w:r w:rsidRPr="0063727B">
        <w:t>e</w:t>
      </w:r>
      <w:r w:rsidR="00343AF5" w:rsidRPr="0063727B">
        <w:t>sošie valsts sociālie pabalsti tiek piešķirti noteiktām iedzīvotāju grupām, neizvērtējot to ienākumus. Ņemot vērā augsto iedzīvotāju nabadzības risku, īpaši</w:t>
      </w:r>
      <w:r w:rsidR="00747D30" w:rsidRPr="0063727B">
        <w:t xml:space="preserve"> bērniem, ir nepieciešams</w:t>
      </w:r>
      <w:r w:rsidR="00343AF5" w:rsidRPr="0063727B">
        <w:t xml:space="preserve"> </w:t>
      </w:r>
      <w:r w:rsidR="00317B1C" w:rsidRPr="0063727B">
        <w:t>pārskatīt</w:t>
      </w:r>
      <w:r w:rsidR="003C555B" w:rsidRPr="0063727B">
        <w:t xml:space="preserve"> valsts sociālo pabalstu</w:t>
      </w:r>
      <w:r w:rsidR="00343AF5" w:rsidRPr="0063727B">
        <w:t xml:space="preserve"> </w:t>
      </w:r>
      <w:proofErr w:type="spellStart"/>
      <w:r w:rsidR="003C555B" w:rsidRPr="0063727B">
        <w:t>mērķētības</w:t>
      </w:r>
      <w:proofErr w:type="spellEnd"/>
      <w:r w:rsidR="003C555B" w:rsidRPr="0063727B">
        <w:t xml:space="preserve"> iespējas</w:t>
      </w:r>
      <w:r w:rsidR="00343AF5" w:rsidRPr="0063727B">
        <w:t>;</w:t>
      </w:r>
    </w:p>
    <w:p w:rsidR="00343AF5" w:rsidRPr="0063727B" w:rsidRDefault="003C555B" w:rsidP="009A1501">
      <w:pPr>
        <w:numPr>
          <w:ilvl w:val="0"/>
          <w:numId w:val="23"/>
        </w:numPr>
        <w:tabs>
          <w:tab w:val="clear" w:pos="2880"/>
          <w:tab w:val="num" w:pos="540"/>
        </w:tabs>
        <w:spacing w:after="75" w:line="240" w:lineRule="auto"/>
        <w:ind w:left="540"/>
        <w:jc w:val="both"/>
        <w:rPr>
          <w:rFonts w:ascii="Times New Roman" w:hAnsi="Times New Roman" w:cs="Times New Roman"/>
          <w:sz w:val="24"/>
          <w:szCs w:val="24"/>
        </w:rPr>
      </w:pPr>
      <w:r w:rsidRPr="0063727B">
        <w:rPr>
          <w:rFonts w:ascii="Times New Roman" w:hAnsi="Times New Roman" w:cs="Times New Roman"/>
          <w:sz w:val="24"/>
          <w:szCs w:val="24"/>
        </w:rPr>
        <w:t>v</w:t>
      </w:r>
      <w:r w:rsidR="00343AF5" w:rsidRPr="0063727B">
        <w:rPr>
          <w:rFonts w:ascii="Times New Roman" w:hAnsi="Times New Roman" w:cs="Times New Roman"/>
          <w:sz w:val="24"/>
          <w:szCs w:val="24"/>
        </w:rPr>
        <w:t>alsts sociālie pabalstu apmēri nav piesaistīti nevienam sociāli ekonomiskam rādītājam, tāpēc ir</w:t>
      </w:r>
      <w:r w:rsidR="00343AF5" w:rsidRPr="0063727B">
        <w:rPr>
          <w:rFonts w:ascii="Times New Roman" w:hAnsi="Times New Roman" w:cs="Times New Roman"/>
          <w:sz w:val="24"/>
          <w:szCs w:val="24"/>
          <w:lang w:eastAsia="lv-LV"/>
        </w:rPr>
        <w:t xml:space="preserve"> nepieciešams noteikt vidēja termiņa mērķus pārējo valsts sociālo pabalstu izdevumu restrukturizācijai vai apmēru pārskatīšanai (piemēram, valsts sociālā nodrošinājuma pabalsta), piesaistot tos noteiktam sociāli ekonomiskam rādītājam;</w:t>
      </w:r>
    </w:p>
    <w:p w:rsidR="00886AC4" w:rsidRPr="0063727B" w:rsidRDefault="003C555B" w:rsidP="008460E1">
      <w:pPr>
        <w:numPr>
          <w:ilvl w:val="0"/>
          <w:numId w:val="23"/>
        </w:numPr>
        <w:tabs>
          <w:tab w:val="clear" w:pos="2880"/>
          <w:tab w:val="num" w:pos="540"/>
        </w:tabs>
        <w:spacing w:after="75" w:line="240" w:lineRule="auto"/>
        <w:ind w:left="540"/>
        <w:jc w:val="both"/>
        <w:rPr>
          <w:rFonts w:ascii="Times New Roman" w:hAnsi="Times New Roman" w:cs="Times New Roman"/>
          <w:sz w:val="24"/>
          <w:szCs w:val="24"/>
        </w:rPr>
      </w:pPr>
      <w:r w:rsidRPr="0063727B">
        <w:rPr>
          <w:rFonts w:ascii="Times New Roman" w:hAnsi="Times New Roman" w:cs="Times New Roman"/>
          <w:sz w:val="24"/>
          <w:szCs w:val="24"/>
          <w:lang w:eastAsia="lv-LV"/>
        </w:rPr>
        <w:t>n</w:t>
      </w:r>
      <w:r w:rsidR="00343AF5" w:rsidRPr="0063727B">
        <w:rPr>
          <w:rFonts w:ascii="Times New Roman" w:hAnsi="Times New Roman" w:cs="Times New Roman"/>
          <w:sz w:val="24"/>
          <w:szCs w:val="24"/>
          <w:lang w:eastAsia="lv-LV"/>
        </w:rPr>
        <w:t>epieciešams pārstrukturēt</w:t>
      </w:r>
      <w:r w:rsidR="00343AF5" w:rsidRPr="0063727B">
        <w:rPr>
          <w:rFonts w:ascii="Times New Roman" w:hAnsi="Times New Roman" w:cs="Times New Roman"/>
          <w:b/>
          <w:bCs/>
          <w:sz w:val="24"/>
          <w:szCs w:val="24"/>
          <w:lang w:eastAsia="lv-LV"/>
        </w:rPr>
        <w:t xml:space="preserve"> </w:t>
      </w:r>
      <w:r w:rsidR="00343AF5" w:rsidRPr="0063727B">
        <w:rPr>
          <w:rFonts w:ascii="Times New Roman" w:hAnsi="Times New Roman" w:cs="Times New Roman"/>
          <w:sz w:val="24"/>
          <w:szCs w:val="24"/>
          <w:lang w:eastAsia="lv-LV"/>
        </w:rPr>
        <w:t>ģimenes valsts pabalsta izdevumus, lai lielāks atbalsts tiktu sniegts sociāli mazāk aizsargātām ģimenēm ar bērniem (viena vecāka ģimenēm, daudzbērnu ģimenēm, ģimenēm ar</w:t>
      </w:r>
      <w:r w:rsidR="00317B1C" w:rsidRPr="0063727B">
        <w:rPr>
          <w:rFonts w:ascii="Times New Roman" w:hAnsi="Times New Roman" w:cs="Times New Roman"/>
          <w:sz w:val="24"/>
          <w:szCs w:val="24"/>
          <w:lang w:eastAsia="lv-LV"/>
        </w:rPr>
        <w:t xml:space="preserve"> bērniem un zemiem ienākumiem)</w:t>
      </w:r>
      <w:r w:rsidRPr="0063727B">
        <w:rPr>
          <w:rFonts w:ascii="Times New Roman" w:hAnsi="Times New Roman" w:cs="Times New Roman"/>
          <w:sz w:val="24"/>
          <w:szCs w:val="24"/>
          <w:lang w:eastAsia="lv-LV"/>
        </w:rPr>
        <w:t>.</w:t>
      </w:r>
    </w:p>
    <w:p w:rsidR="002F2402" w:rsidRPr="0063727B" w:rsidRDefault="002F2402" w:rsidP="002F2402">
      <w:pPr>
        <w:spacing w:after="75" w:line="240" w:lineRule="auto"/>
        <w:ind w:left="540"/>
        <w:jc w:val="both"/>
        <w:rPr>
          <w:rFonts w:ascii="Times New Roman" w:hAnsi="Times New Roman" w:cs="Times New Roman"/>
          <w:sz w:val="24"/>
          <w:szCs w:val="24"/>
        </w:rPr>
      </w:pPr>
    </w:p>
    <w:p w:rsidR="00343AF5" w:rsidRPr="0063727B" w:rsidRDefault="00343AF5" w:rsidP="009A1501">
      <w:pPr>
        <w:pStyle w:val="Heading2"/>
        <w:numPr>
          <w:ilvl w:val="0"/>
          <w:numId w:val="20"/>
        </w:numPr>
        <w:tabs>
          <w:tab w:val="left" w:pos="1418"/>
        </w:tabs>
        <w:rPr>
          <w:rFonts w:ascii="Times New Roman" w:hAnsi="Times New Roman" w:cs="Times New Roman"/>
          <w:color w:val="auto"/>
          <w:sz w:val="24"/>
          <w:szCs w:val="24"/>
          <w:lang w:val="lv-LV"/>
        </w:rPr>
      </w:pPr>
      <w:r w:rsidRPr="0063727B">
        <w:rPr>
          <w:rFonts w:ascii="Times New Roman" w:hAnsi="Times New Roman" w:cs="Times New Roman"/>
          <w:color w:val="auto"/>
          <w:sz w:val="24"/>
          <w:szCs w:val="24"/>
          <w:lang w:val="lv-LV"/>
        </w:rPr>
        <w:t xml:space="preserve"> </w:t>
      </w:r>
      <w:bookmarkStart w:id="26" w:name="_Toc372812636"/>
      <w:r w:rsidRPr="0063727B">
        <w:rPr>
          <w:rFonts w:ascii="Times New Roman" w:hAnsi="Times New Roman" w:cs="Times New Roman"/>
          <w:color w:val="auto"/>
          <w:sz w:val="24"/>
          <w:szCs w:val="24"/>
          <w:lang w:val="lv-LV"/>
        </w:rPr>
        <w:t>Sociālā palīdzība</w:t>
      </w:r>
      <w:bookmarkEnd w:id="26"/>
    </w:p>
    <w:p w:rsidR="00343AF5" w:rsidRPr="0063727B" w:rsidRDefault="00343AF5" w:rsidP="00187CF2">
      <w:pPr>
        <w:autoSpaceDE w:val="0"/>
        <w:autoSpaceDN w:val="0"/>
        <w:adjustRightInd w:val="0"/>
        <w:spacing w:after="0" w:line="240" w:lineRule="auto"/>
        <w:ind w:firstLine="709"/>
        <w:jc w:val="both"/>
        <w:rPr>
          <w:rFonts w:ascii="Times New Roman" w:hAnsi="Times New Roman" w:cs="Times New Roman"/>
          <w:sz w:val="24"/>
          <w:szCs w:val="24"/>
        </w:rPr>
      </w:pP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Sociālā palīdzība ir no publiskām finansēm (pašvaldību līdzekļiem) nodrošināta atbalsta un palīdzības sistēma, kura aizsargā trūcīgākos valsts iedzīvotājus, sniedzot tiem atbalstu pamatvajadzību apmierināšanai, kā arī veicina indivīdu līdzdarbību, aktīvi iesaistoties savas situācijas uzlabošanā. </w:t>
      </w:r>
      <w:r w:rsidR="00641F87" w:rsidRPr="0063727B">
        <w:rPr>
          <w:rFonts w:ascii="Times New Roman" w:hAnsi="Times New Roman" w:cs="Times New Roman"/>
          <w:sz w:val="24"/>
          <w:szCs w:val="24"/>
        </w:rPr>
        <w:t>J</w:t>
      </w:r>
      <w:r w:rsidRPr="0063727B">
        <w:rPr>
          <w:rFonts w:ascii="Times New Roman" w:hAnsi="Times New Roman" w:cs="Times New Roman"/>
          <w:sz w:val="24"/>
          <w:szCs w:val="24"/>
        </w:rPr>
        <w:t xml:space="preserve">āatzīst, ka finansiālais atbalsts pamatvajadzību segšanai, kā arī aktivizācijas pasākumi, kas tradicionāli ir viens no nosacījumiem sociālās palīdzības saņemšanai, paredzēti, lai motivētu cilvēku risināt savu situāciju. </w:t>
      </w:r>
    </w:p>
    <w:p w:rsidR="00343AF5" w:rsidRPr="0063727B" w:rsidRDefault="00343AF5" w:rsidP="00297E34">
      <w:pPr>
        <w:pStyle w:val="naisf"/>
        <w:spacing w:before="0" w:beforeAutospacing="0" w:after="0" w:afterAutospacing="0"/>
        <w:ind w:firstLine="709"/>
        <w:jc w:val="both"/>
        <w:rPr>
          <w:rFonts w:ascii="Times New Roman" w:hAnsi="Times New Roman"/>
          <w:lang w:val="lv-LV"/>
        </w:rPr>
      </w:pPr>
      <w:r w:rsidRPr="0063727B">
        <w:rPr>
          <w:rFonts w:ascii="Times New Roman" w:hAnsi="Times New Roman"/>
          <w:lang w:val="lv-LV"/>
        </w:rPr>
        <w:t>Sociālo pakalpojumu un sociālās palīdzības likums</w:t>
      </w:r>
      <w:r w:rsidR="00C813AF" w:rsidRPr="0063727B">
        <w:rPr>
          <w:rFonts w:ascii="Times New Roman" w:hAnsi="Times New Roman"/>
          <w:lang w:val="lv-LV"/>
        </w:rPr>
        <w:t xml:space="preserve"> </w:t>
      </w:r>
      <w:r w:rsidRPr="0063727B">
        <w:rPr>
          <w:rFonts w:ascii="Times New Roman" w:hAnsi="Times New Roman"/>
          <w:lang w:val="lv-LV"/>
        </w:rPr>
        <w:t>nosaka šādus sociālās palīdzības sniegšanas pamatprincipus:</w:t>
      </w:r>
    </w:p>
    <w:p w:rsidR="00343AF5" w:rsidRPr="0063727B" w:rsidRDefault="00343AF5" w:rsidP="009A1501">
      <w:pPr>
        <w:pStyle w:val="naisf"/>
        <w:numPr>
          <w:ilvl w:val="0"/>
          <w:numId w:val="18"/>
        </w:numPr>
        <w:tabs>
          <w:tab w:val="clear" w:pos="360"/>
          <w:tab w:val="num" w:pos="-142"/>
        </w:tabs>
        <w:spacing w:before="0" w:beforeAutospacing="0" w:after="0" w:afterAutospacing="0"/>
        <w:ind w:left="1276" w:hanging="283"/>
        <w:jc w:val="both"/>
        <w:rPr>
          <w:rFonts w:ascii="Times New Roman" w:hAnsi="Times New Roman"/>
          <w:lang w:val="lv-LV"/>
        </w:rPr>
      </w:pPr>
      <w:r w:rsidRPr="0063727B">
        <w:rPr>
          <w:rFonts w:ascii="Times New Roman" w:hAnsi="Times New Roman"/>
          <w:lang w:val="lv-LV"/>
        </w:rPr>
        <w:lastRenderedPageBreak/>
        <w:t>klienta materiālo resursu – ienākumu un īpašumu – izvērtējums;</w:t>
      </w:r>
    </w:p>
    <w:p w:rsidR="00343AF5" w:rsidRPr="0063727B" w:rsidRDefault="00343AF5" w:rsidP="009A1501">
      <w:pPr>
        <w:pStyle w:val="naisf"/>
        <w:numPr>
          <w:ilvl w:val="0"/>
          <w:numId w:val="18"/>
        </w:numPr>
        <w:tabs>
          <w:tab w:val="clear" w:pos="360"/>
          <w:tab w:val="num" w:pos="-142"/>
        </w:tabs>
        <w:spacing w:before="0" w:beforeAutospacing="0" w:after="0" w:afterAutospacing="0"/>
        <w:ind w:left="1276" w:hanging="283"/>
        <w:jc w:val="both"/>
        <w:rPr>
          <w:rFonts w:ascii="Times New Roman" w:hAnsi="Times New Roman"/>
          <w:lang w:val="lv-LV"/>
        </w:rPr>
      </w:pPr>
      <w:r w:rsidRPr="0063727B">
        <w:rPr>
          <w:rFonts w:ascii="Times New Roman" w:hAnsi="Times New Roman"/>
          <w:lang w:val="lv-LV"/>
        </w:rPr>
        <w:t>pamatvajadzī</w:t>
      </w:r>
      <w:r w:rsidRPr="0063727B">
        <w:rPr>
          <w:lang w:val="lv-LV"/>
        </w:rPr>
        <w:t xml:space="preserve">bu – </w:t>
      </w:r>
      <w:r w:rsidRPr="0063727B">
        <w:rPr>
          <w:rFonts w:ascii="Times New Roman" w:hAnsi="Times New Roman"/>
          <w:i/>
          <w:iCs/>
          <w:lang w:val="lv-LV"/>
        </w:rPr>
        <w:t>pārtika, apģērbs, mājoklis, veselības aprūpe, obligātā izglītība</w:t>
      </w:r>
      <w:r w:rsidRPr="0063727B">
        <w:rPr>
          <w:rFonts w:ascii="Times New Roman" w:hAnsi="Times New Roman"/>
          <w:lang w:val="lv-LV"/>
        </w:rPr>
        <w:t xml:space="preserve"> – nodrošināšana;</w:t>
      </w:r>
    </w:p>
    <w:p w:rsidR="00343AF5" w:rsidRPr="0063727B" w:rsidRDefault="00343AF5" w:rsidP="009A1501">
      <w:pPr>
        <w:pStyle w:val="naisf"/>
        <w:numPr>
          <w:ilvl w:val="0"/>
          <w:numId w:val="18"/>
        </w:numPr>
        <w:tabs>
          <w:tab w:val="clear" w:pos="360"/>
          <w:tab w:val="num" w:pos="-142"/>
        </w:tabs>
        <w:spacing w:before="0" w:beforeAutospacing="0" w:after="0" w:afterAutospacing="0"/>
        <w:ind w:left="1276" w:hanging="283"/>
        <w:jc w:val="both"/>
        <w:rPr>
          <w:rFonts w:ascii="Times New Roman" w:hAnsi="Times New Roman"/>
          <w:lang w:val="lv-LV"/>
        </w:rPr>
      </w:pPr>
      <w:r w:rsidRPr="0063727B">
        <w:rPr>
          <w:rFonts w:ascii="Times New Roman" w:hAnsi="Times New Roman"/>
          <w:lang w:val="lv-LV"/>
        </w:rPr>
        <w:t>darbspējīgo personu līdzdarbība savas situācijas uzlabošanā.</w:t>
      </w:r>
    </w:p>
    <w:p w:rsidR="00343AF5" w:rsidRPr="0063727B" w:rsidRDefault="00343AF5" w:rsidP="00297E34">
      <w:pPr>
        <w:pStyle w:val="naisf"/>
        <w:spacing w:before="0" w:beforeAutospacing="0" w:after="0" w:afterAutospacing="0"/>
        <w:ind w:firstLine="709"/>
        <w:jc w:val="both"/>
        <w:rPr>
          <w:rFonts w:ascii="Times New Roman" w:hAnsi="Times New Roman"/>
          <w:lang w:val="lv-LV"/>
        </w:rPr>
      </w:pPr>
      <w:r w:rsidRPr="0063727B">
        <w:rPr>
          <w:rFonts w:ascii="Times New Roman" w:hAnsi="Times New Roman"/>
          <w:lang w:val="lv-LV"/>
        </w:rPr>
        <w:t>Latvijā noteikti šādi pašvaldības sociālās palīdzības pabalsti</w:t>
      </w:r>
      <w:r w:rsidR="00C813AF" w:rsidRPr="0063727B">
        <w:rPr>
          <w:rStyle w:val="FootnoteReference"/>
          <w:rFonts w:ascii="Times New Roman" w:hAnsi="Times New Roman"/>
          <w:lang w:val="lv-LV"/>
        </w:rPr>
        <w:footnoteReference w:id="73"/>
      </w:r>
      <w:r w:rsidRPr="0063727B">
        <w:rPr>
          <w:rFonts w:ascii="Times New Roman" w:hAnsi="Times New Roman"/>
          <w:lang w:val="lv-LV"/>
        </w:rPr>
        <w:t>:</w:t>
      </w:r>
    </w:p>
    <w:p w:rsidR="00343AF5" w:rsidRPr="0063727B" w:rsidRDefault="00343AF5" w:rsidP="00297E34">
      <w:pPr>
        <w:spacing w:after="0" w:line="240" w:lineRule="auto"/>
        <w:ind w:left="426" w:firstLine="720"/>
        <w:jc w:val="both"/>
        <w:rPr>
          <w:rFonts w:ascii="Times New Roman" w:hAnsi="Times New Roman" w:cs="Times New Roman"/>
          <w:sz w:val="24"/>
          <w:szCs w:val="24"/>
        </w:rPr>
      </w:pPr>
      <w:r w:rsidRPr="0063727B">
        <w:rPr>
          <w:rFonts w:ascii="Times New Roman" w:hAnsi="Times New Roman" w:cs="Times New Roman"/>
          <w:sz w:val="24"/>
          <w:szCs w:val="24"/>
        </w:rPr>
        <w:t>1) pabalsts garantētā minimālā ienākumu līmeņa nodrošināšanai (turpmāk – GMI pabalsts);</w:t>
      </w:r>
    </w:p>
    <w:p w:rsidR="00343AF5" w:rsidRPr="0063727B" w:rsidRDefault="00343AF5" w:rsidP="00297E34">
      <w:pPr>
        <w:spacing w:after="0" w:line="240" w:lineRule="auto"/>
        <w:ind w:left="1134"/>
        <w:jc w:val="both"/>
        <w:rPr>
          <w:rFonts w:ascii="Times New Roman" w:hAnsi="Times New Roman" w:cs="Times New Roman"/>
          <w:sz w:val="24"/>
          <w:szCs w:val="24"/>
        </w:rPr>
      </w:pPr>
      <w:r w:rsidRPr="0063727B">
        <w:rPr>
          <w:rFonts w:ascii="Times New Roman" w:hAnsi="Times New Roman" w:cs="Times New Roman"/>
          <w:sz w:val="24"/>
          <w:szCs w:val="24"/>
        </w:rPr>
        <w:t>2) dzīvokļa pabalsts;</w:t>
      </w:r>
    </w:p>
    <w:p w:rsidR="00343AF5" w:rsidRPr="0063727B" w:rsidRDefault="00343AF5" w:rsidP="00297E34">
      <w:pPr>
        <w:spacing w:after="0" w:line="240" w:lineRule="auto"/>
        <w:ind w:firstLine="1134"/>
        <w:jc w:val="both"/>
        <w:rPr>
          <w:rFonts w:ascii="Times New Roman" w:hAnsi="Times New Roman" w:cs="Times New Roman"/>
          <w:sz w:val="24"/>
          <w:szCs w:val="24"/>
        </w:rPr>
      </w:pPr>
      <w:r w:rsidRPr="0063727B">
        <w:rPr>
          <w:rFonts w:ascii="Times New Roman" w:hAnsi="Times New Roman" w:cs="Times New Roman"/>
          <w:sz w:val="24"/>
          <w:szCs w:val="24"/>
        </w:rPr>
        <w:t>3) vienreizējs pabalsts ārkārtas situācijā - izņēmums no sociālās palīdzības pamatprincipu viedokļa, jo pašvaldība var piešķirt</w:t>
      </w:r>
      <w:r w:rsidR="00A03911"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r w:rsidRPr="0063727B">
        <w:rPr>
          <w:rFonts w:ascii="Times New Roman" w:hAnsi="Times New Roman" w:cs="Times New Roman"/>
          <w:iCs/>
          <w:sz w:val="24"/>
          <w:szCs w:val="24"/>
          <w:u w:val="single"/>
        </w:rPr>
        <w:t>neizvērtējot ienākumus</w:t>
      </w:r>
      <w:r w:rsidRPr="0063727B">
        <w:rPr>
          <w:rFonts w:ascii="Times New Roman" w:hAnsi="Times New Roman" w:cs="Times New Roman"/>
          <w:sz w:val="24"/>
          <w:szCs w:val="24"/>
        </w:rPr>
        <w:t>, ja persona nonākusi ārkārtas situācijā iepriekš neparedzamu apstākļu dēļ un nespēj nodrošināt savas un ģimenes locekļu pamatvajadzības;</w:t>
      </w:r>
    </w:p>
    <w:p w:rsidR="00343AF5" w:rsidRPr="0063727B" w:rsidRDefault="00343AF5" w:rsidP="004B038D">
      <w:pPr>
        <w:spacing w:after="0" w:line="240" w:lineRule="auto"/>
        <w:ind w:firstLine="1134"/>
        <w:jc w:val="both"/>
        <w:rPr>
          <w:rFonts w:ascii="Times New Roman" w:hAnsi="Times New Roman" w:cs="Times New Roman"/>
          <w:sz w:val="24"/>
          <w:szCs w:val="24"/>
        </w:rPr>
      </w:pPr>
      <w:r w:rsidRPr="0063727B">
        <w:rPr>
          <w:rFonts w:ascii="Times New Roman" w:hAnsi="Times New Roman" w:cs="Times New Roman"/>
          <w:sz w:val="24"/>
          <w:szCs w:val="24"/>
        </w:rPr>
        <w:t>4) citi pabalsti pamatvajadzību apmierināšanai, izvērtējot materiālo situāciju.</w:t>
      </w:r>
    </w:p>
    <w:p w:rsidR="00343AF5" w:rsidRPr="0063727B" w:rsidRDefault="00343AF5" w:rsidP="004B038D">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Ja ir apmierināts pamatots pašvaldības iedzīvotāju pieprasījums pēc GMI pabalsta un dzīvokļa pabalsta, pašvaldība, izvērtējot ģimenes (personas) ienākumus, ir tiesīga no pašvaldības pamatbudžeta izmaksāt arī citus pabalstus (</w:t>
      </w:r>
      <w:r w:rsidRPr="0063727B">
        <w:rPr>
          <w:rFonts w:ascii="Times New Roman" w:hAnsi="Times New Roman" w:cs="Times New Roman"/>
          <w:iCs/>
          <w:sz w:val="24"/>
          <w:szCs w:val="24"/>
        </w:rPr>
        <w:t>veselības aprūpes pakalpojumu apmaksai, obligātajai izglītībai u.c.</w:t>
      </w:r>
      <w:r w:rsidRPr="0063727B">
        <w:rPr>
          <w:rFonts w:ascii="Times New Roman" w:hAnsi="Times New Roman" w:cs="Times New Roman"/>
          <w:sz w:val="24"/>
          <w:szCs w:val="24"/>
        </w:rPr>
        <w:t xml:space="preserve">) ģimenes vai atsevišķi dzīvojošas personas pamatvajadzību apmierināšanai. GMI pabalsta aprēķināšanas kārtību regulē Ministru kabineta noteikumi, savukārt dzīvokļa pabalsta un citu pabalstu pamatvajadzību nodrošināšanai apmēru, piešķiršanas nosacījumus, tai skaitā </w:t>
      </w:r>
      <w:r w:rsidRPr="0063727B">
        <w:rPr>
          <w:rFonts w:ascii="Times New Roman" w:hAnsi="Times New Roman" w:cs="Times New Roman"/>
          <w:sz w:val="24"/>
          <w:szCs w:val="24"/>
          <w:u w:val="single"/>
        </w:rPr>
        <w:t>ienākumu līmeņus</w:t>
      </w:r>
      <w:r w:rsidRPr="0063727B">
        <w:rPr>
          <w:rFonts w:ascii="Times New Roman" w:hAnsi="Times New Roman" w:cs="Times New Roman"/>
          <w:sz w:val="24"/>
          <w:szCs w:val="24"/>
        </w:rPr>
        <w:t xml:space="preserve"> to saņemšanai, nosaka pašvaldība saistošajos noteikumos.</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Būtiskākais sociālās palīdzības atbalsts iedzīvotājiem tiek sniegts caur </w:t>
      </w:r>
      <w:r w:rsidRPr="0063727B">
        <w:rPr>
          <w:rFonts w:ascii="Times New Roman" w:hAnsi="Times New Roman" w:cs="Times New Roman"/>
          <w:b/>
          <w:bCs/>
          <w:sz w:val="24"/>
          <w:szCs w:val="24"/>
        </w:rPr>
        <w:t xml:space="preserve">GMI pabalstu </w:t>
      </w:r>
      <w:r w:rsidRPr="0063727B">
        <w:rPr>
          <w:rFonts w:ascii="Times New Roman" w:hAnsi="Times New Roman" w:cs="Times New Roman"/>
          <w:sz w:val="24"/>
          <w:szCs w:val="24"/>
        </w:rPr>
        <w:t>un</w:t>
      </w:r>
      <w:r w:rsidRPr="0063727B">
        <w:rPr>
          <w:rFonts w:ascii="Times New Roman" w:hAnsi="Times New Roman" w:cs="Times New Roman"/>
          <w:b/>
          <w:bCs/>
          <w:sz w:val="24"/>
          <w:szCs w:val="24"/>
        </w:rPr>
        <w:t xml:space="preserve"> dzīvokļa pabalstu</w:t>
      </w:r>
      <w:r w:rsidRPr="0063727B">
        <w:rPr>
          <w:rFonts w:ascii="Times New Roman" w:hAnsi="Times New Roman" w:cs="Times New Roman"/>
          <w:sz w:val="24"/>
          <w:szCs w:val="24"/>
        </w:rPr>
        <w:t xml:space="preserve">. Tāpat liels ir pašvaldību atbalsts iedzīvotājiem, sniedzot atbalstu veselības aprūpes pakalpojumu apmaksai. Ienākumu testētos pašvaldību sociālās palīdzības pabalstus 2011.gadā saņēma 14% iedzīvotāju jeb 290 224 personas, </w:t>
      </w:r>
      <w:r w:rsidRPr="0063727B">
        <w:rPr>
          <w:rFonts w:ascii="Times New Roman" w:hAnsi="Times New Roman" w:cs="Times New Roman"/>
          <w:sz w:val="24"/>
          <w:szCs w:val="24"/>
          <w:lang w:eastAsia="lv-LV"/>
        </w:rPr>
        <w:t>2012.gadā - 13% iedzīvotāju jeb 264 758 personas</w:t>
      </w:r>
      <w:r w:rsidRPr="0063727B">
        <w:rPr>
          <w:rFonts w:ascii="Times New Roman" w:hAnsi="Times New Roman" w:cs="Times New Roman"/>
          <w:sz w:val="24"/>
          <w:szCs w:val="24"/>
        </w:rPr>
        <w:t>. Trūcīgā statuss 2011.gadā bija noteikts 12,8% iedzīvotāju (265 311 personas) 2012.gadā – 10,3% jeb 210 616 personām, savukārt GMI pabalstu 2011.gadā saņēma tikai 5,9 % no iedzīvotājiem (121 833 personas), 2012.gadā – 4,6% jeb 94 528 personas. Vidējais GMI pabalsta apmērs vienam saņēmējam 2011.gadā bija 26,3 lati mēnesī, 2012.gadā - 24,9 lati mēnesī (sk</w:t>
      </w:r>
      <w:r w:rsidR="00641F87"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C85AC5" w:rsidRPr="0063727B">
        <w:rPr>
          <w:rFonts w:ascii="Times New Roman" w:hAnsi="Times New Roman" w:cs="Times New Roman"/>
          <w:sz w:val="24"/>
          <w:szCs w:val="24"/>
        </w:rPr>
        <w:t>8</w:t>
      </w:r>
      <w:r w:rsidRPr="0063727B">
        <w:rPr>
          <w:rFonts w:ascii="Times New Roman" w:hAnsi="Times New Roman" w:cs="Times New Roman"/>
          <w:sz w:val="24"/>
          <w:szCs w:val="24"/>
        </w:rPr>
        <w:t xml:space="preserve">.tabulu pielikumā). </w:t>
      </w:r>
    </w:p>
    <w:p w:rsidR="00343AF5" w:rsidRDefault="00343AF5" w:rsidP="00297E34">
      <w:pPr>
        <w:pStyle w:val="naisf"/>
        <w:spacing w:before="0" w:beforeAutospacing="0" w:after="0" w:afterAutospacing="0"/>
        <w:ind w:firstLine="709"/>
        <w:jc w:val="both"/>
        <w:rPr>
          <w:rFonts w:ascii="Times New Roman" w:hAnsi="Times New Roman"/>
          <w:lang w:val="lv-LV"/>
        </w:rPr>
      </w:pPr>
      <w:r w:rsidRPr="0063727B">
        <w:rPr>
          <w:rFonts w:ascii="Times New Roman" w:hAnsi="Times New Roman"/>
          <w:lang w:val="lv-LV"/>
        </w:rPr>
        <w:t>Starp pašvaldību sociālās palīdzības saņēmēj</w:t>
      </w:r>
      <w:r w:rsidR="008F25A4" w:rsidRPr="0063727B">
        <w:rPr>
          <w:rFonts w:ascii="Times New Roman" w:hAnsi="Times New Roman"/>
          <w:lang w:val="lv-LV"/>
        </w:rPr>
        <w:t>iem</w:t>
      </w:r>
      <w:r w:rsidR="00F925FD" w:rsidRPr="0063727B">
        <w:rPr>
          <w:rFonts w:ascii="Times New Roman" w:hAnsi="Times New Roman"/>
          <w:lang w:val="lv-LV"/>
        </w:rPr>
        <w:t xml:space="preserve"> </w:t>
      </w:r>
      <w:r w:rsidRPr="0063727B">
        <w:rPr>
          <w:rFonts w:ascii="Times New Roman" w:hAnsi="Times New Roman"/>
          <w:lang w:val="lv-LV"/>
        </w:rPr>
        <w:t xml:space="preserve">visvairāk </w:t>
      </w:r>
      <w:r w:rsidR="008F25A4" w:rsidRPr="0063727B">
        <w:rPr>
          <w:rFonts w:ascii="Times New Roman" w:hAnsi="Times New Roman"/>
          <w:lang w:val="lv-LV"/>
        </w:rPr>
        <w:t xml:space="preserve">personu </w:t>
      </w:r>
      <w:r w:rsidRPr="0063727B">
        <w:rPr>
          <w:rFonts w:ascii="Times New Roman" w:hAnsi="Times New Roman"/>
          <w:lang w:val="lv-LV"/>
        </w:rPr>
        <w:t xml:space="preserve">ir </w:t>
      </w:r>
      <w:r w:rsidR="00F925FD" w:rsidRPr="0063727B">
        <w:rPr>
          <w:rFonts w:ascii="Times New Roman" w:hAnsi="Times New Roman"/>
          <w:lang w:val="lv-LV"/>
        </w:rPr>
        <w:t>mājsaimniecībās</w:t>
      </w:r>
      <w:r w:rsidR="008F25A4" w:rsidRPr="0063727B">
        <w:rPr>
          <w:rFonts w:ascii="Times New Roman" w:hAnsi="Times New Roman"/>
          <w:lang w:val="lv-LV"/>
        </w:rPr>
        <w:t xml:space="preserve"> </w:t>
      </w:r>
      <w:r w:rsidRPr="0063727B">
        <w:rPr>
          <w:rFonts w:ascii="Times New Roman" w:hAnsi="Times New Roman"/>
          <w:lang w:val="lv-LV"/>
        </w:rPr>
        <w:t>ar bērniem un vienu vai vairākām darbspējīgām pilngadīgām personām (sk</w:t>
      </w:r>
      <w:r w:rsidR="00A765D8" w:rsidRPr="0063727B">
        <w:rPr>
          <w:rFonts w:ascii="Times New Roman" w:hAnsi="Times New Roman"/>
          <w:lang w:val="lv-LV"/>
        </w:rPr>
        <w:t>at</w:t>
      </w:r>
      <w:r w:rsidRPr="0063727B">
        <w:rPr>
          <w:rFonts w:ascii="Times New Roman" w:hAnsi="Times New Roman"/>
          <w:lang w:val="lv-LV"/>
        </w:rPr>
        <w:t xml:space="preserve">. </w:t>
      </w:r>
      <w:r w:rsidR="00C85AC5" w:rsidRPr="0063727B">
        <w:rPr>
          <w:rFonts w:ascii="Times New Roman" w:hAnsi="Times New Roman"/>
          <w:lang w:val="lv-LV"/>
        </w:rPr>
        <w:t>7</w:t>
      </w:r>
      <w:r w:rsidRPr="0063727B">
        <w:rPr>
          <w:rFonts w:ascii="Times New Roman" w:hAnsi="Times New Roman"/>
          <w:lang w:val="lv-LV"/>
        </w:rPr>
        <w:t xml:space="preserve">.attēlu). </w:t>
      </w: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Default="002A46BF" w:rsidP="00297E34">
      <w:pPr>
        <w:pStyle w:val="naisf"/>
        <w:spacing w:before="0" w:beforeAutospacing="0" w:after="0" w:afterAutospacing="0"/>
        <w:ind w:firstLine="709"/>
        <w:jc w:val="both"/>
        <w:rPr>
          <w:rFonts w:ascii="Times New Roman" w:hAnsi="Times New Roman"/>
          <w:lang w:val="lv-LV"/>
        </w:rPr>
      </w:pPr>
    </w:p>
    <w:p w:rsidR="002A46BF" w:rsidRPr="0063727B" w:rsidRDefault="002A46BF" w:rsidP="00297E34">
      <w:pPr>
        <w:pStyle w:val="naisf"/>
        <w:spacing w:before="0" w:beforeAutospacing="0" w:after="0" w:afterAutospacing="0"/>
        <w:ind w:firstLine="709"/>
        <w:jc w:val="both"/>
        <w:rPr>
          <w:rFonts w:ascii="Times New Roman" w:hAnsi="Times New Roman"/>
          <w:lang w:val="lv-LV"/>
        </w:rPr>
      </w:pPr>
    </w:p>
    <w:p w:rsidR="00641F87" w:rsidRPr="0063727B" w:rsidRDefault="00C85AC5" w:rsidP="00641F87">
      <w:pPr>
        <w:pStyle w:val="naisf"/>
        <w:spacing w:before="0" w:beforeAutospacing="0" w:after="0" w:afterAutospacing="0"/>
        <w:ind w:left="720" w:firstLine="720"/>
        <w:jc w:val="right"/>
        <w:rPr>
          <w:rFonts w:ascii="Times New Roman" w:hAnsi="Times New Roman"/>
          <w:lang w:val="lv-LV"/>
        </w:rPr>
      </w:pPr>
      <w:r w:rsidRPr="0063727B">
        <w:rPr>
          <w:rFonts w:ascii="Times New Roman" w:hAnsi="Times New Roman"/>
          <w:lang w:val="lv-LV"/>
        </w:rPr>
        <w:lastRenderedPageBreak/>
        <w:t>7</w:t>
      </w:r>
      <w:r w:rsidR="00641F87" w:rsidRPr="0063727B">
        <w:rPr>
          <w:rFonts w:ascii="Times New Roman" w:hAnsi="Times New Roman"/>
          <w:lang w:val="lv-LV"/>
        </w:rPr>
        <w:t>.attēls</w:t>
      </w:r>
      <w:r w:rsidR="00343AF5" w:rsidRPr="0063727B">
        <w:rPr>
          <w:rFonts w:ascii="Times New Roman" w:hAnsi="Times New Roman"/>
          <w:lang w:val="lv-LV"/>
        </w:rPr>
        <w:t xml:space="preserve"> </w:t>
      </w:r>
    </w:p>
    <w:p w:rsidR="00343AF5" w:rsidRPr="0063727B" w:rsidRDefault="00343AF5" w:rsidP="00641F87">
      <w:pPr>
        <w:pStyle w:val="naisf"/>
        <w:spacing w:before="0" w:beforeAutospacing="0" w:after="120" w:afterAutospacing="0"/>
        <w:ind w:firstLine="709"/>
        <w:jc w:val="center"/>
        <w:rPr>
          <w:rFonts w:ascii="Times New Roman" w:hAnsi="Times New Roman"/>
          <w:b/>
          <w:lang w:val="lv-LV"/>
        </w:rPr>
      </w:pPr>
      <w:r w:rsidRPr="0063727B">
        <w:rPr>
          <w:rFonts w:ascii="Times New Roman" w:hAnsi="Times New Roman"/>
          <w:b/>
          <w:lang w:val="lv-LV"/>
        </w:rPr>
        <w:t>Ienākumu testētos pašvaldības sociālās palīdzības pabalstus saņēmušo trūcīgo un maznodrošināto personu skaits pa mājsaimni</w:t>
      </w:r>
      <w:r w:rsidR="00641F87" w:rsidRPr="0063727B">
        <w:rPr>
          <w:rFonts w:ascii="Times New Roman" w:hAnsi="Times New Roman"/>
          <w:b/>
          <w:lang w:val="lv-LV"/>
        </w:rPr>
        <w:t>ecību veidiem 2011.un 2012.gadā</w:t>
      </w:r>
    </w:p>
    <w:p w:rsidR="00343AF5" w:rsidRPr="0063727B" w:rsidRDefault="00C24738" w:rsidP="00297E34">
      <w:pPr>
        <w:pStyle w:val="naisf"/>
        <w:spacing w:before="0" w:beforeAutospacing="0" w:after="0" w:afterAutospacing="0"/>
        <w:ind w:firstLine="709"/>
        <w:jc w:val="both"/>
        <w:rPr>
          <w:lang w:val="lv-LV"/>
        </w:rPr>
      </w:pPr>
      <w:r w:rsidRPr="0063727B">
        <w:rPr>
          <w:noProof/>
          <w:sz w:val="20"/>
          <w:szCs w:val="20"/>
          <w:lang w:val="lv-LV"/>
        </w:rPr>
        <w:drawing>
          <wp:inline distT="0" distB="0" distL="0" distR="0" wp14:anchorId="13082D42" wp14:editId="3BBD0270">
            <wp:extent cx="5048841" cy="2838616"/>
            <wp:effectExtent l="0" t="0" r="0" b="0"/>
            <wp:docPr id="7"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885" cy="2838641"/>
                    </a:xfrm>
                    <a:prstGeom prst="rect">
                      <a:avLst/>
                    </a:prstGeom>
                    <a:noFill/>
                    <a:ln>
                      <a:noFill/>
                    </a:ln>
                  </pic:spPr>
                </pic:pic>
              </a:graphicData>
            </a:graphic>
          </wp:inline>
        </w:drawing>
      </w:r>
    </w:p>
    <w:p w:rsidR="00343AF5" w:rsidRPr="0063727B" w:rsidRDefault="00343AF5" w:rsidP="00297E34">
      <w:pPr>
        <w:pStyle w:val="naisf"/>
        <w:spacing w:before="0" w:beforeAutospacing="0" w:after="0" w:afterAutospacing="0"/>
        <w:ind w:firstLine="709"/>
        <w:jc w:val="both"/>
        <w:rPr>
          <w:rFonts w:ascii="Times New Roman" w:hAnsi="Times New Roman"/>
          <w:sz w:val="20"/>
          <w:szCs w:val="20"/>
          <w:lang w:val="lv-LV"/>
        </w:rPr>
      </w:pPr>
      <w:r w:rsidRPr="0063727B">
        <w:rPr>
          <w:rFonts w:ascii="Times New Roman" w:hAnsi="Times New Roman"/>
          <w:sz w:val="20"/>
          <w:szCs w:val="20"/>
          <w:lang w:val="lv-LV"/>
        </w:rPr>
        <w:t>Avots: Valsts statistikas pārskatu dati.</w:t>
      </w:r>
    </w:p>
    <w:p w:rsidR="00343AF5" w:rsidRPr="0063727B" w:rsidRDefault="00343AF5" w:rsidP="00297E34">
      <w:pPr>
        <w:pStyle w:val="naisf"/>
        <w:spacing w:before="0" w:beforeAutospacing="0" w:after="0" w:afterAutospacing="0"/>
        <w:ind w:firstLine="709"/>
        <w:jc w:val="both"/>
        <w:rPr>
          <w:lang w:val="lv-LV"/>
        </w:rPr>
      </w:pP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PB veiktajā pētījumā atzīts</w:t>
      </w:r>
      <w:r w:rsidRPr="0063727B">
        <w:rPr>
          <w:rStyle w:val="FootnoteReference"/>
          <w:rFonts w:ascii="Times New Roman" w:hAnsi="Times New Roman" w:cs="Times New Roman"/>
          <w:sz w:val="24"/>
          <w:szCs w:val="24"/>
        </w:rPr>
        <w:footnoteReference w:id="74"/>
      </w:r>
      <w:r w:rsidRPr="0063727B">
        <w:rPr>
          <w:rFonts w:ascii="Times New Roman" w:hAnsi="Times New Roman" w:cs="Times New Roman"/>
          <w:sz w:val="24"/>
          <w:szCs w:val="24"/>
        </w:rPr>
        <w:t xml:space="preserve">, ka </w:t>
      </w:r>
      <w:r w:rsidRPr="0063727B">
        <w:rPr>
          <w:rFonts w:ascii="Times New Roman" w:hAnsi="Times New Roman" w:cs="Times New Roman"/>
          <w:b/>
          <w:bCs/>
          <w:sz w:val="24"/>
          <w:szCs w:val="24"/>
        </w:rPr>
        <w:t xml:space="preserve">Latvijā GMI </w:t>
      </w:r>
      <w:r w:rsidR="00003E01" w:rsidRPr="0063727B">
        <w:rPr>
          <w:rFonts w:ascii="Times New Roman" w:hAnsi="Times New Roman" w:cs="Times New Roman"/>
          <w:b/>
          <w:bCs/>
          <w:sz w:val="24"/>
          <w:szCs w:val="24"/>
        </w:rPr>
        <w:t>programma</w:t>
      </w:r>
      <w:r w:rsidRPr="0063727B">
        <w:rPr>
          <w:rFonts w:ascii="Times New Roman" w:hAnsi="Times New Roman" w:cs="Times New Roman"/>
          <w:b/>
          <w:bCs/>
          <w:sz w:val="24"/>
          <w:szCs w:val="24"/>
        </w:rPr>
        <w:t xml:space="preserve"> kopumā atbilst ES valstīs pastāvošajiem modeļiem</w:t>
      </w:r>
      <w:r w:rsidRPr="0063727B">
        <w:rPr>
          <w:rFonts w:ascii="Times New Roman" w:hAnsi="Times New Roman" w:cs="Times New Roman"/>
          <w:sz w:val="24"/>
          <w:szCs w:val="24"/>
        </w:rPr>
        <w:t xml:space="preserve">, tomēr daži no tā elementiem atšķiras no ES dominējošajiem modeļiem. ES dalībvalstīs GMI programma tiek </w:t>
      </w:r>
      <w:r w:rsidR="00003E01" w:rsidRPr="0063727B">
        <w:rPr>
          <w:rFonts w:ascii="Times New Roman" w:hAnsi="Times New Roman" w:cs="Times New Roman"/>
          <w:sz w:val="24"/>
          <w:szCs w:val="24"/>
        </w:rPr>
        <w:t>noteikta</w:t>
      </w:r>
      <w:r w:rsidR="00A95D41" w:rsidRPr="0063727B">
        <w:rPr>
          <w:rFonts w:ascii="Times New Roman" w:hAnsi="Times New Roman" w:cs="Times New Roman"/>
          <w:sz w:val="24"/>
          <w:szCs w:val="24"/>
        </w:rPr>
        <w:t xml:space="preserve"> centralizēti</w:t>
      </w:r>
      <w:r w:rsidR="00003E01" w:rsidRPr="0063727B">
        <w:rPr>
          <w:rFonts w:ascii="Times New Roman" w:hAnsi="Times New Roman" w:cs="Times New Roman"/>
          <w:sz w:val="24"/>
          <w:szCs w:val="24"/>
        </w:rPr>
        <w:t xml:space="preserve"> </w:t>
      </w:r>
      <w:r w:rsidR="00A95D41" w:rsidRPr="0063727B">
        <w:rPr>
          <w:rFonts w:ascii="Times New Roman" w:hAnsi="Times New Roman" w:cs="Times New Roman"/>
          <w:sz w:val="24"/>
          <w:szCs w:val="24"/>
        </w:rPr>
        <w:t xml:space="preserve">– </w:t>
      </w:r>
      <w:r w:rsidR="00C22E4C" w:rsidRPr="0063727B">
        <w:rPr>
          <w:rFonts w:ascii="Times New Roman" w:hAnsi="Times New Roman" w:cs="Times New Roman"/>
          <w:sz w:val="24"/>
          <w:szCs w:val="24"/>
        </w:rPr>
        <w:t xml:space="preserve">tāpat </w:t>
      </w:r>
      <w:r w:rsidR="00FC5EEF" w:rsidRPr="0063727B">
        <w:rPr>
          <w:rFonts w:ascii="Times New Roman" w:hAnsi="Times New Roman" w:cs="Times New Roman"/>
          <w:sz w:val="24"/>
          <w:szCs w:val="24"/>
        </w:rPr>
        <w:t xml:space="preserve">arī </w:t>
      </w:r>
      <w:r w:rsidR="00A95D41" w:rsidRPr="0063727B">
        <w:rPr>
          <w:rFonts w:ascii="Times New Roman" w:hAnsi="Times New Roman" w:cs="Times New Roman"/>
          <w:sz w:val="24"/>
          <w:szCs w:val="24"/>
        </w:rPr>
        <w:t xml:space="preserve">Latvijā </w:t>
      </w:r>
      <w:r w:rsidR="00B77658" w:rsidRPr="0063727B">
        <w:rPr>
          <w:rFonts w:ascii="Times New Roman" w:hAnsi="Times New Roman" w:cs="Times New Roman"/>
          <w:sz w:val="24"/>
          <w:szCs w:val="24"/>
        </w:rPr>
        <w:t xml:space="preserve">tā tiek noteikta </w:t>
      </w:r>
      <w:r w:rsidR="00003E01" w:rsidRPr="0063727B">
        <w:rPr>
          <w:rFonts w:ascii="Times New Roman" w:hAnsi="Times New Roman" w:cs="Times New Roman"/>
          <w:sz w:val="24"/>
          <w:szCs w:val="24"/>
        </w:rPr>
        <w:t>Ministru kabineta noteikumos</w:t>
      </w:r>
      <w:r w:rsidRPr="0063727B">
        <w:rPr>
          <w:rStyle w:val="FootnoteReference"/>
          <w:rFonts w:ascii="Times New Roman" w:hAnsi="Times New Roman" w:cs="Times New Roman"/>
          <w:sz w:val="24"/>
          <w:szCs w:val="24"/>
        </w:rPr>
        <w:footnoteReference w:id="75"/>
      </w:r>
      <w:r w:rsidR="00003E01" w:rsidRPr="0063727B">
        <w:rPr>
          <w:rFonts w:ascii="Times New Roman" w:hAnsi="Times New Roman" w:cs="Times New Roman"/>
          <w:sz w:val="24"/>
          <w:szCs w:val="24"/>
        </w:rPr>
        <w:t>, bet tā ieviešanu realizē</w:t>
      </w:r>
      <w:r w:rsidRPr="0063727B">
        <w:rPr>
          <w:rFonts w:ascii="Times New Roman" w:hAnsi="Times New Roman" w:cs="Times New Roman"/>
          <w:sz w:val="24"/>
          <w:szCs w:val="24"/>
        </w:rPr>
        <w:t xml:space="preserve"> </w:t>
      </w:r>
      <w:r w:rsidR="00003E01" w:rsidRPr="0063727B">
        <w:rPr>
          <w:rFonts w:ascii="Times New Roman" w:hAnsi="Times New Roman" w:cs="Times New Roman"/>
          <w:sz w:val="24"/>
          <w:szCs w:val="24"/>
        </w:rPr>
        <w:t>vietējās pašvaldība</w:t>
      </w:r>
      <w:r w:rsidRPr="0063727B">
        <w:rPr>
          <w:rFonts w:ascii="Times New Roman" w:hAnsi="Times New Roman" w:cs="Times New Roman"/>
          <w:sz w:val="24"/>
          <w:szCs w:val="24"/>
        </w:rPr>
        <w:t xml:space="preserve">s. Tiesības saņemt GMI pabalstu tiek piešķirtas, pamatojoties uz iztikas līdzekļu deklarēšanu. Mājsaimniecības neto ienākumi, ja tādi ir, tiek atskaitīti no pabalsta maksimālā apmēra, kuru šai mājsaimniecībai būtu tiesības saņemt, pamatojoties uz mājsaimniecības lielumu. Tajā pašā laikā PB norāda uz vairākām Latvijas GMI programmas iezīmēm, kuras atšķiras no citu valstu pieejas. PB veiktajā izvērtējumā atzīts, ka </w:t>
      </w:r>
      <w:r w:rsidRPr="0063727B">
        <w:rPr>
          <w:rFonts w:ascii="Times New Roman" w:hAnsi="Times New Roman" w:cs="Times New Roman"/>
          <w:b/>
          <w:bCs/>
          <w:sz w:val="24"/>
          <w:szCs w:val="24"/>
        </w:rPr>
        <w:t>GMI programma ir</w:t>
      </w:r>
      <w:r w:rsidRPr="0063727B">
        <w:rPr>
          <w:rFonts w:ascii="Times New Roman" w:hAnsi="Times New Roman" w:cs="Times New Roman"/>
          <w:sz w:val="24"/>
          <w:szCs w:val="24"/>
        </w:rPr>
        <w:t xml:space="preserve"> </w:t>
      </w:r>
      <w:r w:rsidRPr="0063727B">
        <w:rPr>
          <w:rFonts w:ascii="Times New Roman" w:hAnsi="Times New Roman" w:cs="Times New Roman"/>
          <w:b/>
          <w:bCs/>
          <w:sz w:val="24"/>
          <w:szCs w:val="24"/>
        </w:rPr>
        <w:t>ļoti labi mērķēta</w:t>
      </w:r>
      <w:r w:rsidRPr="0063727B">
        <w:rPr>
          <w:rFonts w:ascii="Times New Roman" w:hAnsi="Times New Roman" w:cs="Times New Roman"/>
          <w:sz w:val="24"/>
          <w:szCs w:val="24"/>
        </w:rPr>
        <w:t xml:space="preserve"> pašiem trūcīgākajiem iedzīvotājiem. GMI pabalstu saņēma 91,3% 1.kvintilē un 7,1% 2.kvintilē. Salīdzinoši ar universālajiem (valsts sociālajiem) pabalstiem, GMI pabalsts ir </w:t>
      </w:r>
      <w:r w:rsidR="00003E01" w:rsidRPr="0063727B">
        <w:rPr>
          <w:rFonts w:ascii="Times New Roman" w:hAnsi="Times New Roman" w:cs="Times New Roman"/>
          <w:sz w:val="24"/>
          <w:szCs w:val="24"/>
        </w:rPr>
        <w:t>ievērojami</w:t>
      </w:r>
      <w:r w:rsidRPr="0063727B">
        <w:rPr>
          <w:rFonts w:ascii="Times New Roman" w:hAnsi="Times New Roman" w:cs="Times New Roman"/>
          <w:sz w:val="24"/>
          <w:szCs w:val="24"/>
        </w:rPr>
        <w:t xml:space="preserve"> efektīvāks instruments atbalsta sniegšanai trūcīgākajiem iedzīvotājiem</w:t>
      </w:r>
      <w:r w:rsidR="00003E01" w:rsidRPr="0063727B">
        <w:rPr>
          <w:rFonts w:ascii="Times New Roman" w:hAnsi="Times New Roman" w:cs="Times New Roman"/>
          <w:sz w:val="24"/>
          <w:szCs w:val="24"/>
        </w:rPr>
        <w:t>, t</w:t>
      </w:r>
      <w:r w:rsidRPr="0063727B">
        <w:rPr>
          <w:rFonts w:ascii="Times New Roman" w:hAnsi="Times New Roman" w:cs="Times New Roman"/>
          <w:sz w:val="24"/>
          <w:szCs w:val="24"/>
        </w:rPr>
        <w:t>ādējādi var secināt, ka pabalsta mērķis un piešķiršanas principi ir atbilstoši</w:t>
      </w:r>
      <w:r w:rsidRPr="0063727B">
        <w:rPr>
          <w:vertAlign w:val="superscript"/>
        </w:rPr>
        <w:footnoteReference w:id="76"/>
      </w:r>
      <w:r w:rsidRPr="0063727B">
        <w:rPr>
          <w:rFonts w:ascii="Times New Roman" w:hAnsi="Times New Roman" w:cs="Times New Roman"/>
          <w:sz w:val="24"/>
          <w:szCs w:val="24"/>
        </w:rPr>
        <w:t>. Vienlaikus kā trūkums tiek norādīts zemais GMI pabalsta saņēmēju īpatsvars no iedzīvotājiem</w:t>
      </w:r>
      <w:r w:rsidR="00003E01" w:rsidRPr="0063727B">
        <w:rPr>
          <w:rFonts w:ascii="Times New Roman" w:hAnsi="Times New Roman" w:cs="Times New Roman"/>
          <w:sz w:val="24"/>
          <w:szCs w:val="24"/>
        </w:rPr>
        <w:t xml:space="preserve">, tai skaitā trūcīgajām personām – GMI pabalstu 2012.gadā saņēma </w:t>
      </w:r>
      <w:r w:rsidRPr="0063727B">
        <w:rPr>
          <w:rFonts w:ascii="Times New Roman" w:hAnsi="Times New Roman" w:cs="Times New Roman"/>
          <w:sz w:val="24"/>
          <w:szCs w:val="24"/>
        </w:rPr>
        <w:t xml:space="preserve">4,6 % </w:t>
      </w:r>
      <w:r w:rsidR="00003E01" w:rsidRPr="0063727B">
        <w:rPr>
          <w:rFonts w:ascii="Times New Roman" w:hAnsi="Times New Roman" w:cs="Times New Roman"/>
          <w:sz w:val="24"/>
          <w:szCs w:val="24"/>
        </w:rPr>
        <w:t xml:space="preserve">no iedzīvotāju skaita un </w:t>
      </w:r>
      <w:r w:rsidR="00ED37E3" w:rsidRPr="0063727B">
        <w:rPr>
          <w:rFonts w:ascii="Times New Roman" w:hAnsi="Times New Roman" w:cs="Times New Roman"/>
          <w:sz w:val="24"/>
          <w:szCs w:val="24"/>
        </w:rPr>
        <w:t>53</w:t>
      </w:r>
      <w:r w:rsidR="0057518B" w:rsidRPr="0063727B">
        <w:rPr>
          <w:rFonts w:ascii="Times New Roman" w:hAnsi="Times New Roman" w:cs="Times New Roman"/>
          <w:sz w:val="24"/>
          <w:szCs w:val="24"/>
        </w:rPr>
        <w:t>,</w:t>
      </w:r>
      <w:r w:rsidR="00ED37E3" w:rsidRPr="0063727B">
        <w:rPr>
          <w:rFonts w:ascii="Times New Roman" w:hAnsi="Times New Roman" w:cs="Times New Roman"/>
          <w:sz w:val="24"/>
          <w:szCs w:val="24"/>
        </w:rPr>
        <w:t>7</w:t>
      </w:r>
      <w:r w:rsidR="00003E01" w:rsidRPr="0063727B">
        <w:rPr>
          <w:rFonts w:ascii="Times New Roman" w:hAnsi="Times New Roman" w:cs="Times New Roman"/>
          <w:sz w:val="24"/>
          <w:szCs w:val="24"/>
        </w:rPr>
        <w:t>% no trūcīgajām personām, k</w:t>
      </w:r>
      <w:r w:rsidRPr="0063727B">
        <w:rPr>
          <w:rFonts w:ascii="Times New Roman" w:hAnsi="Times New Roman" w:cs="Times New Roman"/>
          <w:sz w:val="24"/>
          <w:szCs w:val="24"/>
        </w:rPr>
        <w:t xml:space="preserve">as liecina par GMI pabalsta </w:t>
      </w:r>
      <w:r w:rsidRPr="0063727B">
        <w:rPr>
          <w:rFonts w:ascii="Times New Roman" w:hAnsi="Times New Roman" w:cs="Times New Roman"/>
          <w:b/>
          <w:bCs/>
          <w:sz w:val="24"/>
          <w:szCs w:val="24"/>
        </w:rPr>
        <w:t>pārklājuma problēmām</w:t>
      </w:r>
      <w:r w:rsidRPr="0063727B">
        <w:rPr>
          <w:rFonts w:ascii="Times New Roman" w:hAnsi="Times New Roman" w:cs="Times New Roman"/>
          <w:sz w:val="24"/>
          <w:szCs w:val="24"/>
        </w:rPr>
        <w:t>. Savukārt nabadzības riskam vidēji 2011.gadā bija pakļauti 19,4% no iedzīvotājiem.</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Lielākajā daļā ES dalībvalstu šādas </w:t>
      </w:r>
      <w:r w:rsidRPr="0063727B">
        <w:rPr>
          <w:rFonts w:ascii="Times New Roman" w:hAnsi="Times New Roman" w:cs="Times New Roman"/>
          <w:b/>
          <w:bCs/>
          <w:sz w:val="24"/>
          <w:szCs w:val="24"/>
        </w:rPr>
        <w:t>programmas tiek</w:t>
      </w:r>
      <w:r w:rsidRPr="0063727B">
        <w:rPr>
          <w:rFonts w:ascii="Times New Roman" w:hAnsi="Times New Roman" w:cs="Times New Roman"/>
          <w:sz w:val="24"/>
          <w:szCs w:val="24"/>
        </w:rPr>
        <w:t xml:space="preserve"> </w:t>
      </w:r>
      <w:r w:rsidRPr="0063727B">
        <w:rPr>
          <w:rFonts w:ascii="Times New Roman" w:hAnsi="Times New Roman" w:cs="Times New Roman"/>
          <w:b/>
          <w:bCs/>
          <w:sz w:val="24"/>
          <w:szCs w:val="24"/>
        </w:rPr>
        <w:t xml:space="preserve">finansētas </w:t>
      </w:r>
      <w:r w:rsidRPr="0063727B">
        <w:rPr>
          <w:rFonts w:ascii="Times New Roman" w:hAnsi="Times New Roman" w:cs="Times New Roman"/>
          <w:sz w:val="24"/>
          <w:szCs w:val="24"/>
        </w:rPr>
        <w:t xml:space="preserve">no valsts jeb centrālā budžeta vai arī tiek kopīgi finansēts no valsts un vietējiem vai reģionālajiem </w:t>
      </w:r>
      <w:r w:rsidRPr="0063727B">
        <w:rPr>
          <w:rFonts w:ascii="Times New Roman" w:hAnsi="Times New Roman" w:cs="Times New Roman"/>
          <w:sz w:val="24"/>
          <w:szCs w:val="24"/>
        </w:rPr>
        <w:lastRenderedPageBreak/>
        <w:t>budžetiem (sk</w:t>
      </w:r>
      <w:r w:rsidR="00003E01" w:rsidRPr="0063727B">
        <w:rPr>
          <w:rFonts w:ascii="Times New Roman" w:hAnsi="Times New Roman" w:cs="Times New Roman"/>
          <w:sz w:val="24"/>
          <w:szCs w:val="24"/>
        </w:rPr>
        <w:t>at</w:t>
      </w:r>
      <w:r w:rsidRPr="0063727B">
        <w:rPr>
          <w:rFonts w:ascii="Times New Roman" w:hAnsi="Times New Roman" w:cs="Times New Roman"/>
          <w:sz w:val="24"/>
          <w:szCs w:val="24"/>
        </w:rPr>
        <w:t>.</w:t>
      </w:r>
      <w:r w:rsidR="00003E01" w:rsidRPr="0063727B">
        <w:rPr>
          <w:rFonts w:ascii="Times New Roman" w:hAnsi="Times New Roman" w:cs="Times New Roman"/>
          <w:sz w:val="24"/>
          <w:szCs w:val="24"/>
        </w:rPr>
        <w:t xml:space="preserve"> </w:t>
      </w:r>
      <w:r w:rsidR="00C85AC5" w:rsidRPr="0063727B">
        <w:rPr>
          <w:rFonts w:ascii="Times New Roman" w:hAnsi="Times New Roman" w:cs="Times New Roman"/>
          <w:sz w:val="24"/>
          <w:szCs w:val="24"/>
        </w:rPr>
        <w:t>9</w:t>
      </w:r>
      <w:r w:rsidRPr="0063727B">
        <w:rPr>
          <w:rFonts w:ascii="Times New Roman" w:hAnsi="Times New Roman" w:cs="Times New Roman"/>
          <w:sz w:val="24"/>
          <w:szCs w:val="24"/>
        </w:rPr>
        <w:t xml:space="preserve">.tabulu pielikumā). Latvijā sociālās palīdzības pabalsti tiek finansēti no pašvaldību budžeta </w:t>
      </w:r>
      <w:r w:rsidR="001B14B5" w:rsidRPr="0063727B">
        <w:rPr>
          <w:rFonts w:ascii="Times New Roman" w:hAnsi="Times New Roman" w:cs="Times New Roman"/>
          <w:sz w:val="24"/>
          <w:szCs w:val="24"/>
        </w:rPr>
        <w:t>līdzekļiem</w:t>
      </w:r>
      <w:r w:rsidR="00ED37E3" w:rsidRPr="0063727B">
        <w:rPr>
          <w:rFonts w:ascii="Times New Roman" w:hAnsi="Times New Roman" w:cs="Times New Roman"/>
          <w:sz w:val="24"/>
          <w:szCs w:val="24"/>
        </w:rPr>
        <w:t>,</w:t>
      </w:r>
      <w:r w:rsidR="001B14B5" w:rsidRPr="0063727B">
        <w:rPr>
          <w:rFonts w:ascii="Times New Roman" w:hAnsi="Times New Roman" w:cs="Times New Roman"/>
          <w:sz w:val="24"/>
          <w:szCs w:val="24"/>
        </w:rPr>
        <w:t xml:space="preserve"> tāpēc</w:t>
      </w:r>
      <w:r w:rsidRPr="0063727B">
        <w:rPr>
          <w:rFonts w:ascii="Times New Roman" w:hAnsi="Times New Roman" w:cs="Times New Roman"/>
          <w:sz w:val="24"/>
          <w:szCs w:val="24"/>
        </w:rPr>
        <w:t xml:space="preserve"> </w:t>
      </w:r>
      <w:r w:rsidR="001B14B5" w:rsidRPr="0063727B">
        <w:rPr>
          <w:rFonts w:ascii="Times New Roman" w:hAnsi="Times New Roman" w:cs="Times New Roman"/>
          <w:sz w:val="24"/>
          <w:szCs w:val="24"/>
        </w:rPr>
        <w:t>n</w:t>
      </w:r>
      <w:r w:rsidRPr="0063727B">
        <w:rPr>
          <w:rFonts w:ascii="Times New Roman" w:hAnsi="Times New Roman" w:cs="Times New Roman"/>
          <w:sz w:val="24"/>
          <w:szCs w:val="24"/>
        </w:rPr>
        <w:t>av korekti salīdzināt dažādu valstu sociālās palīdzības finansēšanas shēmas, ja papildus netiek analizēts arī nodokļu pārdales režīms starp valsts un pašvaldību budžetiem</w:t>
      </w:r>
      <w:r w:rsidR="002C1B40" w:rsidRPr="0063727B">
        <w:rPr>
          <w:rFonts w:ascii="Times New Roman" w:hAnsi="Times New Roman" w:cs="Times New Roman"/>
          <w:sz w:val="24"/>
          <w:szCs w:val="24"/>
        </w:rPr>
        <w:t xml:space="preserve">. </w:t>
      </w:r>
      <w:r w:rsidR="00C76FD3" w:rsidRPr="0063727B">
        <w:rPr>
          <w:rFonts w:ascii="Times New Roman" w:hAnsi="Times New Roman" w:cs="Times New Roman"/>
          <w:sz w:val="24"/>
          <w:szCs w:val="24"/>
        </w:rPr>
        <w:t>P</w:t>
      </w:r>
      <w:r w:rsidR="003D12DB" w:rsidRPr="0063727B">
        <w:rPr>
          <w:rFonts w:ascii="Times New Roman" w:hAnsi="Times New Roman" w:cs="Times New Roman"/>
          <w:sz w:val="24"/>
          <w:szCs w:val="24"/>
        </w:rPr>
        <w:t>ašvaldību fina</w:t>
      </w:r>
      <w:r w:rsidR="00806DD9" w:rsidRPr="0063727B">
        <w:rPr>
          <w:rFonts w:ascii="Times New Roman" w:hAnsi="Times New Roman" w:cs="Times New Roman"/>
          <w:sz w:val="24"/>
          <w:szCs w:val="24"/>
        </w:rPr>
        <w:t>n</w:t>
      </w:r>
      <w:r w:rsidR="003D12DB" w:rsidRPr="0063727B">
        <w:rPr>
          <w:rFonts w:ascii="Times New Roman" w:hAnsi="Times New Roman" w:cs="Times New Roman"/>
          <w:sz w:val="24"/>
          <w:szCs w:val="24"/>
        </w:rPr>
        <w:t xml:space="preserve">šu </w:t>
      </w:r>
      <w:r w:rsidR="004B682B" w:rsidRPr="0063727B">
        <w:rPr>
          <w:rFonts w:ascii="Times New Roman" w:hAnsi="Times New Roman" w:cs="Times New Roman"/>
          <w:sz w:val="24"/>
          <w:szCs w:val="24"/>
        </w:rPr>
        <w:t>i</w:t>
      </w:r>
      <w:r w:rsidRPr="0063727B">
        <w:rPr>
          <w:rFonts w:ascii="Times New Roman" w:hAnsi="Times New Roman" w:cs="Times New Roman"/>
          <w:sz w:val="24"/>
          <w:szCs w:val="24"/>
        </w:rPr>
        <w:t xml:space="preserve">eņēmumu </w:t>
      </w:r>
      <w:r w:rsidR="008862DE" w:rsidRPr="0063727B">
        <w:rPr>
          <w:rFonts w:ascii="Times New Roman" w:hAnsi="Times New Roman" w:cs="Times New Roman"/>
          <w:sz w:val="24"/>
          <w:szCs w:val="24"/>
        </w:rPr>
        <w:t xml:space="preserve">apjomam </w:t>
      </w:r>
      <w:r w:rsidRPr="0063727B">
        <w:rPr>
          <w:rFonts w:ascii="Times New Roman" w:hAnsi="Times New Roman" w:cs="Times New Roman"/>
          <w:sz w:val="24"/>
          <w:szCs w:val="24"/>
        </w:rPr>
        <w:t xml:space="preserve">ir </w:t>
      </w:r>
      <w:r w:rsidR="00915200" w:rsidRPr="0063727B">
        <w:rPr>
          <w:rFonts w:ascii="Times New Roman" w:hAnsi="Times New Roman" w:cs="Times New Roman"/>
          <w:sz w:val="24"/>
          <w:szCs w:val="24"/>
        </w:rPr>
        <w:t xml:space="preserve">noteicošā loma </w:t>
      </w:r>
      <w:r w:rsidR="00806DD9" w:rsidRPr="0063727B">
        <w:rPr>
          <w:rFonts w:ascii="Times New Roman" w:hAnsi="Times New Roman" w:cs="Times New Roman"/>
          <w:sz w:val="24"/>
          <w:szCs w:val="24"/>
        </w:rPr>
        <w:t xml:space="preserve">pašvaldību </w:t>
      </w:r>
      <w:r w:rsidRPr="0063727B">
        <w:rPr>
          <w:rFonts w:ascii="Times New Roman" w:hAnsi="Times New Roman" w:cs="Times New Roman"/>
          <w:sz w:val="24"/>
          <w:szCs w:val="24"/>
        </w:rPr>
        <w:t>funkciju</w:t>
      </w:r>
      <w:r w:rsidR="00806DD9" w:rsidRPr="0063727B">
        <w:rPr>
          <w:rFonts w:ascii="Times New Roman" w:hAnsi="Times New Roman" w:cs="Times New Roman"/>
          <w:sz w:val="24"/>
          <w:szCs w:val="24"/>
        </w:rPr>
        <w:t xml:space="preserve"> nodrošināšanā</w:t>
      </w:r>
      <w:r w:rsidR="00915200" w:rsidRPr="0063727B">
        <w:rPr>
          <w:rFonts w:ascii="Times New Roman" w:hAnsi="Times New Roman" w:cs="Times New Roman"/>
          <w:sz w:val="24"/>
          <w:szCs w:val="24"/>
        </w:rPr>
        <w:t>, taču būtiska loma ir arī pašvaldības noteiktajām prioritātēm.</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Latvijā no 2009.</w:t>
      </w:r>
      <w:r w:rsidR="001B14B5" w:rsidRPr="0063727B">
        <w:rPr>
          <w:rFonts w:ascii="Times New Roman" w:hAnsi="Times New Roman" w:cs="Times New Roman"/>
          <w:sz w:val="24"/>
          <w:szCs w:val="24"/>
        </w:rPr>
        <w:t xml:space="preserve"> </w:t>
      </w:r>
      <w:r w:rsidRPr="0063727B">
        <w:rPr>
          <w:rFonts w:ascii="Times New Roman" w:hAnsi="Times New Roman" w:cs="Times New Roman"/>
          <w:sz w:val="24"/>
          <w:szCs w:val="24"/>
        </w:rPr>
        <w:t>līdz 2012.gadam tika nodrošināts valsts līdzfinansējums visām pašvaldībām sociālās palīdzības sniegšanai, taču jāatzīst, ka galvenās ieguvējas šajā situācijā bija tieši turīgās pašvaldības, kuras sociālo palīdzību bija spējīgas finansēt arī bez valsts atbalsta. Tā rezultātā pašvaldības ar lielākiem ienākumiem un papildus valsts atbalstu sociālās palīdzības finansēšanai spēja sniegt dāsnāku atbalstu saviem iedzīvotājiem, savukārt pašvaldības ar zemiem ienākumiem spēja nodrošināt sociālās palīdzības minimālās prasības</w:t>
      </w:r>
      <w:r w:rsidR="00C505C5" w:rsidRPr="0063727B">
        <w:rPr>
          <w:rFonts w:ascii="Times New Roman" w:hAnsi="Times New Roman" w:cs="Times New Roman"/>
          <w:sz w:val="24"/>
          <w:szCs w:val="24"/>
        </w:rPr>
        <w:t xml:space="preserve"> (skat. </w:t>
      </w:r>
      <w:r w:rsidR="00542BD2" w:rsidRPr="0063727B">
        <w:rPr>
          <w:rFonts w:ascii="Times New Roman" w:hAnsi="Times New Roman" w:cs="Times New Roman"/>
          <w:sz w:val="24"/>
          <w:szCs w:val="24"/>
        </w:rPr>
        <w:t>4</w:t>
      </w:r>
      <w:r w:rsidR="00C505C5" w:rsidRPr="0063727B">
        <w:rPr>
          <w:rFonts w:ascii="Times New Roman" w:hAnsi="Times New Roman" w:cs="Times New Roman"/>
          <w:sz w:val="24"/>
          <w:szCs w:val="24"/>
        </w:rPr>
        <w:t>.tabulu)</w:t>
      </w:r>
      <w:r w:rsidR="00916A1B" w:rsidRPr="0063727B">
        <w:rPr>
          <w:rFonts w:ascii="Times New Roman" w:hAnsi="Times New Roman" w:cs="Times New Roman"/>
          <w:sz w:val="24"/>
          <w:szCs w:val="24"/>
        </w:rPr>
        <w:t>.</w:t>
      </w:r>
      <w:r w:rsidR="00C120B9" w:rsidRPr="0063727B">
        <w:rPr>
          <w:rFonts w:ascii="Times New Roman" w:hAnsi="Times New Roman" w:cs="Times New Roman"/>
          <w:sz w:val="24"/>
          <w:szCs w:val="24"/>
        </w:rPr>
        <w:t xml:space="preserve"> </w:t>
      </w:r>
      <w:r w:rsidR="00916A1B" w:rsidRPr="0063727B">
        <w:rPr>
          <w:rFonts w:ascii="Times New Roman" w:hAnsi="Times New Roman" w:cs="Times New Roman"/>
          <w:sz w:val="24"/>
          <w:szCs w:val="24"/>
        </w:rPr>
        <w:t>P</w:t>
      </w:r>
      <w:r w:rsidR="004F2401" w:rsidRPr="0063727B">
        <w:rPr>
          <w:rFonts w:ascii="Times New Roman" w:hAnsi="Times New Roman" w:cs="Times New Roman"/>
          <w:sz w:val="24"/>
          <w:szCs w:val="24"/>
        </w:rPr>
        <w:t>iemēram, 53% no 34 pašvaldībām ar augstāko teritorijas attīstības indeksu</w:t>
      </w:r>
      <w:r w:rsidR="00AE4E55" w:rsidRPr="0063727B">
        <w:rPr>
          <w:rFonts w:ascii="Times New Roman" w:hAnsi="Times New Roman" w:cs="Times New Roman"/>
          <w:sz w:val="24"/>
          <w:szCs w:val="24"/>
        </w:rPr>
        <w:t xml:space="preserve"> GMI pabalstam 2011.gadā </w:t>
      </w:r>
      <w:r w:rsidR="008F77FF" w:rsidRPr="0063727B">
        <w:rPr>
          <w:rFonts w:ascii="Times New Roman" w:hAnsi="Times New Roman" w:cs="Times New Roman"/>
          <w:sz w:val="24"/>
          <w:szCs w:val="24"/>
        </w:rPr>
        <w:t>izlietoja vairāk nekā</w:t>
      </w:r>
      <w:r w:rsidR="00AE4E55" w:rsidRPr="0063727B">
        <w:rPr>
          <w:rFonts w:ascii="Times New Roman" w:hAnsi="Times New Roman" w:cs="Times New Roman"/>
          <w:sz w:val="24"/>
          <w:szCs w:val="24"/>
        </w:rPr>
        <w:t xml:space="preserve"> 40% no sociālajai palīdzībai izlietotajiem līdzek</w:t>
      </w:r>
      <w:r w:rsidR="007130C7" w:rsidRPr="0063727B">
        <w:rPr>
          <w:rFonts w:ascii="Times New Roman" w:hAnsi="Times New Roman" w:cs="Times New Roman"/>
          <w:sz w:val="24"/>
          <w:szCs w:val="24"/>
        </w:rPr>
        <w:t xml:space="preserve">ļiem, savukārt </w:t>
      </w:r>
      <w:r w:rsidR="008F77FF" w:rsidRPr="0063727B">
        <w:rPr>
          <w:rFonts w:ascii="Times New Roman" w:hAnsi="Times New Roman" w:cs="Times New Roman"/>
          <w:sz w:val="24"/>
          <w:szCs w:val="24"/>
        </w:rPr>
        <w:t xml:space="preserve">šāds izdevumu īpatsvars GMI pabalstam bija </w:t>
      </w:r>
      <w:r w:rsidR="007130C7" w:rsidRPr="0063727B">
        <w:rPr>
          <w:rFonts w:ascii="Times New Roman" w:hAnsi="Times New Roman" w:cs="Times New Roman"/>
          <w:sz w:val="24"/>
          <w:szCs w:val="24"/>
        </w:rPr>
        <w:t>93% no 46 pašvaldībām ar zemāko teritorijas attīstības indeksu</w:t>
      </w:r>
      <w:r w:rsidR="008F77FF" w:rsidRPr="0063727B">
        <w:rPr>
          <w:rFonts w:ascii="Times New Roman" w:hAnsi="Times New Roman" w:cs="Times New Roman"/>
          <w:sz w:val="24"/>
          <w:szCs w:val="24"/>
        </w:rPr>
        <w:t>. Turklāt pēdējā</w:t>
      </w:r>
      <w:r w:rsidR="00464F85" w:rsidRPr="0063727B">
        <w:rPr>
          <w:rFonts w:ascii="Times New Roman" w:hAnsi="Times New Roman" w:cs="Times New Roman"/>
          <w:sz w:val="24"/>
          <w:szCs w:val="24"/>
        </w:rPr>
        <w:t xml:space="preserve"> -</w:t>
      </w:r>
      <w:r w:rsidR="00670FAA" w:rsidRPr="0063727B">
        <w:rPr>
          <w:rFonts w:ascii="Times New Roman" w:hAnsi="Times New Roman" w:cs="Times New Roman"/>
          <w:sz w:val="24"/>
          <w:szCs w:val="24"/>
        </w:rPr>
        <w:t xml:space="preserve"> </w:t>
      </w:r>
      <w:r w:rsidR="008F77FF" w:rsidRPr="0063727B">
        <w:rPr>
          <w:rFonts w:ascii="Times New Roman" w:hAnsi="Times New Roman" w:cs="Times New Roman"/>
          <w:sz w:val="24"/>
          <w:szCs w:val="24"/>
        </w:rPr>
        <w:t xml:space="preserve">nabadzīgākajā </w:t>
      </w:r>
      <w:r w:rsidR="00670FAA" w:rsidRPr="0063727B">
        <w:rPr>
          <w:rFonts w:ascii="Times New Roman" w:hAnsi="Times New Roman" w:cs="Times New Roman"/>
          <w:sz w:val="24"/>
          <w:szCs w:val="24"/>
        </w:rPr>
        <w:t xml:space="preserve">pašvaldību </w:t>
      </w:r>
      <w:r w:rsidR="008F77FF" w:rsidRPr="0063727B">
        <w:rPr>
          <w:rFonts w:ascii="Times New Roman" w:hAnsi="Times New Roman" w:cs="Times New Roman"/>
          <w:sz w:val="24"/>
          <w:szCs w:val="24"/>
        </w:rPr>
        <w:t xml:space="preserve">grupā izdevumu īpatsvara GMI pabalstam amplitūda ir līdz </w:t>
      </w:r>
      <w:r w:rsidR="003B04F3" w:rsidRPr="0063727B">
        <w:rPr>
          <w:rFonts w:ascii="Times New Roman" w:hAnsi="Times New Roman" w:cs="Times New Roman"/>
          <w:sz w:val="24"/>
          <w:szCs w:val="24"/>
        </w:rPr>
        <w:t>97% no kopējiem izdevumiem sociālajai palīdzībai</w:t>
      </w:r>
      <w:r w:rsidR="008F77FF" w:rsidRPr="0063727B">
        <w:rPr>
          <w:rFonts w:ascii="Times New Roman" w:hAnsi="Times New Roman" w:cs="Times New Roman"/>
          <w:sz w:val="24"/>
          <w:szCs w:val="24"/>
        </w:rPr>
        <w:t xml:space="preserve"> </w:t>
      </w:r>
      <w:r w:rsidR="003B04F3" w:rsidRPr="0063727B">
        <w:rPr>
          <w:rFonts w:ascii="Times New Roman" w:hAnsi="Times New Roman" w:cs="Times New Roman"/>
          <w:sz w:val="24"/>
          <w:szCs w:val="24"/>
        </w:rPr>
        <w:t>(Riebiņu novad</w:t>
      </w:r>
      <w:r w:rsidR="00464F85" w:rsidRPr="0063727B">
        <w:rPr>
          <w:rFonts w:ascii="Times New Roman" w:hAnsi="Times New Roman" w:cs="Times New Roman"/>
          <w:sz w:val="24"/>
          <w:szCs w:val="24"/>
        </w:rPr>
        <w:t>ā</w:t>
      </w:r>
      <w:r w:rsidR="003B04F3" w:rsidRPr="0063727B">
        <w:rPr>
          <w:rFonts w:ascii="Times New Roman" w:hAnsi="Times New Roman" w:cs="Times New Roman"/>
          <w:sz w:val="24"/>
          <w:szCs w:val="24"/>
        </w:rPr>
        <w:t xml:space="preserve"> - 97,3%; Aglonas novad</w:t>
      </w:r>
      <w:r w:rsidR="00464F85" w:rsidRPr="0063727B">
        <w:rPr>
          <w:rFonts w:ascii="Times New Roman" w:hAnsi="Times New Roman" w:cs="Times New Roman"/>
          <w:sz w:val="24"/>
          <w:szCs w:val="24"/>
        </w:rPr>
        <w:t>ā</w:t>
      </w:r>
      <w:r w:rsidR="003B04F3" w:rsidRPr="0063727B">
        <w:rPr>
          <w:rFonts w:ascii="Times New Roman" w:hAnsi="Times New Roman" w:cs="Times New Roman"/>
          <w:sz w:val="24"/>
          <w:szCs w:val="24"/>
        </w:rPr>
        <w:t xml:space="preserve"> - 96,8%, </w:t>
      </w:r>
      <w:r w:rsidR="00670FAA" w:rsidRPr="0063727B">
        <w:rPr>
          <w:rFonts w:ascii="Times New Roman" w:hAnsi="Times New Roman" w:cs="Times New Roman"/>
          <w:sz w:val="24"/>
          <w:szCs w:val="24"/>
        </w:rPr>
        <w:t>Rēzeknes novad</w:t>
      </w:r>
      <w:r w:rsidR="00464F85" w:rsidRPr="0063727B">
        <w:rPr>
          <w:rFonts w:ascii="Times New Roman" w:hAnsi="Times New Roman" w:cs="Times New Roman"/>
          <w:sz w:val="24"/>
          <w:szCs w:val="24"/>
        </w:rPr>
        <w:t>ā</w:t>
      </w:r>
      <w:r w:rsidR="00670FAA" w:rsidRPr="0063727B">
        <w:rPr>
          <w:rFonts w:ascii="Times New Roman" w:hAnsi="Times New Roman" w:cs="Times New Roman"/>
          <w:sz w:val="24"/>
          <w:szCs w:val="24"/>
        </w:rPr>
        <w:t xml:space="preserve"> – 93,3%; Vaiņodes novad</w:t>
      </w:r>
      <w:r w:rsidR="00464F85" w:rsidRPr="0063727B">
        <w:rPr>
          <w:rFonts w:ascii="Times New Roman" w:hAnsi="Times New Roman" w:cs="Times New Roman"/>
          <w:sz w:val="24"/>
          <w:szCs w:val="24"/>
        </w:rPr>
        <w:t>ā</w:t>
      </w:r>
      <w:r w:rsidR="00670FAA" w:rsidRPr="0063727B">
        <w:rPr>
          <w:rFonts w:ascii="Times New Roman" w:hAnsi="Times New Roman" w:cs="Times New Roman"/>
          <w:sz w:val="24"/>
          <w:szCs w:val="24"/>
        </w:rPr>
        <w:t xml:space="preserve"> – 91,15%). </w:t>
      </w:r>
      <w:r w:rsidRPr="0063727B">
        <w:rPr>
          <w:rFonts w:ascii="Times New Roman" w:hAnsi="Times New Roman" w:cs="Times New Roman"/>
          <w:sz w:val="24"/>
          <w:szCs w:val="24"/>
        </w:rPr>
        <w:t>Tas radīja nesamērīgu sociālās palīdzības sadalījumu starp pašvaldībām, un līdz ar to reģionāli nevienlīdzīgu attieksmi pret iedzīvotājiem.</w:t>
      </w:r>
      <w:r w:rsidR="00B64516" w:rsidRPr="0063727B">
        <w:rPr>
          <w:rFonts w:ascii="Times New Roman" w:hAnsi="Times New Roman" w:cs="Times New Roman"/>
          <w:sz w:val="24"/>
          <w:szCs w:val="24"/>
        </w:rPr>
        <w:t xml:space="preserve"> Kā redzams </w:t>
      </w:r>
      <w:r w:rsidR="00542BD2" w:rsidRPr="0063727B">
        <w:rPr>
          <w:rFonts w:ascii="Times New Roman" w:hAnsi="Times New Roman" w:cs="Times New Roman"/>
          <w:sz w:val="24"/>
          <w:szCs w:val="24"/>
        </w:rPr>
        <w:t>4</w:t>
      </w:r>
      <w:r w:rsidR="00B64516" w:rsidRPr="0063727B">
        <w:rPr>
          <w:rFonts w:ascii="Times New Roman" w:hAnsi="Times New Roman" w:cs="Times New Roman"/>
          <w:sz w:val="24"/>
          <w:szCs w:val="24"/>
        </w:rPr>
        <w:t xml:space="preserve">.tabulā, 34 pašvaldību grupā ar augstāko teritorijas attīstības indeksu 24% </w:t>
      </w:r>
      <w:r w:rsidR="00BC16D7" w:rsidRPr="0063727B">
        <w:rPr>
          <w:rFonts w:ascii="Times New Roman" w:hAnsi="Times New Roman" w:cs="Times New Roman"/>
          <w:sz w:val="24"/>
          <w:szCs w:val="24"/>
        </w:rPr>
        <w:t xml:space="preserve">no šīm </w:t>
      </w:r>
      <w:r w:rsidR="00B64516" w:rsidRPr="0063727B">
        <w:rPr>
          <w:rFonts w:ascii="Times New Roman" w:hAnsi="Times New Roman" w:cs="Times New Roman"/>
          <w:sz w:val="24"/>
          <w:szCs w:val="24"/>
        </w:rPr>
        <w:t>pašvaldīb</w:t>
      </w:r>
      <w:r w:rsidR="00BC16D7" w:rsidRPr="0063727B">
        <w:rPr>
          <w:rFonts w:ascii="Times New Roman" w:hAnsi="Times New Roman" w:cs="Times New Roman"/>
          <w:sz w:val="24"/>
          <w:szCs w:val="24"/>
        </w:rPr>
        <w:t>ām</w:t>
      </w:r>
      <w:r w:rsidR="00B64516" w:rsidRPr="0063727B">
        <w:rPr>
          <w:rFonts w:ascii="Times New Roman" w:hAnsi="Times New Roman" w:cs="Times New Roman"/>
          <w:sz w:val="24"/>
          <w:szCs w:val="24"/>
        </w:rPr>
        <w:t xml:space="preserve"> </w:t>
      </w:r>
      <w:r w:rsidR="00BC16D7" w:rsidRPr="0063727B">
        <w:rPr>
          <w:rFonts w:ascii="Times New Roman" w:hAnsi="Times New Roman" w:cs="Times New Roman"/>
          <w:sz w:val="24"/>
          <w:szCs w:val="24"/>
        </w:rPr>
        <w:t xml:space="preserve">40 līdz 70% no </w:t>
      </w:r>
      <w:r w:rsidR="000A165B" w:rsidRPr="0063727B">
        <w:rPr>
          <w:rFonts w:ascii="Times New Roman" w:hAnsi="Times New Roman" w:cs="Times New Roman"/>
          <w:sz w:val="24"/>
          <w:szCs w:val="24"/>
        </w:rPr>
        <w:t xml:space="preserve">kopējiem </w:t>
      </w:r>
      <w:r w:rsidR="00BC16D7" w:rsidRPr="0063727B">
        <w:rPr>
          <w:rFonts w:ascii="Times New Roman" w:hAnsi="Times New Roman" w:cs="Times New Roman"/>
          <w:sz w:val="24"/>
          <w:szCs w:val="24"/>
        </w:rPr>
        <w:t xml:space="preserve">izdevumiem sociālajai palīdzībai </w:t>
      </w:r>
      <w:r w:rsidR="000A165B" w:rsidRPr="0063727B">
        <w:rPr>
          <w:rFonts w:ascii="Times New Roman" w:hAnsi="Times New Roman" w:cs="Times New Roman"/>
          <w:sz w:val="24"/>
          <w:szCs w:val="24"/>
        </w:rPr>
        <w:t xml:space="preserve">(GMI pabalsts, dzīvokļa pabalsts, citi testētie pabalsti pamatvajadzību nodrošināšanai) </w:t>
      </w:r>
      <w:r w:rsidR="00BC16D7" w:rsidRPr="0063727B">
        <w:rPr>
          <w:rFonts w:ascii="Times New Roman" w:hAnsi="Times New Roman" w:cs="Times New Roman"/>
          <w:sz w:val="24"/>
          <w:szCs w:val="24"/>
        </w:rPr>
        <w:t>varēja izlietot citiem sociālās palīdzības pabalstiem</w:t>
      </w:r>
      <w:r w:rsidR="000A165B" w:rsidRPr="0063727B">
        <w:rPr>
          <w:rFonts w:ascii="Times New Roman" w:hAnsi="Times New Roman" w:cs="Times New Roman"/>
          <w:sz w:val="24"/>
          <w:szCs w:val="24"/>
        </w:rPr>
        <w:t>.</w:t>
      </w:r>
      <w:r w:rsidR="00B64516" w:rsidRPr="0063727B">
        <w:rPr>
          <w:rFonts w:ascii="Times New Roman" w:hAnsi="Times New Roman" w:cs="Times New Roman"/>
          <w:sz w:val="24"/>
          <w:szCs w:val="24"/>
        </w:rPr>
        <w:t xml:space="preserve"> </w:t>
      </w:r>
      <w:r w:rsidR="00602EB8" w:rsidRPr="0063727B">
        <w:rPr>
          <w:rFonts w:ascii="Times New Roman" w:hAnsi="Times New Roman" w:cs="Times New Roman"/>
          <w:sz w:val="24"/>
          <w:szCs w:val="24"/>
        </w:rPr>
        <w:t xml:space="preserve">Savukārt 46 nabadzīgāko pašvaldību grupā tikai viena pašvaldība </w:t>
      </w:r>
      <w:r w:rsidR="007E529D" w:rsidRPr="0063727B">
        <w:rPr>
          <w:rFonts w:ascii="Times New Roman" w:hAnsi="Times New Roman" w:cs="Times New Roman"/>
          <w:sz w:val="24"/>
          <w:szCs w:val="24"/>
        </w:rPr>
        <w:t xml:space="preserve">(2%) </w:t>
      </w:r>
      <w:r w:rsidR="00602EB8" w:rsidRPr="0063727B">
        <w:rPr>
          <w:rFonts w:ascii="Times New Roman" w:hAnsi="Times New Roman" w:cs="Times New Roman"/>
          <w:sz w:val="24"/>
          <w:szCs w:val="24"/>
        </w:rPr>
        <w:t xml:space="preserve">citiem pabalstiem izlietoja 49% no kopējiem izdevumiem (Alsungas novads). </w:t>
      </w:r>
      <w:r w:rsidR="00EB40CD" w:rsidRPr="0063727B">
        <w:rPr>
          <w:rFonts w:ascii="Times New Roman" w:hAnsi="Times New Roman" w:cs="Times New Roman"/>
          <w:sz w:val="24"/>
          <w:szCs w:val="24"/>
        </w:rPr>
        <w:t xml:space="preserve">Pārējie līdzekļi izlietoti </w:t>
      </w:r>
      <w:r w:rsidR="007E529D" w:rsidRPr="0063727B">
        <w:rPr>
          <w:rFonts w:ascii="Times New Roman" w:hAnsi="Times New Roman" w:cs="Times New Roman"/>
          <w:sz w:val="24"/>
          <w:szCs w:val="24"/>
        </w:rPr>
        <w:t xml:space="preserve">obligāti nodrošināmajiem </w:t>
      </w:r>
      <w:r w:rsidR="00EB40CD" w:rsidRPr="0063727B">
        <w:rPr>
          <w:rFonts w:ascii="Times New Roman" w:hAnsi="Times New Roman" w:cs="Times New Roman"/>
          <w:sz w:val="24"/>
          <w:szCs w:val="24"/>
        </w:rPr>
        <w:t xml:space="preserve">GMI </w:t>
      </w:r>
      <w:r w:rsidR="001B136F" w:rsidRPr="0063727B">
        <w:rPr>
          <w:rFonts w:ascii="Times New Roman" w:hAnsi="Times New Roman" w:cs="Times New Roman"/>
          <w:sz w:val="24"/>
          <w:szCs w:val="24"/>
        </w:rPr>
        <w:t xml:space="preserve">un dzīvokļa pabalstam. </w:t>
      </w:r>
      <w:r w:rsidR="00B64516"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 </w:t>
      </w:r>
    </w:p>
    <w:p w:rsidR="0053681C" w:rsidRPr="0063727B" w:rsidRDefault="00CF7562" w:rsidP="00DF5660">
      <w:pPr>
        <w:spacing w:before="120" w:after="0"/>
        <w:jc w:val="right"/>
        <w:rPr>
          <w:rFonts w:ascii="Times New Roman" w:hAnsi="Times New Roman" w:cs="Times New Roman"/>
          <w:sz w:val="24"/>
          <w:szCs w:val="24"/>
        </w:rPr>
      </w:pPr>
      <w:r w:rsidRPr="0063727B">
        <w:rPr>
          <w:rFonts w:ascii="Times New Roman" w:hAnsi="Times New Roman" w:cs="Times New Roman"/>
          <w:sz w:val="24"/>
          <w:szCs w:val="24"/>
        </w:rPr>
        <w:t>4</w:t>
      </w:r>
      <w:r w:rsidR="0053681C" w:rsidRPr="0063727B">
        <w:rPr>
          <w:rFonts w:ascii="Times New Roman" w:hAnsi="Times New Roman" w:cs="Times New Roman"/>
          <w:sz w:val="24"/>
          <w:szCs w:val="24"/>
        </w:rPr>
        <w:t>. tabula</w:t>
      </w:r>
    </w:p>
    <w:p w:rsidR="00767DBE" w:rsidRPr="0063727B" w:rsidRDefault="00CA6228" w:rsidP="00D71E21">
      <w:pPr>
        <w:spacing w:after="0"/>
        <w:jc w:val="center"/>
        <w:rPr>
          <w:rFonts w:ascii="Times New Roman" w:hAnsi="Times New Roman" w:cs="Times New Roman"/>
          <w:b/>
          <w:sz w:val="24"/>
          <w:szCs w:val="24"/>
        </w:rPr>
      </w:pPr>
      <w:r w:rsidRPr="0063727B">
        <w:rPr>
          <w:rFonts w:ascii="Times New Roman" w:hAnsi="Times New Roman" w:cs="Times New Roman"/>
          <w:b/>
          <w:sz w:val="24"/>
          <w:szCs w:val="24"/>
        </w:rPr>
        <w:t xml:space="preserve">Sociālās palīdzības </w:t>
      </w:r>
      <w:r w:rsidR="00172B76" w:rsidRPr="0063727B">
        <w:rPr>
          <w:rFonts w:ascii="Times New Roman" w:hAnsi="Times New Roman" w:cs="Times New Roman"/>
          <w:b/>
          <w:sz w:val="24"/>
          <w:szCs w:val="24"/>
        </w:rPr>
        <w:t xml:space="preserve">izdevumu </w:t>
      </w:r>
      <w:r w:rsidRPr="0063727B">
        <w:rPr>
          <w:rFonts w:ascii="Times New Roman" w:hAnsi="Times New Roman" w:cs="Times New Roman"/>
          <w:b/>
          <w:sz w:val="24"/>
          <w:szCs w:val="24"/>
        </w:rPr>
        <w:t xml:space="preserve">prioritātes </w:t>
      </w:r>
      <w:r w:rsidR="00D71E21" w:rsidRPr="0063727B">
        <w:rPr>
          <w:rFonts w:ascii="Times New Roman" w:hAnsi="Times New Roman" w:cs="Times New Roman"/>
          <w:b/>
          <w:sz w:val="24"/>
          <w:szCs w:val="24"/>
        </w:rPr>
        <w:t xml:space="preserve">saistībā ar pašvaldību </w:t>
      </w:r>
      <w:r w:rsidRPr="0063727B">
        <w:rPr>
          <w:rFonts w:ascii="Times New Roman" w:hAnsi="Times New Roman" w:cs="Times New Roman"/>
          <w:b/>
          <w:sz w:val="24"/>
          <w:szCs w:val="24"/>
        </w:rPr>
        <w:t>teritorijas sociāli ekonomiskās attīstības</w:t>
      </w:r>
      <w:r w:rsidR="007836E1" w:rsidRPr="0063727B">
        <w:rPr>
          <w:rFonts w:ascii="Times New Roman" w:hAnsi="Times New Roman" w:cs="Times New Roman"/>
          <w:b/>
          <w:sz w:val="24"/>
          <w:szCs w:val="24"/>
        </w:rPr>
        <w:t xml:space="preserve"> līme</w:t>
      </w:r>
      <w:r w:rsidR="00D71E21" w:rsidRPr="0063727B">
        <w:rPr>
          <w:rFonts w:ascii="Times New Roman" w:hAnsi="Times New Roman" w:cs="Times New Roman"/>
          <w:b/>
          <w:sz w:val="24"/>
          <w:szCs w:val="24"/>
        </w:rPr>
        <w:t>ni</w:t>
      </w:r>
      <w:r w:rsidR="0095554D" w:rsidRPr="0063727B">
        <w:rPr>
          <w:rFonts w:ascii="Times New Roman" w:hAnsi="Times New Roman" w:cs="Times New Roman"/>
          <w:b/>
          <w:sz w:val="24"/>
          <w:szCs w:val="24"/>
        </w:rPr>
        <w:t xml:space="preserve"> 2011.gadā</w:t>
      </w:r>
      <w:r w:rsidR="00351DD0" w:rsidRPr="0063727B">
        <w:rPr>
          <w:rFonts w:ascii="Times New Roman" w:hAnsi="Times New Roman" w:cs="Times New Roman"/>
          <w:b/>
          <w:sz w:val="24"/>
          <w:szCs w:val="24"/>
        </w:rPr>
        <w:t xml:space="preserve"> </w:t>
      </w:r>
      <w:r w:rsidR="00D71E21" w:rsidRPr="0063727B">
        <w:rPr>
          <w:rStyle w:val="FootnoteReference"/>
          <w:rFonts w:ascii="Times New Roman" w:hAnsi="Times New Roman" w:cs="Times New Roman"/>
          <w:b/>
          <w:sz w:val="24"/>
          <w:szCs w:val="24"/>
        </w:rPr>
        <w:footnoteReference w:id="77"/>
      </w:r>
    </w:p>
    <w:tbl>
      <w:tblPr>
        <w:tblStyle w:val="TableGrid"/>
        <w:tblW w:w="9039" w:type="dxa"/>
        <w:tblLook w:val="04A0" w:firstRow="1" w:lastRow="0" w:firstColumn="1" w:lastColumn="0" w:noHBand="0" w:noVBand="1"/>
      </w:tblPr>
      <w:tblGrid>
        <w:gridCol w:w="1951"/>
        <w:gridCol w:w="2126"/>
        <w:gridCol w:w="1418"/>
        <w:gridCol w:w="2090"/>
        <w:gridCol w:w="1454"/>
      </w:tblGrid>
      <w:tr w:rsidR="0063727B" w:rsidRPr="0063727B" w:rsidTr="00DE6559">
        <w:trPr>
          <w:trHeight w:val="2178"/>
        </w:trPr>
        <w:tc>
          <w:tcPr>
            <w:tcW w:w="1951" w:type="dxa"/>
          </w:tcPr>
          <w:p w:rsidR="0053681C" w:rsidRPr="0063727B" w:rsidRDefault="0053681C" w:rsidP="006C14E6">
            <w:pPr>
              <w:jc w:val="center"/>
              <w:rPr>
                <w:rFonts w:ascii="Times New Roman" w:hAnsi="Times New Roman" w:cs="Times New Roman"/>
              </w:rPr>
            </w:pPr>
            <w:r w:rsidRPr="0063727B">
              <w:rPr>
                <w:rFonts w:ascii="Times New Roman" w:hAnsi="Times New Roman" w:cs="Times New Roman"/>
              </w:rPr>
              <w:t>Pašvaldību skaits sadalījumā pēc teritorijas attīstības indeksa 2011.gadā salīdzinot ar 2011.gada vidējiem rādītājiem</w:t>
            </w:r>
          </w:p>
        </w:tc>
        <w:tc>
          <w:tcPr>
            <w:tcW w:w="2126" w:type="dxa"/>
          </w:tcPr>
          <w:p w:rsidR="0053681C" w:rsidRPr="0063727B" w:rsidRDefault="0053681C" w:rsidP="006C14E6">
            <w:pPr>
              <w:jc w:val="center"/>
              <w:rPr>
                <w:rFonts w:ascii="Times New Roman" w:hAnsi="Times New Roman" w:cs="Times New Roman"/>
              </w:rPr>
            </w:pPr>
            <w:r w:rsidRPr="0063727B">
              <w:rPr>
                <w:rFonts w:ascii="Times New Roman" w:hAnsi="Times New Roman" w:cs="Times New Roman"/>
              </w:rPr>
              <w:t xml:space="preserve">Pašvaldību skaits (īpatsvars,%), kuras </w:t>
            </w:r>
            <w:r w:rsidRPr="0063727B">
              <w:rPr>
                <w:rFonts w:ascii="Times New Roman" w:hAnsi="Times New Roman" w:cs="Times New Roman"/>
                <w:u w:val="single"/>
              </w:rPr>
              <w:t>GMI pabalsta</w:t>
            </w:r>
            <w:r w:rsidRPr="0063727B">
              <w:rPr>
                <w:rFonts w:ascii="Times New Roman" w:hAnsi="Times New Roman" w:cs="Times New Roman"/>
              </w:rPr>
              <w:t xml:space="preserve"> izmaksām izlietojušas vairāk kā 40% no kopējiem izdevumiem sociālajai palīdzībai 2011.gadā</w:t>
            </w:r>
          </w:p>
        </w:tc>
        <w:tc>
          <w:tcPr>
            <w:tcW w:w="1418" w:type="dxa"/>
          </w:tcPr>
          <w:p w:rsidR="0053681C" w:rsidRPr="0063727B" w:rsidRDefault="0053681C" w:rsidP="006C14E6">
            <w:pPr>
              <w:jc w:val="center"/>
              <w:rPr>
                <w:rFonts w:ascii="Times New Roman" w:hAnsi="Times New Roman" w:cs="Times New Roman"/>
              </w:rPr>
            </w:pPr>
            <w:r w:rsidRPr="0063727B">
              <w:rPr>
                <w:rFonts w:ascii="Times New Roman" w:hAnsi="Times New Roman" w:cs="Times New Roman"/>
                <w:u w:val="single"/>
              </w:rPr>
              <w:t>GMI pabalstam</w:t>
            </w:r>
            <w:r w:rsidRPr="0063727B">
              <w:rPr>
                <w:rFonts w:ascii="Times New Roman" w:hAnsi="Times New Roman" w:cs="Times New Roman"/>
              </w:rPr>
              <w:t xml:space="preserve"> izlietoto līdzekļu īpatsvara virs 40% amplitūda</w:t>
            </w:r>
          </w:p>
        </w:tc>
        <w:tc>
          <w:tcPr>
            <w:tcW w:w="2090" w:type="dxa"/>
          </w:tcPr>
          <w:p w:rsidR="0053681C" w:rsidRPr="0063727B" w:rsidRDefault="0053681C" w:rsidP="006C14E6">
            <w:pPr>
              <w:jc w:val="center"/>
              <w:rPr>
                <w:rFonts w:ascii="Times New Roman" w:hAnsi="Times New Roman" w:cs="Times New Roman"/>
              </w:rPr>
            </w:pPr>
            <w:r w:rsidRPr="0063727B">
              <w:rPr>
                <w:rFonts w:ascii="Times New Roman" w:hAnsi="Times New Roman" w:cs="Times New Roman"/>
              </w:rPr>
              <w:t xml:space="preserve">Pašvaldību skaits (īpatsvars,%), kuras </w:t>
            </w:r>
            <w:r w:rsidRPr="0063727B">
              <w:rPr>
                <w:rFonts w:ascii="Times New Roman" w:hAnsi="Times New Roman" w:cs="Times New Roman"/>
                <w:u w:val="single"/>
              </w:rPr>
              <w:t>citu pabalstu</w:t>
            </w:r>
            <w:r w:rsidRPr="0063727B">
              <w:rPr>
                <w:rFonts w:ascii="Times New Roman" w:hAnsi="Times New Roman" w:cs="Times New Roman"/>
              </w:rPr>
              <w:t xml:space="preserve"> izmaksām izlietojušas vairāk kā 40% no kopējiem izdevumiem sociālajai palīdzībai 2011.gadā</w:t>
            </w:r>
          </w:p>
        </w:tc>
        <w:tc>
          <w:tcPr>
            <w:tcW w:w="1454" w:type="dxa"/>
          </w:tcPr>
          <w:p w:rsidR="0053681C" w:rsidRPr="0063727B" w:rsidRDefault="0053681C" w:rsidP="006C14E6">
            <w:pPr>
              <w:jc w:val="center"/>
              <w:rPr>
                <w:rFonts w:ascii="Times New Roman" w:hAnsi="Times New Roman" w:cs="Times New Roman"/>
              </w:rPr>
            </w:pPr>
            <w:r w:rsidRPr="0063727B">
              <w:rPr>
                <w:rFonts w:ascii="Times New Roman" w:hAnsi="Times New Roman" w:cs="Times New Roman"/>
                <w:u w:val="single"/>
              </w:rPr>
              <w:t>Citiem pabalstiem</w:t>
            </w:r>
            <w:r w:rsidRPr="0063727B">
              <w:rPr>
                <w:rFonts w:ascii="Times New Roman" w:hAnsi="Times New Roman" w:cs="Times New Roman"/>
              </w:rPr>
              <w:t xml:space="preserve"> izlietoto līdzekļu īpatsvara virs 40% amplitūda</w:t>
            </w:r>
          </w:p>
        </w:tc>
      </w:tr>
      <w:tr w:rsidR="0063727B" w:rsidRPr="0063727B" w:rsidTr="00DE6559">
        <w:tc>
          <w:tcPr>
            <w:tcW w:w="1951" w:type="dxa"/>
            <w:vAlign w:val="center"/>
          </w:tcPr>
          <w:p w:rsidR="0053681C" w:rsidRPr="0063727B" w:rsidRDefault="0053681C" w:rsidP="00DE6559">
            <w:pPr>
              <w:spacing w:after="0" w:line="240" w:lineRule="auto"/>
              <w:jc w:val="center"/>
              <w:rPr>
                <w:rFonts w:ascii="Times New Roman" w:hAnsi="Times New Roman" w:cs="Times New Roman"/>
              </w:rPr>
            </w:pPr>
            <w:r w:rsidRPr="0063727B">
              <w:rPr>
                <w:rFonts w:ascii="Times New Roman" w:hAnsi="Times New Roman" w:cs="Times New Roman"/>
              </w:rPr>
              <w:t>34</w:t>
            </w:r>
            <w:r w:rsidRPr="0063727B">
              <w:rPr>
                <w:rStyle w:val="FootnoteReference"/>
                <w:rFonts w:ascii="Times New Roman" w:hAnsi="Times New Roman" w:cs="Times New Roman"/>
              </w:rPr>
              <w:footnoteReference w:id="78"/>
            </w:r>
          </w:p>
        </w:tc>
        <w:tc>
          <w:tcPr>
            <w:tcW w:w="2126" w:type="dxa"/>
            <w:vAlign w:val="center"/>
          </w:tcPr>
          <w:p w:rsidR="0053681C" w:rsidRPr="0063727B" w:rsidRDefault="0053681C" w:rsidP="00DE6559">
            <w:pPr>
              <w:spacing w:after="0" w:line="240" w:lineRule="auto"/>
              <w:jc w:val="center"/>
              <w:rPr>
                <w:rFonts w:ascii="Times New Roman" w:hAnsi="Times New Roman" w:cs="Times New Roman"/>
              </w:rPr>
            </w:pPr>
            <w:r w:rsidRPr="0063727B">
              <w:rPr>
                <w:rFonts w:ascii="Times New Roman" w:hAnsi="Times New Roman" w:cs="Times New Roman"/>
              </w:rPr>
              <w:t>18 (53%)</w:t>
            </w:r>
          </w:p>
        </w:tc>
        <w:tc>
          <w:tcPr>
            <w:tcW w:w="1418" w:type="dxa"/>
            <w:vAlign w:val="center"/>
          </w:tcPr>
          <w:p w:rsidR="0053681C" w:rsidRPr="0063727B" w:rsidRDefault="0053681C" w:rsidP="00DE6559">
            <w:pPr>
              <w:spacing w:after="0" w:line="240" w:lineRule="auto"/>
              <w:jc w:val="center"/>
              <w:rPr>
                <w:rFonts w:ascii="Times New Roman" w:hAnsi="Times New Roman" w:cs="Times New Roman"/>
              </w:rPr>
            </w:pPr>
            <w:r w:rsidRPr="0063727B">
              <w:rPr>
                <w:rFonts w:ascii="Times New Roman" w:eastAsia="Times New Roman" w:hAnsi="Times New Roman" w:cs="Times New Roman"/>
                <w:lang w:eastAsia="lv-LV"/>
              </w:rPr>
              <w:t>41-75%</w:t>
            </w:r>
          </w:p>
        </w:tc>
        <w:tc>
          <w:tcPr>
            <w:tcW w:w="2090"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8 (24%)</w:t>
            </w:r>
          </w:p>
        </w:tc>
        <w:tc>
          <w:tcPr>
            <w:tcW w:w="1454"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40-70%</w:t>
            </w:r>
          </w:p>
        </w:tc>
      </w:tr>
      <w:tr w:rsidR="0063727B" w:rsidRPr="0063727B" w:rsidTr="00DE6559">
        <w:tc>
          <w:tcPr>
            <w:tcW w:w="1951" w:type="dxa"/>
            <w:vAlign w:val="center"/>
          </w:tcPr>
          <w:p w:rsidR="0053681C" w:rsidRPr="0063727B" w:rsidRDefault="0053681C" w:rsidP="00DE6559">
            <w:pPr>
              <w:spacing w:after="0" w:line="240" w:lineRule="auto"/>
              <w:jc w:val="center"/>
              <w:rPr>
                <w:rFonts w:ascii="Times New Roman" w:hAnsi="Times New Roman" w:cs="Times New Roman"/>
              </w:rPr>
            </w:pPr>
            <w:r w:rsidRPr="0063727B">
              <w:rPr>
                <w:rFonts w:ascii="Times New Roman" w:hAnsi="Times New Roman" w:cs="Times New Roman"/>
              </w:rPr>
              <w:t>39</w:t>
            </w:r>
            <w:r w:rsidRPr="0063727B">
              <w:rPr>
                <w:rStyle w:val="FootnoteReference"/>
                <w:rFonts w:ascii="Times New Roman" w:hAnsi="Times New Roman" w:cs="Times New Roman"/>
              </w:rPr>
              <w:footnoteReference w:id="79"/>
            </w:r>
          </w:p>
        </w:tc>
        <w:tc>
          <w:tcPr>
            <w:tcW w:w="2126" w:type="dxa"/>
            <w:vAlign w:val="center"/>
          </w:tcPr>
          <w:p w:rsidR="0053681C" w:rsidRPr="0063727B" w:rsidRDefault="0053681C" w:rsidP="00DE6559">
            <w:pPr>
              <w:spacing w:after="0" w:line="240" w:lineRule="auto"/>
              <w:jc w:val="center"/>
              <w:rPr>
                <w:rFonts w:ascii="Times New Roman" w:eastAsiaTheme="minorHAnsi" w:hAnsi="Times New Roman" w:cs="Times New Roman"/>
              </w:rPr>
            </w:pPr>
            <w:r w:rsidRPr="0063727B">
              <w:rPr>
                <w:rFonts w:ascii="Times New Roman" w:eastAsiaTheme="minorHAnsi" w:hAnsi="Times New Roman" w:cs="Times New Roman"/>
              </w:rPr>
              <w:t>33</w:t>
            </w:r>
            <w:r w:rsidRPr="0063727B">
              <w:rPr>
                <w:rFonts w:ascii="Times New Roman" w:hAnsi="Times New Roman" w:cs="Times New Roman"/>
              </w:rPr>
              <w:t xml:space="preserve"> (85%)</w:t>
            </w:r>
          </w:p>
        </w:tc>
        <w:tc>
          <w:tcPr>
            <w:tcW w:w="1418"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40-81%</w:t>
            </w:r>
          </w:p>
        </w:tc>
        <w:tc>
          <w:tcPr>
            <w:tcW w:w="2090"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3 (8%)</w:t>
            </w:r>
          </w:p>
        </w:tc>
        <w:tc>
          <w:tcPr>
            <w:tcW w:w="1454"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40-47%</w:t>
            </w:r>
          </w:p>
        </w:tc>
      </w:tr>
      <w:tr w:rsidR="0063727B" w:rsidRPr="0063727B" w:rsidTr="00DE6559">
        <w:tc>
          <w:tcPr>
            <w:tcW w:w="1951" w:type="dxa"/>
            <w:vAlign w:val="center"/>
          </w:tcPr>
          <w:p w:rsidR="0053681C" w:rsidRPr="0063727B" w:rsidRDefault="0053681C" w:rsidP="00DE6559">
            <w:pPr>
              <w:spacing w:after="0" w:line="240" w:lineRule="auto"/>
              <w:jc w:val="center"/>
              <w:rPr>
                <w:rFonts w:ascii="Times New Roman" w:hAnsi="Times New Roman" w:cs="Times New Roman"/>
              </w:rPr>
            </w:pPr>
            <w:r w:rsidRPr="0063727B">
              <w:rPr>
                <w:rFonts w:ascii="Times New Roman" w:hAnsi="Times New Roman" w:cs="Times New Roman"/>
              </w:rPr>
              <w:t>46</w:t>
            </w:r>
            <w:r w:rsidRPr="0063727B">
              <w:rPr>
                <w:rStyle w:val="FootnoteReference"/>
                <w:rFonts w:ascii="Times New Roman" w:hAnsi="Times New Roman" w:cs="Times New Roman"/>
              </w:rPr>
              <w:footnoteReference w:id="80"/>
            </w:r>
          </w:p>
        </w:tc>
        <w:tc>
          <w:tcPr>
            <w:tcW w:w="2126"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43 (93%)</w:t>
            </w:r>
          </w:p>
        </w:tc>
        <w:tc>
          <w:tcPr>
            <w:tcW w:w="1418"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41-97%</w:t>
            </w:r>
          </w:p>
        </w:tc>
        <w:tc>
          <w:tcPr>
            <w:tcW w:w="2090"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 (2%)</w:t>
            </w:r>
          </w:p>
        </w:tc>
        <w:tc>
          <w:tcPr>
            <w:tcW w:w="1454" w:type="dxa"/>
            <w:vAlign w:val="center"/>
          </w:tcPr>
          <w:p w:rsidR="0053681C" w:rsidRPr="0063727B" w:rsidRDefault="0053681C" w:rsidP="00DE6559">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49%</w:t>
            </w:r>
          </w:p>
        </w:tc>
      </w:tr>
    </w:tbl>
    <w:p w:rsidR="00D65A0A" w:rsidRPr="0063727B" w:rsidRDefault="00D65A0A" w:rsidP="00D65A0A">
      <w:pPr>
        <w:autoSpaceDE w:val="0"/>
        <w:autoSpaceDN w:val="0"/>
        <w:adjustRightInd w:val="0"/>
        <w:spacing w:after="0" w:line="240" w:lineRule="auto"/>
        <w:ind w:firstLine="720"/>
        <w:jc w:val="both"/>
        <w:rPr>
          <w:rFonts w:ascii="Times New Roman" w:hAnsi="Times New Roman" w:cs="Times New Roman"/>
          <w:sz w:val="20"/>
          <w:szCs w:val="20"/>
        </w:rPr>
      </w:pPr>
      <w:r w:rsidRPr="0063727B">
        <w:rPr>
          <w:rFonts w:ascii="Times New Roman" w:hAnsi="Times New Roman" w:cs="Times New Roman"/>
          <w:sz w:val="20"/>
          <w:szCs w:val="20"/>
        </w:rPr>
        <w:t>Avots: Labklājības ministrija</w:t>
      </w:r>
      <w:r w:rsidR="005A2152" w:rsidRPr="0063727B">
        <w:rPr>
          <w:rFonts w:ascii="Times New Roman" w:hAnsi="Times New Roman" w:cs="Times New Roman"/>
          <w:sz w:val="20"/>
          <w:szCs w:val="20"/>
        </w:rPr>
        <w:t>.</w:t>
      </w:r>
    </w:p>
    <w:p w:rsidR="00D65A0A" w:rsidRPr="0063727B" w:rsidRDefault="00D65A0A" w:rsidP="00297E34">
      <w:pPr>
        <w:spacing w:after="0" w:line="240" w:lineRule="auto"/>
        <w:ind w:firstLine="709"/>
        <w:jc w:val="both"/>
        <w:rPr>
          <w:rFonts w:ascii="Times New Roman" w:hAnsi="Times New Roman" w:cs="Times New Roman"/>
          <w:sz w:val="20"/>
          <w:szCs w:val="20"/>
        </w:rPr>
      </w:pPr>
    </w:p>
    <w:p w:rsidR="00343AF5" w:rsidRPr="0063727B" w:rsidRDefault="00343AF5" w:rsidP="00297E34">
      <w:pPr>
        <w:spacing w:after="0" w:line="240" w:lineRule="auto"/>
        <w:ind w:firstLine="709"/>
        <w:jc w:val="both"/>
      </w:pPr>
      <w:r w:rsidRPr="0063727B">
        <w:rPr>
          <w:rFonts w:ascii="Times New Roman" w:hAnsi="Times New Roman" w:cs="Times New Roman"/>
          <w:sz w:val="24"/>
          <w:szCs w:val="24"/>
        </w:rPr>
        <w:t>PB veiktajā pētījumā norādīts</w:t>
      </w:r>
      <w:r w:rsidRPr="0063727B">
        <w:rPr>
          <w:rStyle w:val="FootnoteReference"/>
          <w:rFonts w:ascii="Times New Roman" w:hAnsi="Times New Roman" w:cs="Times New Roman"/>
          <w:sz w:val="24"/>
          <w:szCs w:val="24"/>
        </w:rPr>
        <w:footnoteReference w:id="81"/>
      </w:r>
      <w:r w:rsidRPr="0063727B">
        <w:rPr>
          <w:rFonts w:ascii="Times New Roman" w:hAnsi="Times New Roman" w:cs="Times New Roman"/>
          <w:sz w:val="24"/>
          <w:szCs w:val="24"/>
        </w:rPr>
        <w:t xml:space="preserve">, ka valsts līdzfinansējums GMI programmai uzskatāms par „atslēgas instrumentu” adekvāta un taisnīga atbalsta nodrošināšanai </w:t>
      </w:r>
      <w:r w:rsidRPr="0063727B">
        <w:rPr>
          <w:rFonts w:ascii="Times New Roman" w:hAnsi="Times New Roman" w:cs="Times New Roman"/>
          <w:sz w:val="24"/>
          <w:szCs w:val="24"/>
        </w:rPr>
        <w:lastRenderedPageBreak/>
        <w:t xml:space="preserve">nabadzīgajiem iedzīvotājiem visās pašvaldībās. Pieredze ir parādījusi, ka, saskaroties ar nopietnu ekonomisko krīzi, </w:t>
      </w:r>
      <w:r w:rsidRPr="0063727B">
        <w:rPr>
          <w:rFonts w:ascii="Times New Roman" w:hAnsi="Times New Roman" w:cs="Times New Roman"/>
          <w:sz w:val="24"/>
          <w:szCs w:val="24"/>
          <w:u w:val="single"/>
        </w:rPr>
        <w:t xml:space="preserve">vietējais finansējums var radīt ievērojamu nevienlīdzību attieksmē pret </w:t>
      </w:r>
      <w:r w:rsidR="001B14B5" w:rsidRPr="0063727B">
        <w:rPr>
          <w:rFonts w:ascii="Times New Roman" w:hAnsi="Times New Roman" w:cs="Times New Roman"/>
          <w:sz w:val="24"/>
          <w:szCs w:val="24"/>
          <w:u w:val="single"/>
        </w:rPr>
        <w:t>trūcīgajiem</w:t>
      </w:r>
      <w:r w:rsidRPr="0063727B">
        <w:rPr>
          <w:rFonts w:ascii="Times New Roman" w:hAnsi="Times New Roman" w:cs="Times New Roman"/>
          <w:sz w:val="24"/>
          <w:szCs w:val="24"/>
          <w:u w:val="single"/>
        </w:rPr>
        <w:t xml:space="preserve"> gan nabadzīgākajās, gan bagātākajās pašvaldībās.</w:t>
      </w:r>
      <w:r w:rsidRPr="0063727B">
        <w:rPr>
          <w:rFonts w:ascii="Times New Roman" w:hAnsi="Times New Roman" w:cs="Times New Roman"/>
          <w:sz w:val="24"/>
          <w:szCs w:val="24"/>
        </w:rPr>
        <w:t xml:space="preserve"> </w:t>
      </w:r>
      <w:r w:rsidRPr="0063727B">
        <w:rPr>
          <w:rFonts w:ascii="Times New Roman" w:hAnsi="Times New Roman" w:cs="Times New Roman"/>
          <w:sz w:val="24"/>
          <w:szCs w:val="24"/>
          <w:u w:val="single"/>
        </w:rPr>
        <w:t>GMI pabalsta pašvaldības finansējums ir apgrūtinošs nabadzīgākās pašvaldībās.</w:t>
      </w:r>
      <w:r w:rsidRPr="0063727B">
        <w:rPr>
          <w:rFonts w:ascii="Times New Roman" w:hAnsi="Times New Roman" w:cs="Times New Roman"/>
          <w:sz w:val="24"/>
          <w:szCs w:val="24"/>
        </w:rPr>
        <w:t xml:space="preserve"> Bagātākas pašvaldības </w:t>
      </w:r>
      <w:r w:rsidR="00414A90" w:rsidRPr="0063727B">
        <w:rPr>
          <w:rFonts w:ascii="Times New Roman" w:hAnsi="Times New Roman" w:cs="Times New Roman"/>
          <w:sz w:val="24"/>
          <w:szCs w:val="24"/>
        </w:rPr>
        <w:t xml:space="preserve">finansiāli </w:t>
      </w:r>
      <w:r w:rsidRPr="0063727B">
        <w:rPr>
          <w:rFonts w:ascii="Times New Roman" w:hAnsi="Times New Roman" w:cs="Times New Roman"/>
          <w:sz w:val="24"/>
          <w:szCs w:val="24"/>
        </w:rPr>
        <w:t xml:space="preserve">var </w:t>
      </w:r>
      <w:r w:rsidR="00414A90" w:rsidRPr="0063727B">
        <w:rPr>
          <w:rFonts w:ascii="Times New Roman" w:hAnsi="Times New Roman" w:cs="Times New Roman"/>
          <w:sz w:val="24"/>
          <w:szCs w:val="24"/>
        </w:rPr>
        <w:t xml:space="preserve">atļauties </w:t>
      </w:r>
      <w:r w:rsidRPr="0063727B">
        <w:rPr>
          <w:rFonts w:ascii="Times New Roman" w:hAnsi="Times New Roman" w:cs="Times New Roman"/>
          <w:sz w:val="24"/>
          <w:szCs w:val="24"/>
        </w:rPr>
        <w:t>palielināt GMI līmeni virs centralizēti noteiktā minimālā standarta</w:t>
      </w:r>
      <w:r w:rsidR="00A61763" w:rsidRPr="0063727B">
        <w:rPr>
          <w:rFonts w:ascii="Times New Roman" w:hAnsi="Times New Roman" w:cs="Times New Roman"/>
          <w:sz w:val="24"/>
          <w:szCs w:val="24"/>
        </w:rPr>
        <w:t xml:space="preserve">, ko juridiski atļauts </w:t>
      </w:r>
      <w:r w:rsidR="00414A90" w:rsidRPr="0063727B">
        <w:rPr>
          <w:rFonts w:ascii="Times New Roman" w:hAnsi="Times New Roman" w:cs="Times New Roman"/>
          <w:sz w:val="24"/>
          <w:szCs w:val="24"/>
        </w:rPr>
        <w:t>darīt</w:t>
      </w:r>
      <w:r w:rsidR="00A61763" w:rsidRPr="0063727B">
        <w:rPr>
          <w:rFonts w:ascii="Times New Roman" w:hAnsi="Times New Roman" w:cs="Times New Roman"/>
          <w:sz w:val="24"/>
          <w:szCs w:val="24"/>
        </w:rPr>
        <w:t xml:space="preserve"> visām pašvaldībām</w:t>
      </w:r>
      <w:r w:rsidRPr="0063727B">
        <w:rPr>
          <w:rFonts w:ascii="Times New Roman" w:hAnsi="Times New Roman" w:cs="Times New Roman"/>
          <w:sz w:val="24"/>
          <w:szCs w:val="24"/>
        </w:rPr>
        <w:t>. Ņemot vērā Latvijā izveidoto sociālās drošības sistēmu, pašvaldībām tiesību aktos</w:t>
      </w:r>
      <w:r w:rsidRPr="0063727B">
        <w:rPr>
          <w:rStyle w:val="FootnoteReference"/>
          <w:rFonts w:ascii="Times New Roman" w:hAnsi="Times New Roman" w:cs="Times New Roman"/>
          <w:sz w:val="24"/>
          <w:szCs w:val="24"/>
        </w:rPr>
        <w:footnoteReference w:id="82"/>
      </w:r>
      <w:r w:rsidRPr="0063727B">
        <w:rPr>
          <w:rFonts w:ascii="Times New Roman" w:hAnsi="Times New Roman" w:cs="Times New Roman"/>
          <w:sz w:val="24"/>
          <w:szCs w:val="24"/>
        </w:rPr>
        <w:t xml:space="preserve"> noteiktās autonomās funkcijas un nodokļu pārdales principus, </w:t>
      </w:r>
      <w:r w:rsidRPr="0063727B">
        <w:rPr>
          <w:rFonts w:ascii="Times New Roman" w:hAnsi="Times New Roman" w:cs="Times New Roman"/>
          <w:b/>
          <w:bCs/>
          <w:sz w:val="24"/>
          <w:szCs w:val="24"/>
        </w:rPr>
        <w:t>sociālo palīdzību paredzēts turpināt finansēt decentralizēti</w:t>
      </w:r>
      <w:r w:rsidRPr="0063727B">
        <w:rPr>
          <w:rFonts w:ascii="Times New Roman" w:hAnsi="Times New Roman" w:cs="Times New Roman"/>
          <w:sz w:val="24"/>
          <w:szCs w:val="24"/>
        </w:rPr>
        <w:t xml:space="preserve">. Lai pašvaldības varētu nodrošināt savu pastāvīgo funkciju realizāciju, pašvaldībām ar zemākajiem vērtētajiem ienākumiem uz 1 iedzīvotāju tiek piešķirta valsts budžeta dotācija, kuru 2013.gadā saņem 89 novadu pašvaldības un 4 republikas pilsētas (Daugavpils, Rēzekne, Jēkabpils, Liepāja). Šādā gadījumā PB iesaka, ka </w:t>
      </w:r>
      <w:r w:rsidR="001B14B5" w:rsidRPr="0063727B">
        <w:rPr>
          <w:rFonts w:ascii="Times New Roman" w:hAnsi="Times New Roman" w:cs="Times New Roman"/>
          <w:b/>
          <w:bCs/>
          <w:sz w:val="24"/>
          <w:szCs w:val="24"/>
        </w:rPr>
        <w:t>p</w:t>
      </w:r>
      <w:r w:rsidRPr="0063727B">
        <w:rPr>
          <w:rFonts w:ascii="Times New Roman" w:hAnsi="Times New Roman" w:cs="Times New Roman"/>
          <w:b/>
          <w:bCs/>
          <w:sz w:val="24"/>
          <w:szCs w:val="24"/>
        </w:rPr>
        <w:t>ašvaldību finanšu izlīdzināšanas fondam</w:t>
      </w:r>
      <w:r w:rsidRPr="0063727B">
        <w:rPr>
          <w:rStyle w:val="FootnoteReference"/>
          <w:rFonts w:ascii="Times New Roman" w:hAnsi="Times New Roman" w:cs="Times New Roman"/>
          <w:bCs/>
          <w:sz w:val="24"/>
          <w:szCs w:val="24"/>
        </w:rPr>
        <w:footnoteReference w:id="83"/>
      </w:r>
      <w:r w:rsidRPr="0063727B">
        <w:rPr>
          <w:rFonts w:ascii="Times New Roman" w:hAnsi="Times New Roman" w:cs="Times New Roman"/>
          <w:sz w:val="24"/>
          <w:szCs w:val="24"/>
        </w:rPr>
        <w:t xml:space="preserve"> ir jāpiešķir iezīmēti līdzekļi</w:t>
      </w:r>
      <w:r w:rsidR="0057518B" w:rsidRPr="0063727B">
        <w:rPr>
          <w:rFonts w:ascii="Times New Roman" w:hAnsi="Times New Roman" w:cs="Times New Roman"/>
          <w:sz w:val="24"/>
          <w:szCs w:val="24"/>
        </w:rPr>
        <w:t xml:space="preserve"> (šobrīd nav iezīmēts)</w:t>
      </w:r>
      <w:r w:rsidRPr="0063727B">
        <w:rPr>
          <w:rFonts w:ascii="Times New Roman" w:hAnsi="Times New Roman" w:cs="Times New Roman"/>
          <w:sz w:val="24"/>
          <w:szCs w:val="24"/>
        </w:rPr>
        <w:t>, lai visas pašvaldības izpildītu obligātos GMI finansēšanas standartus</w:t>
      </w:r>
      <w:r w:rsidR="004000B1" w:rsidRPr="0063727B">
        <w:rPr>
          <w:rFonts w:ascii="Times New Roman" w:hAnsi="Times New Roman" w:cs="Times New Roman"/>
          <w:sz w:val="24"/>
          <w:szCs w:val="24"/>
        </w:rPr>
        <w:t>, jo GMI pabalsts faktiski ir vienīgā uz nabadzības mazināšanu mērķētā programma valstī</w:t>
      </w:r>
      <w:r w:rsidRPr="0063727B">
        <w:rPr>
          <w:rFonts w:ascii="Times New Roman" w:hAnsi="Times New Roman" w:cs="Times New Roman"/>
          <w:sz w:val="24"/>
          <w:szCs w:val="24"/>
        </w:rPr>
        <w:t xml:space="preserve">. </w:t>
      </w:r>
    </w:p>
    <w:p w:rsidR="00DB63AA" w:rsidRPr="0063727B" w:rsidRDefault="00DB63AA" w:rsidP="00B84A6C">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PB pētījumā norādīts</w:t>
      </w:r>
      <w:r w:rsidR="00B84A6C" w:rsidRPr="0063727B">
        <w:rPr>
          <w:rStyle w:val="FootnoteReference"/>
          <w:rFonts w:ascii="Times New Roman" w:hAnsi="Times New Roman" w:cs="Times New Roman"/>
          <w:sz w:val="24"/>
          <w:szCs w:val="24"/>
        </w:rPr>
        <w:footnoteReference w:id="84"/>
      </w:r>
      <w:r w:rsidRPr="0063727B">
        <w:rPr>
          <w:rFonts w:ascii="Times New Roman" w:hAnsi="Times New Roman" w:cs="Times New Roman"/>
          <w:sz w:val="24"/>
          <w:szCs w:val="24"/>
        </w:rPr>
        <w:t xml:space="preserve">, ka lielākā daļa Eiropas valstu, tostarp Latvija, lielu daļu līdzekļu izlieto programmās, kas nav </w:t>
      </w:r>
      <w:r w:rsidR="00783931" w:rsidRPr="0063727B">
        <w:rPr>
          <w:rFonts w:ascii="Times New Roman" w:hAnsi="Times New Roman" w:cs="Times New Roman"/>
          <w:sz w:val="24"/>
          <w:szCs w:val="24"/>
        </w:rPr>
        <w:t>tieši mērķētas</w:t>
      </w:r>
      <w:r w:rsidRPr="0063727B">
        <w:rPr>
          <w:rFonts w:ascii="Times New Roman" w:hAnsi="Times New Roman" w:cs="Times New Roman"/>
          <w:sz w:val="24"/>
          <w:szCs w:val="24"/>
        </w:rPr>
        <w:t xml:space="preserve"> </w:t>
      </w:r>
      <w:r w:rsidR="00783931" w:rsidRPr="0063727B">
        <w:rPr>
          <w:rFonts w:ascii="Times New Roman" w:hAnsi="Times New Roman" w:cs="Times New Roman"/>
          <w:sz w:val="24"/>
          <w:szCs w:val="24"/>
        </w:rPr>
        <w:t>nabadzīgo iedzīvotāju atbalstam</w:t>
      </w:r>
      <w:r w:rsidRPr="0063727B">
        <w:rPr>
          <w:rFonts w:ascii="Times New Roman" w:hAnsi="Times New Roman" w:cs="Times New Roman"/>
          <w:sz w:val="24"/>
          <w:szCs w:val="24"/>
        </w:rPr>
        <w:t>. Ziemeļvalstis, Islande un vairākas citas ES valstis, tostarp Latvija, izlieto vairāk nekā 90 procentus no sociālās aizsardzības</w:t>
      </w:r>
      <w:r w:rsidRPr="0063727B">
        <w:rPr>
          <w:rStyle w:val="FootnoteReference"/>
          <w:rFonts w:ascii="Times New Roman" w:hAnsi="Times New Roman" w:cs="Times New Roman"/>
          <w:sz w:val="24"/>
          <w:szCs w:val="24"/>
        </w:rPr>
        <w:footnoteReference w:id="85"/>
      </w:r>
      <w:r w:rsidRPr="0063727B">
        <w:rPr>
          <w:rFonts w:ascii="Times New Roman" w:hAnsi="Times New Roman" w:cs="Times New Roman"/>
          <w:sz w:val="24"/>
          <w:szCs w:val="24"/>
        </w:rPr>
        <w:t xml:space="preserve"> līdzekļiem šāda veida programmās. Tikai Portugāle un Nīderlande lielāko daļu no sociālās </w:t>
      </w:r>
      <w:r w:rsidR="00924E42" w:rsidRPr="0063727B">
        <w:rPr>
          <w:rFonts w:ascii="Times New Roman" w:hAnsi="Times New Roman" w:cs="Times New Roman"/>
          <w:sz w:val="24"/>
          <w:szCs w:val="24"/>
        </w:rPr>
        <w:t xml:space="preserve">aizsardzības </w:t>
      </w:r>
      <w:r w:rsidRPr="0063727B">
        <w:rPr>
          <w:rFonts w:ascii="Times New Roman" w:hAnsi="Times New Roman" w:cs="Times New Roman"/>
          <w:sz w:val="24"/>
          <w:szCs w:val="24"/>
        </w:rPr>
        <w:t xml:space="preserve">izdevumiem izlieto ienākumu testētajām programmām, kam seko Francija un Spānija, kuras apmēram divas trešdaļas no sociālās aizsardzības budžeta izlieto programmām, kas orientētas uz nabadzības mazināšanu. Latvijā un vairākās citās ES jaunajās dalībvalstīs kopējā publisko resursu ietekme uz nabadzības mazināšanu ir ļoti zema un ļoti maz resursu tiek piešķirts programmām, kuru ieguvumi vērsti uz nabadzīgajiem. </w:t>
      </w:r>
      <w:r w:rsidR="00726A18" w:rsidRPr="0063727B">
        <w:rPr>
          <w:rFonts w:ascii="Times New Roman" w:hAnsi="Times New Roman" w:cs="Times New Roman"/>
          <w:sz w:val="24"/>
          <w:szCs w:val="24"/>
        </w:rPr>
        <w:t>Tāpat PB pētījumā noradīts</w:t>
      </w:r>
      <w:r w:rsidR="0058445C" w:rsidRPr="0063727B">
        <w:rPr>
          <w:rStyle w:val="FootnoteReference"/>
          <w:rFonts w:ascii="Times New Roman" w:hAnsi="Times New Roman" w:cs="Times New Roman"/>
          <w:sz w:val="24"/>
          <w:szCs w:val="24"/>
        </w:rPr>
        <w:footnoteReference w:id="86"/>
      </w:r>
      <w:r w:rsidR="00726A18" w:rsidRPr="0063727B">
        <w:rPr>
          <w:rFonts w:ascii="Times New Roman" w:hAnsi="Times New Roman" w:cs="Times New Roman"/>
          <w:sz w:val="24"/>
          <w:szCs w:val="24"/>
        </w:rPr>
        <w:t>, ka Latvijas izdevumi kopumā sociālajai aizsardzībai joprojām ir relatīvi zemi</w:t>
      </w:r>
      <w:r w:rsidR="0058445C" w:rsidRPr="0063727B">
        <w:rPr>
          <w:rFonts w:ascii="Times New Roman" w:hAnsi="Times New Roman" w:cs="Times New Roman"/>
          <w:sz w:val="24"/>
          <w:szCs w:val="24"/>
        </w:rPr>
        <w:t>,</w:t>
      </w:r>
      <w:r w:rsidR="00726A18" w:rsidRPr="0063727B">
        <w:rPr>
          <w:rFonts w:ascii="Times New Roman" w:hAnsi="Times New Roman" w:cs="Times New Roman"/>
          <w:sz w:val="24"/>
          <w:szCs w:val="24"/>
        </w:rPr>
        <w:t xml:space="preserve"> salīdzinot ar citām ES dalībvalstīm</w:t>
      </w:r>
      <w:r w:rsidR="00E80981" w:rsidRPr="0063727B">
        <w:rPr>
          <w:rFonts w:ascii="Times New Roman" w:hAnsi="Times New Roman" w:cs="Times New Roman"/>
          <w:sz w:val="24"/>
          <w:szCs w:val="24"/>
        </w:rPr>
        <w:t>, neraugoties uz ievērojamo izdevumu pieaugumu laika periodā no 2007.gada līdz 2009.gadam - gandrīz par 30 procentiem</w:t>
      </w:r>
      <w:r w:rsidR="00726A18" w:rsidRPr="0063727B">
        <w:rPr>
          <w:rFonts w:ascii="Times New Roman" w:hAnsi="Times New Roman" w:cs="Times New Roman"/>
          <w:sz w:val="24"/>
          <w:szCs w:val="24"/>
        </w:rPr>
        <w:t xml:space="preserve">. </w:t>
      </w:r>
      <w:r w:rsidR="008D3BBB" w:rsidRPr="0063727B">
        <w:rPr>
          <w:rFonts w:ascii="Times New Roman" w:hAnsi="Times New Roman" w:cs="Times New Roman"/>
          <w:sz w:val="24"/>
          <w:szCs w:val="24"/>
        </w:rPr>
        <w:t xml:space="preserve">Latvijas izdevumu īpatsvars sociālās aizsardzības pasākumiem </w:t>
      </w:r>
      <w:r w:rsidR="0058445C" w:rsidRPr="0063727B">
        <w:rPr>
          <w:rFonts w:ascii="Times New Roman" w:hAnsi="Times New Roman" w:cs="Times New Roman"/>
          <w:sz w:val="24"/>
          <w:szCs w:val="24"/>
        </w:rPr>
        <w:t xml:space="preserve">2009.gadā </w:t>
      </w:r>
      <w:r w:rsidR="008D3BBB" w:rsidRPr="0063727B">
        <w:rPr>
          <w:rFonts w:ascii="Times New Roman" w:hAnsi="Times New Roman" w:cs="Times New Roman"/>
          <w:sz w:val="24"/>
          <w:szCs w:val="24"/>
        </w:rPr>
        <w:t>bija aptuveni 13 procenti no IKP, atšķirībā no 21 procenta vidēji ES27 dalībvalstīs. Latvijas izdevumu īpatsvars sociālajai aizsardzībai līdzinās tādu ienākumu valstīm, kā Bulgārija un Rumānija.</w:t>
      </w:r>
    </w:p>
    <w:p w:rsidR="00827B6D" w:rsidRPr="0063727B" w:rsidRDefault="00B7365D" w:rsidP="000F5E51">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Turklāt PB veiktajā pētījumā</w:t>
      </w:r>
      <w:r w:rsidRPr="0063727B">
        <w:rPr>
          <w:rStyle w:val="FootnoteReference"/>
          <w:rFonts w:ascii="Times New Roman" w:hAnsi="Times New Roman" w:cs="Times New Roman"/>
          <w:sz w:val="24"/>
          <w:szCs w:val="24"/>
        </w:rPr>
        <w:footnoteReference w:id="87"/>
      </w:r>
      <w:r w:rsidRPr="0063727B">
        <w:rPr>
          <w:rFonts w:ascii="Times New Roman" w:hAnsi="Times New Roman" w:cs="Times New Roman"/>
          <w:sz w:val="24"/>
          <w:szCs w:val="24"/>
        </w:rPr>
        <w:t xml:space="preserve"> sec</w:t>
      </w:r>
      <w:r w:rsidR="004000B1" w:rsidRPr="0063727B">
        <w:rPr>
          <w:rFonts w:ascii="Times New Roman" w:hAnsi="Times New Roman" w:cs="Times New Roman"/>
          <w:sz w:val="24"/>
          <w:szCs w:val="24"/>
        </w:rPr>
        <w:t>i</w:t>
      </w:r>
      <w:r w:rsidRPr="0063727B">
        <w:rPr>
          <w:rFonts w:ascii="Times New Roman" w:hAnsi="Times New Roman" w:cs="Times New Roman"/>
          <w:sz w:val="24"/>
          <w:szCs w:val="24"/>
        </w:rPr>
        <w:t>nāts, ka, n</w:t>
      </w:r>
      <w:r w:rsidR="00827B6D" w:rsidRPr="0063727B">
        <w:rPr>
          <w:rFonts w:ascii="Times New Roman" w:hAnsi="Times New Roman" w:cs="Times New Roman"/>
          <w:sz w:val="24"/>
          <w:szCs w:val="24"/>
        </w:rPr>
        <w:t xml:space="preserve">eskatoties uz to, ka Latvijas izdevumi GMI programmai nabadzīgajiem iedzīvotājiem </w:t>
      </w:r>
      <w:r w:rsidR="00DE6C36" w:rsidRPr="0063727B">
        <w:rPr>
          <w:rFonts w:ascii="Times New Roman" w:hAnsi="Times New Roman" w:cs="Times New Roman"/>
          <w:sz w:val="24"/>
          <w:szCs w:val="24"/>
        </w:rPr>
        <w:t xml:space="preserve">kopš 2008.gada </w:t>
      </w:r>
      <w:r w:rsidR="00827B6D" w:rsidRPr="0063727B">
        <w:rPr>
          <w:rFonts w:ascii="Times New Roman" w:hAnsi="Times New Roman" w:cs="Times New Roman"/>
          <w:sz w:val="24"/>
          <w:szCs w:val="24"/>
        </w:rPr>
        <w:t xml:space="preserve">vairāk nekā trīskāršojās saistībā ar pretkrīzes pasākumiem, 2009.gadā tie </w:t>
      </w:r>
      <w:r w:rsidR="00DE6C36" w:rsidRPr="0063727B">
        <w:rPr>
          <w:rFonts w:ascii="Times New Roman" w:hAnsi="Times New Roman" w:cs="Times New Roman"/>
          <w:sz w:val="24"/>
          <w:szCs w:val="24"/>
        </w:rPr>
        <w:t xml:space="preserve">joprojām </w:t>
      </w:r>
      <w:r w:rsidR="00827B6D" w:rsidRPr="0063727B">
        <w:rPr>
          <w:rFonts w:ascii="Times New Roman" w:hAnsi="Times New Roman" w:cs="Times New Roman"/>
          <w:sz w:val="24"/>
          <w:szCs w:val="24"/>
        </w:rPr>
        <w:t>bija vieni no zemākajiem ES27 - 0,05 procenti no IKP (2008.gadā – 0,01%). Pat 2011.gadā izdevumi GMI programmai Latvijā joprojām bija ļoti mēreni - 0,16 procenti no IKP, nesasniedzot to līmeni, k</w:t>
      </w:r>
      <w:r w:rsidR="00A0331E" w:rsidRPr="0063727B">
        <w:rPr>
          <w:rFonts w:ascii="Times New Roman" w:hAnsi="Times New Roman" w:cs="Times New Roman"/>
          <w:sz w:val="24"/>
          <w:szCs w:val="24"/>
        </w:rPr>
        <w:t>āds</w:t>
      </w:r>
      <w:r w:rsidR="00827B6D" w:rsidRPr="0063727B">
        <w:rPr>
          <w:rFonts w:ascii="Times New Roman" w:hAnsi="Times New Roman" w:cs="Times New Roman"/>
          <w:sz w:val="24"/>
          <w:szCs w:val="24"/>
        </w:rPr>
        <w:t xml:space="preserve"> šādām </w:t>
      </w:r>
      <w:r w:rsidR="00827B6D" w:rsidRPr="0063727B">
        <w:rPr>
          <w:rFonts w:ascii="Times New Roman" w:hAnsi="Times New Roman" w:cs="Times New Roman"/>
          <w:sz w:val="24"/>
          <w:szCs w:val="24"/>
        </w:rPr>
        <w:lastRenderedPageBreak/>
        <w:t xml:space="preserve">programmām bija izlietots lielākajā daļā ES </w:t>
      </w:r>
      <w:r w:rsidR="00A0331E" w:rsidRPr="0063727B">
        <w:rPr>
          <w:rFonts w:ascii="Times New Roman" w:hAnsi="Times New Roman" w:cs="Times New Roman"/>
          <w:sz w:val="24"/>
          <w:szCs w:val="24"/>
        </w:rPr>
        <w:t>dalīb</w:t>
      </w:r>
      <w:r w:rsidR="00827B6D" w:rsidRPr="0063727B">
        <w:rPr>
          <w:rFonts w:ascii="Times New Roman" w:hAnsi="Times New Roman" w:cs="Times New Roman"/>
          <w:sz w:val="24"/>
          <w:szCs w:val="24"/>
        </w:rPr>
        <w:t>valstu 2009.</w:t>
      </w:r>
      <w:r w:rsidR="006A34FC" w:rsidRPr="0063727B">
        <w:rPr>
          <w:rFonts w:ascii="Times New Roman" w:hAnsi="Times New Roman" w:cs="Times New Roman"/>
          <w:sz w:val="24"/>
          <w:szCs w:val="24"/>
        </w:rPr>
        <w:t>gadā.</w:t>
      </w:r>
      <w:r w:rsidR="00827B6D" w:rsidRPr="0063727B">
        <w:rPr>
          <w:rFonts w:ascii="Times New Roman" w:hAnsi="Times New Roman" w:cs="Times New Roman"/>
          <w:sz w:val="24"/>
          <w:szCs w:val="24"/>
        </w:rPr>
        <w:t xml:space="preserve"> Daudzās ES dalībvalstīs līdzās pamata atbalsta programmām (GMI un dzīvokļa pabalsts) darbojas ienākumu testētās bezdarba palīdzības sistēmas, kas nodrošina skaidras naudas ienākumus darba zaudēšanas gadījumā, kad nav tiesību saņemt bezdarbnieka pabalstu. </w:t>
      </w:r>
    </w:p>
    <w:p w:rsidR="00343AF5" w:rsidRPr="0063727B" w:rsidRDefault="00343AF5" w:rsidP="0035275D">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Minimālo ienākumu atbalsta apmēra noteikšanas prakse katrā dalībvalstī ir atšķirīga</w:t>
      </w:r>
      <w:r w:rsidRPr="0063727B">
        <w:rPr>
          <w:rStyle w:val="FootnoteReference"/>
          <w:rFonts w:ascii="Times New Roman" w:hAnsi="Times New Roman" w:cs="Times New Roman"/>
          <w:sz w:val="24"/>
          <w:szCs w:val="24"/>
        </w:rPr>
        <w:footnoteReference w:id="88"/>
      </w:r>
      <w:r w:rsidRPr="0063727B">
        <w:rPr>
          <w:rFonts w:ascii="Times New Roman" w:hAnsi="Times New Roman" w:cs="Times New Roman"/>
          <w:sz w:val="24"/>
          <w:szCs w:val="24"/>
        </w:rPr>
        <w:t xml:space="preserve">. Kopā to var iedalīt </w:t>
      </w:r>
      <w:r w:rsidRPr="0063727B">
        <w:rPr>
          <w:rFonts w:ascii="Times New Roman" w:hAnsi="Times New Roman" w:cs="Times New Roman"/>
          <w:bCs/>
          <w:sz w:val="24"/>
          <w:szCs w:val="24"/>
        </w:rPr>
        <w:t>četrās galvenajās grupās</w:t>
      </w:r>
      <w:r w:rsidRPr="0063727B">
        <w:rPr>
          <w:rFonts w:ascii="Times New Roman" w:hAnsi="Times New Roman" w:cs="Times New Roman"/>
          <w:sz w:val="24"/>
          <w:szCs w:val="24"/>
        </w:rPr>
        <w:t xml:space="preserve"> – (1) valstī ir noteikts un tiek regulāri pārskatīts iztikas minimuma standarts, kas </w:t>
      </w:r>
      <w:r w:rsidR="0057518B" w:rsidRPr="0063727B">
        <w:rPr>
          <w:rFonts w:ascii="Times New Roman" w:hAnsi="Times New Roman" w:cs="Times New Roman"/>
          <w:sz w:val="24"/>
          <w:szCs w:val="24"/>
        </w:rPr>
        <w:t>kalpo par atskaites punktu</w:t>
      </w:r>
      <w:r w:rsidRPr="0063727B">
        <w:rPr>
          <w:rFonts w:ascii="Times New Roman" w:hAnsi="Times New Roman" w:cs="Times New Roman"/>
          <w:sz w:val="24"/>
          <w:szCs w:val="24"/>
        </w:rPr>
        <w:t xml:space="preserve"> minimālā ienākumu sliekšņa noteikšanā, (2) dalībvalstīs minimālais ienākumu slieksnis tiek noteikts ar valdības </w:t>
      </w:r>
      <w:r w:rsidR="0057518B" w:rsidRPr="0063727B">
        <w:rPr>
          <w:rFonts w:ascii="Times New Roman" w:hAnsi="Times New Roman" w:cs="Times New Roman"/>
          <w:sz w:val="24"/>
          <w:szCs w:val="24"/>
        </w:rPr>
        <w:t>lēmumu</w:t>
      </w:r>
      <w:r w:rsidRPr="0063727B">
        <w:rPr>
          <w:rFonts w:ascii="Times New Roman" w:hAnsi="Times New Roman" w:cs="Times New Roman"/>
          <w:sz w:val="24"/>
          <w:szCs w:val="24"/>
        </w:rPr>
        <w:t xml:space="preserve"> </w:t>
      </w:r>
      <w:r w:rsidR="0057518B" w:rsidRPr="0063727B">
        <w:rPr>
          <w:rFonts w:ascii="Times New Roman" w:hAnsi="Times New Roman" w:cs="Times New Roman"/>
          <w:sz w:val="24"/>
          <w:szCs w:val="24"/>
        </w:rPr>
        <w:t>bez</w:t>
      </w:r>
      <w:r w:rsidRPr="0063727B">
        <w:rPr>
          <w:rFonts w:ascii="Times New Roman" w:hAnsi="Times New Roman" w:cs="Times New Roman"/>
          <w:sz w:val="24"/>
          <w:szCs w:val="24"/>
        </w:rPr>
        <w:t xml:space="preserve"> piesaistes pie kāda no sociāli ekonomiskajiem rādītājiem, (3) minimālais ienākumu slieksnis piesaistīts pie nabadzības rādītāja, (4) minimālais ienākumu slieksnis piesaistīts pie kāda cita nodrošināmā līmeņa, piemēram</w:t>
      </w:r>
      <w:r w:rsidR="0057518B" w:rsidRPr="0063727B">
        <w:rPr>
          <w:rFonts w:ascii="Times New Roman" w:hAnsi="Times New Roman" w:cs="Times New Roman"/>
          <w:sz w:val="24"/>
          <w:szCs w:val="24"/>
        </w:rPr>
        <w:t>,</w:t>
      </w:r>
      <w:r w:rsidRPr="0063727B">
        <w:rPr>
          <w:rFonts w:ascii="Times New Roman" w:hAnsi="Times New Roman" w:cs="Times New Roman"/>
          <w:sz w:val="24"/>
          <w:szCs w:val="24"/>
        </w:rPr>
        <w:t xml:space="preserve"> minimālās pensijas, bezdarbnieka pabalsta vidējā apmēra, minimālās darba algas u.c. (skat. </w:t>
      </w:r>
      <w:r w:rsidR="00C120B9" w:rsidRPr="0063727B">
        <w:rPr>
          <w:rFonts w:ascii="Times New Roman" w:hAnsi="Times New Roman" w:cs="Times New Roman"/>
          <w:sz w:val="24"/>
          <w:szCs w:val="24"/>
        </w:rPr>
        <w:t>10</w:t>
      </w:r>
      <w:r w:rsidRPr="0063727B">
        <w:rPr>
          <w:rFonts w:ascii="Times New Roman" w:hAnsi="Times New Roman" w:cs="Times New Roman"/>
          <w:sz w:val="24"/>
          <w:szCs w:val="24"/>
        </w:rPr>
        <w:t xml:space="preserve">.tabulu pielikumā). Līmenis atkarībā no tā veida tiek regulāri pārskatīts vai arī tiek indeksēts ar patēriņa cenu pieaugumu. </w:t>
      </w:r>
      <w:r w:rsidRPr="0063727B">
        <w:rPr>
          <w:rFonts w:ascii="Times New Roman" w:hAnsi="Times New Roman" w:cs="Times New Roman"/>
          <w:sz w:val="24"/>
          <w:szCs w:val="24"/>
          <w:lang w:eastAsia="lv-LV"/>
        </w:rPr>
        <w:t xml:space="preserve">Kā norādīts </w:t>
      </w:r>
      <w:r w:rsidR="0057518B" w:rsidRPr="0063727B">
        <w:rPr>
          <w:rFonts w:ascii="Times New Roman" w:hAnsi="Times New Roman" w:cs="Times New Roman"/>
          <w:sz w:val="24"/>
          <w:szCs w:val="24"/>
          <w:lang w:eastAsia="lv-LV"/>
        </w:rPr>
        <w:t>PB pētījumā</w:t>
      </w:r>
      <w:r w:rsidR="004A2DE1" w:rsidRPr="0063727B">
        <w:rPr>
          <w:rFonts w:ascii="Times New Roman" w:hAnsi="Times New Roman" w:cs="Times New Roman"/>
          <w:sz w:val="24"/>
          <w:szCs w:val="24"/>
          <w:lang w:eastAsia="lv-LV"/>
        </w:rPr>
        <w:t>,</w:t>
      </w:r>
      <w:r w:rsidRPr="0063727B">
        <w:rPr>
          <w:rFonts w:ascii="Times New Roman" w:hAnsi="Times New Roman" w:cs="Times New Roman"/>
          <w:sz w:val="24"/>
          <w:szCs w:val="24"/>
          <w:lang w:eastAsia="lv-LV"/>
        </w:rPr>
        <w:t xml:space="preserve"> nepastāv vienots un universāls minimālā nodrošinājuma modelis, kas kalpotu kā labās prakses piemērs sociālās palīdzības sistēmu salīdzinošai novērtēšanai. </w:t>
      </w:r>
      <w:r w:rsidRPr="0063727B">
        <w:rPr>
          <w:rFonts w:ascii="Times New Roman" w:hAnsi="Times New Roman" w:cs="Times New Roman"/>
          <w:sz w:val="24"/>
          <w:szCs w:val="24"/>
        </w:rPr>
        <w:t>Attiecīgi katra valsts izvēlas savām iespējām atbilstošāko, kā arī iedzīvotājiem efektīvāko minimālā nodrošinājuma modeļa organizēšanas kārtību.</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ES un OECD valstīs tiek piemēroti dažādi minimālā nodrošinājuma līmeņi. Analizējot 24 ES dalībvalstu</w:t>
      </w:r>
      <w:r w:rsidRPr="0063727B">
        <w:rPr>
          <w:rStyle w:val="FootnoteReference"/>
          <w:rFonts w:ascii="Times New Roman" w:hAnsi="Times New Roman" w:cs="Times New Roman"/>
          <w:sz w:val="24"/>
          <w:szCs w:val="24"/>
        </w:rPr>
        <w:footnoteReference w:id="89"/>
      </w:r>
      <w:r w:rsidRPr="0063727B">
        <w:rPr>
          <w:rFonts w:ascii="Times New Roman" w:hAnsi="Times New Roman" w:cs="Times New Roman"/>
          <w:sz w:val="24"/>
          <w:szCs w:val="24"/>
        </w:rPr>
        <w:t xml:space="preserve"> sistēmas, var secināt, ka tikai divās no minētajām dalībvalstīm (Rumānijā un Dānijā) atbalsts tiek sniegts virs nabadzības riska sliekšņa. Gandrīz trešdaļa no šī valstu kopuma (Spānija, Īrija, Luksemburga, Beļģija, malta, Austrija, Slovēnija) nodrošina atbalstu 40 līdz 60% līmenī no nabadzības riska sliekšņa, savukārt Nīderlande, Kipra un Lietuva – 30 līdz 40% līmenī. Lielākais īpatsvars - 50 % no šī valstu kopuma sociālā nodrošinājuma līmenis ir zemāks par 30% no nabadzības riska sliekšņa (skat. 1</w:t>
      </w:r>
      <w:r w:rsidR="009E5D65" w:rsidRPr="0063727B">
        <w:rPr>
          <w:rFonts w:ascii="Times New Roman" w:hAnsi="Times New Roman" w:cs="Times New Roman"/>
          <w:sz w:val="24"/>
          <w:szCs w:val="24"/>
        </w:rPr>
        <w:t>1</w:t>
      </w:r>
      <w:r w:rsidRPr="0063727B">
        <w:rPr>
          <w:rFonts w:ascii="Times New Roman" w:hAnsi="Times New Roman" w:cs="Times New Roman"/>
          <w:sz w:val="24"/>
          <w:szCs w:val="24"/>
        </w:rPr>
        <w:t xml:space="preserve">.tabulu pielikumā). Latvija pie GMI līmeņa 40 lati </w:t>
      </w:r>
      <w:r w:rsidR="007108A1" w:rsidRPr="0063727B">
        <w:rPr>
          <w:rFonts w:ascii="Times New Roman" w:hAnsi="Times New Roman" w:cs="Times New Roman"/>
          <w:sz w:val="24"/>
          <w:szCs w:val="24"/>
        </w:rPr>
        <w:t xml:space="preserve">mēnesī </w:t>
      </w:r>
      <w:r w:rsidRPr="0063727B">
        <w:rPr>
          <w:rFonts w:ascii="Times New Roman" w:hAnsi="Times New Roman" w:cs="Times New Roman"/>
          <w:sz w:val="24"/>
          <w:szCs w:val="24"/>
        </w:rPr>
        <w:t>2012.gadā ierindojās zemākajā minimālā nodrošinājuma grupā</w:t>
      </w:r>
      <w:r w:rsidR="00813D87" w:rsidRPr="0063727B">
        <w:rPr>
          <w:rFonts w:ascii="Times New Roman" w:hAnsi="Times New Roman" w:cs="Times New Roman"/>
          <w:sz w:val="24"/>
          <w:szCs w:val="24"/>
        </w:rPr>
        <w:t>, proti,</w:t>
      </w:r>
      <w:r w:rsidRPr="0063727B">
        <w:rPr>
          <w:rFonts w:ascii="Times New Roman" w:hAnsi="Times New Roman" w:cs="Times New Roman"/>
          <w:sz w:val="24"/>
          <w:szCs w:val="24"/>
        </w:rPr>
        <w:t xml:space="preserve"> 16,5% no nabadzības riska sliekšņa jeb no mediānas ekvivalentajiem ienākumiem vienai personai. ES un OECD valstīs minimālo ienākumu programmas </w:t>
      </w:r>
      <w:r w:rsidRPr="0063727B">
        <w:rPr>
          <w:rFonts w:ascii="Times New Roman" w:hAnsi="Times New Roman" w:cs="Times New Roman"/>
          <w:sz w:val="24"/>
          <w:szCs w:val="24"/>
          <w:u w:val="single"/>
        </w:rPr>
        <w:t>parasti nodrošina vismaz 30%</w:t>
      </w:r>
      <w:r w:rsidRPr="0063727B">
        <w:rPr>
          <w:rFonts w:ascii="Times New Roman" w:hAnsi="Times New Roman" w:cs="Times New Roman"/>
          <w:sz w:val="24"/>
          <w:szCs w:val="24"/>
        </w:rPr>
        <w:t xml:space="preserve"> no vidējiem jeb mediānas ekvivalentajiem ienākumiem vienai personai, kas Latvijā veidotu aptuveni 75 lati </w:t>
      </w:r>
      <w:r w:rsidR="007108A1" w:rsidRPr="0063727B">
        <w:rPr>
          <w:rFonts w:ascii="Times New Roman" w:hAnsi="Times New Roman" w:cs="Times New Roman"/>
          <w:sz w:val="24"/>
          <w:szCs w:val="24"/>
        </w:rPr>
        <w:t xml:space="preserve">mēnesī </w:t>
      </w:r>
      <w:r w:rsidRPr="0063727B">
        <w:rPr>
          <w:rFonts w:ascii="Times New Roman" w:hAnsi="Times New Roman" w:cs="Times New Roman"/>
          <w:sz w:val="24"/>
          <w:szCs w:val="24"/>
        </w:rPr>
        <w:t>uz mājsaimniecības locekli</w:t>
      </w:r>
      <w:r w:rsidRPr="0063727B">
        <w:rPr>
          <w:rStyle w:val="FootnoteReference"/>
          <w:rFonts w:ascii="Times New Roman" w:hAnsi="Times New Roman" w:cs="Times New Roman"/>
          <w:sz w:val="24"/>
          <w:szCs w:val="24"/>
        </w:rPr>
        <w:footnoteReference w:id="90"/>
      </w:r>
      <w:r w:rsidRPr="0063727B">
        <w:rPr>
          <w:rFonts w:ascii="Times New Roman" w:hAnsi="Times New Roman" w:cs="Times New Roman"/>
          <w:sz w:val="24"/>
          <w:szCs w:val="24"/>
        </w:rPr>
        <w:t xml:space="preserve">. </w:t>
      </w:r>
      <w:r w:rsidR="00813D87" w:rsidRPr="0063727B">
        <w:rPr>
          <w:rFonts w:ascii="Times New Roman" w:hAnsi="Times New Roman" w:cs="Times New Roman"/>
          <w:sz w:val="24"/>
          <w:szCs w:val="24"/>
        </w:rPr>
        <w:t>Tomēr ir vienlīdz būtiski panākt, ka m</w:t>
      </w:r>
      <w:r w:rsidRPr="0063727B">
        <w:rPr>
          <w:rFonts w:ascii="Times New Roman" w:hAnsi="Times New Roman" w:cs="Times New Roman"/>
          <w:sz w:val="24"/>
          <w:szCs w:val="24"/>
        </w:rPr>
        <w:t>inimālā nodrošinājuma shēmas atbalsta apjomam jābūt tādam, lai tas neveicinātu pabalstu atkarību un sekmētu personas integrēšan</w:t>
      </w:r>
      <w:r w:rsidR="00A03911" w:rsidRPr="0063727B">
        <w:rPr>
          <w:rFonts w:ascii="Times New Roman" w:hAnsi="Times New Roman" w:cs="Times New Roman"/>
          <w:sz w:val="24"/>
          <w:szCs w:val="24"/>
        </w:rPr>
        <w:t>os</w:t>
      </w:r>
      <w:r w:rsidRPr="0063727B">
        <w:rPr>
          <w:rFonts w:ascii="Times New Roman" w:hAnsi="Times New Roman" w:cs="Times New Roman"/>
          <w:sz w:val="24"/>
          <w:szCs w:val="24"/>
        </w:rPr>
        <w:t xml:space="preserve"> darba tirgū.</w:t>
      </w: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Kā viena no sistēmas nepilnībām norādīta Latvijas prakse GMI atbalsta piešķiršanā nepiemērot </w:t>
      </w:r>
      <w:r w:rsidRPr="0063727B">
        <w:rPr>
          <w:rFonts w:ascii="Times New Roman" w:hAnsi="Times New Roman" w:cs="Times New Roman"/>
          <w:b/>
          <w:bCs/>
          <w:sz w:val="24"/>
          <w:szCs w:val="24"/>
        </w:rPr>
        <w:t>ekvivalences skalas</w:t>
      </w:r>
      <w:r w:rsidRPr="0063727B">
        <w:rPr>
          <w:rStyle w:val="FootnoteReference"/>
          <w:rFonts w:ascii="Times New Roman" w:hAnsi="Times New Roman" w:cs="Times New Roman"/>
          <w:bCs/>
          <w:sz w:val="24"/>
          <w:szCs w:val="24"/>
        </w:rPr>
        <w:footnoteReference w:id="91"/>
      </w:r>
      <w:r w:rsidRPr="0063727B">
        <w:rPr>
          <w:rFonts w:ascii="Times New Roman" w:hAnsi="Times New Roman" w:cs="Times New Roman"/>
          <w:sz w:val="24"/>
          <w:szCs w:val="24"/>
        </w:rPr>
        <w:t xml:space="preserve">, kā rezultātā vienas personas mājsaimniecībai vai mājsaimniecībai ar mazāku cilvēku skaitu tiek sniegts </w:t>
      </w:r>
      <w:r w:rsidR="00813D87" w:rsidRPr="0063727B">
        <w:rPr>
          <w:rFonts w:ascii="Times New Roman" w:hAnsi="Times New Roman" w:cs="Times New Roman"/>
          <w:sz w:val="24"/>
          <w:szCs w:val="24"/>
        </w:rPr>
        <w:t>neproporcionāli zemāks atbalsts, salīdzinot</w:t>
      </w:r>
      <w:r w:rsidRPr="0063727B">
        <w:rPr>
          <w:rFonts w:ascii="Times New Roman" w:hAnsi="Times New Roman" w:cs="Times New Roman"/>
          <w:sz w:val="24"/>
          <w:szCs w:val="24"/>
        </w:rPr>
        <w:t xml:space="preserve"> </w:t>
      </w:r>
      <w:r w:rsidR="00813D87" w:rsidRPr="0063727B">
        <w:rPr>
          <w:rFonts w:ascii="Times New Roman" w:hAnsi="Times New Roman" w:cs="Times New Roman"/>
          <w:sz w:val="24"/>
          <w:szCs w:val="24"/>
        </w:rPr>
        <w:t xml:space="preserve">ar </w:t>
      </w:r>
      <w:r w:rsidRPr="0063727B">
        <w:rPr>
          <w:rFonts w:ascii="Times New Roman" w:hAnsi="Times New Roman" w:cs="Times New Roman"/>
          <w:sz w:val="24"/>
          <w:szCs w:val="24"/>
        </w:rPr>
        <w:t>mājsaimniecībām</w:t>
      </w:r>
      <w:r w:rsidR="00813D87" w:rsidRPr="0063727B">
        <w:rPr>
          <w:rFonts w:ascii="Times New Roman" w:hAnsi="Times New Roman" w:cs="Times New Roman"/>
          <w:sz w:val="24"/>
          <w:szCs w:val="24"/>
        </w:rPr>
        <w:t>, kur ir</w:t>
      </w:r>
      <w:r w:rsidRPr="0063727B">
        <w:rPr>
          <w:rFonts w:ascii="Times New Roman" w:hAnsi="Times New Roman" w:cs="Times New Roman"/>
          <w:sz w:val="24"/>
          <w:szCs w:val="24"/>
        </w:rPr>
        <w:t xml:space="preserve"> lielāk</w:t>
      </w:r>
      <w:r w:rsidR="00813D87" w:rsidRPr="0063727B">
        <w:rPr>
          <w:rFonts w:ascii="Times New Roman" w:hAnsi="Times New Roman" w:cs="Times New Roman"/>
          <w:sz w:val="24"/>
          <w:szCs w:val="24"/>
        </w:rPr>
        <w:t>s</w:t>
      </w:r>
      <w:r w:rsidRPr="0063727B">
        <w:rPr>
          <w:rFonts w:ascii="Times New Roman" w:hAnsi="Times New Roman" w:cs="Times New Roman"/>
          <w:sz w:val="24"/>
          <w:szCs w:val="24"/>
        </w:rPr>
        <w:t xml:space="preserve"> cilvēku skait</w:t>
      </w:r>
      <w:r w:rsidR="00B717D9" w:rsidRPr="0063727B">
        <w:rPr>
          <w:rFonts w:ascii="Times New Roman" w:hAnsi="Times New Roman" w:cs="Times New Roman"/>
          <w:sz w:val="24"/>
          <w:szCs w:val="24"/>
        </w:rPr>
        <w:t>s</w:t>
      </w:r>
      <w:r w:rsidRPr="0063727B">
        <w:rPr>
          <w:rFonts w:ascii="Times New Roman" w:hAnsi="Times New Roman" w:cs="Times New Roman"/>
          <w:sz w:val="24"/>
          <w:szCs w:val="24"/>
        </w:rPr>
        <w:t xml:space="preserve">. GMI pabalsts </w:t>
      </w:r>
      <w:r w:rsidR="00813D87" w:rsidRPr="0063727B">
        <w:rPr>
          <w:rFonts w:ascii="Times New Roman" w:hAnsi="Times New Roman" w:cs="Times New Roman"/>
          <w:sz w:val="24"/>
          <w:szCs w:val="24"/>
        </w:rPr>
        <w:t xml:space="preserve">vienam </w:t>
      </w:r>
      <w:r w:rsidRPr="0063727B">
        <w:rPr>
          <w:rFonts w:ascii="Times New Roman" w:hAnsi="Times New Roman" w:cs="Times New Roman"/>
          <w:sz w:val="24"/>
          <w:szCs w:val="24"/>
        </w:rPr>
        <w:t>cilvēkam ir ievērojami zemāks gan absolūtos skaitļos, gan starptautiskā salīdzinājumā. Salīdzinājumā ar citām ES dalībvalstīm Lat</w:t>
      </w:r>
      <w:r w:rsidR="00813D87" w:rsidRPr="0063727B">
        <w:rPr>
          <w:rFonts w:ascii="Times New Roman" w:hAnsi="Times New Roman" w:cs="Times New Roman"/>
          <w:sz w:val="24"/>
          <w:szCs w:val="24"/>
        </w:rPr>
        <w:t>vijā GMI pabalsta apmērs vien</w:t>
      </w:r>
      <w:r w:rsidRPr="0063727B">
        <w:rPr>
          <w:rFonts w:ascii="Times New Roman" w:hAnsi="Times New Roman" w:cs="Times New Roman"/>
          <w:sz w:val="24"/>
          <w:szCs w:val="24"/>
        </w:rPr>
        <w:t xml:space="preserve">am cilvēkam ir ceturtais zemākais </w:t>
      </w:r>
      <w:r w:rsidRPr="0063727B">
        <w:rPr>
          <w:rFonts w:ascii="Times New Roman" w:hAnsi="Times New Roman" w:cs="Times New Roman"/>
          <w:sz w:val="24"/>
          <w:szCs w:val="24"/>
        </w:rPr>
        <w:lastRenderedPageBreak/>
        <w:t>rādītājs</w:t>
      </w:r>
      <w:r w:rsidRPr="0063727B">
        <w:rPr>
          <w:rStyle w:val="FootnoteReference"/>
          <w:rFonts w:ascii="Times New Roman" w:hAnsi="Times New Roman" w:cs="Times New Roman"/>
          <w:sz w:val="24"/>
          <w:szCs w:val="24"/>
        </w:rPr>
        <w:footnoteReference w:id="92"/>
      </w:r>
      <w:r w:rsidRPr="0063727B">
        <w:rPr>
          <w:rFonts w:ascii="Times New Roman" w:hAnsi="Times New Roman" w:cs="Times New Roman"/>
          <w:sz w:val="24"/>
          <w:szCs w:val="24"/>
        </w:rPr>
        <w:t>. Tā kā netiek izmantotas ekvivalences skalas, tad GMI pabalsta piešķiršanā netiek ņemts vērā, ka vienā mājsaimniecībā dzīvojošas vairākas personas kopīgi lieto pieejamos resursus un tieši šī koplietošanas iespēja, salīdzinoši ar vienas personas mājsaimniecību, nosaka nepieciešamību pēc mazākiem resursiem dažādu preču un pakalpojumu iegādei</w:t>
      </w:r>
      <w:r w:rsidR="00BD058C" w:rsidRPr="0063727B">
        <w:rPr>
          <w:rFonts w:ascii="Times New Roman" w:hAnsi="Times New Roman" w:cs="Times New Roman"/>
          <w:sz w:val="24"/>
          <w:szCs w:val="24"/>
        </w:rPr>
        <w:t xml:space="preserve"> un izdevumiem par to lietošanu</w:t>
      </w:r>
      <w:r w:rsidRPr="0063727B">
        <w:rPr>
          <w:rFonts w:ascii="Times New Roman" w:hAnsi="Times New Roman" w:cs="Times New Roman"/>
          <w:sz w:val="24"/>
          <w:szCs w:val="24"/>
        </w:rPr>
        <w:t xml:space="preserve">. </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Atšķirībā no daudzām ES dalībvalstīm Latvijas normatīvie akti nosaka visu mājsaimniecības gūto </w:t>
      </w:r>
      <w:r w:rsidRPr="0063727B">
        <w:rPr>
          <w:rFonts w:ascii="Times New Roman" w:hAnsi="Times New Roman" w:cs="Times New Roman"/>
          <w:b/>
          <w:bCs/>
          <w:sz w:val="24"/>
          <w:szCs w:val="24"/>
        </w:rPr>
        <w:t>ienākumu rūpīgu uzskaiti</w:t>
      </w:r>
      <w:r w:rsidRPr="0063727B">
        <w:rPr>
          <w:rFonts w:ascii="Times New Roman" w:hAnsi="Times New Roman" w:cs="Times New Roman"/>
          <w:sz w:val="24"/>
          <w:szCs w:val="24"/>
        </w:rPr>
        <w:t xml:space="preserve">, - </w:t>
      </w:r>
      <w:r w:rsidRPr="0063727B">
        <w:rPr>
          <w:rFonts w:ascii="Times New Roman" w:hAnsi="Times New Roman" w:cs="Times New Roman"/>
          <w:sz w:val="24"/>
          <w:szCs w:val="24"/>
          <w:u w:val="single"/>
        </w:rPr>
        <w:t>tiek uzskaitīts katrs nopelnītais vai mājsaimniecības saņemtais lats, un par šo summu tiek samazināts GMI pabalsts.</w:t>
      </w:r>
      <w:r w:rsidRPr="0063727B">
        <w:rPr>
          <w:rFonts w:ascii="Times New Roman" w:hAnsi="Times New Roman" w:cs="Times New Roman"/>
          <w:sz w:val="24"/>
          <w:szCs w:val="24"/>
        </w:rPr>
        <w:t xml:space="preserve"> Tas neveicina personu aiziešanu no sociālās palīdzības shēmām un pāreju uz nodarbinātību. Latvijā ienākumos netiek </w:t>
      </w:r>
      <w:r w:rsidR="005C05DC" w:rsidRPr="0063727B">
        <w:rPr>
          <w:rFonts w:ascii="Times New Roman" w:hAnsi="Times New Roman" w:cs="Times New Roman"/>
          <w:sz w:val="24"/>
          <w:szCs w:val="24"/>
        </w:rPr>
        <w:t xml:space="preserve">ņemti vērā </w:t>
      </w:r>
      <w:r w:rsidRPr="0063727B">
        <w:rPr>
          <w:rFonts w:ascii="Times New Roman" w:hAnsi="Times New Roman" w:cs="Times New Roman"/>
          <w:sz w:val="24"/>
          <w:szCs w:val="24"/>
        </w:rPr>
        <w:t>valsts sociālie pabalsti, kas saistīt</w:t>
      </w:r>
      <w:r w:rsidR="00BD058C" w:rsidRPr="0063727B">
        <w:rPr>
          <w:rFonts w:ascii="Times New Roman" w:hAnsi="Times New Roman" w:cs="Times New Roman"/>
          <w:sz w:val="24"/>
          <w:szCs w:val="24"/>
        </w:rPr>
        <w:t>i</w:t>
      </w:r>
      <w:r w:rsidRPr="0063727B">
        <w:rPr>
          <w:rFonts w:ascii="Times New Roman" w:hAnsi="Times New Roman" w:cs="Times New Roman"/>
          <w:sz w:val="24"/>
          <w:szCs w:val="24"/>
        </w:rPr>
        <w:t xml:space="preserve"> ar invaliditāti, bet tiek </w:t>
      </w:r>
      <w:r w:rsidR="005C05DC" w:rsidRPr="0063727B">
        <w:rPr>
          <w:rFonts w:ascii="Times New Roman" w:hAnsi="Times New Roman" w:cs="Times New Roman"/>
          <w:sz w:val="24"/>
          <w:szCs w:val="24"/>
        </w:rPr>
        <w:t xml:space="preserve">ņemti vērā </w:t>
      </w:r>
      <w:r w:rsidRPr="0063727B">
        <w:rPr>
          <w:rFonts w:ascii="Times New Roman" w:hAnsi="Times New Roman" w:cs="Times New Roman"/>
          <w:sz w:val="24"/>
          <w:szCs w:val="24"/>
        </w:rPr>
        <w:t>ienākumi no bērna pabalstiem</w:t>
      </w:r>
      <w:r w:rsidRPr="0063727B">
        <w:rPr>
          <w:rStyle w:val="FootnoteReference"/>
          <w:rFonts w:ascii="Times New Roman" w:hAnsi="Times New Roman" w:cs="Times New Roman"/>
          <w:sz w:val="24"/>
          <w:szCs w:val="24"/>
        </w:rPr>
        <w:footnoteReference w:id="93"/>
      </w:r>
      <w:r w:rsidRPr="0063727B">
        <w:rPr>
          <w:rFonts w:ascii="Times New Roman" w:hAnsi="Times New Roman" w:cs="Times New Roman"/>
          <w:sz w:val="24"/>
          <w:szCs w:val="24"/>
        </w:rPr>
        <w:t xml:space="preserve">, kas ierobežo piekļuvi minimālā nodrošinājuma programmai ģimenēm ar bērniem, neskatoties uz augsto bērnu nabadzību. Dažādās ES dalībvalstīs ir dažāda prakse, kādu ienākumu un īpašumu kopumu neņem vērā, aprēķinot minimālā nodrošinājuma pabalstu. Vairākās valstīs ienākumos netiek ņemta vērā atlīdzība par apgādnieka zaudējumu, uzturlīdzekļi bērnam, ģimenes pabalsti līdz noteiktam līmenim (piemēram, Dānijā, Polijā, Austrijā, Beļģijā, Apvienotajā Karalistē). Citās valstīs minimālā nodrošinājuma pabalsts netiek samazināts par studentu un bezdarbnieku stipendijas apmēru, kā arī bezdarbnieka transporta kompensācijas summu, kā arī skolēnu nopelnīto algu (piemēram, Igaunija, Lietuva, Slovākija). </w:t>
      </w:r>
      <w:r w:rsidR="00BD058C" w:rsidRPr="0063727B">
        <w:rPr>
          <w:rFonts w:ascii="Times New Roman" w:hAnsi="Times New Roman" w:cs="Times New Roman"/>
          <w:sz w:val="24"/>
          <w:szCs w:val="24"/>
        </w:rPr>
        <w:t xml:space="preserve">Tāpat </w:t>
      </w:r>
      <w:r w:rsidR="005735FE" w:rsidRPr="0063727B">
        <w:rPr>
          <w:rFonts w:ascii="Times New Roman" w:hAnsi="Times New Roman" w:cs="Times New Roman"/>
          <w:sz w:val="24"/>
          <w:szCs w:val="24"/>
        </w:rPr>
        <w:t xml:space="preserve">Latvijā </w:t>
      </w:r>
      <w:r w:rsidR="00AE27CE" w:rsidRPr="0063727B">
        <w:rPr>
          <w:rFonts w:ascii="Times New Roman" w:hAnsi="Times New Roman" w:cs="Times New Roman"/>
          <w:sz w:val="24"/>
          <w:szCs w:val="24"/>
        </w:rPr>
        <w:t xml:space="preserve">un citās ES dalībvalstīs </w:t>
      </w:r>
      <w:r w:rsidR="00BD058C" w:rsidRPr="0063727B">
        <w:rPr>
          <w:rFonts w:ascii="Times New Roman" w:hAnsi="Times New Roman" w:cs="Times New Roman"/>
          <w:sz w:val="24"/>
          <w:szCs w:val="24"/>
        </w:rPr>
        <w:t xml:space="preserve">tiek uzskaitīts </w:t>
      </w:r>
      <w:r w:rsidR="00CE3520" w:rsidRPr="0063727B">
        <w:rPr>
          <w:rFonts w:ascii="Times New Roman" w:hAnsi="Times New Roman" w:cs="Times New Roman"/>
          <w:sz w:val="24"/>
          <w:szCs w:val="24"/>
        </w:rPr>
        <w:t xml:space="preserve">arī </w:t>
      </w:r>
      <w:r w:rsidR="00BD058C" w:rsidRPr="0063727B">
        <w:rPr>
          <w:rFonts w:ascii="Times New Roman" w:hAnsi="Times New Roman" w:cs="Times New Roman"/>
          <w:sz w:val="24"/>
          <w:szCs w:val="24"/>
        </w:rPr>
        <w:t xml:space="preserve">mājsaimniecības kustamais un nekustamais īpašums. </w:t>
      </w:r>
      <w:r w:rsidRPr="0063727B">
        <w:rPr>
          <w:rFonts w:ascii="Times New Roman" w:hAnsi="Times New Roman" w:cs="Times New Roman"/>
          <w:sz w:val="24"/>
          <w:szCs w:val="24"/>
        </w:rPr>
        <w:t xml:space="preserve">Lietuvā netiek ņemti vērā ieņēmumi no lauksaimnieciskās zemes, ja kopējā platība nepārsniedz 1 ha. Savukārt Zviedrijā vairumā gadījumu jāpārdod automašīna, </w:t>
      </w:r>
      <w:r w:rsidR="00BD058C" w:rsidRPr="0063727B">
        <w:rPr>
          <w:rFonts w:ascii="Times New Roman" w:hAnsi="Times New Roman" w:cs="Times New Roman"/>
          <w:sz w:val="24"/>
          <w:szCs w:val="24"/>
        </w:rPr>
        <w:t xml:space="preserve">tomēr </w:t>
      </w:r>
      <w:r w:rsidRPr="0063727B">
        <w:rPr>
          <w:rFonts w:ascii="Times New Roman" w:hAnsi="Times New Roman" w:cs="Times New Roman"/>
          <w:sz w:val="24"/>
          <w:szCs w:val="24"/>
        </w:rPr>
        <w:t>izņēmums ir</w:t>
      </w:r>
      <w:r w:rsidR="00BD058C" w:rsidRPr="0063727B">
        <w:rPr>
          <w:rFonts w:ascii="Times New Roman" w:hAnsi="Times New Roman" w:cs="Times New Roman"/>
          <w:sz w:val="24"/>
          <w:szCs w:val="24"/>
        </w:rPr>
        <w:t xml:space="preserve"> tad</w:t>
      </w:r>
      <w:r w:rsidRPr="0063727B">
        <w:rPr>
          <w:rFonts w:ascii="Times New Roman" w:hAnsi="Times New Roman" w:cs="Times New Roman"/>
          <w:sz w:val="24"/>
          <w:szCs w:val="24"/>
        </w:rPr>
        <w:t>, ja tā nepieciešama, lai saglabātu piesaisti darba tirgum. Šie lēmumi attiecībā uz automašīnu ir atkarīgi no katras individuālas situācijas.</w:t>
      </w:r>
      <w:r w:rsidR="00BD058C" w:rsidRPr="0063727B">
        <w:rPr>
          <w:rFonts w:ascii="Times New Roman" w:hAnsi="Times New Roman" w:cs="Times New Roman"/>
          <w:sz w:val="24"/>
          <w:szCs w:val="24"/>
        </w:rPr>
        <w:t xml:space="preserve"> </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Praktiski visās ES dalībvalstīs, tāpat kā Latvijā, sociālās palīdzības saņēmējiem jāveic </w:t>
      </w:r>
      <w:r w:rsidRPr="0063727B">
        <w:rPr>
          <w:rFonts w:ascii="Times New Roman" w:hAnsi="Times New Roman" w:cs="Times New Roman"/>
          <w:b/>
          <w:bCs/>
          <w:sz w:val="24"/>
          <w:szCs w:val="24"/>
        </w:rPr>
        <w:t>līdzdarbības pasākumi</w:t>
      </w:r>
      <w:r w:rsidR="00BD058C" w:rsidRPr="0063727B">
        <w:rPr>
          <w:rFonts w:ascii="Times New Roman" w:hAnsi="Times New Roman" w:cs="Times New Roman"/>
          <w:b/>
          <w:bCs/>
          <w:sz w:val="24"/>
          <w:szCs w:val="24"/>
        </w:rPr>
        <w:t>.</w:t>
      </w:r>
      <w:r w:rsidRPr="0063727B">
        <w:rPr>
          <w:rFonts w:ascii="Times New Roman" w:hAnsi="Times New Roman" w:cs="Times New Roman"/>
          <w:sz w:val="24"/>
          <w:szCs w:val="24"/>
        </w:rPr>
        <w:t xml:space="preserve"> </w:t>
      </w:r>
      <w:r w:rsidR="00BD058C" w:rsidRPr="0063727B">
        <w:rPr>
          <w:rFonts w:ascii="Times New Roman" w:hAnsi="Times New Roman" w:cs="Times New Roman"/>
          <w:sz w:val="24"/>
          <w:szCs w:val="24"/>
        </w:rPr>
        <w:t>P</w:t>
      </w:r>
      <w:r w:rsidRPr="0063727B">
        <w:rPr>
          <w:rFonts w:ascii="Times New Roman" w:hAnsi="Times New Roman" w:cs="Times New Roman"/>
          <w:sz w:val="24"/>
          <w:szCs w:val="24"/>
        </w:rPr>
        <w:t xml:space="preserve">iemēram, cilvēkiem, kuri saņem sociālās palīdzības pabalstu un ir darbspējas vecumā, bet nav nodarbināti, ir jāpierāda, ka tie aktīvi meklē darbu. Ja līdzdarbības nosacījumi netiek pildīti, vairākumā dalībvalstu tiek pieņemts lēmums par ierobežojumiem attiecībā uz sociālās palīdzības pabalsta izmaksu. Taču sociālā dienesta klienta līdzdarbības pasākumi ne vienmēr primāri </w:t>
      </w:r>
      <w:r w:rsidR="0062468B" w:rsidRPr="0063727B">
        <w:rPr>
          <w:rFonts w:ascii="Times New Roman" w:hAnsi="Times New Roman" w:cs="Times New Roman"/>
          <w:sz w:val="24"/>
          <w:szCs w:val="24"/>
        </w:rPr>
        <w:t xml:space="preserve">ir </w:t>
      </w:r>
      <w:r w:rsidRPr="0063727B">
        <w:rPr>
          <w:rFonts w:ascii="Times New Roman" w:hAnsi="Times New Roman" w:cs="Times New Roman"/>
          <w:sz w:val="24"/>
          <w:szCs w:val="24"/>
        </w:rPr>
        <w:t xml:space="preserve">saistīti ar nodarbinātību, jo sociālā darbinieka pamatuzdevums ir palīdzēt risināt </w:t>
      </w:r>
      <w:r w:rsidRPr="0063727B">
        <w:rPr>
          <w:rFonts w:ascii="Times New Roman" w:hAnsi="Times New Roman" w:cs="Times New Roman"/>
          <w:i/>
          <w:iCs/>
          <w:sz w:val="24"/>
          <w:szCs w:val="24"/>
        </w:rPr>
        <w:t>pretrunu</w:t>
      </w:r>
      <w:r w:rsidRPr="0063727B">
        <w:rPr>
          <w:rFonts w:ascii="Times New Roman" w:hAnsi="Times New Roman" w:cs="Times New Roman"/>
          <w:sz w:val="24"/>
          <w:szCs w:val="24"/>
        </w:rPr>
        <w:t xml:space="preserve"> starp cilvēka dzīves vajadzībām un to apmierināšanas iespējām konkrētā sociālajā sistēmā. Ilgstoši nerisināta pretruna izpaužas, piemēram, ģimenes nestabilitātē, alkoholismā, narkomānijā, prostitūcijā, pašnāvības mēģinājumos, nabadzībā, vardarbībā u.c.</w:t>
      </w:r>
      <w:r w:rsidR="00BD058C" w:rsidRPr="0063727B">
        <w:rPr>
          <w:rFonts w:ascii="Times New Roman" w:hAnsi="Times New Roman" w:cs="Times New Roman"/>
          <w:sz w:val="24"/>
          <w:szCs w:val="24"/>
        </w:rPr>
        <w:t xml:space="preserve"> </w:t>
      </w: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Latvijā starp GMI pabalsta saņēmējiem lielāk</w:t>
      </w:r>
      <w:r w:rsidR="0062468B" w:rsidRPr="0063727B">
        <w:rPr>
          <w:rFonts w:ascii="Times New Roman" w:hAnsi="Times New Roman" w:cs="Times New Roman"/>
          <w:sz w:val="24"/>
          <w:szCs w:val="24"/>
        </w:rPr>
        <w:t>o īpatsvaru veido</w:t>
      </w:r>
      <w:r w:rsidRPr="0063727B">
        <w:rPr>
          <w:rFonts w:ascii="Times New Roman" w:hAnsi="Times New Roman" w:cs="Times New Roman"/>
          <w:sz w:val="24"/>
          <w:szCs w:val="24"/>
        </w:rPr>
        <w:t xml:space="preserve"> bezdarbnieki (2012.gadā - 39%)</w:t>
      </w:r>
      <w:r w:rsidR="0062468B"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 Jāatzīmē, ka GMI pabalsta saņēmēju vidū apmēram 11% jeb 11,2 tūkst. - 13,6 tūkst. ir strādājošas personas (sk</w:t>
      </w:r>
      <w:r w:rsidR="0062468B" w:rsidRPr="0063727B">
        <w:rPr>
          <w:rFonts w:ascii="Times New Roman" w:hAnsi="Times New Roman" w:cs="Times New Roman"/>
          <w:sz w:val="24"/>
          <w:szCs w:val="24"/>
        </w:rPr>
        <w:t>at</w:t>
      </w:r>
      <w:r w:rsidRPr="0063727B">
        <w:rPr>
          <w:rFonts w:ascii="Times New Roman" w:hAnsi="Times New Roman" w:cs="Times New Roman"/>
          <w:sz w:val="24"/>
          <w:szCs w:val="24"/>
        </w:rPr>
        <w:t xml:space="preserve">. </w:t>
      </w:r>
      <w:r w:rsidR="00A13E9C" w:rsidRPr="0063727B">
        <w:rPr>
          <w:rFonts w:ascii="Times New Roman" w:hAnsi="Times New Roman" w:cs="Times New Roman"/>
          <w:sz w:val="24"/>
          <w:szCs w:val="24"/>
        </w:rPr>
        <w:t>8</w:t>
      </w:r>
      <w:r w:rsidRPr="0063727B">
        <w:rPr>
          <w:rFonts w:ascii="Times New Roman" w:hAnsi="Times New Roman" w:cs="Times New Roman"/>
          <w:sz w:val="24"/>
          <w:szCs w:val="24"/>
        </w:rPr>
        <w:t xml:space="preserve">.attēlu). </w:t>
      </w:r>
      <w:r w:rsidR="0062468B" w:rsidRPr="0063727B">
        <w:rPr>
          <w:rFonts w:ascii="Times New Roman" w:hAnsi="Times New Roman" w:cs="Times New Roman"/>
          <w:sz w:val="24"/>
          <w:szCs w:val="24"/>
        </w:rPr>
        <w:t xml:space="preserve">Tomēr statistiskā informācija </w:t>
      </w:r>
      <w:r w:rsidRPr="0063727B">
        <w:rPr>
          <w:rFonts w:ascii="Times New Roman" w:hAnsi="Times New Roman" w:cs="Times New Roman"/>
          <w:sz w:val="24"/>
          <w:szCs w:val="24"/>
        </w:rPr>
        <w:t>par sociālās palīdzības saņēmēju zemo ienākumu vai to neesamības cēloņi</w:t>
      </w:r>
      <w:r w:rsidR="0062468B" w:rsidRPr="0063727B">
        <w:rPr>
          <w:rFonts w:ascii="Times New Roman" w:hAnsi="Times New Roman" w:cs="Times New Roman"/>
          <w:sz w:val="24"/>
          <w:szCs w:val="24"/>
        </w:rPr>
        <w:t>em nav pieejama</w:t>
      </w:r>
      <w:r w:rsidRPr="0063727B">
        <w:rPr>
          <w:rFonts w:ascii="Times New Roman" w:hAnsi="Times New Roman" w:cs="Times New Roman"/>
          <w:sz w:val="24"/>
          <w:szCs w:val="24"/>
        </w:rPr>
        <w:t xml:space="preserve">.  </w:t>
      </w:r>
    </w:p>
    <w:p w:rsidR="00343AF5"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p>
    <w:p w:rsidR="002A46BF" w:rsidRDefault="002A46BF" w:rsidP="00297E34">
      <w:pPr>
        <w:autoSpaceDE w:val="0"/>
        <w:autoSpaceDN w:val="0"/>
        <w:adjustRightInd w:val="0"/>
        <w:spacing w:after="0" w:line="240" w:lineRule="auto"/>
        <w:ind w:firstLine="709"/>
        <w:jc w:val="both"/>
        <w:rPr>
          <w:rFonts w:ascii="Times New Roman" w:hAnsi="Times New Roman" w:cs="Times New Roman"/>
          <w:sz w:val="24"/>
          <w:szCs w:val="24"/>
        </w:rPr>
      </w:pPr>
    </w:p>
    <w:p w:rsidR="002A46BF" w:rsidRDefault="002A46BF" w:rsidP="00297E34">
      <w:pPr>
        <w:autoSpaceDE w:val="0"/>
        <w:autoSpaceDN w:val="0"/>
        <w:adjustRightInd w:val="0"/>
        <w:spacing w:after="0" w:line="240" w:lineRule="auto"/>
        <w:ind w:firstLine="709"/>
        <w:jc w:val="both"/>
        <w:rPr>
          <w:rFonts w:ascii="Times New Roman" w:hAnsi="Times New Roman" w:cs="Times New Roman"/>
          <w:sz w:val="24"/>
          <w:szCs w:val="24"/>
        </w:rPr>
      </w:pPr>
    </w:p>
    <w:p w:rsidR="002A46BF" w:rsidRDefault="002A46BF" w:rsidP="00297E34">
      <w:pPr>
        <w:autoSpaceDE w:val="0"/>
        <w:autoSpaceDN w:val="0"/>
        <w:adjustRightInd w:val="0"/>
        <w:spacing w:after="0" w:line="240" w:lineRule="auto"/>
        <w:ind w:firstLine="709"/>
        <w:jc w:val="both"/>
        <w:rPr>
          <w:rFonts w:ascii="Times New Roman" w:hAnsi="Times New Roman" w:cs="Times New Roman"/>
          <w:sz w:val="24"/>
          <w:szCs w:val="24"/>
        </w:rPr>
      </w:pPr>
    </w:p>
    <w:p w:rsidR="002A46BF" w:rsidRDefault="002A46BF" w:rsidP="00297E34">
      <w:pPr>
        <w:autoSpaceDE w:val="0"/>
        <w:autoSpaceDN w:val="0"/>
        <w:adjustRightInd w:val="0"/>
        <w:spacing w:after="0" w:line="240" w:lineRule="auto"/>
        <w:ind w:firstLine="709"/>
        <w:jc w:val="both"/>
        <w:rPr>
          <w:rFonts w:ascii="Times New Roman" w:hAnsi="Times New Roman" w:cs="Times New Roman"/>
          <w:sz w:val="24"/>
          <w:szCs w:val="24"/>
        </w:rPr>
      </w:pPr>
    </w:p>
    <w:p w:rsidR="002A46BF" w:rsidRPr="0063727B" w:rsidRDefault="002A46BF" w:rsidP="00297E34">
      <w:pPr>
        <w:autoSpaceDE w:val="0"/>
        <w:autoSpaceDN w:val="0"/>
        <w:adjustRightInd w:val="0"/>
        <w:spacing w:after="0" w:line="240" w:lineRule="auto"/>
        <w:ind w:firstLine="709"/>
        <w:jc w:val="both"/>
        <w:rPr>
          <w:rFonts w:ascii="Times New Roman" w:hAnsi="Times New Roman" w:cs="Times New Roman"/>
          <w:sz w:val="24"/>
          <w:szCs w:val="24"/>
        </w:rPr>
      </w:pPr>
    </w:p>
    <w:p w:rsidR="00BD058C" w:rsidRPr="0063727B" w:rsidRDefault="00A13E9C" w:rsidP="00BD058C">
      <w:pPr>
        <w:spacing w:after="0" w:line="240" w:lineRule="auto"/>
        <w:jc w:val="right"/>
        <w:rPr>
          <w:rFonts w:ascii="Times New Roman" w:hAnsi="Times New Roman" w:cs="Times New Roman"/>
          <w:sz w:val="24"/>
          <w:szCs w:val="24"/>
        </w:rPr>
      </w:pPr>
      <w:r w:rsidRPr="0063727B">
        <w:rPr>
          <w:rFonts w:ascii="Times New Roman" w:hAnsi="Times New Roman" w:cs="Times New Roman"/>
          <w:sz w:val="24"/>
          <w:szCs w:val="24"/>
        </w:rPr>
        <w:lastRenderedPageBreak/>
        <w:t>8</w:t>
      </w:r>
      <w:r w:rsidR="00343AF5" w:rsidRPr="0063727B">
        <w:rPr>
          <w:rFonts w:ascii="Times New Roman" w:hAnsi="Times New Roman" w:cs="Times New Roman"/>
          <w:sz w:val="24"/>
          <w:szCs w:val="24"/>
        </w:rPr>
        <w:t xml:space="preserve">.attēls </w:t>
      </w:r>
    </w:p>
    <w:p w:rsidR="00343AF5" w:rsidRPr="0063727B" w:rsidRDefault="00343AF5" w:rsidP="00BD058C">
      <w:pPr>
        <w:spacing w:after="120" w:line="240" w:lineRule="auto"/>
        <w:jc w:val="center"/>
        <w:rPr>
          <w:rFonts w:ascii="Times New Roman" w:hAnsi="Times New Roman" w:cs="Times New Roman"/>
          <w:b/>
          <w:sz w:val="24"/>
          <w:szCs w:val="24"/>
        </w:rPr>
      </w:pPr>
      <w:r w:rsidRPr="0063727B">
        <w:rPr>
          <w:rFonts w:ascii="Times New Roman" w:hAnsi="Times New Roman" w:cs="Times New Roman"/>
          <w:b/>
          <w:sz w:val="24"/>
          <w:szCs w:val="24"/>
        </w:rPr>
        <w:t>GMI pabalsta saņēm</w:t>
      </w:r>
      <w:r w:rsidR="00BD058C" w:rsidRPr="0063727B">
        <w:rPr>
          <w:rFonts w:ascii="Times New Roman" w:hAnsi="Times New Roman" w:cs="Times New Roman"/>
          <w:b/>
          <w:sz w:val="24"/>
          <w:szCs w:val="24"/>
        </w:rPr>
        <w:t>ēju struktūra 2010. – 2012.gadā (</w:t>
      </w:r>
      <w:r w:rsidRPr="0063727B">
        <w:rPr>
          <w:rFonts w:ascii="Times New Roman" w:hAnsi="Times New Roman" w:cs="Times New Roman"/>
          <w:b/>
          <w:sz w:val="24"/>
          <w:szCs w:val="24"/>
        </w:rPr>
        <w:t>personas</w:t>
      </w:r>
      <w:r w:rsidR="00BD058C" w:rsidRPr="0063727B">
        <w:rPr>
          <w:rFonts w:ascii="Times New Roman" w:hAnsi="Times New Roman" w:cs="Times New Roman"/>
          <w:b/>
          <w:sz w:val="24"/>
          <w:szCs w:val="24"/>
        </w:rPr>
        <w:t>)</w:t>
      </w:r>
    </w:p>
    <w:p w:rsidR="00BD058C" w:rsidRPr="0063727B" w:rsidRDefault="00C24738" w:rsidP="00BD058C">
      <w:pPr>
        <w:pStyle w:val="naisf"/>
        <w:spacing w:before="0" w:beforeAutospacing="0" w:after="0" w:afterAutospacing="0"/>
        <w:ind w:left="709"/>
        <w:jc w:val="both"/>
        <w:rPr>
          <w:noProof/>
          <w:lang w:val="lv-LV" w:eastAsia="ru-RU"/>
        </w:rPr>
      </w:pPr>
      <w:r w:rsidRPr="0063727B">
        <w:rPr>
          <w:noProof/>
          <w:lang w:val="lv-LV"/>
        </w:rPr>
        <w:drawing>
          <wp:inline distT="0" distB="0" distL="0" distR="0" wp14:anchorId="5D1344C6" wp14:editId="474241B6">
            <wp:extent cx="4714875" cy="2790825"/>
            <wp:effectExtent l="0" t="0" r="9525" b="9525"/>
            <wp:docPr id="8" name="Chart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0"/>
                    <pic:cNvPicPr>
                      <a:picLocks noChangeArrowheads="1"/>
                    </pic:cNvPicPr>
                  </pic:nvPicPr>
                  <pic:blipFill>
                    <a:blip r:embed="rId21">
                      <a:extLst>
                        <a:ext uri="{28A0092B-C50C-407E-A947-70E740481C1C}">
                          <a14:useLocalDpi xmlns:a14="http://schemas.microsoft.com/office/drawing/2010/main" val="0"/>
                        </a:ext>
                      </a:extLst>
                    </a:blip>
                    <a:srcRect b="-61"/>
                    <a:stretch>
                      <a:fillRect/>
                    </a:stretch>
                  </pic:blipFill>
                  <pic:spPr bwMode="auto">
                    <a:xfrm>
                      <a:off x="0" y="0"/>
                      <a:ext cx="4714875" cy="2790825"/>
                    </a:xfrm>
                    <a:prstGeom prst="rect">
                      <a:avLst/>
                    </a:prstGeom>
                    <a:noFill/>
                    <a:ln>
                      <a:noFill/>
                    </a:ln>
                  </pic:spPr>
                </pic:pic>
              </a:graphicData>
            </a:graphic>
          </wp:inline>
        </w:drawing>
      </w:r>
    </w:p>
    <w:p w:rsidR="00343AF5" w:rsidRPr="0063727B" w:rsidRDefault="00BD058C" w:rsidP="00BD058C">
      <w:pPr>
        <w:pStyle w:val="naisf"/>
        <w:spacing w:before="0" w:beforeAutospacing="0" w:after="0" w:afterAutospacing="0"/>
        <w:ind w:left="709"/>
        <w:jc w:val="both"/>
        <w:rPr>
          <w:rFonts w:ascii="Times New Roman" w:hAnsi="Times New Roman"/>
          <w:sz w:val="20"/>
          <w:szCs w:val="20"/>
          <w:lang w:val="lv-LV"/>
        </w:rPr>
      </w:pPr>
      <w:r w:rsidRPr="0063727B">
        <w:rPr>
          <w:rFonts w:ascii="Times New Roman" w:hAnsi="Times New Roman"/>
          <w:sz w:val="20"/>
          <w:szCs w:val="20"/>
          <w:lang w:val="lv-LV"/>
        </w:rPr>
        <w:t>Avo</w:t>
      </w:r>
      <w:r w:rsidR="00343AF5" w:rsidRPr="0063727B">
        <w:rPr>
          <w:rFonts w:ascii="Times New Roman" w:hAnsi="Times New Roman"/>
          <w:sz w:val="20"/>
          <w:szCs w:val="20"/>
          <w:lang w:val="lv-LV"/>
        </w:rPr>
        <w:t>ts: Valsts statistikas pārskatu dati.</w:t>
      </w: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Kā viens no </w:t>
      </w:r>
      <w:r w:rsidR="005D7FF4" w:rsidRPr="0063727B">
        <w:rPr>
          <w:rFonts w:ascii="Times New Roman" w:hAnsi="Times New Roman" w:cs="Times New Roman"/>
          <w:sz w:val="24"/>
          <w:szCs w:val="24"/>
        </w:rPr>
        <w:t xml:space="preserve">iespējamiem </w:t>
      </w:r>
      <w:r w:rsidRPr="0063727B">
        <w:rPr>
          <w:rFonts w:ascii="Times New Roman" w:hAnsi="Times New Roman" w:cs="Times New Roman"/>
          <w:sz w:val="24"/>
          <w:szCs w:val="24"/>
        </w:rPr>
        <w:t>cēloņiem ir zemais atalgojums vai nepilna darba laika nodarbinātība, kad</w:t>
      </w:r>
      <w:r w:rsidR="0062468B" w:rsidRPr="0063727B">
        <w:rPr>
          <w:rFonts w:ascii="Times New Roman" w:hAnsi="Times New Roman" w:cs="Times New Roman"/>
          <w:sz w:val="24"/>
          <w:szCs w:val="24"/>
        </w:rPr>
        <w:t>,</w:t>
      </w:r>
      <w:r w:rsidRPr="0063727B">
        <w:rPr>
          <w:rFonts w:ascii="Times New Roman" w:hAnsi="Times New Roman" w:cs="Times New Roman"/>
          <w:sz w:val="24"/>
          <w:szCs w:val="24"/>
        </w:rPr>
        <w:t xml:space="preserve"> pat strādājot apmaksātu darbu, persona nespēj pienācīgi uzturēt nedz sevi, nedz savu ģimeni. Līdz ar to iedzīvotājiem, kuri ir nodarbināti gan nepilnu, gan pilnu darba laiku, arī ir jāsniedz sociālā palīdzība, ja viņu ienākumi nesasniedz minimāli nodrošināmo ienākumu līmeni. Šajā gadījumā nepieciešams izzināt klienta sociālo situāciju un vienoties par atbilstošāko problēmas risinājumu, kam ideālā gadījumā jābūt saistītam ar labāka darba atrašanas iespējām, kā arī ar piekļuvi izglītības pakalpojumam.</w:t>
      </w:r>
    </w:p>
    <w:p w:rsidR="00A87F3A"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Šobrīd Latvijā pastāv prasība pašvaldību sociālās palīdzības saņēmējiem sadarboties ar </w:t>
      </w:r>
      <w:r w:rsidR="0062468B" w:rsidRPr="0063727B">
        <w:rPr>
          <w:rFonts w:ascii="Times New Roman" w:hAnsi="Times New Roman" w:cs="Times New Roman"/>
          <w:sz w:val="24"/>
          <w:szCs w:val="24"/>
        </w:rPr>
        <w:t xml:space="preserve">Nodarbinātības valsts aģentūru (turpmāk – </w:t>
      </w:r>
      <w:r w:rsidRPr="0063727B">
        <w:rPr>
          <w:rFonts w:ascii="Times New Roman" w:hAnsi="Times New Roman" w:cs="Times New Roman"/>
          <w:sz w:val="24"/>
          <w:szCs w:val="24"/>
        </w:rPr>
        <w:t>NVA</w:t>
      </w:r>
      <w:r w:rsidR="0062468B" w:rsidRPr="0063727B">
        <w:rPr>
          <w:rFonts w:ascii="Times New Roman" w:hAnsi="Times New Roman" w:cs="Times New Roman"/>
          <w:sz w:val="24"/>
          <w:szCs w:val="24"/>
        </w:rPr>
        <w:t>)</w:t>
      </w:r>
      <w:r w:rsidRPr="0063727B">
        <w:rPr>
          <w:rFonts w:ascii="Times New Roman" w:hAnsi="Times New Roman" w:cs="Times New Roman"/>
          <w:sz w:val="24"/>
          <w:szCs w:val="24"/>
        </w:rPr>
        <w:t>, reģistrēties, aktīvi meklēt darbu un piedalīties nodarbinātību veicinošos pasākumos, t.i., jāpilda bezdarbnieka pienākumi. Tiesību aktos noteikti arī izņēmuma gadījumi</w:t>
      </w:r>
      <w:r w:rsidRPr="0063727B">
        <w:rPr>
          <w:rStyle w:val="FootnoteReference"/>
          <w:rFonts w:ascii="Times New Roman" w:hAnsi="Times New Roman" w:cs="Times New Roman"/>
          <w:sz w:val="24"/>
          <w:szCs w:val="24"/>
        </w:rPr>
        <w:footnoteReference w:id="94"/>
      </w:r>
      <w:r w:rsidRPr="0063727B">
        <w:rPr>
          <w:rFonts w:ascii="Times New Roman" w:hAnsi="Times New Roman" w:cs="Times New Roman"/>
          <w:sz w:val="24"/>
          <w:szCs w:val="24"/>
        </w:rPr>
        <w:t xml:space="preserve">, kad klientam nav obligāti jāreģistrējas NVA, piemēram, valsts vecuma un invaliditātes pensiju saņēmējiem, sievietēm grūtniecības, dzemdību atvaļinājuma laikā un bērna kopšanas periodā, vienam no bērna invalīda vecākiem, skolēniem, studentiem u.c. </w:t>
      </w:r>
      <w:r w:rsidR="00A43B70" w:rsidRPr="0063727B">
        <w:rPr>
          <w:rFonts w:ascii="Times New Roman" w:hAnsi="Times New Roman" w:cs="Times New Roman"/>
          <w:sz w:val="24"/>
          <w:szCs w:val="24"/>
        </w:rPr>
        <w:t xml:space="preserve">Problēma ir tajos gadījumos, kad persona objektīvu vai subjektīvu iemeslu dēļ zaudē bezdarbnieka statusu un līdz ar to persona un </w:t>
      </w:r>
      <w:r w:rsidR="009D2379" w:rsidRPr="0063727B">
        <w:rPr>
          <w:rFonts w:ascii="Times New Roman" w:hAnsi="Times New Roman" w:cs="Times New Roman"/>
          <w:sz w:val="24"/>
          <w:szCs w:val="24"/>
        </w:rPr>
        <w:t xml:space="preserve">tās </w:t>
      </w:r>
      <w:r w:rsidR="00A43B70" w:rsidRPr="0063727B">
        <w:rPr>
          <w:rFonts w:ascii="Times New Roman" w:hAnsi="Times New Roman" w:cs="Times New Roman"/>
          <w:sz w:val="24"/>
          <w:szCs w:val="24"/>
        </w:rPr>
        <w:t xml:space="preserve">apgādājamie zaudē tiesības saņemt sociālo palīdzību. </w:t>
      </w:r>
      <w:r w:rsidR="008A625F" w:rsidRPr="0063727B">
        <w:rPr>
          <w:rFonts w:ascii="Times New Roman" w:hAnsi="Times New Roman" w:cs="Times New Roman"/>
          <w:sz w:val="24"/>
          <w:szCs w:val="24"/>
        </w:rPr>
        <w:t>Izskatot</w:t>
      </w:r>
      <w:r w:rsidR="009708E7" w:rsidRPr="0063727B">
        <w:rPr>
          <w:rFonts w:ascii="Times New Roman" w:hAnsi="Times New Roman" w:cs="Times New Roman"/>
          <w:sz w:val="24"/>
          <w:szCs w:val="24"/>
        </w:rPr>
        <w:t xml:space="preserve"> klientu iesniegum</w:t>
      </w:r>
      <w:r w:rsidR="008A625F" w:rsidRPr="0063727B">
        <w:rPr>
          <w:rFonts w:ascii="Times New Roman" w:hAnsi="Times New Roman" w:cs="Times New Roman"/>
          <w:sz w:val="24"/>
          <w:szCs w:val="24"/>
        </w:rPr>
        <w:t>us</w:t>
      </w:r>
      <w:r w:rsidR="009708E7" w:rsidRPr="0063727B">
        <w:rPr>
          <w:rFonts w:ascii="Times New Roman" w:hAnsi="Times New Roman" w:cs="Times New Roman"/>
          <w:sz w:val="24"/>
          <w:szCs w:val="24"/>
        </w:rPr>
        <w:t xml:space="preserve"> un sūdzīb</w:t>
      </w:r>
      <w:r w:rsidR="008A625F" w:rsidRPr="0063727B">
        <w:rPr>
          <w:rFonts w:ascii="Times New Roman" w:hAnsi="Times New Roman" w:cs="Times New Roman"/>
          <w:sz w:val="24"/>
          <w:szCs w:val="24"/>
        </w:rPr>
        <w:t>a</w:t>
      </w:r>
      <w:r w:rsidR="009708E7" w:rsidRPr="0063727B">
        <w:rPr>
          <w:rFonts w:ascii="Times New Roman" w:hAnsi="Times New Roman" w:cs="Times New Roman"/>
          <w:sz w:val="24"/>
          <w:szCs w:val="24"/>
        </w:rPr>
        <w:t xml:space="preserve">s </w:t>
      </w:r>
      <w:r w:rsidR="00F004E5" w:rsidRPr="0063727B">
        <w:rPr>
          <w:rFonts w:ascii="Times New Roman" w:hAnsi="Times New Roman" w:cs="Times New Roman"/>
          <w:sz w:val="24"/>
          <w:szCs w:val="24"/>
        </w:rPr>
        <w:t>L</w:t>
      </w:r>
      <w:r w:rsidR="009708E7" w:rsidRPr="0063727B">
        <w:rPr>
          <w:rFonts w:ascii="Times New Roman" w:hAnsi="Times New Roman" w:cs="Times New Roman"/>
          <w:sz w:val="24"/>
          <w:szCs w:val="24"/>
        </w:rPr>
        <w:t>abklājības ministrij</w:t>
      </w:r>
      <w:r w:rsidR="00F004E5" w:rsidRPr="0063727B">
        <w:rPr>
          <w:rFonts w:ascii="Times New Roman" w:hAnsi="Times New Roman" w:cs="Times New Roman"/>
          <w:sz w:val="24"/>
          <w:szCs w:val="24"/>
        </w:rPr>
        <w:t>ai</w:t>
      </w:r>
      <w:r w:rsidR="008A625F" w:rsidRPr="0063727B">
        <w:rPr>
          <w:rFonts w:ascii="Times New Roman" w:hAnsi="Times New Roman" w:cs="Times New Roman"/>
          <w:sz w:val="24"/>
          <w:szCs w:val="24"/>
        </w:rPr>
        <w:t>, kurās</w:t>
      </w:r>
      <w:r w:rsidR="00F004E5" w:rsidRPr="0063727B">
        <w:rPr>
          <w:rFonts w:ascii="Times New Roman" w:hAnsi="Times New Roman" w:cs="Times New Roman"/>
          <w:sz w:val="24"/>
          <w:szCs w:val="24"/>
        </w:rPr>
        <w:t xml:space="preserve"> minēt</w:t>
      </w:r>
      <w:r w:rsidR="008A625F" w:rsidRPr="0063727B">
        <w:rPr>
          <w:rFonts w:ascii="Times New Roman" w:hAnsi="Times New Roman" w:cs="Times New Roman"/>
          <w:sz w:val="24"/>
          <w:szCs w:val="24"/>
        </w:rPr>
        <w:t>a</w:t>
      </w:r>
      <w:r w:rsidR="00F004E5" w:rsidRPr="0063727B">
        <w:rPr>
          <w:rFonts w:ascii="Times New Roman" w:hAnsi="Times New Roman" w:cs="Times New Roman"/>
          <w:sz w:val="24"/>
          <w:szCs w:val="24"/>
        </w:rPr>
        <w:t>s konkrēt</w:t>
      </w:r>
      <w:r w:rsidR="008A625F" w:rsidRPr="0063727B">
        <w:rPr>
          <w:rFonts w:ascii="Times New Roman" w:hAnsi="Times New Roman" w:cs="Times New Roman"/>
          <w:sz w:val="24"/>
          <w:szCs w:val="24"/>
        </w:rPr>
        <w:t>a</w:t>
      </w:r>
      <w:r w:rsidR="00F004E5" w:rsidRPr="0063727B">
        <w:rPr>
          <w:rFonts w:ascii="Times New Roman" w:hAnsi="Times New Roman" w:cs="Times New Roman"/>
          <w:sz w:val="24"/>
          <w:szCs w:val="24"/>
        </w:rPr>
        <w:t xml:space="preserve">s </w:t>
      </w:r>
      <w:r w:rsidR="008A625F" w:rsidRPr="0063727B">
        <w:rPr>
          <w:rFonts w:ascii="Times New Roman" w:hAnsi="Times New Roman" w:cs="Times New Roman"/>
          <w:sz w:val="24"/>
          <w:szCs w:val="24"/>
        </w:rPr>
        <w:t>ģimenes situācijas</w:t>
      </w:r>
      <w:r w:rsidR="009708E7" w:rsidRPr="0063727B">
        <w:rPr>
          <w:rFonts w:ascii="Times New Roman" w:hAnsi="Times New Roman" w:cs="Times New Roman"/>
          <w:sz w:val="24"/>
          <w:szCs w:val="24"/>
        </w:rPr>
        <w:t>,</w:t>
      </w:r>
      <w:proofErr w:type="gramStart"/>
      <w:r w:rsidR="009708E7" w:rsidRPr="0063727B">
        <w:rPr>
          <w:rFonts w:ascii="Times New Roman" w:hAnsi="Times New Roman" w:cs="Times New Roman"/>
          <w:sz w:val="24"/>
          <w:szCs w:val="24"/>
        </w:rPr>
        <w:t xml:space="preserve"> </w:t>
      </w:r>
      <w:r w:rsidR="008A625F" w:rsidRPr="0063727B">
        <w:rPr>
          <w:rFonts w:ascii="Times New Roman" w:hAnsi="Times New Roman" w:cs="Times New Roman"/>
          <w:sz w:val="24"/>
          <w:szCs w:val="24"/>
        </w:rPr>
        <w:t xml:space="preserve"> </w:t>
      </w:r>
      <w:proofErr w:type="gramEnd"/>
      <w:r w:rsidR="008A625F" w:rsidRPr="0063727B">
        <w:rPr>
          <w:rFonts w:ascii="Times New Roman" w:hAnsi="Times New Roman" w:cs="Times New Roman"/>
          <w:sz w:val="24"/>
          <w:szCs w:val="24"/>
        </w:rPr>
        <w:t>jāsecina</w:t>
      </w:r>
      <w:r w:rsidRPr="0063727B">
        <w:rPr>
          <w:rFonts w:ascii="Times New Roman" w:hAnsi="Times New Roman" w:cs="Times New Roman"/>
          <w:sz w:val="24"/>
          <w:szCs w:val="24"/>
        </w:rPr>
        <w:t>, ka ne vienmēr NVA piedāvātie pasākumi ir atbilstoši ģimenes situācijai un sniedz atbilstošu atbalstu personas iesaistei darba tirgū</w:t>
      </w:r>
      <w:r w:rsidR="00994C77" w:rsidRPr="0063727B">
        <w:rPr>
          <w:rFonts w:ascii="Times New Roman" w:hAnsi="Times New Roman" w:cs="Times New Roman"/>
          <w:sz w:val="24"/>
          <w:szCs w:val="24"/>
        </w:rPr>
        <w:t xml:space="preserve"> vai NVA piedāvātajos rehabilitācijas pasākumos</w:t>
      </w:r>
      <w:r w:rsidR="0014283E" w:rsidRPr="0063727B">
        <w:rPr>
          <w:rFonts w:ascii="Times New Roman" w:hAnsi="Times New Roman" w:cs="Times New Roman"/>
          <w:sz w:val="24"/>
          <w:szCs w:val="24"/>
        </w:rPr>
        <w:t xml:space="preserve"> Ne vienmēr ir skaidrs, kāda atbildības daļa katrā gadījumā jāuzņemas NVA un kāda pašvaldības sociālajam dienestam, </w:t>
      </w:r>
      <w:r w:rsidR="009D1D72" w:rsidRPr="0063727B">
        <w:rPr>
          <w:rFonts w:ascii="Times New Roman" w:hAnsi="Times New Roman" w:cs="Times New Roman"/>
          <w:sz w:val="24"/>
          <w:szCs w:val="24"/>
        </w:rPr>
        <w:t xml:space="preserve">un </w:t>
      </w:r>
      <w:r w:rsidR="0014283E" w:rsidRPr="0063727B">
        <w:rPr>
          <w:rFonts w:ascii="Times New Roman" w:hAnsi="Times New Roman" w:cs="Times New Roman"/>
          <w:sz w:val="24"/>
          <w:szCs w:val="24"/>
        </w:rPr>
        <w:t>kura</w:t>
      </w:r>
      <w:r w:rsidR="00491097" w:rsidRPr="0063727B">
        <w:rPr>
          <w:rFonts w:ascii="Times New Roman" w:hAnsi="Times New Roman" w:cs="Times New Roman"/>
          <w:sz w:val="24"/>
          <w:szCs w:val="24"/>
        </w:rPr>
        <w:t>i institūcijai</w:t>
      </w:r>
      <w:r w:rsidR="0014283E" w:rsidRPr="0063727B">
        <w:rPr>
          <w:rFonts w:ascii="Times New Roman" w:hAnsi="Times New Roman" w:cs="Times New Roman"/>
          <w:sz w:val="24"/>
          <w:szCs w:val="24"/>
        </w:rPr>
        <w:t xml:space="preserve"> jānodrošinās </w:t>
      </w:r>
      <w:r w:rsidR="009D1D72" w:rsidRPr="0063727B">
        <w:rPr>
          <w:rFonts w:ascii="Times New Roman" w:hAnsi="Times New Roman" w:cs="Times New Roman"/>
          <w:sz w:val="24"/>
          <w:szCs w:val="24"/>
        </w:rPr>
        <w:t xml:space="preserve">kvalificētus speciālistus </w:t>
      </w:r>
      <w:r w:rsidR="0014283E" w:rsidRPr="0063727B">
        <w:rPr>
          <w:rFonts w:ascii="Times New Roman" w:hAnsi="Times New Roman" w:cs="Times New Roman"/>
          <w:sz w:val="24"/>
          <w:szCs w:val="24"/>
        </w:rPr>
        <w:t>atbilstoš</w:t>
      </w:r>
      <w:r w:rsidR="009D1D72" w:rsidRPr="0063727B">
        <w:rPr>
          <w:rFonts w:ascii="Times New Roman" w:hAnsi="Times New Roman" w:cs="Times New Roman"/>
          <w:sz w:val="24"/>
          <w:szCs w:val="24"/>
        </w:rPr>
        <w:t>u</w:t>
      </w:r>
      <w:r w:rsidR="0014283E" w:rsidRPr="0063727B">
        <w:rPr>
          <w:rFonts w:ascii="Times New Roman" w:hAnsi="Times New Roman" w:cs="Times New Roman"/>
          <w:sz w:val="24"/>
          <w:szCs w:val="24"/>
        </w:rPr>
        <w:t xml:space="preserve"> motivācijas </w:t>
      </w:r>
      <w:r w:rsidR="009D1D72" w:rsidRPr="0063727B">
        <w:rPr>
          <w:rFonts w:ascii="Times New Roman" w:hAnsi="Times New Roman" w:cs="Times New Roman"/>
          <w:sz w:val="24"/>
          <w:szCs w:val="24"/>
        </w:rPr>
        <w:t>programmu realizācijai.</w:t>
      </w:r>
      <w:r w:rsidR="00491097" w:rsidRPr="0063727B">
        <w:rPr>
          <w:rFonts w:ascii="Times New Roman" w:hAnsi="Times New Roman" w:cs="Times New Roman"/>
          <w:sz w:val="24"/>
          <w:szCs w:val="24"/>
        </w:rPr>
        <w:t xml:space="preserve"> </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Lai samazinātu risku personām darbspējīgā vecumā kļūt par ilgstošiem bezdarbniekiem, zaudēt darba tirgum noderīgās iemaņas un prasmes, Labklājības ministrija ir sagatavojusi priekšlikumus par to prasību pastiprināšanu, kuras attiecas uz piemērota darba piedāvājuma pieņemšanu, tādējādi veicinot bezdarbnieku atgriešanos darba tirgū. Pirmajos trīs bezdarba mēnešos piedāvājuma kvalitāte būs augstāka un izvēles iespējas plašākas, bet turpmāk būs jāpieņem arī zemākas kvalifikācijas un zemāk atalgots darbs. Paredzēts ieviest </w:t>
      </w:r>
      <w:r w:rsidRPr="0063727B">
        <w:rPr>
          <w:rFonts w:ascii="Times New Roman" w:hAnsi="Times New Roman" w:cs="Times New Roman"/>
          <w:sz w:val="24"/>
          <w:szCs w:val="24"/>
        </w:rPr>
        <w:lastRenderedPageBreak/>
        <w:t xml:space="preserve">precizētu darbavietas sasniedzamības kritēriju - ceļā uz darbu vienā virzienā no deklarētās dzīves vietas jāpavada ne vairāk kā viena stunda (1,5 stunda, ja darbs netiek atrasts 3 mēnešu periodā), attālums no sabiedriskā transporta nepārsniedz 2 km, kamēr ceļa izdevumi nepārsniedz 20% no paredzētās </w:t>
      </w:r>
      <w:r w:rsidRPr="0063727B">
        <w:rPr>
          <w:rFonts w:ascii="Times New Roman" w:hAnsi="Times New Roman" w:cs="Times New Roman"/>
          <w:iCs/>
          <w:sz w:val="24"/>
          <w:szCs w:val="24"/>
        </w:rPr>
        <w:t>bruto</w:t>
      </w:r>
      <w:r w:rsidRPr="0063727B">
        <w:rPr>
          <w:rFonts w:ascii="Times New Roman" w:hAnsi="Times New Roman" w:cs="Times New Roman"/>
          <w:sz w:val="24"/>
          <w:szCs w:val="24"/>
        </w:rPr>
        <w:t xml:space="preserve"> algas. Piemērotam darbam piedāvāts konkretizēt arī atbilstošas samaksas apmēru – pirmajos trīs darba meklēšanas mēnešos būtu jāpieņem tāds darbs, kur sociālās apdrošināšanas iemaksas no darba algas veidotu 100% no iepriekš veiktajām iemaksām, kamēr nākamajos trīs mēnešos jāpieņem arī darbs, kur šīs iemaksas veidotu - 80%. Pēc sešu mēnešu bezdarba perioda par atbilstošu algas apmēru tiktu uzskatīta vismaz minimālā mēnešalga.</w:t>
      </w:r>
    </w:p>
    <w:p w:rsidR="00343AF5" w:rsidRPr="0063727B" w:rsidRDefault="00343AF5" w:rsidP="00A87F3A">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PB veiktajā pētījumā norādītas problēmas Latvijas sociālās palīdzības sistēmas organizācijas formā, kas kavē personu </w:t>
      </w:r>
      <w:r w:rsidR="00A87F3A" w:rsidRPr="0063727B">
        <w:rPr>
          <w:rFonts w:ascii="Times New Roman" w:hAnsi="Times New Roman" w:cs="Times New Roman"/>
          <w:sz w:val="24"/>
          <w:szCs w:val="24"/>
        </w:rPr>
        <w:t>pieņemt</w:t>
      </w:r>
      <w:r w:rsidRPr="0063727B">
        <w:rPr>
          <w:rFonts w:ascii="Times New Roman" w:hAnsi="Times New Roman" w:cs="Times New Roman"/>
          <w:sz w:val="24"/>
          <w:szCs w:val="24"/>
        </w:rPr>
        <w:t xml:space="preserve"> zemu atalgotu darbu. Citas valstis šādos gadījumos īsteno pasākumus, lai</w:t>
      </w:r>
      <w:r w:rsidRPr="0063727B">
        <w:rPr>
          <w:rFonts w:ascii="Times New Roman" w:hAnsi="Times New Roman" w:cs="Times New Roman"/>
          <w:b/>
          <w:bCs/>
          <w:sz w:val="24"/>
          <w:szCs w:val="24"/>
        </w:rPr>
        <w:t xml:space="preserve"> „darbs atmaksātos”</w:t>
      </w:r>
      <w:r w:rsidRPr="0063727B">
        <w:rPr>
          <w:rStyle w:val="FootnoteReference"/>
          <w:rFonts w:ascii="Times New Roman" w:hAnsi="Times New Roman" w:cs="Times New Roman"/>
          <w:sz w:val="24"/>
          <w:szCs w:val="24"/>
        </w:rPr>
        <w:footnoteReference w:id="95"/>
      </w:r>
      <w:r w:rsidRPr="0063727B">
        <w:rPr>
          <w:rFonts w:ascii="Times New Roman" w:hAnsi="Times New Roman" w:cs="Times New Roman"/>
          <w:sz w:val="24"/>
          <w:szCs w:val="24"/>
        </w:rPr>
        <w:t>, proti, pieņemot zemu apmaksātu darbu, tiek saglabātas iespējas saņemt sociālās palīdzības pabalstus, kā arī šādi gūtiem ienākumiem tiek piemēroti lielāki nodokļu atvieglojumi vai zemākas likmes. D</w:t>
      </w:r>
      <w:r w:rsidR="00A87F3A" w:rsidRPr="0063727B">
        <w:rPr>
          <w:rFonts w:ascii="Times New Roman" w:hAnsi="Times New Roman" w:cs="Times New Roman"/>
          <w:sz w:val="24"/>
          <w:szCs w:val="24"/>
        </w:rPr>
        <w:t xml:space="preserve">audzās ES dalībvalstīs </w:t>
      </w:r>
      <w:r w:rsidRPr="0063727B">
        <w:rPr>
          <w:rFonts w:ascii="Times New Roman" w:hAnsi="Times New Roman" w:cs="Times New Roman"/>
          <w:sz w:val="24"/>
          <w:szCs w:val="24"/>
        </w:rPr>
        <w:t xml:space="preserve">tiek </w:t>
      </w:r>
      <w:r w:rsidR="00A87F3A" w:rsidRPr="0063727B">
        <w:rPr>
          <w:rFonts w:ascii="Times New Roman" w:hAnsi="Times New Roman" w:cs="Times New Roman"/>
          <w:sz w:val="24"/>
          <w:szCs w:val="24"/>
        </w:rPr>
        <w:t>novērtēti</w:t>
      </w:r>
      <w:r w:rsidRPr="0063727B">
        <w:rPr>
          <w:rFonts w:ascii="Times New Roman" w:hAnsi="Times New Roman" w:cs="Times New Roman"/>
          <w:sz w:val="24"/>
          <w:szCs w:val="24"/>
        </w:rPr>
        <w:t xml:space="preserve"> centieni iekļauties darba tirgū</w:t>
      </w:r>
      <w:r w:rsidR="00A87F3A" w:rsidRPr="0063727B">
        <w:rPr>
          <w:rFonts w:ascii="Times New Roman" w:hAnsi="Times New Roman" w:cs="Times New Roman"/>
          <w:sz w:val="24"/>
          <w:szCs w:val="24"/>
        </w:rPr>
        <w:t>, pārtraucot izmantot sociālās drošības tīklu</w:t>
      </w:r>
      <w:r w:rsidRPr="0063727B">
        <w:rPr>
          <w:rFonts w:ascii="Times New Roman" w:hAnsi="Times New Roman" w:cs="Times New Roman"/>
          <w:sz w:val="24"/>
          <w:szCs w:val="24"/>
        </w:rPr>
        <w:t xml:space="preserve">, izmantojot, piemēram, darba piemaksas </w:t>
      </w:r>
      <w:r w:rsidRPr="0063727B">
        <w:rPr>
          <w:rFonts w:ascii="Times New Roman" w:hAnsi="Times New Roman" w:cs="Times New Roman"/>
          <w:i/>
          <w:iCs/>
          <w:sz w:val="24"/>
          <w:szCs w:val="24"/>
        </w:rPr>
        <w:t>(</w:t>
      </w:r>
      <w:proofErr w:type="spellStart"/>
      <w:r w:rsidRPr="0063727B">
        <w:rPr>
          <w:rFonts w:ascii="Times New Roman" w:hAnsi="Times New Roman" w:cs="Times New Roman"/>
          <w:i/>
          <w:iCs/>
          <w:sz w:val="24"/>
          <w:szCs w:val="24"/>
        </w:rPr>
        <w:t>in-work</w:t>
      </w:r>
      <w:proofErr w:type="spellEnd"/>
      <w:r w:rsidRPr="0063727B">
        <w:rPr>
          <w:rFonts w:ascii="Times New Roman" w:hAnsi="Times New Roman" w:cs="Times New Roman"/>
          <w:i/>
          <w:iCs/>
          <w:sz w:val="24"/>
          <w:szCs w:val="24"/>
        </w:rPr>
        <w:t xml:space="preserve"> </w:t>
      </w:r>
      <w:proofErr w:type="spellStart"/>
      <w:r w:rsidRPr="0063727B">
        <w:rPr>
          <w:rFonts w:ascii="Times New Roman" w:hAnsi="Times New Roman" w:cs="Times New Roman"/>
          <w:i/>
          <w:iCs/>
          <w:sz w:val="24"/>
          <w:szCs w:val="24"/>
        </w:rPr>
        <w:t>benefits</w:t>
      </w:r>
      <w:proofErr w:type="spellEnd"/>
      <w:r w:rsidRPr="0063727B">
        <w:rPr>
          <w:rFonts w:ascii="Times New Roman" w:hAnsi="Times New Roman" w:cs="Times New Roman"/>
          <w:sz w:val="24"/>
          <w:szCs w:val="24"/>
        </w:rPr>
        <w:t>) un plašāku ienākumu klāstu,</w:t>
      </w:r>
      <w:r w:rsidR="00DE2587" w:rsidRPr="0063727B">
        <w:rPr>
          <w:rFonts w:ascii="Times New Roman" w:hAnsi="Times New Roman" w:cs="Times New Roman"/>
          <w:sz w:val="24"/>
          <w:szCs w:val="24"/>
        </w:rPr>
        <w:t xml:space="preserve"> </w:t>
      </w:r>
      <w:r w:rsidR="00BA5ECE" w:rsidRPr="0063727B">
        <w:rPr>
          <w:rFonts w:ascii="Times New Roman" w:hAnsi="Times New Roman" w:cs="Times New Roman"/>
          <w:sz w:val="24"/>
          <w:szCs w:val="24"/>
        </w:rPr>
        <w:t>par kuru nesamazina sociālās palīdzības pabalstu apmēru</w:t>
      </w:r>
      <w:r w:rsidRPr="0063727B">
        <w:rPr>
          <w:rFonts w:ascii="Times New Roman" w:hAnsi="Times New Roman" w:cs="Times New Roman"/>
          <w:sz w:val="24"/>
          <w:szCs w:val="24"/>
        </w:rPr>
        <w:t>.</w:t>
      </w:r>
      <w:r w:rsidR="004A5978" w:rsidRPr="0063727B">
        <w:rPr>
          <w:rFonts w:ascii="Times New Roman" w:hAnsi="Times New Roman" w:cs="Times New Roman"/>
          <w:sz w:val="24"/>
          <w:szCs w:val="24"/>
        </w:rPr>
        <w:t xml:space="preserve"> </w:t>
      </w:r>
      <w:r w:rsidR="007A2CCF" w:rsidRPr="0063727B">
        <w:rPr>
          <w:rFonts w:ascii="Times New Roman" w:hAnsi="Times New Roman" w:cs="Times New Roman"/>
          <w:sz w:val="24"/>
          <w:szCs w:val="24"/>
        </w:rPr>
        <w:t>PB pētījumā norādīts</w:t>
      </w:r>
      <w:r w:rsidR="007A2CCF" w:rsidRPr="0063727B">
        <w:rPr>
          <w:rStyle w:val="FootnoteReference"/>
          <w:rFonts w:ascii="Times New Roman" w:hAnsi="Times New Roman" w:cs="Times New Roman"/>
          <w:sz w:val="24"/>
          <w:szCs w:val="24"/>
        </w:rPr>
        <w:footnoteReference w:id="96"/>
      </w:r>
      <w:r w:rsidR="007A2CCF" w:rsidRPr="0063727B">
        <w:rPr>
          <w:rFonts w:ascii="Times New Roman" w:hAnsi="Times New Roman" w:cs="Times New Roman"/>
          <w:sz w:val="24"/>
          <w:szCs w:val="24"/>
        </w:rPr>
        <w:t xml:space="preserve">, ka kopumā valdības mērķis ir efektīvāk izmantot publiskos resursus, kam nepieciešams izveidot integrētu pašvaldību sociālās palīdzības pabalstu un valsts sociālo pabalstu programmu. </w:t>
      </w:r>
      <w:r w:rsidR="00D55880" w:rsidRPr="0063727B">
        <w:rPr>
          <w:rFonts w:ascii="Times New Roman" w:hAnsi="Times New Roman" w:cs="Times New Roman"/>
          <w:sz w:val="24"/>
          <w:szCs w:val="24"/>
        </w:rPr>
        <w:t>Latvijā š</w:t>
      </w:r>
      <w:r w:rsidR="004A5978" w:rsidRPr="0063727B">
        <w:rPr>
          <w:rFonts w:ascii="Times New Roman" w:hAnsi="Times New Roman" w:cs="Times New Roman"/>
          <w:sz w:val="24"/>
          <w:szCs w:val="24"/>
        </w:rPr>
        <w:t xml:space="preserve">ādam risinājumam šķērslis ir </w:t>
      </w:r>
      <w:r w:rsidR="00D55880" w:rsidRPr="0063727B">
        <w:rPr>
          <w:rFonts w:ascii="Times New Roman" w:hAnsi="Times New Roman" w:cs="Times New Roman"/>
          <w:sz w:val="24"/>
          <w:szCs w:val="24"/>
        </w:rPr>
        <w:t>pašvaldību</w:t>
      </w:r>
      <w:r w:rsidR="00035F96" w:rsidRPr="0063727B">
        <w:rPr>
          <w:rFonts w:ascii="Times New Roman" w:hAnsi="Times New Roman" w:cs="Times New Roman"/>
          <w:sz w:val="24"/>
          <w:szCs w:val="24"/>
        </w:rPr>
        <w:t xml:space="preserve"> sociālās palīdzības pabalstu un valsts sociālo pabalstu </w:t>
      </w:r>
      <w:r w:rsidR="004A5978" w:rsidRPr="0063727B">
        <w:rPr>
          <w:rFonts w:ascii="Times New Roman" w:hAnsi="Times New Roman" w:cs="Times New Roman"/>
          <w:sz w:val="24"/>
          <w:szCs w:val="24"/>
        </w:rPr>
        <w:t>vienotās informācijas sistēmas trūkums</w:t>
      </w:r>
      <w:r w:rsidR="00D55880" w:rsidRPr="0063727B">
        <w:rPr>
          <w:rFonts w:ascii="Times New Roman" w:hAnsi="Times New Roman" w:cs="Times New Roman"/>
          <w:sz w:val="24"/>
          <w:szCs w:val="24"/>
        </w:rPr>
        <w:t>, kas dotu iespēju noteikt kopīgus mērķus un</w:t>
      </w:r>
      <w:r w:rsidR="00035F96" w:rsidRPr="0063727B">
        <w:rPr>
          <w:rFonts w:ascii="Times New Roman" w:hAnsi="Times New Roman" w:cs="Times New Roman"/>
          <w:sz w:val="24"/>
          <w:szCs w:val="24"/>
        </w:rPr>
        <w:t xml:space="preserve"> uzraudzīt </w:t>
      </w:r>
      <w:r w:rsidR="00490CE3" w:rsidRPr="0063727B">
        <w:rPr>
          <w:rFonts w:ascii="Times New Roman" w:hAnsi="Times New Roman" w:cs="Times New Roman"/>
          <w:sz w:val="24"/>
          <w:szCs w:val="24"/>
        </w:rPr>
        <w:t>to realizāciju</w:t>
      </w:r>
      <w:r w:rsidR="00035F96" w:rsidRPr="0063727B">
        <w:rPr>
          <w:rFonts w:ascii="Times New Roman" w:hAnsi="Times New Roman" w:cs="Times New Roman"/>
          <w:sz w:val="24"/>
          <w:szCs w:val="24"/>
        </w:rPr>
        <w:t xml:space="preserve">. </w:t>
      </w:r>
    </w:p>
    <w:p w:rsidR="00343AF5" w:rsidRPr="0063727B" w:rsidRDefault="00343AF5" w:rsidP="00297E34">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Atbilstoši PB pētījuma ziņojumos veiktajam GMI programmas izvērtējumam, Latvijā </w:t>
      </w:r>
      <w:r w:rsidRPr="0063727B">
        <w:rPr>
          <w:rFonts w:ascii="Times New Roman" w:hAnsi="Times New Roman" w:cs="Times New Roman"/>
          <w:b/>
          <w:bCs/>
          <w:sz w:val="24"/>
          <w:szCs w:val="24"/>
        </w:rPr>
        <w:t>nav konstatējama pabalsta atkarība</w:t>
      </w:r>
      <w:r w:rsidRPr="0063727B">
        <w:rPr>
          <w:rFonts w:ascii="Times New Roman" w:hAnsi="Times New Roman" w:cs="Times New Roman"/>
          <w:sz w:val="24"/>
          <w:szCs w:val="24"/>
        </w:rPr>
        <w:t xml:space="preserve"> dēļ nelielā pabalsta apmēra un vidēji neilgā pabalsta saņemšanas perioda. Datu analīze par periodu no 2006.gada janvāra līdz 2012.gada jūlijam apstiprina, ka 40% no pabalstu saņēmējiem GMI pabalstu saņēmuši tikai </w:t>
      </w:r>
      <w:r w:rsidRPr="0063727B">
        <w:rPr>
          <w:rFonts w:ascii="Times New Roman" w:hAnsi="Times New Roman" w:cs="Times New Roman"/>
          <w:iCs/>
          <w:sz w:val="24"/>
          <w:szCs w:val="24"/>
        </w:rPr>
        <w:t xml:space="preserve">vienu reizi </w:t>
      </w:r>
      <w:r w:rsidRPr="0063727B">
        <w:rPr>
          <w:rFonts w:ascii="Times New Roman" w:hAnsi="Times New Roman" w:cs="Times New Roman"/>
          <w:sz w:val="24"/>
          <w:szCs w:val="24"/>
        </w:rPr>
        <w:t>un</w:t>
      </w:r>
      <w:r w:rsidRPr="0063727B">
        <w:rPr>
          <w:rFonts w:ascii="Times New Roman" w:hAnsi="Times New Roman" w:cs="Times New Roman"/>
          <w:iCs/>
          <w:sz w:val="24"/>
          <w:szCs w:val="24"/>
        </w:rPr>
        <w:t xml:space="preserve"> uz īsu laika periodu</w:t>
      </w:r>
      <w:r w:rsidRPr="0063727B">
        <w:rPr>
          <w:rFonts w:ascii="Times New Roman" w:hAnsi="Times New Roman" w:cs="Times New Roman"/>
          <w:sz w:val="24"/>
          <w:szCs w:val="24"/>
        </w:rPr>
        <w:t xml:space="preserve">: šie pabalsti darbojas kā krīzes palīdzība un nav pastāvīgs ienākumu avots. Tas liecina, ka sociālo pabalstu atkarība (kur tā eksistē) ir raksturīga tikai nelielai iedzīvotāju grupai. Divas trešdaļas GMI pabalsta saņēmēju saņēma to mazāk kā 20% no analizējamā laika perioda un aptuveni viena trešdaļa GMI pabalsta saņēmēji šo pabalstu saņēma tikai 5% no analizējamā laika perioda. </w:t>
      </w:r>
    </w:p>
    <w:p w:rsidR="00343AF5" w:rsidRPr="0063727B" w:rsidRDefault="00343AF5" w:rsidP="00297E34">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r w:rsidRPr="0063727B">
        <w:rPr>
          <w:rFonts w:ascii="Times New Roman" w:hAnsi="Times New Roman" w:cs="Times New Roman"/>
          <w:sz w:val="24"/>
          <w:szCs w:val="24"/>
        </w:rPr>
        <w:t xml:space="preserve">GMI pabalsts jeb minimālā nodrošinājuma atbalsts praktiski visās ES dalībvalstīs ir ar vienādu mērķi – nodrošināt minimālu ienākumu līmeni, lai persona un tās ģimenes locekļi varētu segt izdevumus pamatvajadzību apmierināšanai. Atsevišķās dalībvalstīs obligātajā minimālajā standartā iekļauti arī </w:t>
      </w:r>
      <w:r w:rsidRPr="0063727B">
        <w:rPr>
          <w:rFonts w:ascii="Times New Roman" w:hAnsi="Times New Roman" w:cs="Times New Roman"/>
          <w:b/>
          <w:bCs/>
          <w:sz w:val="24"/>
          <w:szCs w:val="24"/>
        </w:rPr>
        <w:t>izdevumi par mājokli</w:t>
      </w:r>
      <w:r w:rsidRPr="0063727B">
        <w:rPr>
          <w:rFonts w:ascii="Times New Roman" w:hAnsi="Times New Roman" w:cs="Times New Roman"/>
          <w:sz w:val="24"/>
          <w:szCs w:val="24"/>
        </w:rPr>
        <w:t xml:space="preserve">, tomēr šajās dalībvalstīs ir paredzēti arī izņēmuma gadījumi, kad persona var pieteikties atsevišķam īres pabalstam. 6 no analizētajām 24 dalībvalstīm ir noteikts apkures pabalsts, dažās ir gāzes pabalsts, aukstā ūdens pabalsts, īres pabalsts u.c. Visās valstīs, kurās noteikts mājokļa pabalsts, </w:t>
      </w:r>
      <w:r w:rsidRPr="0063727B">
        <w:rPr>
          <w:rFonts w:ascii="Times New Roman" w:hAnsi="Times New Roman" w:cs="Times New Roman"/>
          <w:sz w:val="24"/>
          <w:szCs w:val="24"/>
          <w:u w:val="single"/>
        </w:rPr>
        <w:t>pastāv noteikti ierobežojumi faktiskajiem izdevumiem par mājokli</w:t>
      </w:r>
      <w:r w:rsidRPr="0063727B">
        <w:rPr>
          <w:rFonts w:ascii="Times New Roman" w:hAnsi="Times New Roman" w:cs="Times New Roman"/>
          <w:sz w:val="24"/>
          <w:szCs w:val="24"/>
        </w:rPr>
        <w:t xml:space="preserve">, kas pārsvarā gadījumu ir saistīti ar mājsaimniecības lielumu un materiālo situāciju. 2012.gadā tikai Portugālē nebija noteikts mājokļa pabalsts. Savukārt Latvijā ir noteikts, ka pašvaldībai no sava budžeta līdzekļiem jāizmaksā </w:t>
      </w:r>
      <w:r w:rsidRPr="0063727B">
        <w:rPr>
          <w:rFonts w:ascii="Times New Roman" w:hAnsi="Times New Roman" w:cs="Times New Roman"/>
          <w:b/>
          <w:bCs/>
          <w:sz w:val="24"/>
          <w:szCs w:val="24"/>
        </w:rPr>
        <w:t>dzīvokļa pabalsts</w:t>
      </w:r>
      <w:r w:rsidRPr="0063727B">
        <w:rPr>
          <w:rFonts w:ascii="Times New Roman" w:hAnsi="Times New Roman" w:cs="Times New Roman"/>
          <w:sz w:val="24"/>
          <w:szCs w:val="24"/>
        </w:rPr>
        <w:t xml:space="preserve"> trūcīgām un maznodrošinātām ģimenēm vai atsevišķi dzīvojošām personām, taču pabalsta apmēru un kritērijus dzīvokļa pabalsta saņemšanai nosaka katra pašvaldība. Tā rezultātā ir pašvaldības, kas mājsaimniecībai apkures sezonā </w:t>
      </w:r>
      <w:r w:rsidRPr="0063727B">
        <w:rPr>
          <w:rFonts w:ascii="Times New Roman" w:hAnsi="Times New Roman" w:cs="Times New Roman"/>
          <w:sz w:val="24"/>
          <w:szCs w:val="24"/>
        </w:rPr>
        <w:lastRenderedPageBreak/>
        <w:t xml:space="preserve">izmaksā noteiktu summu, kura nesedz pat viena mēneša izdevumus par apkuri. Savukārt citās </w:t>
      </w:r>
      <w:r w:rsidR="00A87F3A" w:rsidRPr="0063727B">
        <w:rPr>
          <w:rFonts w:ascii="Times New Roman" w:hAnsi="Times New Roman" w:cs="Times New Roman"/>
          <w:sz w:val="24"/>
          <w:szCs w:val="24"/>
        </w:rPr>
        <w:t xml:space="preserve">pašvaldībās </w:t>
      </w:r>
      <w:r w:rsidRPr="0063727B">
        <w:rPr>
          <w:rFonts w:ascii="Times New Roman" w:hAnsi="Times New Roman" w:cs="Times New Roman"/>
          <w:sz w:val="24"/>
          <w:szCs w:val="24"/>
        </w:rPr>
        <w:t xml:space="preserve">dzīvokļa pabalsta apmērs tiek aprēķināts pēc formulas, kurā tiek ņemti vērā normatīvie izdevumi par mājokli (mājokļa platība, tiek apmaksāts noteikts daudzums izlietotās dabas gāzes, elektroenerģijas, aukstā un karstā ūdens u.c.), vai arī tiek nodrošināts noteikts daudzums cietā kurināmā (malka, ogles, briketes). Savukārt likums „Par pašvaldībām” pieļauj dzīvokļa pabalstu izmaksāt arī noteiktām iedzīvotāju sociālajām grupām, kas neatbilst sociālās palīdzības sniegšanas pamatprincipiem. Esošais tiesiskais regulējums rada nevienlīdzīgu situāciju iedzīvotājiem nabadzīgākajās un bagātākajās pašvaldībās.    </w:t>
      </w:r>
    </w:p>
    <w:p w:rsidR="00343AF5" w:rsidRPr="0063727B" w:rsidRDefault="00343AF5" w:rsidP="00297E34">
      <w:pPr>
        <w:spacing w:after="0" w:line="240" w:lineRule="auto"/>
        <w:ind w:firstLine="709"/>
        <w:jc w:val="both"/>
        <w:rPr>
          <w:rFonts w:ascii="Times New Roman" w:hAnsi="Times New Roman" w:cs="Times New Roman"/>
          <w:sz w:val="24"/>
          <w:szCs w:val="24"/>
        </w:rPr>
      </w:pPr>
    </w:p>
    <w:p w:rsidR="00343AF5" w:rsidRPr="0063727B" w:rsidRDefault="00343AF5" w:rsidP="00297E34">
      <w:pPr>
        <w:autoSpaceDE w:val="0"/>
        <w:autoSpaceDN w:val="0"/>
        <w:adjustRightInd w:val="0"/>
        <w:spacing w:after="0" w:line="240" w:lineRule="auto"/>
        <w:ind w:firstLine="720"/>
        <w:jc w:val="both"/>
        <w:rPr>
          <w:rFonts w:ascii="Times New Roman" w:hAnsi="Times New Roman" w:cs="Times New Roman"/>
          <w:b/>
          <w:bCs/>
          <w:sz w:val="24"/>
          <w:szCs w:val="24"/>
        </w:rPr>
      </w:pPr>
      <w:r w:rsidRPr="0063727B">
        <w:rPr>
          <w:rFonts w:ascii="Times New Roman" w:hAnsi="Times New Roman" w:cs="Times New Roman"/>
          <w:b/>
          <w:bCs/>
          <w:sz w:val="24"/>
          <w:szCs w:val="24"/>
        </w:rPr>
        <w:t>Būtiskākie secinājumi un galvenās risināmās problēmas:</w:t>
      </w:r>
    </w:p>
    <w:p w:rsidR="00343AF5" w:rsidRPr="0063727B" w:rsidRDefault="00343AF5" w:rsidP="00297E34">
      <w:pPr>
        <w:autoSpaceDE w:val="0"/>
        <w:autoSpaceDN w:val="0"/>
        <w:adjustRightInd w:val="0"/>
        <w:spacing w:after="0" w:line="240" w:lineRule="auto"/>
        <w:ind w:firstLine="720"/>
        <w:jc w:val="both"/>
        <w:rPr>
          <w:rFonts w:ascii="Times New Roman" w:hAnsi="Times New Roman" w:cs="Times New Roman"/>
          <w:b/>
          <w:bCs/>
          <w:sz w:val="24"/>
          <w:szCs w:val="24"/>
          <w:u w:val="single"/>
        </w:rPr>
      </w:pPr>
    </w:p>
    <w:p w:rsidR="00343AF5" w:rsidRPr="0063727B" w:rsidRDefault="00343AF5" w:rsidP="009A150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Latvijas GMI programma ir labi mērķēta visnabadzīgākajiem iedzīvotājiem un tā ir ļoti precīzi definēta, bet ar ļoti zemu pārklājumu, kas nozīmē, ka pastāv liela plaisa starp cilvēkiem un ģimenēm ar nepietiekamiem resursiem, kuriem nav tiesību pretendēt uz GMI pabalstu.  Pie neadekvāti zemā GMI līmeņa, GMI pabalsts piedāvā atbalstu ļoti nelielai daļai no nabadzīgajiem iedzīvotājiem</w:t>
      </w:r>
      <w:r w:rsidR="00C86C7F"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343AF5" w:rsidRPr="0063727B" w:rsidRDefault="00343AF5" w:rsidP="009A150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PB pētījumā konstatēts, ka pašvaldību izdevumi sociālajai palīdzībai no pamatbudžeta ir </w:t>
      </w:r>
      <w:r w:rsidR="00A87F3A" w:rsidRPr="0063727B">
        <w:rPr>
          <w:rFonts w:ascii="Times New Roman" w:hAnsi="Times New Roman" w:cs="Times New Roman"/>
          <w:sz w:val="24"/>
          <w:szCs w:val="24"/>
        </w:rPr>
        <w:t>ļ</w:t>
      </w:r>
      <w:r w:rsidRPr="0063727B">
        <w:rPr>
          <w:rFonts w:ascii="Times New Roman" w:hAnsi="Times New Roman" w:cs="Times New Roman"/>
          <w:sz w:val="24"/>
          <w:szCs w:val="24"/>
        </w:rPr>
        <w:t xml:space="preserve">oti </w:t>
      </w:r>
      <w:r w:rsidR="00A87F3A" w:rsidRPr="0063727B">
        <w:rPr>
          <w:rFonts w:ascii="Times New Roman" w:hAnsi="Times New Roman" w:cs="Times New Roman"/>
          <w:sz w:val="24"/>
          <w:szCs w:val="24"/>
        </w:rPr>
        <w:t>zemi</w:t>
      </w:r>
      <w:r w:rsidRPr="0063727B">
        <w:rPr>
          <w:rFonts w:ascii="Times New Roman" w:hAnsi="Times New Roman" w:cs="Times New Roman"/>
          <w:sz w:val="24"/>
          <w:szCs w:val="24"/>
        </w:rPr>
        <w:t xml:space="preserve"> gan salīdzinājumā ar citām ES dalībvalstīm, gan salīdzinājumā ar Latvijas izdevumiem valsts sociālajiem pabalstiem, kuru izmaksas nav saistītas ar ienākumu testēšanu</w:t>
      </w:r>
      <w:r w:rsidR="00C86C7F"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343AF5" w:rsidRPr="0063727B" w:rsidRDefault="00343AF5" w:rsidP="009A150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GMI līmenis nav piesaistīts nevienam sociāli ekonomiskam rādītājam. Aprēķinot GMI pabalstu, netiek piemērotas ekvivalences skalas, ko tiešā vai netiešā veidā piemēro lielākā daļa ES valstu</w:t>
      </w:r>
      <w:r w:rsidR="00C86C7F"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343AF5" w:rsidRPr="0063727B" w:rsidRDefault="00343AF5" w:rsidP="009A150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GMI pabalsta izmaksa tiek pārtraukta</w:t>
      </w:r>
      <w:r w:rsidR="00A87F3A" w:rsidRPr="0063727B">
        <w:rPr>
          <w:rFonts w:ascii="Times New Roman" w:hAnsi="Times New Roman" w:cs="Times New Roman"/>
          <w:sz w:val="24"/>
          <w:szCs w:val="24"/>
        </w:rPr>
        <w:t>,</w:t>
      </w:r>
      <w:r w:rsidRPr="0063727B">
        <w:rPr>
          <w:rFonts w:ascii="Times New Roman" w:hAnsi="Times New Roman" w:cs="Times New Roman"/>
          <w:sz w:val="24"/>
          <w:szCs w:val="24"/>
        </w:rPr>
        <w:t xml:space="preserve"> personai sākot gūt jebkurus ienākumus, izņemot likumā noteiktos, vienlaicīgi, piemērojot likumā noteiktās nodokļu likmes, kas nemotivē personas pieņemt zemi apmaksātu darbu</w:t>
      </w:r>
      <w:r w:rsidR="00C86C7F"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343AF5" w:rsidRPr="0063727B" w:rsidRDefault="00343AF5" w:rsidP="009A1501">
      <w:pPr>
        <w:pStyle w:val="ListParagraph"/>
        <w:numPr>
          <w:ilvl w:val="0"/>
          <w:numId w:val="9"/>
        </w:numPr>
        <w:autoSpaceDE w:val="0"/>
        <w:autoSpaceDN w:val="0"/>
        <w:adjustRightInd w:val="0"/>
        <w:spacing w:after="0" w:line="240" w:lineRule="auto"/>
        <w:ind w:left="709" w:hanging="283"/>
        <w:jc w:val="both"/>
        <w:rPr>
          <w:rFonts w:ascii="Times New Roman" w:hAnsi="Times New Roman" w:cs="Times New Roman"/>
          <w:sz w:val="24"/>
          <w:szCs w:val="24"/>
        </w:rPr>
      </w:pPr>
      <w:r w:rsidRPr="0063727B">
        <w:rPr>
          <w:rFonts w:ascii="Times New Roman" w:hAnsi="Times New Roman" w:cs="Times New Roman"/>
          <w:sz w:val="24"/>
          <w:szCs w:val="24"/>
        </w:rPr>
        <w:t xml:space="preserve">GMI pabalsta saņēmēju iesaiste aktīvās nodarbinātības programmās vērtējama pozitīvi, bet ne vienmēr NVA piedāvātie pakalpojumi ir atbilstoši ģimenes situācijai, </w:t>
      </w:r>
      <w:r w:rsidR="00317B1C" w:rsidRPr="0063727B">
        <w:rPr>
          <w:rFonts w:ascii="Times New Roman" w:hAnsi="Times New Roman" w:cs="Times New Roman"/>
          <w:sz w:val="24"/>
          <w:szCs w:val="24"/>
        </w:rPr>
        <w:t xml:space="preserve">jo </w:t>
      </w:r>
      <w:r w:rsidRPr="0063727B">
        <w:rPr>
          <w:rFonts w:ascii="Times New Roman" w:hAnsi="Times New Roman" w:cs="Times New Roman"/>
          <w:sz w:val="24"/>
          <w:szCs w:val="24"/>
        </w:rPr>
        <w:t xml:space="preserve">ne vienmēr ir skaidrs, kuram un kāda atbildības daļa ir jāuzņemas ģimenes sociālo problēmu risināšanā, </w:t>
      </w:r>
      <w:r w:rsidR="00317B1C" w:rsidRPr="0063727B">
        <w:rPr>
          <w:rFonts w:ascii="Times New Roman" w:hAnsi="Times New Roman" w:cs="Times New Roman"/>
          <w:sz w:val="24"/>
          <w:szCs w:val="24"/>
        </w:rPr>
        <w:t xml:space="preserve">kā arī </w:t>
      </w:r>
      <w:r w:rsidRPr="0063727B">
        <w:rPr>
          <w:rFonts w:ascii="Times New Roman" w:hAnsi="Times New Roman" w:cs="Times New Roman"/>
          <w:sz w:val="24"/>
          <w:szCs w:val="24"/>
        </w:rPr>
        <w:t>trūkst atbilstošas motivācijas programmas un kvalificēti speciālisti to realizācijai</w:t>
      </w:r>
      <w:r w:rsidR="00D3224C"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p>
    <w:p w:rsidR="00343AF5" w:rsidRPr="0063727B" w:rsidRDefault="00D3224C" w:rsidP="009A1501">
      <w:pPr>
        <w:pStyle w:val="ListParagraph"/>
        <w:numPr>
          <w:ilvl w:val="0"/>
          <w:numId w:val="9"/>
        </w:numPr>
        <w:autoSpaceDE w:val="0"/>
        <w:autoSpaceDN w:val="0"/>
        <w:adjustRightInd w:val="0"/>
        <w:spacing w:after="0" w:line="240" w:lineRule="auto"/>
        <w:ind w:left="709" w:hanging="283"/>
        <w:jc w:val="both"/>
        <w:rPr>
          <w:rFonts w:ascii="Times New Roman" w:hAnsi="Times New Roman" w:cs="Times New Roman"/>
          <w:sz w:val="24"/>
          <w:szCs w:val="24"/>
        </w:rPr>
      </w:pPr>
      <w:r w:rsidRPr="0063727B">
        <w:rPr>
          <w:rFonts w:ascii="Times New Roman" w:hAnsi="Times New Roman" w:cs="Times New Roman"/>
          <w:sz w:val="24"/>
          <w:szCs w:val="24"/>
        </w:rPr>
        <w:t>p</w:t>
      </w:r>
      <w:r w:rsidR="00343AF5" w:rsidRPr="0063727B">
        <w:rPr>
          <w:rFonts w:ascii="Times New Roman" w:hAnsi="Times New Roman" w:cs="Times New Roman"/>
          <w:sz w:val="24"/>
          <w:szCs w:val="24"/>
        </w:rPr>
        <w:t>ašvaldību sociālās palīdzības pabalstu decentralizētā finansēšana un krasi atšķirīgās pašvaldību finansiālās iespējas, pašvaldību tiesības noteikt atšķirīgu GMI līmeni, vienota tiesiskā regulējuma trūkums dzīvokļa pabalstam valsts līmenī, ir iemesli, kādēļ pašvaldību sniegtā sociālā palīdzība un pārklājums pašvaldību starpā atšķiras, kā rezultātā veidojas nevienlīdzīga attieksme pret pabalstu pieprasītājiem</w:t>
      </w:r>
      <w:r w:rsidRPr="0063727B">
        <w:rPr>
          <w:rFonts w:ascii="Times New Roman" w:hAnsi="Times New Roman" w:cs="Times New Roman"/>
          <w:sz w:val="24"/>
          <w:szCs w:val="24"/>
        </w:rPr>
        <w:t>;</w:t>
      </w:r>
      <w:r w:rsidR="00343AF5" w:rsidRPr="0063727B">
        <w:rPr>
          <w:rFonts w:ascii="Times New Roman" w:hAnsi="Times New Roman" w:cs="Times New Roman"/>
          <w:sz w:val="24"/>
          <w:szCs w:val="24"/>
        </w:rPr>
        <w:t xml:space="preserve"> </w:t>
      </w:r>
    </w:p>
    <w:p w:rsidR="00343AF5" w:rsidRPr="0063727B" w:rsidRDefault="00343AF5" w:rsidP="009A150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Pašvaldību sociālās palīdzības un valsts sociālo pabalstu sistēma nav pietiekami labi </w:t>
      </w:r>
      <w:r w:rsidRPr="0063727B">
        <w:rPr>
          <w:rFonts w:ascii="Times New Roman" w:hAnsi="Times New Roman" w:cs="Times New Roman"/>
          <w:i/>
          <w:iCs/>
          <w:sz w:val="24"/>
          <w:szCs w:val="24"/>
        </w:rPr>
        <w:t>integrētas vienotā sistēmā ar kopīgu mērķi</w:t>
      </w:r>
      <w:r w:rsidRPr="0063727B">
        <w:rPr>
          <w:rFonts w:ascii="Times New Roman" w:hAnsi="Times New Roman" w:cs="Times New Roman"/>
          <w:sz w:val="24"/>
          <w:szCs w:val="24"/>
        </w:rPr>
        <w:t xml:space="preserve">, nav pabeigta vienotās </w:t>
      </w:r>
      <w:r w:rsidRPr="0063727B">
        <w:rPr>
          <w:rFonts w:ascii="Times New Roman" w:hAnsi="Times New Roman" w:cs="Times New Roman"/>
          <w:i/>
          <w:iCs/>
          <w:sz w:val="24"/>
          <w:szCs w:val="24"/>
        </w:rPr>
        <w:t>informācijas sistēmas</w:t>
      </w:r>
      <w:r w:rsidRPr="0063727B">
        <w:rPr>
          <w:rFonts w:ascii="Times New Roman" w:hAnsi="Times New Roman" w:cs="Times New Roman"/>
          <w:sz w:val="24"/>
          <w:szCs w:val="24"/>
        </w:rPr>
        <w:t xml:space="preserve"> izstrāde un ieviešana programmas uzraudzībai un novērtēšanai.</w:t>
      </w:r>
    </w:p>
    <w:p w:rsidR="00343AF5" w:rsidRPr="0063727B" w:rsidRDefault="00343AF5" w:rsidP="00BE3434">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p>
    <w:p w:rsidR="00343AF5" w:rsidRPr="0063727B" w:rsidRDefault="00343AF5" w:rsidP="009A1501">
      <w:pPr>
        <w:pStyle w:val="Heading2"/>
        <w:numPr>
          <w:ilvl w:val="0"/>
          <w:numId w:val="20"/>
        </w:numPr>
        <w:tabs>
          <w:tab w:val="left" w:pos="1418"/>
        </w:tabs>
        <w:spacing w:before="0" w:line="240" w:lineRule="auto"/>
        <w:rPr>
          <w:rFonts w:ascii="Times New Roman" w:hAnsi="Times New Roman" w:cs="Times New Roman"/>
          <w:color w:val="auto"/>
          <w:sz w:val="24"/>
          <w:szCs w:val="24"/>
          <w:lang w:val="lv-LV"/>
        </w:rPr>
      </w:pPr>
      <w:r w:rsidRPr="0063727B">
        <w:rPr>
          <w:rFonts w:ascii="Times New Roman" w:hAnsi="Times New Roman" w:cs="Times New Roman"/>
          <w:color w:val="auto"/>
          <w:sz w:val="24"/>
          <w:szCs w:val="24"/>
          <w:lang w:val="lv-LV"/>
        </w:rPr>
        <w:t xml:space="preserve"> </w:t>
      </w:r>
      <w:bookmarkStart w:id="27" w:name="_Toc372812637"/>
      <w:r w:rsidRPr="0063727B">
        <w:rPr>
          <w:rFonts w:ascii="Times New Roman" w:hAnsi="Times New Roman" w:cs="Times New Roman"/>
          <w:color w:val="auto"/>
          <w:sz w:val="24"/>
          <w:szCs w:val="24"/>
          <w:lang w:val="lv-LV"/>
        </w:rPr>
        <w:t>Aktīvie darba tirgus pasākumi</w:t>
      </w:r>
      <w:bookmarkEnd w:id="27"/>
      <w:r w:rsidRPr="0063727B">
        <w:rPr>
          <w:rFonts w:ascii="Times New Roman" w:hAnsi="Times New Roman" w:cs="Times New Roman"/>
          <w:color w:val="auto"/>
          <w:sz w:val="24"/>
          <w:szCs w:val="24"/>
          <w:lang w:val="lv-LV"/>
        </w:rPr>
        <w:t xml:space="preserve"> </w:t>
      </w:r>
    </w:p>
    <w:p w:rsidR="00E909BC" w:rsidRPr="0063727B" w:rsidRDefault="00E909BC" w:rsidP="002D57C6">
      <w:pPr>
        <w:autoSpaceDE w:val="0"/>
        <w:autoSpaceDN w:val="0"/>
        <w:adjustRightInd w:val="0"/>
        <w:spacing w:after="0" w:line="240" w:lineRule="auto"/>
        <w:ind w:firstLine="709"/>
        <w:jc w:val="both"/>
        <w:rPr>
          <w:rFonts w:ascii="Times New Roman" w:hAnsi="Times New Roman" w:cs="Times New Roman"/>
          <w:sz w:val="24"/>
          <w:szCs w:val="24"/>
        </w:rPr>
      </w:pPr>
    </w:p>
    <w:p w:rsidR="00B441B5" w:rsidRPr="0063727B" w:rsidRDefault="009A4873" w:rsidP="00DB6C72">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r w:rsidRPr="0063727B">
        <w:rPr>
          <w:rFonts w:ascii="Times New Roman" w:hAnsi="Times New Roman" w:cs="Times New Roman"/>
          <w:sz w:val="24"/>
          <w:szCs w:val="24"/>
        </w:rPr>
        <w:t>Kopš 2011.gada darba tirgus situācija pakāpeniski uzlabojas, taču bezdarba līmenis, jo sevišķi ilgstošais bezdarba līmenis, saglabājas augsts (skat. 1</w:t>
      </w:r>
      <w:r w:rsidR="00A765D8" w:rsidRPr="0063727B">
        <w:rPr>
          <w:rFonts w:ascii="Times New Roman" w:hAnsi="Times New Roman" w:cs="Times New Roman"/>
          <w:sz w:val="24"/>
          <w:szCs w:val="24"/>
        </w:rPr>
        <w:t>2</w:t>
      </w:r>
      <w:r w:rsidRPr="0063727B">
        <w:rPr>
          <w:rFonts w:ascii="Times New Roman" w:hAnsi="Times New Roman" w:cs="Times New Roman"/>
          <w:sz w:val="24"/>
          <w:szCs w:val="24"/>
        </w:rPr>
        <w:t xml:space="preserve">.tabulu pielikumā). </w:t>
      </w:r>
      <w:r w:rsidRPr="0063727B">
        <w:rPr>
          <w:rFonts w:ascii="Times New Roman" w:eastAsia="MS Mincho" w:hAnsi="Times New Roman" w:cs="Times New Roman"/>
          <w:sz w:val="24"/>
          <w:szCs w:val="24"/>
          <w:lang w:eastAsia="ja-JP" w:bidi="lo-LA"/>
        </w:rPr>
        <w:t xml:space="preserve">Pieaugusi gan iedzīvotāju ekonomiskā aktivitāte, gan nodarbinātība, kas nozīmē, ka nodarbinātības un bezdarba rādītāju pozitīvā tendence nav saistāma ar faktu, ka iedzīvotāji darbu vairs nemeklē. </w:t>
      </w:r>
      <w:r w:rsidRPr="0063727B">
        <w:rPr>
          <w:rFonts w:ascii="Times New Roman" w:hAnsi="Times New Roman" w:cs="Times New Roman"/>
          <w:sz w:val="24"/>
          <w:szCs w:val="24"/>
        </w:rPr>
        <w:t xml:space="preserve">Turklāt samazinājies arī bezdarbnieku (tostarp ilgstošo bezdarbnieku) skaits. </w:t>
      </w:r>
      <w:r w:rsidRPr="0063727B">
        <w:rPr>
          <w:rFonts w:ascii="Times New Roman" w:eastAsia="MS Mincho" w:hAnsi="Times New Roman" w:cs="Times New Roman"/>
          <w:sz w:val="24"/>
          <w:szCs w:val="24"/>
          <w:lang w:eastAsia="ja-JP" w:bidi="lo-LA"/>
        </w:rPr>
        <w:t xml:space="preserve">Kopš 2012.gada beigām vērojams arī samērā straujš jauniešu bezdarba līmeņa </w:t>
      </w:r>
      <w:r w:rsidRPr="0063727B">
        <w:rPr>
          <w:rFonts w:ascii="Times New Roman" w:eastAsia="MS Mincho" w:hAnsi="Times New Roman" w:cs="Times New Roman"/>
          <w:sz w:val="24"/>
          <w:szCs w:val="24"/>
          <w:lang w:eastAsia="ja-JP" w:bidi="lo-LA"/>
        </w:rPr>
        <w:lastRenderedPageBreak/>
        <w:t>samazinājums, kā rezultātā jauniešu bezdarba līmenis Latvijā jau 2013.gada I ceturksnī bija zemāks nekā ES vidējais bezdarba līmenis šajā periodā (24,1%).</w:t>
      </w:r>
      <w:r w:rsidRPr="0063727B">
        <w:rPr>
          <w:rFonts w:ascii="Times New Roman" w:hAnsi="Times New Roman" w:cs="Times New Roman"/>
          <w:sz w:val="24"/>
          <w:szCs w:val="24"/>
        </w:rPr>
        <w:t xml:space="preserve"> </w:t>
      </w:r>
      <w:r w:rsidR="00B441B5" w:rsidRPr="0063727B">
        <w:rPr>
          <w:rFonts w:ascii="Times New Roman" w:hAnsi="Times New Roman" w:cs="Times New Roman"/>
          <w:sz w:val="24"/>
          <w:szCs w:val="24"/>
        </w:rPr>
        <w:t xml:space="preserve"> </w:t>
      </w:r>
    </w:p>
    <w:p w:rsidR="00FC6D9A" w:rsidRPr="0063727B" w:rsidRDefault="00D03A93" w:rsidP="00DB6C72">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r w:rsidRPr="0063727B">
        <w:rPr>
          <w:rFonts w:ascii="Times New Roman" w:hAnsi="Times New Roman" w:cs="Times New Roman"/>
          <w:sz w:val="24"/>
          <w:szCs w:val="24"/>
        </w:rPr>
        <w:t>Saistībā ar darba tirgu PB pētījumā ir</w:t>
      </w:r>
      <w:r w:rsidR="00983F80" w:rsidRPr="0063727B">
        <w:rPr>
          <w:rFonts w:ascii="Times New Roman" w:hAnsi="Times New Roman" w:cs="Times New Roman"/>
          <w:sz w:val="24"/>
          <w:szCs w:val="24"/>
        </w:rPr>
        <w:t xml:space="preserve"> akcentēti šādi risināmie uzdevumi</w:t>
      </w:r>
      <w:r w:rsidR="00FC6D9A" w:rsidRPr="0063727B">
        <w:rPr>
          <w:rFonts w:ascii="Times New Roman" w:hAnsi="Times New Roman" w:cs="Times New Roman"/>
          <w:sz w:val="24"/>
          <w:szCs w:val="24"/>
        </w:rPr>
        <w:t>:</w:t>
      </w:r>
    </w:p>
    <w:p w:rsidR="00FC6D9A" w:rsidRPr="0063727B" w:rsidRDefault="00987AE1" w:rsidP="009A150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precīzāk definēt mērķa grupas, kurām ir nepieciešams atbal</w:t>
      </w:r>
      <w:r w:rsidR="00983F80" w:rsidRPr="0063727B">
        <w:rPr>
          <w:rFonts w:ascii="Times New Roman" w:hAnsi="Times New Roman" w:cs="Times New Roman"/>
          <w:sz w:val="24"/>
          <w:szCs w:val="24"/>
        </w:rPr>
        <w:t>sts, lai atgrieztos darba tirgū;</w:t>
      </w:r>
      <w:r w:rsidRPr="0063727B">
        <w:rPr>
          <w:rFonts w:ascii="Times New Roman" w:hAnsi="Times New Roman" w:cs="Times New Roman"/>
          <w:sz w:val="24"/>
          <w:szCs w:val="24"/>
        </w:rPr>
        <w:t xml:space="preserve"> </w:t>
      </w:r>
    </w:p>
    <w:p w:rsidR="00FC6D9A" w:rsidRPr="0063727B" w:rsidRDefault="00811E34" w:rsidP="009A150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paaugstināt ārpus darba tirgus esošo cilvēku motivā</w:t>
      </w:r>
      <w:r w:rsidR="00983F80" w:rsidRPr="0063727B">
        <w:rPr>
          <w:rFonts w:ascii="Times New Roman" w:hAnsi="Times New Roman" w:cs="Times New Roman"/>
          <w:sz w:val="24"/>
          <w:szCs w:val="24"/>
        </w:rPr>
        <w:t>ciju iesaistīties nodarbinātībā;</w:t>
      </w:r>
    </w:p>
    <w:p w:rsidR="00811E34" w:rsidRPr="0063727B" w:rsidRDefault="00811E34" w:rsidP="009A150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uzlabot </w:t>
      </w:r>
      <w:r w:rsidR="00940226" w:rsidRPr="0063727B">
        <w:rPr>
          <w:rFonts w:ascii="Times New Roman" w:hAnsi="Times New Roman" w:cs="Times New Roman"/>
          <w:sz w:val="24"/>
          <w:szCs w:val="24"/>
        </w:rPr>
        <w:t xml:space="preserve">atbilstošu </w:t>
      </w:r>
      <w:r w:rsidRPr="0063727B">
        <w:rPr>
          <w:rFonts w:ascii="Times New Roman" w:hAnsi="Times New Roman" w:cs="Times New Roman"/>
          <w:sz w:val="24"/>
          <w:szCs w:val="24"/>
        </w:rPr>
        <w:t>aktīvo nodarbinātības pasākumu ievieš</w:t>
      </w:r>
      <w:r w:rsidR="00FC6D9A" w:rsidRPr="0063727B">
        <w:rPr>
          <w:rFonts w:ascii="Times New Roman" w:hAnsi="Times New Roman" w:cs="Times New Roman"/>
          <w:sz w:val="24"/>
          <w:szCs w:val="24"/>
        </w:rPr>
        <w:t xml:space="preserve">anu, lai piedāvātie pakalpojumi mazinātu bezdarbnieku skaitu, vienlaicīgi palielinot nodarbinātības rādītājus. </w:t>
      </w:r>
    </w:p>
    <w:p w:rsidR="00343AF5" w:rsidRPr="0063727B" w:rsidRDefault="00343AF5" w:rsidP="00DB6C72">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r w:rsidRPr="0063727B">
        <w:rPr>
          <w:rFonts w:ascii="Times New Roman" w:hAnsi="Times New Roman" w:cs="Times New Roman"/>
          <w:sz w:val="24"/>
          <w:szCs w:val="24"/>
        </w:rPr>
        <w:t>PB pētnieki izvērtējuši personu, kurām ilgtermiņā (2007.-2010. gads) bijušas grūtības darba tirgū, sociālo situāciju un sagrupējuši šīs personas deviņās grupās</w:t>
      </w:r>
      <w:r w:rsidRPr="0063727B">
        <w:rPr>
          <w:rStyle w:val="FootnoteReference"/>
          <w:rFonts w:ascii="Times New Roman" w:hAnsi="Times New Roman" w:cs="Times New Roman"/>
          <w:sz w:val="24"/>
          <w:szCs w:val="24"/>
        </w:rPr>
        <w:footnoteReference w:id="97"/>
      </w:r>
      <w:r w:rsidRPr="0063727B">
        <w:rPr>
          <w:rFonts w:ascii="Times New Roman" w:hAnsi="Times New Roman" w:cs="Times New Roman"/>
          <w:sz w:val="24"/>
          <w:szCs w:val="24"/>
        </w:rPr>
        <w:t xml:space="preserve"> (sk</w:t>
      </w:r>
      <w:r w:rsidR="00987AE1" w:rsidRPr="0063727B">
        <w:rPr>
          <w:rFonts w:ascii="Times New Roman" w:hAnsi="Times New Roman" w:cs="Times New Roman"/>
          <w:sz w:val="24"/>
          <w:szCs w:val="24"/>
        </w:rPr>
        <w:t>at</w:t>
      </w:r>
      <w:r w:rsidRPr="0063727B">
        <w:rPr>
          <w:rFonts w:ascii="Times New Roman" w:hAnsi="Times New Roman" w:cs="Times New Roman"/>
          <w:sz w:val="24"/>
          <w:szCs w:val="24"/>
        </w:rPr>
        <w:t>.</w:t>
      </w:r>
      <w:r w:rsidR="00987AE1" w:rsidRPr="0063727B">
        <w:rPr>
          <w:rFonts w:ascii="Times New Roman" w:hAnsi="Times New Roman" w:cs="Times New Roman"/>
          <w:sz w:val="24"/>
          <w:szCs w:val="24"/>
        </w:rPr>
        <w:t xml:space="preserve"> </w:t>
      </w:r>
      <w:r w:rsidR="00543B4F" w:rsidRPr="0063727B">
        <w:rPr>
          <w:rFonts w:ascii="Times New Roman" w:hAnsi="Times New Roman" w:cs="Times New Roman"/>
          <w:sz w:val="24"/>
          <w:szCs w:val="24"/>
        </w:rPr>
        <w:t>9</w:t>
      </w:r>
      <w:r w:rsidRPr="0063727B">
        <w:rPr>
          <w:rFonts w:ascii="Times New Roman" w:hAnsi="Times New Roman" w:cs="Times New Roman"/>
          <w:sz w:val="24"/>
          <w:szCs w:val="24"/>
        </w:rPr>
        <w:t xml:space="preserve">.attēlu), ņemot vērā personu darba tirgus pieredzi ilgākā laika posmā, kā arī izvērtējot riska faktorus </w:t>
      </w:r>
      <w:r w:rsidR="00983F80" w:rsidRPr="0063727B">
        <w:rPr>
          <w:rFonts w:ascii="Times New Roman" w:hAnsi="Times New Roman" w:cs="Times New Roman"/>
          <w:sz w:val="24"/>
          <w:szCs w:val="24"/>
        </w:rPr>
        <w:t>pēc dažādām pazīmēm</w:t>
      </w:r>
      <w:r w:rsidRPr="0063727B">
        <w:rPr>
          <w:rFonts w:ascii="Times New Roman" w:hAnsi="Times New Roman" w:cs="Times New Roman"/>
          <w:sz w:val="24"/>
          <w:szCs w:val="24"/>
        </w:rPr>
        <w:t xml:space="preserve"> (piemēram, vecums, dzimums, bērnu skaits, izglītība un darba pieredze). Kā ļoti nozīmīgs aspekts šajā grupēšanā tiek uzskatīti ģimenes apstākļi. PB pētnieki norāda, ka izpratne par personas individuālajām un ģimenes iezīmēm ir būtiska, jo sevišķi periodā pēc smagas </w:t>
      </w:r>
      <w:r w:rsidR="00D03A93" w:rsidRPr="0063727B">
        <w:rPr>
          <w:rFonts w:ascii="Times New Roman" w:hAnsi="Times New Roman" w:cs="Times New Roman"/>
          <w:sz w:val="24"/>
          <w:szCs w:val="24"/>
        </w:rPr>
        <w:t xml:space="preserve">ekonomiskās </w:t>
      </w:r>
      <w:r w:rsidRPr="0063727B">
        <w:rPr>
          <w:rFonts w:ascii="Times New Roman" w:hAnsi="Times New Roman" w:cs="Times New Roman"/>
          <w:sz w:val="24"/>
          <w:szCs w:val="24"/>
        </w:rPr>
        <w:t>lejupslīdes.</w:t>
      </w:r>
    </w:p>
    <w:p w:rsidR="00B538AC" w:rsidRDefault="00343AF5"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r w:rsidRPr="0063727B">
        <w:rPr>
          <w:rFonts w:ascii="Times New Roman" w:hAnsi="Times New Roman" w:cs="Times New Roman"/>
          <w:sz w:val="24"/>
          <w:szCs w:val="24"/>
        </w:rPr>
        <w:t>Līdzās tradicionālajām iedzīvotāju grupām, kas tiek saistītas ar sociālās iekļaušanās riskiem, PB pētījuma ietvaros tika izdalītas specifiskas grupas, kas parasti netiek saistītas ar darba tirgus problēmām</w:t>
      </w:r>
      <w:r w:rsidR="00983F80" w:rsidRPr="0063727B">
        <w:rPr>
          <w:rFonts w:ascii="Times New Roman" w:hAnsi="Times New Roman" w:cs="Times New Roman"/>
          <w:sz w:val="24"/>
          <w:szCs w:val="24"/>
        </w:rPr>
        <w:t>,</w:t>
      </w:r>
      <w:r w:rsidRPr="0063727B">
        <w:rPr>
          <w:rFonts w:ascii="Times New Roman" w:hAnsi="Times New Roman" w:cs="Times New Roman"/>
          <w:sz w:val="24"/>
          <w:szCs w:val="24"/>
        </w:rPr>
        <w:t xml:space="preserve"> un uz ko netiek fokusēta nodarbinātības politika. Trīs no specifiskajām grupām (1.,7.,9. grupa) veido </w:t>
      </w:r>
      <w:r w:rsidRPr="0063727B">
        <w:rPr>
          <w:rFonts w:ascii="Times New Roman" w:hAnsi="Times New Roman" w:cs="Times New Roman"/>
          <w:sz w:val="24"/>
          <w:szCs w:val="24"/>
          <w:u w:val="single"/>
        </w:rPr>
        <w:t xml:space="preserve">gados vecākas personas ar hroniskām </w:t>
      </w:r>
      <w:r w:rsidR="00987AE1" w:rsidRPr="0063727B">
        <w:rPr>
          <w:rFonts w:ascii="Times New Roman" w:hAnsi="Times New Roman" w:cs="Times New Roman"/>
          <w:sz w:val="24"/>
          <w:szCs w:val="24"/>
          <w:u w:val="single"/>
        </w:rPr>
        <w:t>saslimšanām</w:t>
      </w:r>
      <w:r w:rsidRPr="0063727B">
        <w:rPr>
          <w:rFonts w:ascii="Times New Roman" w:hAnsi="Times New Roman" w:cs="Times New Roman"/>
          <w:sz w:val="24"/>
          <w:szCs w:val="24"/>
        </w:rPr>
        <w:t xml:space="preserve">.  Tāpat augsts bezdarba risks pastāv arī </w:t>
      </w:r>
      <w:r w:rsidRPr="0063727B">
        <w:rPr>
          <w:rFonts w:ascii="Times New Roman" w:hAnsi="Times New Roman" w:cs="Times New Roman"/>
          <w:sz w:val="24"/>
          <w:szCs w:val="24"/>
          <w:u w:val="single"/>
        </w:rPr>
        <w:t>vecāku personu (50+ gadi)</w:t>
      </w:r>
      <w:r w:rsidR="00987AE1" w:rsidRPr="0063727B">
        <w:rPr>
          <w:rFonts w:ascii="Times New Roman" w:hAnsi="Times New Roman" w:cs="Times New Roman"/>
          <w:sz w:val="24"/>
          <w:szCs w:val="24"/>
        </w:rPr>
        <w:t xml:space="preserve"> vidū, kurie</w:t>
      </w:r>
      <w:r w:rsidRPr="0063727B">
        <w:rPr>
          <w:rFonts w:ascii="Times New Roman" w:hAnsi="Times New Roman" w:cs="Times New Roman"/>
          <w:sz w:val="24"/>
          <w:szCs w:val="24"/>
        </w:rPr>
        <w:t xml:space="preserve">m nav veselības problēmas, kas traucētu strādāt (3.grupa). Augsts bezdarba un nestabila darba risks ir apstiprinājies personu vecumā 20-29 gadi un 30-39 gadi vidū, kam ir ļoti </w:t>
      </w:r>
      <w:r w:rsidRPr="0063727B">
        <w:rPr>
          <w:rFonts w:ascii="Times New Roman" w:hAnsi="Times New Roman" w:cs="Times New Roman"/>
          <w:sz w:val="24"/>
          <w:szCs w:val="24"/>
          <w:u w:val="single"/>
        </w:rPr>
        <w:t xml:space="preserve">zems izglītības līmenis </w:t>
      </w:r>
      <w:r w:rsidRPr="0063727B">
        <w:rPr>
          <w:rFonts w:ascii="Times New Roman" w:hAnsi="Times New Roman" w:cs="Times New Roman"/>
          <w:sz w:val="24"/>
          <w:szCs w:val="24"/>
        </w:rPr>
        <w:t>(2., 5. grupa). Neraksturīga grupa, kura tika atklāta pētījuma ietvaros</w:t>
      </w:r>
      <w:r w:rsidR="00983F80" w:rsidRPr="0063727B">
        <w:rPr>
          <w:rFonts w:ascii="Times New Roman" w:hAnsi="Times New Roman" w:cs="Times New Roman"/>
          <w:sz w:val="24"/>
          <w:szCs w:val="24"/>
        </w:rPr>
        <w:t>,</w:t>
      </w:r>
      <w:r w:rsidRPr="0063727B">
        <w:rPr>
          <w:rFonts w:ascii="Times New Roman" w:hAnsi="Times New Roman" w:cs="Times New Roman"/>
          <w:sz w:val="24"/>
          <w:szCs w:val="24"/>
        </w:rPr>
        <w:t xml:space="preserve"> ir </w:t>
      </w:r>
      <w:r w:rsidRPr="0063727B">
        <w:rPr>
          <w:rFonts w:ascii="Times New Roman" w:hAnsi="Times New Roman" w:cs="Times New Roman"/>
          <w:sz w:val="24"/>
          <w:szCs w:val="24"/>
          <w:u w:val="single"/>
        </w:rPr>
        <w:t xml:space="preserve">sievietes ar </w:t>
      </w:r>
      <w:r w:rsidR="00987AE1" w:rsidRPr="0063727B">
        <w:rPr>
          <w:rFonts w:ascii="Times New Roman" w:hAnsi="Times New Roman" w:cs="Times New Roman"/>
          <w:sz w:val="24"/>
          <w:szCs w:val="24"/>
          <w:u w:val="single"/>
        </w:rPr>
        <w:t>augstu izglītības līmeni, kurā</w:t>
      </w:r>
      <w:r w:rsidRPr="0063727B">
        <w:rPr>
          <w:rFonts w:ascii="Times New Roman" w:hAnsi="Times New Roman" w:cs="Times New Roman"/>
          <w:sz w:val="24"/>
          <w:szCs w:val="24"/>
          <w:u w:val="single"/>
        </w:rPr>
        <w:t>m ģimenē ir bērni, jo īpaši jaunāki par 6 gadiem</w:t>
      </w:r>
      <w:r w:rsidRPr="0063727B">
        <w:rPr>
          <w:rFonts w:ascii="Times New Roman" w:hAnsi="Times New Roman" w:cs="Times New Roman"/>
          <w:sz w:val="24"/>
          <w:szCs w:val="24"/>
        </w:rPr>
        <w:t xml:space="preserve"> (4., 8. grupa). Tāpat samērā augsts risks pastāv </w:t>
      </w:r>
      <w:r w:rsidRPr="0063727B">
        <w:rPr>
          <w:rFonts w:ascii="Times New Roman" w:hAnsi="Times New Roman" w:cs="Times New Roman"/>
          <w:sz w:val="24"/>
          <w:szCs w:val="24"/>
          <w:u w:val="single"/>
        </w:rPr>
        <w:t>gados vecāku pašnodarbinātu vīriešu vidū</w:t>
      </w:r>
      <w:r w:rsidRPr="0063727B">
        <w:rPr>
          <w:rFonts w:ascii="Times New Roman" w:hAnsi="Times New Roman" w:cs="Times New Roman"/>
          <w:sz w:val="24"/>
          <w:szCs w:val="24"/>
        </w:rPr>
        <w:t xml:space="preserve"> (6.grupa), tomēr tiek uzskatīts, ka šīs iedzīvotāju daļas iekļaušanu riska grupās lielā mērā nosaka neformālā nodarbinātība. Lielākā daļa (7 no 9 grupām) izdalīto riska grupu indivīdu ir bijuši nodarbināti vairāk kā 10 gadus un pastāvīgi nav bijuši bezdarbnieki vai neaktīvi, kas liecina, ka </w:t>
      </w:r>
      <w:r w:rsidRPr="0063727B">
        <w:rPr>
          <w:rFonts w:ascii="Times New Roman" w:hAnsi="Times New Roman" w:cs="Times New Roman"/>
          <w:iCs/>
          <w:sz w:val="24"/>
          <w:szCs w:val="24"/>
        </w:rPr>
        <w:t>indivīdu bezdarba galvenais iemesls nav motivācijas trūkums vai darba nespēja</w:t>
      </w:r>
      <w:r w:rsidRPr="0063727B">
        <w:rPr>
          <w:rFonts w:ascii="Times New Roman" w:hAnsi="Times New Roman" w:cs="Times New Roman"/>
          <w:i/>
          <w:iCs/>
          <w:sz w:val="24"/>
          <w:szCs w:val="24"/>
        </w:rPr>
        <w:t xml:space="preserve">. </w:t>
      </w:r>
      <w:r w:rsidRPr="0063727B">
        <w:rPr>
          <w:rFonts w:ascii="Times New Roman" w:hAnsi="Times New Roman" w:cs="Times New Roman"/>
          <w:sz w:val="24"/>
          <w:szCs w:val="24"/>
        </w:rPr>
        <w:t xml:space="preserve">Turklāt 6 no 9 specifiskajām grupām kā būtisks iemesls augstam bezdarba riskam tiek izcelts </w:t>
      </w:r>
      <w:r w:rsidRPr="0063727B">
        <w:rPr>
          <w:rFonts w:ascii="Times New Roman" w:hAnsi="Times New Roman" w:cs="Times New Roman"/>
          <w:iCs/>
          <w:sz w:val="24"/>
          <w:szCs w:val="24"/>
        </w:rPr>
        <w:t>zems vai ļoti zems izglītības līmenis</w:t>
      </w:r>
      <w:r w:rsidRPr="0063727B">
        <w:rPr>
          <w:rFonts w:ascii="Times New Roman" w:hAnsi="Times New Roman" w:cs="Times New Roman"/>
          <w:i/>
          <w:iCs/>
          <w:sz w:val="24"/>
          <w:szCs w:val="24"/>
        </w:rPr>
        <w:t>.</w:t>
      </w:r>
    </w:p>
    <w:p w:rsidR="00EF0AEF" w:rsidRDefault="00EF0AE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2A46BF" w:rsidRDefault="002A46B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EF0AEF" w:rsidRDefault="00EF0AE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EF0AEF" w:rsidRDefault="00EF0AE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EF0AEF" w:rsidRDefault="00EF0AEF" w:rsidP="00804A1D">
      <w:pPr>
        <w:pStyle w:val="ListParagraph"/>
        <w:autoSpaceDE w:val="0"/>
        <w:autoSpaceDN w:val="0"/>
        <w:adjustRightInd w:val="0"/>
        <w:spacing w:after="0" w:line="240" w:lineRule="auto"/>
        <w:ind w:left="0" w:firstLine="714"/>
        <w:jc w:val="both"/>
        <w:rPr>
          <w:rFonts w:ascii="Times New Roman" w:hAnsi="Times New Roman" w:cs="Times New Roman"/>
          <w:i/>
          <w:iCs/>
          <w:sz w:val="24"/>
          <w:szCs w:val="24"/>
        </w:rPr>
      </w:pPr>
    </w:p>
    <w:p w:rsidR="00EF0AEF" w:rsidRPr="0063727B" w:rsidRDefault="00EF0AEF" w:rsidP="00804A1D">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p>
    <w:p w:rsidR="00E909BC" w:rsidRPr="0063727B" w:rsidRDefault="00543B4F" w:rsidP="00E909BC">
      <w:pPr>
        <w:autoSpaceDE w:val="0"/>
        <w:autoSpaceDN w:val="0"/>
        <w:adjustRightInd w:val="0"/>
        <w:spacing w:after="0" w:line="240" w:lineRule="auto"/>
        <w:jc w:val="right"/>
        <w:rPr>
          <w:rFonts w:ascii="Times New Roman" w:hAnsi="Times New Roman" w:cs="Times New Roman"/>
          <w:sz w:val="24"/>
          <w:szCs w:val="24"/>
        </w:rPr>
      </w:pPr>
      <w:r w:rsidRPr="0063727B">
        <w:rPr>
          <w:rFonts w:ascii="Times New Roman" w:hAnsi="Times New Roman" w:cs="Times New Roman"/>
          <w:sz w:val="24"/>
          <w:szCs w:val="24"/>
        </w:rPr>
        <w:lastRenderedPageBreak/>
        <w:t>9</w:t>
      </w:r>
      <w:r w:rsidR="00E909BC" w:rsidRPr="0063727B">
        <w:rPr>
          <w:rFonts w:ascii="Times New Roman" w:hAnsi="Times New Roman" w:cs="Times New Roman"/>
          <w:sz w:val="24"/>
          <w:szCs w:val="24"/>
        </w:rPr>
        <w:t>.attēls</w:t>
      </w:r>
    </w:p>
    <w:p w:rsidR="00343AF5" w:rsidRPr="0063727B" w:rsidRDefault="00343AF5" w:rsidP="00E909BC">
      <w:pPr>
        <w:autoSpaceDE w:val="0"/>
        <w:autoSpaceDN w:val="0"/>
        <w:adjustRightInd w:val="0"/>
        <w:spacing w:line="240" w:lineRule="auto"/>
        <w:jc w:val="center"/>
        <w:rPr>
          <w:rFonts w:ascii="Times New Roman" w:hAnsi="Times New Roman" w:cs="Times New Roman"/>
          <w:b/>
          <w:sz w:val="24"/>
          <w:szCs w:val="24"/>
        </w:rPr>
      </w:pPr>
      <w:r w:rsidRPr="0063727B">
        <w:rPr>
          <w:rFonts w:ascii="Times New Roman" w:hAnsi="Times New Roman" w:cs="Times New Roman"/>
          <w:b/>
          <w:sz w:val="24"/>
          <w:szCs w:val="24"/>
        </w:rPr>
        <w:t>Personu grupas ar pastāvīgām problēmām iekļauties darba tirgū</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800"/>
        <w:gridCol w:w="2800"/>
      </w:tblGrid>
      <w:tr w:rsidR="0063727B" w:rsidRPr="0063727B">
        <w:trPr>
          <w:trHeight w:val="398"/>
        </w:trPr>
        <w:tc>
          <w:tcPr>
            <w:tcW w:w="2800" w:type="dxa"/>
            <w:tcBorders>
              <w:top w:val="nil"/>
              <w:left w:val="nil"/>
              <w:bottom w:val="nil"/>
              <w:right w:val="nil"/>
            </w:tcBorders>
          </w:tcPr>
          <w:p w:rsidR="00343AF5" w:rsidRPr="0063727B" w:rsidRDefault="00343AF5" w:rsidP="00A85A7B">
            <w:pPr>
              <w:spacing w:line="240" w:lineRule="auto"/>
              <w:rPr>
                <w:rFonts w:ascii="Times New Roman" w:hAnsi="Times New Roman" w:cs="Times New Roman"/>
                <w:b/>
                <w:bCs/>
              </w:rPr>
            </w:pPr>
            <w:bookmarkStart w:id="28" w:name="_Toc364079058"/>
            <w:bookmarkStart w:id="29" w:name="_Toc364079194"/>
            <w:r w:rsidRPr="0063727B">
              <w:rPr>
                <w:rFonts w:ascii="Times New Roman" w:hAnsi="Times New Roman" w:cs="Times New Roman"/>
                <w:b/>
                <w:bCs/>
              </w:rPr>
              <w:t>1.grupa</w:t>
            </w:r>
            <w:bookmarkEnd w:id="28"/>
            <w:bookmarkEnd w:id="29"/>
          </w:p>
        </w:tc>
        <w:tc>
          <w:tcPr>
            <w:tcW w:w="2800" w:type="dxa"/>
            <w:tcBorders>
              <w:top w:val="nil"/>
              <w:left w:val="nil"/>
              <w:bottom w:val="nil"/>
              <w:right w:val="nil"/>
            </w:tcBorders>
          </w:tcPr>
          <w:p w:rsidR="00343AF5" w:rsidRPr="0063727B" w:rsidRDefault="00343AF5" w:rsidP="00A85A7B">
            <w:pPr>
              <w:spacing w:line="240" w:lineRule="auto"/>
              <w:rPr>
                <w:rFonts w:ascii="Times New Roman" w:hAnsi="Times New Roman" w:cs="Times New Roman"/>
                <w:b/>
                <w:bCs/>
              </w:rPr>
            </w:pPr>
            <w:bookmarkStart w:id="30" w:name="_Toc364079059"/>
            <w:bookmarkStart w:id="31" w:name="_Toc364079195"/>
            <w:r w:rsidRPr="0063727B">
              <w:rPr>
                <w:rFonts w:ascii="Times New Roman" w:hAnsi="Times New Roman" w:cs="Times New Roman"/>
                <w:b/>
                <w:bCs/>
              </w:rPr>
              <w:t>2.grupa</w:t>
            </w:r>
            <w:bookmarkEnd w:id="30"/>
            <w:bookmarkEnd w:id="31"/>
          </w:p>
        </w:tc>
        <w:tc>
          <w:tcPr>
            <w:tcW w:w="2800" w:type="dxa"/>
            <w:tcBorders>
              <w:top w:val="nil"/>
              <w:left w:val="nil"/>
              <w:bottom w:val="nil"/>
              <w:right w:val="nil"/>
            </w:tcBorders>
          </w:tcPr>
          <w:p w:rsidR="00343AF5" w:rsidRPr="0063727B" w:rsidRDefault="00343AF5" w:rsidP="00A85A7B">
            <w:pPr>
              <w:spacing w:line="240" w:lineRule="auto"/>
              <w:rPr>
                <w:rFonts w:ascii="Times New Roman" w:hAnsi="Times New Roman" w:cs="Times New Roman"/>
                <w:b/>
                <w:bCs/>
              </w:rPr>
            </w:pPr>
            <w:bookmarkStart w:id="32" w:name="_Toc364079060"/>
            <w:bookmarkStart w:id="33" w:name="_Toc364079196"/>
            <w:r w:rsidRPr="0063727B">
              <w:rPr>
                <w:rFonts w:ascii="Times New Roman" w:hAnsi="Times New Roman" w:cs="Times New Roman"/>
                <w:b/>
                <w:bCs/>
              </w:rPr>
              <w:t>3.grupa</w:t>
            </w:r>
            <w:bookmarkEnd w:id="32"/>
            <w:bookmarkEnd w:id="33"/>
          </w:p>
        </w:tc>
      </w:tr>
      <w:tr w:rsidR="0063727B" w:rsidRPr="0063727B">
        <w:trPr>
          <w:trHeight w:val="1048"/>
        </w:trPr>
        <w:tc>
          <w:tcPr>
            <w:tcW w:w="2800" w:type="dxa"/>
            <w:tcBorders>
              <w:top w:val="nil"/>
              <w:left w:val="nil"/>
              <w:right w:val="nil"/>
            </w:tcBorders>
          </w:tcPr>
          <w:p w:rsidR="00343AF5" w:rsidRPr="0063727B" w:rsidRDefault="00C24738" w:rsidP="00A85A7B">
            <w:pPr>
              <w:spacing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50560" behindDoc="0" locked="0" layoutInCell="1" allowOverlap="1" wp14:anchorId="53DFBE87" wp14:editId="499D31F6">
                      <wp:simplePos x="0" y="0"/>
                      <wp:positionH relativeFrom="column">
                        <wp:posOffset>1257300</wp:posOffset>
                      </wp:positionH>
                      <wp:positionV relativeFrom="paragraph">
                        <wp:posOffset>344170</wp:posOffset>
                      </wp:positionV>
                      <wp:extent cx="508000" cy="342900"/>
                      <wp:effectExtent l="0" t="1270" r="6350" b="825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42900"/>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sidRPr="00BA3769">
                                    <w:rPr>
                                      <w:rFonts w:ascii="Arial" w:hAnsi="Arial" w:cs="Arial"/>
                                      <w:b/>
                                      <w:bC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9pt;margin-top:27.1pt;width:4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" stroked="f" strokecolor="gray">
                      <v:fill opacity="0"/>
                      <v:textbox>
                        <w:txbxContent>
                          <w:p w:rsidR="008117FC" w:rsidRPr="00BA3769" w:rsidRDefault="008117FC" w:rsidP="00CC14FF">
                            <w:pPr>
                              <w:rPr>
                                <w:rFonts w:ascii="Arial" w:hAnsi="Arial" w:cs="Arial"/>
                                <w:b/>
                                <w:bCs/>
                              </w:rPr>
                            </w:pPr>
                            <w:r w:rsidRPr="00BA3769">
                              <w:rPr>
                                <w:rFonts w:ascii="Arial" w:hAnsi="Arial" w:cs="Arial"/>
                                <w:b/>
                                <w:bCs/>
                              </w:rPr>
                              <w:t>22%</w:t>
                            </w:r>
                          </w:p>
                        </w:txbxContent>
                      </v:textbox>
                    </v:shape>
                  </w:pict>
                </mc:Fallback>
              </mc:AlternateContent>
            </w:r>
            <w:r w:rsidRPr="0063727B">
              <w:rPr>
                <w:noProof/>
                <w:lang w:eastAsia="lv-LV"/>
              </w:rPr>
              <mc:AlternateContent>
                <mc:Choice Requires="wps">
                  <w:drawing>
                    <wp:anchor distT="0" distB="0" distL="114300" distR="114300" simplePos="0" relativeHeight="251649536" behindDoc="0" locked="0" layoutInCell="1" allowOverlap="1" wp14:anchorId="2E9279F1" wp14:editId="445CE8A5">
                      <wp:simplePos x="0" y="0"/>
                      <wp:positionH relativeFrom="column">
                        <wp:posOffset>1255395</wp:posOffset>
                      </wp:positionH>
                      <wp:positionV relativeFrom="paragraph">
                        <wp:posOffset>328930</wp:posOffset>
                      </wp:positionV>
                      <wp:extent cx="457200" cy="344805"/>
                      <wp:effectExtent l="7620" t="14605" r="11430" b="12065"/>
                      <wp:wrapSquare wrapText="bothSides"/>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66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98.85pt;margin-top:25.9pt;width:36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" fillcolor="#f60" strokeweight="1pt">
                      <w10:wrap type="square"/>
                    </v:oval>
                  </w:pict>
                </mc:Fallback>
              </mc:AlternateContent>
            </w:r>
            <w:r w:rsidR="00343AF5" w:rsidRPr="0063727B">
              <w:rPr>
                <w:rFonts w:ascii="Times New Roman" w:hAnsi="Times New Roman" w:cs="Times New Roman"/>
              </w:rPr>
              <w:t>Vientuļi, gados vecāki bezdarbnieki/ personas ar invaliditāti</w:t>
            </w:r>
            <w:bookmarkEnd w:id="0"/>
            <w:bookmarkEnd w:id="1"/>
          </w:p>
        </w:tc>
        <w:tc>
          <w:tcPr>
            <w:tcW w:w="2800" w:type="dxa"/>
            <w:tcBorders>
              <w:top w:val="nil"/>
              <w:left w:val="nil"/>
              <w:right w:val="nil"/>
            </w:tcBorders>
          </w:tcPr>
          <w:p w:rsidR="00343AF5" w:rsidRPr="0063727B" w:rsidRDefault="00C24738" w:rsidP="00A85A7B">
            <w:pPr>
              <w:spacing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59776" behindDoc="0" locked="0" layoutInCell="1" allowOverlap="1" wp14:anchorId="3B55D078" wp14:editId="662B4CDB">
                      <wp:simplePos x="0" y="0"/>
                      <wp:positionH relativeFrom="column">
                        <wp:posOffset>1168400</wp:posOffset>
                      </wp:positionH>
                      <wp:positionV relativeFrom="paragraph">
                        <wp:posOffset>344170</wp:posOffset>
                      </wp:positionV>
                      <wp:extent cx="570230" cy="339090"/>
                      <wp:effectExtent l="6350" t="1270" r="4445" b="254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39090"/>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2pt;margin-top:27.1pt;width:44.9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" stroked="f" strokecolor="gray">
                      <v:fill opacity="0"/>
                      <v:textbox>
                        <w:txbxContent>
                          <w:p w:rsidR="008117FC" w:rsidRPr="00BA3769" w:rsidRDefault="008117FC" w:rsidP="00CC14FF">
                            <w:pPr>
                              <w:rPr>
                                <w:rFonts w:ascii="Arial" w:hAnsi="Arial" w:cs="Arial"/>
                                <w:b/>
                                <w:bCs/>
                              </w:rPr>
                            </w:pPr>
                            <w:r>
                              <w:rPr>
                                <w:rFonts w:ascii="Arial" w:hAnsi="Arial" w:cs="Arial"/>
                                <w:b/>
                                <w:bCs/>
                              </w:rPr>
                              <w:t>11%</w:t>
                            </w:r>
                          </w:p>
                        </w:txbxContent>
                      </v:textbox>
                    </v:shape>
                  </w:pict>
                </mc:Fallback>
              </mc:AlternateContent>
            </w:r>
            <w:r w:rsidRPr="0063727B">
              <w:rPr>
                <w:noProof/>
                <w:lang w:eastAsia="lv-LV"/>
              </w:rPr>
              <mc:AlternateContent>
                <mc:Choice Requires="wps">
                  <w:drawing>
                    <wp:anchor distT="0" distB="0" distL="114300" distR="114300" simplePos="0" relativeHeight="251651584" behindDoc="0" locked="0" layoutInCell="1" allowOverlap="1" wp14:anchorId="26304F6B" wp14:editId="266377E4">
                      <wp:simplePos x="0" y="0"/>
                      <wp:positionH relativeFrom="column">
                        <wp:posOffset>1236980</wp:posOffset>
                      </wp:positionH>
                      <wp:positionV relativeFrom="paragraph">
                        <wp:posOffset>327660</wp:posOffset>
                      </wp:positionV>
                      <wp:extent cx="457200" cy="344805"/>
                      <wp:effectExtent l="8255" t="13335" r="10795" b="13335"/>
                      <wp:wrapNone/>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4498"/>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97.4pt;margin-top:25.8pt;width:36pt;height:2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" fillcolor="#ff4498" strokeweight="1pt"/>
                  </w:pict>
                </mc:Fallback>
              </mc:AlternateContent>
            </w:r>
            <w:r w:rsidR="00343AF5" w:rsidRPr="0063727B">
              <w:rPr>
                <w:rFonts w:ascii="Times New Roman" w:hAnsi="Times New Roman" w:cs="Times New Roman"/>
              </w:rPr>
              <w:t>Vientuļi, jauni vīrieši ar zemu izglītību</w:t>
            </w:r>
            <w:bookmarkEnd w:id="2"/>
            <w:bookmarkEnd w:id="3"/>
          </w:p>
        </w:tc>
        <w:tc>
          <w:tcPr>
            <w:tcW w:w="2800" w:type="dxa"/>
            <w:tcBorders>
              <w:top w:val="nil"/>
              <w:left w:val="nil"/>
              <w:right w:val="nil"/>
            </w:tcBorders>
          </w:tcPr>
          <w:p w:rsidR="00343AF5" w:rsidRPr="0063727B" w:rsidRDefault="00C24738" w:rsidP="00A85A7B">
            <w:pPr>
              <w:spacing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0800" behindDoc="0" locked="0" layoutInCell="1" allowOverlap="1" wp14:anchorId="50FB2C43" wp14:editId="4EDDD64A">
                      <wp:simplePos x="0" y="0"/>
                      <wp:positionH relativeFrom="column">
                        <wp:posOffset>1198245</wp:posOffset>
                      </wp:positionH>
                      <wp:positionV relativeFrom="paragraph">
                        <wp:posOffset>338455</wp:posOffset>
                      </wp:positionV>
                      <wp:extent cx="502920" cy="339090"/>
                      <wp:effectExtent l="7620" t="5080" r="3810" b="825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39090"/>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14</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94.35pt;margin-top:26.65pt;width:39.6pt;height:2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" stroked="f" strokecolor="gray">
                      <v:fill opacity="0"/>
                      <v:textbox>
                        <w:txbxContent>
                          <w:p w:rsidR="008117FC" w:rsidRPr="00BA3769" w:rsidRDefault="008117FC" w:rsidP="00CC14FF">
                            <w:pPr>
                              <w:rPr>
                                <w:rFonts w:ascii="Arial" w:hAnsi="Arial" w:cs="Arial"/>
                                <w:b/>
                                <w:bCs/>
                              </w:rPr>
                            </w:pPr>
                            <w:r>
                              <w:rPr>
                                <w:rFonts w:ascii="Arial" w:hAnsi="Arial" w:cs="Arial"/>
                                <w:b/>
                                <w:bCs/>
                              </w:rPr>
                              <w:t>14</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2608" behindDoc="0" locked="0" layoutInCell="1" allowOverlap="1" wp14:anchorId="2F72A775" wp14:editId="5C8EED6C">
                      <wp:simplePos x="0" y="0"/>
                      <wp:positionH relativeFrom="column">
                        <wp:posOffset>1198245</wp:posOffset>
                      </wp:positionH>
                      <wp:positionV relativeFrom="paragraph">
                        <wp:posOffset>338455</wp:posOffset>
                      </wp:positionV>
                      <wp:extent cx="457200" cy="344805"/>
                      <wp:effectExtent l="7620" t="14605" r="11430" b="12065"/>
                      <wp:wrapNone/>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E949"/>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94.35pt;margin-top:26.65pt;width:36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" fillcolor="#ffe949" strokeweight="1pt"/>
                  </w:pict>
                </mc:Fallback>
              </mc:AlternateContent>
            </w:r>
            <w:r w:rsidR="00343AF5" w:rsidRPr="0063727B">
              <w:rPr>
                <w:rFonts w:ascii="Times New Roman" w:hAnsi="Times New Roman" w:cs="Times New Roman"/>
              </w:rPr>
              <w:t>Vecāki bezdarbnieki, ar labu veselības stāvokli</w:t>
            </w:r>
            <w:bookmarkEnd w:id="4"/>
            <w:bookmarkEnd w:id="5"/>
          </w:p>
        </w:tc>
      </w:tr>
      <w:tr w:rsidR="0063727B" w:rsidRPr="0063727B">
        <w:trPr>
          <w:trHeight w:val="1623"/>
        </w:trPr>
        <w:tc>
          <w:tcPr>
            <w:tcW w:w="2800" w:type="dxa"/>
            <w:shd w:val="clear" w:color="auto" w:fill="FAD449"/>
          </w:tcPr>
          <w:p w:rsidR="00343AF5" w:rsidRPr="0063727B" w:rsidRDefault="00343AF5" w:rsidP="00883BE3">
            <w:pPr>
              <w:spacing w:after="0" w:line="240" w:lineRule="auto"/>
              <w:rPr>
                <w:rFonts w:ascii="Times New Roman" w:hAnsi="Times New Roman" w:cs="Times New Roman"/>
                <w:sz w:val="20"/>
                <w:szCs w:val="20"/>
              </w:rPr>
            </w:pPr>
            <w:bookmarkStart w:id="34" w:name="_Toc364079064"/>
            <w:bookmarkStart w:id="35" w:name="_Toc364079200"/>
            <w:r w:rsidRPr="0063727B">
              <w:rPr>
                <w:rFonts w:ascii="Times New Roman" w:hAnsi="Times New Roman" w:cs="Times New Roman"/>
                <w:sz w:val="20"/>
                <w:szCs w:val="20"/>
              </w:rPr>
              <w:t>46-61 gads</w:t>
            </w:r>
            <w:bookmarkEnd w:id="34"/>
            <w:bookmarkEnd w:id="35"/>
            <w:r w:rsidRPr="0063727B">
              <w:rPr>
                <w:rFonts w:ascii="Times New Roman" w:hAnsi="Times New Roman" w:cs="Times New Roman"/>
                <w:sz w:val="20"/>
                <w:szCs w:val="20"/>
              </w:rPr>
              <w:t xml:space="preserve"> </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Vientuļie</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10+ gadu darba pieredze</w:t>
            </w:r>
          </w:p>
          <w:p w:rsidR="00343AF5" w:rsidRPr="0063727B" w:rsidRDefault="00343AF5" w:rsidP="00883BE3">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Zema izglītība</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Daudz invalīdu/ bezdarbnieku</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Hroniska saslimšana</w:t>
            </w:r>
          </w:p>
        </w:tc>
        <w:tc>
          <w:tcPr>
            <w:tcW w:w="2800" w:type="dxa"/>
            <w:shd w:val="clear" w:color="auto" w:fill="FF99CC"/>
          </w:tcPr>
          <w:p w:rsidR="00343AF5" w:rsidRPr="0063727B" w:rsidRDefault="00343AF5" w:rsidP="00883BE3">
            <w:pPr>
              <w:spacing w:after="0" w:line="240" w:lineRule="auto"/>
              <w:rPr>
                <w:rFonts w:ascii="Times New Roman" w:hAnsi="Times New Roman" w:cs="Times New Roman"/>
                <w:sz w:val="20"/>
                <w:szCs w:val="20"/>
              </w:rPr>
            </w:pPr>
            <w:bookmarkStart w:id="36" w:name="_Toc364079065"/>
            <w:bookmarkStart w:id="37" w:name="_Toc364079201"/>
            <w:r w:rsidRPr="0063727B">
              <w:rPr>
                <w:rFonts w:ascii="Times New Roman" w:hAnsi="Times New Roman" w:cs="Times New Roman"/>
                <w:sz w:val="20"/>
                <w:szCs w:val="20"/>
              </w:rPr>
              <w:t>Vīrieši, 20-29 gadi</w:t>
            </w:r>
            <w:bookmarkEnd w:id="36"/>
            <w:bookmarkEnd w:id="37"/>
            <w:r w:rsidRPr="0063727B">
              <w:rPr>
                <w:rFonts w:ascii="Times New Roman" w:hAnsi="Times New Roman" w:cs="Times New Roman"/>
                <w:sz w:val="20"/>
                <w:szCs w:val="20"/>
              </w:rPr>
              <w:t xml:space="preserve"> </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Nav bijuši precējušies</w:t>
            </w:r>
          </w:p>
          <w:p w:rsidR="00343AF5" w:rsidRPr="0063727B" w:rsidRDefault="00343AF5" w:rsidP="00883BE3">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Ļoti zema izglītība</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Bezdarbnieki</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Bez bērniem</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Lauku iedzīvotāji</w:t>
            </w:r>
          </w:p>
        </w:tc>
        <w:tc>
          <w:tcPr>
            <w:tcW w:w="2800" w:type="dxa"/>
            <w:shd w:val="clear" w:color="auto" w:fill="FFF7BC"/>
          </w:tcPr>
          <w:p w:rsidR="00343AF5" w:rsidRPr="0063727B" w:rsidRDefault="00343AF5" w:rsidP="00883BE3">
            <w:pPr>
              <w:spacing w:after="0" w:line="240" w:lineRule="auto"/>
              <w:rPr>
                <w:rFonts w:ascii="Times New Roman" w:hAnsi="Times New Roman" w:cs="Times New Roman"/>
                <w:sz w:val="20"/>
                <w:szCs w:val="20"/>
              </w:rPr>
            </w:pPr>
            <w:bookmarkStart w:id="38" w:name="_Toc364079066"/>
            <w:bookmarkStart w:id="39" w:name="_Toc364079202"/>
            <w:r w:rsidRPr="0063727B">
              <w:rPr>
                <w:rFonts w:ascii="Times New Roman" w:hAnsi="Times New Roman" w:cs="Times New Roman"/>
                <w:sz w:val="20"/>
                <w:szCs w:val="20"/>
              </w:rPr>
              <w:t>50+ gadi</w:t>
            </w:r>
            <w:bookmarkEnd w:id="38"/>
            <w:bookmarkEnd w:id="39"/>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Precējušies</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10+ gadu darba pieredze</w:t>
            </w:r>
          </w:p>
          <w:p w:rsidR="00343AF5" w:rsidRPr="0063727B" w:rsidRDefault="00343AF5" w:rsidP="00883BE3">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Zema izglītība</w:t>
            </w:r>
          </w:p>
          <w:p w:rsidR="00343AF5" w:rsidRPr="0063727B" w:rsidRDefault="00343AF5" w:rsidP="00883BE3">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Bezdarbnieki/ zemi ienākumi/ neregulārs darbs</w:t>
            </w:r>
          </w:p>
          <w:p w:rsidR="00343AF5" w:rsidRPr="0063727B" w:rsidRDefault="00343AF5" w:rsidP="00883BE3">
            <w:pPr>
              <w:spacing w:after="0" w:line="240" w:lineRule="auto"/>
              <w:rPr>
                <w:rFonts w:ascii="Times New Roman" w:hAnsi="Times New Roman" w:cs="Times New Roman"/>
                <w:sz w:val="20"/>
                <w:szCs w:val="20"/>
              </w:rPr>
            </w:pPr>
          </w:p>
        </w:tc>
      </w:tr>
      <w:tr w:rsidR="0063727B" w:rsidRPr="0063727B">
        <w:trPr>
          <w:trHeight w:val="384"/>
        </w:trPr>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40" w:name="_Toc364079067"/>
            <w:bookmarkStart w:id="41" w:name="_Toc364079203"/>
            <w:r w:rsidRPr="0063727B">
              <w:rPr>
                <w:rFonts w:ascii="Times New Roman" w:hAnsi="Times New Roman" w:cs="Times New Roman"/>
                <w:b/>
                <w:bCs/>
              </w:rPr>
              <w:t>4.grupa</w:t>
            </w:r>
            <w:bookmarkEnd w:id="40"/>
            <w:bookmarkEnd w:id="41"/>
          </w:p>
        </w:tc>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42" w:name="_Toc364079068"/>
            <w:bookmarkStart w:id="43" w:name="_Toc364079204"/>
            <w:r w:rsidRPr="0063727B">
              <w:rPr>
                <w:rFonts w:ascii="Times New Roman" w:hAnsi="Times New Roman" w:cs="Times New Roman"/>
                <w:b/>
                <w:bCs/>
              </w:rPr>
              <w:t>5.grupa</w:t>
            </w:r>
            <w:bookmarkEnd w:id="42"/>
            <w:bookmarkEnd w:id="43"/>
          </w:p>
        </w:tc>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44" w:name="_Toc364079069"/>
            <w:bookmarkStart w:id="45" w:name="_Toc364079205"/>
            <w:r w:rsidRPr="0063727B">
              <w:rPr>
                <w:rFonts w:ascii="Times New Roman" w:hAnsi="Times New Roman" w:cs="Times New Roman"/>
                <w:b/>
                <w:bCs/>
              </w:rPr>
              <w:t>6.grupa</w:t>
            </w:r>
            <w:bookmarkEnd w:id="44"/>
            <w:bookmarkEnd w:id="45"/>
          </w:p>
        </w:tc>
      </w:tr>
      <w:tr w:rsidR="0063727B" w:rsidRPr="0063727B">
        <w:trPr>
          <w:trHeight w:val="797"/>
        </w:trPr>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1824" behindDoc="0" locked="0" layoutInCell="1" allowOverlap="1" wp14:anchorId="723731BB" wp14:editId="4A7BC98B">
                      <wp:simplePos x="0" y="0"/>
                      <wp:positionH relativeFrom="column">
                        <wp:posOffset>1257300</wp:posOffset>
                      </wp:positionH>
                      <wp:positionV relativeFrom="paragraph">
                        <wp:posOffset>183515</wp:posOffset>
                      </wp:positionV>
                      <wp:extent cx="502920" cy="254635"/>
                      <wp:effectExtent l="0" t="2540" r="190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11</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99pt;margin-top:14.45pt;width:39.6pt;height:2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" stroked="f" strokecolor="gray">
                      <v:fill opacity="0"/>
                      <v:textbox>
                        <w:txbxContent>
                          <w:p w:rsidR="008117FC" w:rsidRPr="00BA3769" w:rsidRDefault="008117FC" w:rsidP="00CC14FF">
                            <w:pPr>
                              <w:rPr>
                                <w:rFonts w:ascii="Arial" w:hAnsi="Arial" w:cs="Arial"/>
                                <w:b/>
                                <w:bCs/>
                              </w:rPr>
                            </w:pPr>
                            <w:r>
                              <w:rPr>
                                <w:rFonts w:ascii="Arial" w:hAnsi="Arial" w:cs="Arial"/>
                                <w:b/>
                                <w:bCs/>
                              </w:rPr>
                              <w:t>11</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3632" behindDoc="0" locked="0" layoutInCell="1" allowOverlap="1" wp14:anchorId="09EFC805" wp14:editId="4ED91838">
                      <wp:simplePos x="0" y="0"/>
                      <wp:positionH relativeFrom="column">
                        <wp:posOffset>1255395</wp:posOffset>
                      </wp:positionH>
                      <wp:positionV relativeFrom="paragraph">
                        <wp:posOffset>157480</wp:posOffset>
                      </wp:positionV>
                      <wp:extent cx="457200" cy="344805"/>
                      <wp:effectExtent l="7620" t="14605" r="11430" b="12065"/>
                      <wp:wrapNone/>
                      <wp:docPr id="2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31859C"/>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98.85pt;margin-top:12.4pt;width:36pt;height:2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" fillcolor="#31859c" strokeweight="1pt"/>
                  </w:pict>
                </mc:Fallback>
              </mc:AlternateContent>
            </w:r>
            <w:r w:rsidR="00343AF5" w:rsidRPr="0063727B">
              <w:rPr>
                <w:rFonts w:ascii="Times New Roman" w:hAnsi="Times New Roman" w:cs="Times New Roman"/>
              </w:rPr>
              <w:t>Nestrādājošas māmiņas</w:t>
            </w:r>
            <w:bookmarkEnd w:id="6"/>
            <w:bookmarkEnd w:id="7"/>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 xml:space="preserve"> </w:t>
            </w:r>
            <w:bookmarkStart w:id="46" w:name="_Toc364079071"/>
            <w:bookmarkStart w:id="47" w:name="_Toc364079207"/>
            <w:r w:rsidRPr="0063727B">
              <w:rPr>
                <w:rFonts w:ascii="Times New Roman" w:hAnsi="Times New Roman" w:cs="Times New Roman"/>
              </w:rPr>
              <w:t>ar mazu bērnu</w:t>
            </w:r>
            <w:bookmarkEnd w:id="46"/>
            <w:bookmarkEnd w:id="47"/>
          </w:p>
        </w:tc>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5920" behindDoc="0" locked="0" layoutInCell="1" allowOverlap="1" wp14:anchorId="79830338" wp14:editId="321F643F">
                      <wp:simplePos x="0" y="0"/>
                      <wp:positionH relativeFrom="column">
                        <wp:posOffset>1283970</wp:posOffset>
                      </wp:positionH>
                      <wp:positionV relativeFrom="paragraph">
                        <wp:posOffset>186055</wp:posOffset>
                      </wp:positionV>
                      <wp:extent cx="502920" cy="254635"/>
                      <wp:effectExtent l="7620" t="5080" r="3810" b="698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11</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01.1pt;margin-top:14.65pt;width:39.6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" stroked="f" strokecolor="gray">
                      <v:fill opacity="0"/>
                      <v:textbox>
                        <w:txbxContent>
                          <w:p w:rsidR="008117FC" w:rsidRPr="00BA3769" w:rsidRDefault="008117FC" w:rsidP="00CC14FF">
                            <w:pPr>
                              <w:rPr>
                                <w:rFonts w:ascii="Arial" w:hAnsi="Arial" w:cs="Arial"/>
                                <w:b/>
                                <w:bCs/>
                              </w:rPr>
                            </w:pPr>
                            <w:r>
                              <w:rPr>
                                <w:rFonts w:ascii="Arial" w:hAnsi="Arial" w:cs="Arial"/>
                                <w:b/>
                                <w:bCs/>
                              </w:rPr>
                              <w:t>11</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4656" behindDoc="0" locked="0" layoutInCell="1" allowOverlap="1" wp14:anchorId="795583C0" wp14:editId="60AC45CC">
                      <wp:simplePos x="0" y="0"/>
                      <wp:positionH relativeFrom="column">
                        <wp:posOffset>1285240</wp:posOffset>
                      </wp:positionH>
                      <wp:positionV relativeFrom="paragraph">
                        <wp:posOffset>157480</wp:posOffset>
                      </wp:positionV>
                      <wp:extent cx="457200" cy="344805"/>
                      <wp:effectExtent l="8890" t="14605" r="10160" b="12065"/>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1684"/>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01.2pt;margin-top:12.4pt;width:36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" fillcolor="#ff1684" strokeweight="1pt"/>
                  </w:pict>
                </mc:Fallback>
              </mc:AlternateContent>
            </w:r>
            <w:r w:rsidR="00343AF5" w:rsidRPr="0063727B">
              <w:rPr>
                <w:rFonts w:ascii="Times New Roman" w:hAnsi="Times New Roman" w:cs="Times New Roman"/>
              </w:rPr>
              <w:t>Mazizglītoti, laukos dzīvojoši vīrieši, apgādnieki</w:t>
            </w:r>
            <w:bookmarkEnd w:id="8"/>
            <w:bookmarkEnd w:id="9"/>
          </w:p>
        </w:tc>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2848" behindDoc="0" locked="0" layoutInCell="1" allowOverlap="1" wp14:anchorId="4BFE9646" wp14:editId="00D7DC3E">
                      <wp:simplePos x="0" y="0"/>
                      <wp:positionH relativeFrom="column">
                        <wp:posOffset>1198245</wp:posOffset>
                      </wp:positionH>
                      <wp:positionV relativeFrom="paragraph">
                        <wp:posOffset>186055</wp:posOffset>
                      </wp:positionV>
                      <wp:extent cx="476250" cy="254635"/>
                      <wp:effectExtent l="7620" t="5080" r="1905" b="698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9</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94.35pt;margin-top:14.65pt;width:37.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" stroked="f" strokecolor="gray">
                      <v:fill opacity="0"/>
                      <v:textbox>
                        <w:txbxContent>
                          <w:p w:rsidR="008117FC" w:rsidRPr="00BA3769" w:rsidRDefault="008117FC" w:rsidP="00CC14FF">
                            <w:pPr>
                              <w:rPr>
                                <w:rFonts w:ascii="Arial" w:hAnsi="Arial" w:cs="Arial"/>
                                <w:b/>
                                <w:bCs/>
                              </w:rPr>
                            </w:pPr>
                            <w:r>
                              <w:rPr>
                                <w:rFonts w:ascii="Arial" w:hAnsi="Arial" w:cs="Arial"/>
                                <w:b/>
                                <w:bCs/>
                              </w:rPr>
                              <w:t>9</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5680" behindDoc="0" locked="0" layoutInCell="1" allowOverlap="1" wp14:anchorId="7428DDB5" wp14:editId="5ECE68E2">
                      <wp:simplePos x="0" y="0"/>
                      <wp:positionH relativeFrom="column">
                        <wp:posOffset>1201420</wp:posOffset>
                      </wp:positionH>
                      <wp:positionV relativeFrom="paragraph">
                        <wp:posOffset>157480</wp:posOffset>
                      </wp:positionV>
                      <wp:extent cx="457200" cy="344805"/>
                      <wp:effectExtent l="10795" t="14605" r="8255" b="12065"/>
                      <wp:wrapNone/>
                      <wp:docPr id="2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3366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94.6pt;margin-top:12.4pt;width:36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" fillcolor="#36f" strokeweight="1pt"/>
                  </w:pict>
                </mc:Fallback>
              </mc:AlternateContent>
            </w:r>
            <w:r w:rsidR="00343AF5" w:rsidRPr="0063727B">
              <w:rPr>
                <w:rFonts w:ascii="Times New Roman" w:hAnsi="Times New Roman" w:cs="Times New Roman"/>
              </w:rPr>
              <w:t>Pašnodarbināti gados vecāki vīrieši</w:t>
            </w:r>
            <w:bookmarkEnd w:id="10"/>
            <w:bookmarkEnd w:id="11"/>
          </w:p>
        </w:tc>
      </w:tr>
      <w:tr w:rsidR="0063727B" w:rsidRPr="0063727B">
        <w:trPr>
          <w:trHeight w:val="2066"/>
        </w:trPr>
        <w:tc>
          <w:tcPr>
            <w:tcW w:w="2800" w:type="dxa"/>
            <w:shd w:val="clear" w:color="auto" w:fill="CCFFCC"/>
          </w:tcPr>
          <w:p w:rsidR="00343AF5" w:rsidRPr="0063727B" w:rsidRDefault="00343AF5" w:rsidP="00F04A0A">
            <w:pPr>
              <w:spacing w:after="0" w:line="240" w:lineRule="auto"/>
              <w:rPr>
                <w:rFonts w:ascii="Times New Roman" w:hAnsi="Times New Roman" w:cs="Times New Roman"/>
              </w:rPr>
            </w:pPr>
            <w:bookmarkStart w:id="48" w:name="_Toc364079074"/>
            <w:bookmarkStart w:id="49" w:name="_Toc364079210"/>
            <w:r w:rsidRPr="0063727B">
              <w:rPr>
                <w:rFonts w:ascii="Times New Roman" w:hAnsi="Times New Roman" w:cs="Times New Roman"/>
              </w:rPr>
              <w:t>Sievietes, 25-39 gadi</w:t>
            </w:r>
            <w:bookmarkEnd w:id="48"/>
            <w:bookmarkEnd w:id="49"/>
            <w:r w:rsidRPr="0063727B">
              <w:rPr>
                <w:rFonts w:ascii="Times New Roman" w:hAnsi="Times New Roman" w:cs="Times New Roman"/>
              </w:rPr>
              <w:t xml:space="preserve"> </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Precējušās, dzīvo kopdzīvē</w:t>
            </w:r>
          </w:p>
          <w:p w:rsidR="00343AF5" w:rsidRPr="0063727B" w:rsidRDefault="00343AF5" w:rsidP="00F04A0A">
            <w:pPr>
              <w:spacing w:after="0" w:line="240" w:lineRule="auto"/>
              <w:rPr>
                <w:rFonts w:ascii="Times New Roman" w:hAnsi="Times New Roman" w:cs="Times New Roman"/>
                <w:u w:val="single"/>
              </w:rPr>
            </w:pPr>
            <w:r w:rsidRPr="0063727B">
              <w:rPr>
                <w:rFonts w:ascii="Times New Roman" w:hAnsi="Times New Roman" w:cs="Times New Roman"/>
                <w:u w:val="single"/>
              </w:rPr>
              <w:t>Augstākā izglītība</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Bērni līdz 6 gadu vecumam</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Lauku iedzīvotājas</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Partneris strādā</w:t>
            </w:r>
          </w:p>
        </w:tc>
        <w:tc>
          <w:tcPr>
            <w:tcW w:w="2800" w:type="dxa"/>
            <w:shd w:val="clear" w:color="auto" w:fill="FF67AC"/>
          </w:tcPr>
          <w:p w:rsidR="00343AF5" w:rsidRPr="0063727B" w:rsidRDefault="00343AF5" w:rsidP="00F04A0A">
            <w:pPr>
              <w:spacing w:after="0" w:line="240" w:lineRule="auto"/>
              <w:rPr>
                <w:rFonts w:ascii="Times New Roman" w:hAnsi="Times New Roman" w:cs="Times New Roman"/>
              </w:rPr>
            </w:pPr>
            <w:bookmarkStart w:id="50" w:name="_Toc364079075"/>
            <w:bookmarkStart w:id="51" w:name="_Toc364079211"/>
            <w:r w:rsidRPr="0063727B">
              <w:rPr>
                <w:rFonts w:ascii="Times New Roman" w:hAnsi="Times New Roman" w:cs="Times New Roman"/>
              </w:rPr>
              <w:t>Vīrieši, 30-39 gadi</w:t>
            </w:r>
            <w:bookmarkEnd w:id="50"/>
            <w:bookmarkEnd w:id="51"/>
            <w:r w:rsidRPr="0063727B">
              <w:rPr>
                <w:rFonts w:ascii="Times New Roman" w:hAnsi="Times New Roman" w:cs="Times New Roman"/>
              </w:rPr>
              <w:t xml:space="preserve"> </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Precējušies, dzīvo kopdzīvē</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10+ gadu darba pieredze</w:t>
            </w:r>
          </w:p>
          <w:p w:rsidR="00343AF5" w:rsidRPr="0063727B" w:rsidRDefault="00343AF5" w:rsidP="00F04A0A">
            <w:pPr>
              <w:spacing w:after="0" w:line="240" w:lineRule="auto"/>
              <w:rPr>
                <w:rFonts w:ascii="Times New Roman" w:hAnsi="Times New Roman" w:cs="Times New Roman"/>
                <w:u w:val="single"/>
              </w:rPr>
            </w:pPr>
            <w:r w:rsidRPr="0063727B">
              <w:rPr>
                <w:rFonts w:ascii="Times New Roman" w:hAnsi="Times New Roman" w:cs="Times New Roman"/>
                <w:u w:val="single"/>
              </w:rPr>
              <w:t>Ļoti zema izglītība</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Bērns līdz 6 gadu vecumam</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Lauku iedzīvotāji</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Partnere nestrādā</w:t>
            </w:r>
          </w:p>
        </w:tc>
        <w:tc>
          <w:tcPr>
            <w:tcW w:w="2800" w:type="dxa"/>
            <w:shd w:val="clear" w:color="auto" w:fill="95B3D7"/>
          </w:tcPr>
          <w:p w:rsidR="00343AF5" w:rsidRPr="0063727B" w:rsidRDefault="00343AF5" w:rsidP="00F04A0A">
            <w:pPr>
              <w:spacing w:after="0" w:line="240" w:lineRule="auto"/>
              <w:rPr>
                <w:rFonts w:ascii="Times New Roman" w:hAnsi="Times New Roman" w:cs="Times New Roman"/>
              </w:rPr>
            </w:pPr>
            <w:bookmarkStart w:id="52" w:name="_Toc364079076"/>
            <w:bookmarkStart w:id="53" w:name="_Toc364079212"/>
            <w:r w:rsidRPr="0063727B">
              <w:rPr>
                <w:rFonts w:ascii="Times New Roman" w:hAnsi="Times New Roman" w:cs="Times New Roman"/>
              </w:rPr>
              <w:t>Vīrieši, 40-54 gadi</w:t>
            </w:r>
            <w:bookmarkEnd w:id="52"/>
            <w:bookmarkEnd w:id="53"/>
            <w:r w:rsidRPr="0063727B">
              <w:rPr>
                <w:rFonts w:ascii="Times New Roman" w:hAnsi="Times New Roman" w:cs="Times New Roman"/>
              </w:rPr>
              <w:t xml:space="preserve"> </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Precējušies</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10+ gadu darba pieredze</w:t>
            </w:r>
          </w:p>
          <w:p w:rsidR="00343AF5" w:rsidRPr="0063727B" w:rsidRDefault="00343AF5" w:rsidP="00F04A0A">
            <w:pPr>
              <w:spacing w:after="0" w:line="240" w:lineRule="auto"/>
              <w:rPr>
                <w:rFonts w:ascii="Times New Roman" w:hAnsi="Times New Roman" w:cs="Times New Roman"/>
                <w:u w:val="single"/>
              </w:rPr>
            </w:pPr>
            <w:r w:rsidRPr="0063727B">
              <w:rPr>
                <w:rFonts w:ascii="Times New Roman" w:hAnsi="Times New Roman" w:cs="Times New Roman"/>
                <w:u w:val="single"/>
              </w:rPr>
              <w:t>Pašnodarbinātie</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Mājsaimniecībā nav bērnu</w:t>
            </w:r>
          </w:p>
          <w:p w:rsidR="00343AF5" w:rsidRPr="0063727B" w:rsidRDefault="00343AF5" w:rsidP="00F04A0A">
            <w:pPr>
              <w:spacing w:after="0" w:line="240" w:lineRule="auto"/>
              <w:rPr>
                <w:rFonts w:ascii="Times New Roman" w:hAnsi="Times New Roman" w:cs="Times New Roman"/>
              </w:rPr>
            </w:pPr>
            <w:r w:rsidRPr="0063727B">
              <w:rPr>
                <w:rFonts w:ascii="Times New Roman" w:hAnsi="Times New Roman" w:cs="Times New Roman"/>
              </w:rPr>
              <w:t>Nereģistrēti nodarbināti</w:t>
            </w:r>
          </w:p>
        </w:tc>
      </w:tr>
      <w:tr w:rsidR="0063727B" w:rsidRPr="0063727B">
        <w:trPr>
          <w:trHeight w:val="384"/>
        </w:trPr>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54" w:name="_Toc364079077"/>
            <w:bookmarkStart w:id="55" w:name="_Toc364079213"/>
            <w:r w:rsidRPr="0063727B">
              <w:rPr>
                <w:rFonts w:ascii="Times New Roman" w:hAnsi="Times New Roman" w:cs="Times New Roman"/>
                <w:b/>
                <w:bCs/>
              </w:rPr>
              <w:t>7.grupa</w:t>
            </w:r>
            <w:bookmarkEnd w:id="54"/>
            <w:bookmarkEnd w:id="55"/>
          </w:p>
        </w:tc>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56" w:name="_Toc364079078"/>
            <w:bookmarkStart w:id="57" w:name="_Toc364079214"/>
            <w:r w:rsidRPr="0063727B">
              <w:rPr>
                <w:rFonts w:ascii="Times New Roman" w:hAnsi="Times New Roman" w:cs="Times New Roman"/>
                <w:b/>
                <w:bCs/>
              </w:rPr>
              <w:t>8.grupa</w:t>
            </w:r>
            <w:bookmarkEnd w:id="56"/>
            <w:bookmarkEnd w:id="57"/>
          </w:p>
        </w:tc>
        <w:tc>
          <w:tcPr>
            <w:tcW w:w="2800" w:type="dxa"/>
            <w:tcBorders>
              <w:left w:val="nil"/>
              <w:bottom w:val="nil"/>
              <w:right w:val="nil"/>
            </w:tcBorders>
          </w:tcPr>
          <w:p w:rsidR="00343AF5" w:rsidRPr="0063727B" w:rsidRDefault="00343AF5" w:rsidP="00F04A0A">
            <w:pPr>
              <w:spacing w:after="0" w:line="240" w:lineRule="auto"/>
              <w:rPr>
                <w:rFonts w:ascii="Times New Roman" w:hAnsi="Times New Roman" w:cs="Times New Roman"/>
                <w:b/>
                <w:bCs/>
              </w:rPr>
            </w:pPr>
            <w:bookmarkStart w:id="58" w:name="_Toc364079079"/>
            <w:bookmarkStart w:id="59" w:name="_Toc364079215"/>
            <w:r w:rsidRPr="0063727B">
              <w:rPr>
                <w:rFonts w:ascii="Times New Roman" w:hAnsi="Times New Roman" w:cs="Times New Roman"/>
                <w:b/>
                <w:bCs/>
              </w:rPr>
              <w:t>9.grupa</w:t>
            </w:r>
            <w:bookmarkEnd w:id="58"/>
            <w:bookmarkEnd w:id="59"/>
          </w:p>
        </w:tc>
      </w:tr>
      <w:tr w:rsidR="0063727B" w:rsidRPr="0063727B">
        <w:trPr>
          <w:trHeight w:val="856"/>
        </w:trPr>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4896" behindDoc="0" locked="0" layoutInCell="1" allowOverlap="1" wp14:anchorId="2F9A7C58" wp14:editId="54A1186E">
                      <wp:simplePos x="0" y="0"/>
                      <wp:positionH relativeFrom="column">
                        <wp:posOffset>1255395</wp:posOffset>
                      </wp:positionH>
                      <wp:positionV relativeFrom="paragraph">
                        <wp:posOffset>233680</wp:posOffset>
                      </wp:positionV>
                      <wp:extent cx="502920" cy="254635"/>
                      <wp:effectExtent l="7620" t="5080" r="3810" b="698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6</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8.85pt;margin-top:18.4pt;width:39.6pt;height: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" stroked="f" strokecolor="gray">
                      <v:fill opacity="0"/>
                      <v:textbox>
                        <w:txbxContent>
                          <w:p w:rsidR="008117FC" w:rsidRPr="00BA3769" w:rsidRDefault="008117FC" w:rsidP="00CC14FF">
                            <w:pPr>
                              <w:rPr>
                                <w:rFonts w:ascii="Arial" w:hAnsi="Arial" w:cs="Arial"/>
                                <w:b/>
                                <w:bCs/>
                              </w:rPr>
                            </w:pPr>
                            <w:r>
                              <w:rPr>
                                <w:rFonts w:ascii="Arial" w:hAnsi="Arial" w:cs="Arial"/>
                                <w:b/>
                                <w:bCs/>
                              </w:rPr>
                              <w:t>6</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6704" behindDoc="0" locked="0" layoutInCell="1" allowOverlap="1" wp14:anchorId="43331358" wp14:editId="1979F994">
                      <wp:simplePos x="0" y="0"/>
                      <wp:positionH relativeFrom="column">
                        <wp:posOffset>1257300</wp:posOffset>
                      </wp:positionH>
                      <wp:positionV relativeFrom="paragraph">
                        <wp:posOffset>201295</wp:posOffset>
                      </wp:positionV>
                      <wp:extent cx="457200" cy="344805"/>
                      <wp:effectExtent l="9525" t="10795" r="9525" b="6350"/>
                      <wp:wrapNone/>
                      <wp:docPr id="2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33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99pt;margin-top:15.85pt;width:36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" fillcolor="#f30" strokeweight="1pt"/>
                  </w:pict>
                </mc:Fallback>
              </mc:AlternateContent>
            </w:r>
            <w:r w:rsidR="00343AF5" w:rsidRPr="0063727B">
              <w:rPr>
                <w:rFonts w:ascii="Times New Roman" w:hAnsi="Times New Roman" w:cs="Times New Roman"/>
              </w:rPr>
              <w:t>Gados vecākas sievietes ar invaliditāti un ar</w:t>
            </w:r>
            <w:bookmarkEnd w:id="12"/>
            <w:bookmarkEnd w:id="13"/>
            <w:r w:rsidR="00343AF5" w:rsidRPr="0063727B">
              <w:rPr>
                <w:rFonts w:ascii="Times New Roman" w:hAnsi="Times New Roman" w:cs="Times New Roman"/>
              </w:rPr>
              <w:t xml:space="preserve"> </w:t>
            </w:r>
          </w:p>
          <w:p w:rsidR="00343AF5" w:rsidRPr="0063727B" w:rsidRDefault="00343AF5" w:rsidP="00F04A0A">
            <w:pPr>
              <w:spacing w:after="0" w:line="240" w:lineRule="auto"/>
              <w:rPr>
                <w:rFonts w:ascii="Times New Roman" w:hAnsi="Times New Roman" w:cs="Times New Roman"/>
              </w:rPr>
            </w:pPr>
            <w:bookmarkStart w:id="60" w:name="_Toc364079081"/>
            <w:bookmarkStart w:id="61" w:name="_Toc364079217"/>
            <w:r w:rsidRPr="0063727B">
              <w:rPr>
                <w:rFonts w:ascii="Times New Roman" w:hAnsi="Times New Roman" w:cs="Times New Roman"/>
              </w:rPr>
              <w:t>strādājošu partneri</w:t>
            </w:r>
            <w:bookmarkEnd w:id="60"/>
            <w:bookmarkEnd w:id="61"/>
          </w:p>
        </w:tc>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3872" behindDoc="0" locked="0" layoutInCell="1" allowOverlap="1" wp14:anchorId="776857BD" wp14:editId="78FAD79B">
                      <wp:simplePos x="0" y="0"/>
                      <wp:positionH relativeFrom="column">
                        <wp:posOffset>1172845</wp:posOffset>
                      </wp:positionH>
                      <wp:positionV relativeFrom="paragraph">
                        <wp:posOffset>233680</wp:posOffset>
                      </wp:positionV>
                      <wp:extent cx="502920" cy="254635"/>
                      <wp:effectExtent l="1270" t="5080" r="635" b="698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6</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92.35pt;margin-top:18.4pt;width:39.6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" stroked="f" strokecolor="gray">
                      <v:fill opacity="0"/>
                      <v:textbox>
                        <w:txbxContent>
                          <w:p w:rsidR="008117FC" w:rsidRPr="00BA3769" w:rsidRDefault="008117FC" w:rsidP="00CC14FF">
                            <w:pPr>
                              <w:rPr>
                                <w:rFonts w:ascii="Arial" w:hAnsi="Arial" w:cs="Arial"/>
                                <w:b/>
                                <w:bCs/>
                              </w:rPr>
                            </w:pPr>
                            <w:r>
                              <w:rPr>
                                <w:rFonts w:ascii="Arial" w:hAnsi="Arial" w:cs="Arial"/>
                                <w:b/>
                                <w:bCs/>
                              </w:rPr>
                              <w:t>6</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7728" behindDoc="0" locked="0" layoutInCell="1" allowOverlap="1" wp14:anchorId="4A2E4F5E" wp14:editId="6DA79EF0">
                      <wp:simplePos x="0" y="0"/>
                      <wp:positionH relativeFrom="column">
                        <wp:posOffset>1172845</wp:posOffset>
                      </wp:positionH>
                      <wp:positionV relativeFrom="paragraph">
                        <wp:posOffset>205105</wp:posOffset>
                      </wp:positionV>
                      <wp:extent cx="457200" cy="344805"/>
                      <wp:effectExtent l="10795" t="14605" r="8255" b="1206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CC99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92.35pt;margin-top:16.15pt;width:36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" fillcolor="#c90" strokeweight="1pt"/>
                  </w:pict>
                </mc:Fallback>
              </mc:AlternateContent>
            </w:r>
            <w:r w:rsidR="00343AF5" w:rsidRPr="0063727B">
              <w:rPr>
                <w:rFonts w:ascii="Times New Roman" w:hAnsi="Times New Roman" w:cs="Times New Roman"/>
              </w:rPr>
              <w:t>Augsti izglītotas māmiņas, kas nestrādā</w:t>
            </w:r>
            <w:bookmarkEnd w:id="14"/>
            <w:bookmarkEnd w:id="15"/>
          </w:p>
        </w:tc>
        <w:tc>
          <w:tcPr>
            <w:tcW w:w="2800" w:type="dxa"/>
            <w:tcBorders>
              <w:top w:val="nil"/>
              <w:left w:val="nil"/>
              <w:right w:val="nil"/>
            </w:tcBorders>
          </w:tcPr>
          <w:p w:rsidR="00343AF5" w:rsidRPr="0063727B" w:rsidRDefault="00C24738" w:rsidP="00F04A0A">
            <w:pPr>
              <w:spacing w:after="0" w:line="240" w:lineRule="auto"/>
              <w:rPr>
                <w:rFonts w:ascii="Times New Roman" w:hAnsi="Times New Roman" w:cs="Times New Roman"/>
              </w:rPr>
            </w:pPr>
            <w:r w:rsidRPr="0063727B">
              <w:rPr>
                <w:noProof/>
                <w:lang w:eastAsia="lv-LV"/>
              </w:rPr>
              <mc:AlternateContent>
                <mc:Choice Requires="wps">
                  <w:drawing>
                    <wp:anchor distT="0" distB="0" distL="114300" distR="114300" simplePos="0" relativeHeight="251666944" behindDoc="0" locked="0" layoutInCell="1" allowOverlap="1" wp14:anchorId="52895C91" wp14:editId="7AB0F86B">
                      <wp:simplePos x="0" y="0"/>
                      <wp:positionH relativeFrom="column">
                        <wp:posOffset>1308100</wp:posOffset>
                      </wp:positionH>
                      <wp:positionV relativeFrom="paragraph">
                        <wp:posOffset>233045</wp:posOffset>
                      </wp:positionV>
                      <wp:extent cx="502920" cy="254635"/>
                      <wp:effectExtent l="3175" t="4445" r="8255" b="762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463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8117FC" w:rsidRPr="00BA3769" w:rsidRDefault="008117FC" w:rsidP="00CC14FF">
                                  <w:pPr>
                                    <w:rPr>
                                      <w:rFonts w:ascii="Arial" w:hAnsi="Arial" w:cs="Arial"/>
                                      <w:b/>
                                      <w:bCs/>
                                    </w:rPr>
                                  </w:pPr>
                                  <w:r>
                                    <w:rPr>
                                      <w:rFonts w:ascii="Arial" w:hAnsi="Arial" w:cs="Arial"/>
                                      <w:b/>
                                      <w:bCs/>
                                    </w:rPr>
                                    <w:t>4</w:t>
                                  </w:r>
                                  <w:r w:rsidRPr="00BA3769">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03pt;margin-top:18.35pt;width:39.6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" stroked="f" strokecolor="gray">
                      <v:fill opacity="0"/>
                      <v:textbox>
                        <w:txbxContent>
                          <w:p w:rsidR="008117FC" w:rsidRPr="00BA3769" w:rsidRDefault="008117FC" w:rsidP="00CC14FF">
                            <w:pPr>
                              <w:rPr>
                                <w:rFonts w:ascii="Arial" w:hAnsi="Arial" w:cs="Arial"/>
                                <w:b/>
                                <w:bCs/>
                              </w:rPr>
                            </w:pPr>
                            <w:r>
                              <w:rPr>
                                <w:rFonts w:ascii="Arial" w:hAnsi="Arial" w:cs="Arial"/>
                                <w:b/>
                                <w:bCs/>
                              </w:rPr>
                              <w:t>4</w:t>
                            </w:r>
                            <w:r w:rsidRPr="00BA3769">
                              <w:rPr>
                                <w:rFonts w:ascii="Arial" w:hAnsi="Arial" w:cs="Arial"/>
                                <w:b/>
                                <w:bCs/>
                              </w:rPr>
                              <w:t>%</w:t>
                            </w:r>
                          </w:p>
                        </w:txbxContent>
                      </v:textbox>
                    </v:shape>
                  </w:pict>
                </mc:Fallback>
              </mc:AlternateContent>
            </w:r>
            <w:r w:rsidRPr="0063727B">
              <w:rPr>
                <w:noProof/>
                <w:lang w:eastAsia="lv-LV"/>
              </w:rPr>
              <mc:AlternateContent>
                <mc:Choice Requires="wps">
                  <w:drawing>
                    <wp:anchor distT="0" distB="0" distL="114300" distR="114300" simplePos="0" relativeHeight="251658752" behindDoc="0" locked="0" layoutInCell="1" allowOverlap="1" wp14:anchorId="72372797" wp14:editId="48F6BC53">
                      <wp:simplePos x="0" y="0"/>
                      <wp:positionH relativeFrom="column">
                        <wp:posOffset>1257300</wp:posOffset>
                      </wp:positionH>
                      <wp:positionV relativeFrom="paragraph">
                        <wp:posOffset>201295</wp:posOffset>
                      </wp:positionV>
                      <wp:extent cx="457200" cy="344805"/>
                      <wp:effectExtent l="9525" t="10795" r="9525" b="635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4805"/>
                              </a:xfrm>
                              <a:prstGeom prst="ellipse">
                                <a:avLst/>
                              </a:prstGeom>
                              <a:solidFill>
                                <a:srgbClr val="FF33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99pt;margin-top:15.85pt;width:36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" fillcolor="#f30" strokeweight="1pt"/>
                  </w:pict>
                </mc:Fallback>
              </mc:AlternateContent>
            </w:r>
            <w:r w:rsidR="00343AF5" w:rsidRPr="0063727B">
              <w:rPr>
                <w:rFonts w:ascii="Times New Roman" w:hAnsi="Times New Roman" w:cs="Times New Roman"/>
              </w:rPr>
              <w:t>Gados vecākas sievietes ar invaliditāti un ar</w:t>
            </w:r>
            <w:bookmarkEnd w:id="16"/>
            <w:bookmarkEnd w:id="17"/>
            <w:r w:rsidR="00343AF5" w:rsidRPr="0063727B">
              <w:rPr>
                <w:rFonts w:ascii="Times New Roman" w:hAnsi="Times New Roman" w:cs="Times New Roman"/>
              </w:rPr>
              <w:t xml:space="preserve"> </w:t>
            </w:r>
          </w:p>
          <w:p w:rsidR="00343AF5" w:rsidRPr="0063727B" w:rsidRDefault="00343AF5" w:rsidP="00F04A0A">
            <w:pPr>
              <w:spacing w:after="0" w:line="240" w:lineRule="auto"/>
              <w:rPr>
                <w:rFonts w:ascii="Times New Roman" w:hAnsi="Times New Roman" w:cs="Times New Roman"/>
              </w:rPr>
            </w:pPr>
            <w:bookmarkStart w:id="62" w:name="_Toc364079084"/>
            <w:bookmarkStart w:id="63" w:name="_Toc364079220"/>
            <w:r w:rsidRPr="0063727B">
              <w:rPr>
                <w:rFonts w:ascii="Times New Roman" w:hAnsi="Times New Roman" w:cs="Times New Roman"/>
              </w:rPr>
              <w:t>nestrādājošu partneri</w:t>
            </w:r>
            <w:bookmarkEnd w:id="62"/>
            <w:bookmarkEnd w:id="63"/>
          </w:p>
        </w:tc>
      </w:tr>
      <w:tr w:rsidR="0063727B" w:rsidRPr="0063727B">
        <w:trPr>
          <w:trHeight w:val="2331"/>
        </w:trPr>
        <w:tc>
          <w:tcPr>
            <w:tcW w:w="2800" w:type="dxa"/>
            <w:shd w:val="clear" w:color="auto" w:fill="FF9459"/>
          </w:tcPr>
          <w:p w:rsidR="00343AF5" w:rsidRPr="0063727B" w:rsidRDefault="00343AF5" w:rsidP="00F04A0A">
            <w:pPr>
              <w:spacing w:after="0" w:line="240" w:lineRule="auto"/>
              <w:rPr>
                <w:rFonts w:ascii="Times New Roman" w:hAnsi="Times New Roman" w:cs="Times New Roman"/>
                <w:sz w:val="20"/>
                <w:szCs w:val="20"/>
              </w:rPr>
            </w:pPr>
            <w:bookmarkStart w:id="64" w:name="_Toc364079085"/>
            <w:bookmarkStart w:id="65" w:name="_Toc364079221"/>
            <w:r w:rsidRPr="0063727B">
              <w:rPr>
                <w:rFonts w:ascii="Times New Roman" w:hAnsi="Times New Roman" w:cs="Times New Roman"/>
                <w:sz w:val="20"/>
                <w:szCs w:val="20"/>
              </w:rPr>
              <w:t>Sievietes, 50+gadi</w:t>
            </w:r>
            <w:bookmarkEnd w:id="64"/>
            <w:bookmarkEnd w:id="65"/>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Precējušās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10+ gadu darba pieredze</w:t>
            </w:r>
          </w:p>
          <w:p w:rsidR="00343AF5" w:rsidRPr="0063727B" w:rsidRDefault="00343AF5" w:rsidP="00F04A0A">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Zema izglītība</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Bieži ar invaliditāti, neaktīvas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Hroniskas saslimšanas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Partneris strādā</w:t>
            </w:r>
          </w:p>
        </w:tc>
        <w:tc>
          <w:tcPr>
            <w:tcW w:w="2800" w:type="dxa"/>
            <w:shd w:val="clear" w:color="auto" w:fill="FABF8F"/>
          </w:tcPr>
          <w:p w:rsidR="00343AF5" w:rsidRPr="0063727B" w:rsidRDefault="00343AF5" w:rsidP="00F04A0A">
            <w:pPr>
              <w:spacing w:after="0" w:line="240" w:lineRule="auto"/>
              <w:rPr>
                <w:rFonts w:ascii="Times New Roman" w:hAnsi="Times New Roman" w:cs="Times New Roman"/>
                <w:sz w:val="20"/>
                <w:szCs w:val="20"/>
              </w:rPr>
            </w:pPr>
            <w:bookmarkStart w:id="66" w:name="_Toc364079086"/>
            <w:bookmarkStart w:id="67" w:name="_Toc364079222"/>
            <w:r w:rsidRPr="0063727B">
              <w:rPr>
                <w:rFonts w:ascii="Times New Roman" w:hAnsi="Times New Roman" w:cs="Times New Roman"/>
                <w:sz w:val="20"/>
                <w:szCs w:val="20"/>
              </w:rPr>
              <w:t>Sievietes, 30-39 gadi</w:t>
            </w:r>
            <w:bookmarkEnd w:id="66"/>
            <w:bookmarkEnd w:id="67"/>
            <w:r w:rsidRPr="0063727B">
              <w:rPr>
                <w:rFonts w:ascii="Times New Roman" w:hAnsi="Times New Roman" w:cs="Times New Roman"/>
                <w:sz w:val="20"/>
                <w:szCs w:val="20"/>
              </w:rPr>
              <w:t xml:space="preserve"> </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Precējušās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10+ gadu darba pieredze</w:t>
            </w:r>
          </w:p>
          <w:p w:rsidR="00343AF5" w:rsidRPr="0063727B" w:rsidRDefault="00343AF5" w:rsidP="00F04A0A">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Augstākā izglītība (vairumam)</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Bērni</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Pilsētu iedzīvotājas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Partneris strādā</w:t>
            </w:r>
          </w:p>
        </w:tc>
        <w:tc>
          <w:tcPr>
            <w:tcW w:w="2800" w:type="dxa"/>
            <w:shd w:val="clear" w:color="auto" w:fill="FF9459"/>
          </w:tcPr>
          <w:p w:rsidR="00343AF5" w:rsidRPr="0063727B" w:rsidRDefault="00343AF5" w:rsidP="00F04A0A">
            <w:pPr>
              <w:spacing w:after="0" w:line="240" w:lineRule="auto"/>
              <w:rPr>
                <w:rFonts w:ascii="Times New Roman" w:hAnsi="Times New Roman" w:cs="Times New Roman"/>
                <w:sz w:val="20"/>
                <w:szCs w:val="20"/>
              </w:rPr>
            </w:pPr>
            <w:bookmarkStart w:id="68" w:name="_Toc364079087"/>
            <w:bookmarkStart w:id="69" w:name="_Toc364079223"/>
            <w:r w:rsidRPr="0063727B">
              <w:rPr>
                <w:rFonts w:ascii="Times New Roman" w:hAnsi="Times New Roman" w:cs="Times New Roman"/>
                <w:sz w:val="20"/>
                <w:szCs w:val="20"/>
              </w:rPr>
              <w:t>Sievietes, 50+gadi</w:t>
            </w:r>
            <w:bookmarkEnd w:id="68"/>
            <w:bookmarkEnd w:id="69"/>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Precējušās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10+ gadu darba pieredze</w:t>
            </w:r>
          </w:p>
          <w:p w:rsidR="00343AF5" w:rsidRPr="0063727B" w:rsidRDefault="00343AF5" w:rsidP="00F04A0A">
            <w:pPr>
              <w:spacing w:after="0" w:line="240" w:lineRule="auto"/>
              <w:rPr>
                <w:rFonts w:ascii="Times New Roman" w:hAnsi="Times New Roman" w:cs="Times New Roman"/>
                <w:sz w:val="20"/>
                <w:szCs w:val="20"/>
                <w:u w:val="single"/>
              </w:rPr>
            </w:pPr>
            <w:r w:rsidRPr="0063727B">
              <w:rPr>
                <w:rFonts w:ascii="Times New Roman" w:hAnsi="Times New Roman" w:cs="Times New Roman"/>
                <w:sz w:val="20"/>
                <w:szCs w:val="20"/>
                <w:u w:val="single"/>
              </w:rPr>
              <w:t>Zema izglītība</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Nav darbspējīgas, neaktīvas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Daudzas priekšlaicīgi pensionējušās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Hroniskas saslimšanas</w:t>
            </w:r>
          </w:p>
          <w:p w:rsidR="00343AF5" w:rsidRPr="0063727B" w:rsidRDefault="00343AF5" w:rsidP="00F04A0A">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Partneris nestrādā</w:t>
            </w:r>
          </w:p>
        </w:tc>
      </w:tr>
    </w:tbl>
    <w:p w:rsidR="00343AF5" w:rsidRPr="0063727B" w:rsidRDefault="00343AF5" w:rsidP="00CC14FF">
      <w:pPr>
        <w:autoSpaceDE w:val="0"/>
        <w:autoSpaceDN w:val="0"/>
        <w:adjustRightInd w:val="0"/>
        <w:rPr>
          <w:rFonts w:ascii="Times New Roman" w:hAnsi="Times New Roman" w:cs="Times New Roman"/>
          <w:sz w:val="20"/>
          <w:szCs w:val="20"/>
        </w:rPr>
      </w:pPr>
      <w:r w:rsidRPr="0063727B">
        <w:rPr>
          <w:rFonts w:ascii="Times New Roman" w:hAnsi="Times New Roman" w:cs="Times New Roman"/>
          <w:sz w:val="20"/>
          <w:szCs w:val="20"/>
        </w:rPr>
        <w:t>Avots: PB pētījums.</w:t>
      </w:r>
    </w:p>
    <w:p w:rsidR="00343AF5" w:rsidRPr="0063727B" w:rsidRDefault="00343AF5" w:rsidP="002547D0">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3727B">
        <w:rPr>
          <w:rFonts w:ascii="Times New Roman" w:hAnsi="Times New Roman" w:cs="Times New Roman"/>
          <w:sz w:val="24"/>
          <w:szCs w:val="24"/>
        </w:rPr>
        <w:t>PB pētnieki norāda</w:t>
      </w:r>
      <w:r w:rsidRPr="0063727B">
        <w:rPr>
          <w:rStyle w:val="FootnoteReference"/>
          <w:rFonts w:ascii="Times New Roman" w:hAnsi="Times New Roman" w:cs="Times New Roman"/>
          <w:sz w:val="24"/>
          <w:szCs w:val="24"/>
        </w:rPr>
        <w:footnoteReference w:id="98"/>
      </w:r>
      <w:r w:rsidRPr="0063727B">
        <w:rPr>
          <w:rFonts w:ascii="Times New Roman" w:hAnsi="Times New Roman" w:cs="Times New Roman"/>
          <w:sz w:val="24"/>
          <w:szCs w:val="24"/>
        </w:rPr>
        <w:t xml:space="preserve">, ka jānosaka specifiski mērķi, uz kurām grupām </w:t>
      </w:r>
      <w:r w:rsidR="00987AE1" w:rsidRPr="0063727B">
        <w:rPr>
          <w:rFonts w:ascii="Times New Roman" w:hAnsi="Times New Roman" w:cs="Times New Roman"/>
          <w:sz w:val="24"/>
          <w:szCs w:val="24"/>
        </w:rPr>
        <w:t>tiks fokusēta</w:t>
      </w:r>
      <w:r w:rsidRPr="0063727B">
        <w:rPr>
          <w:rFonts w:ascii="Times New Roman" w:hAnsi="Times New Roman" w:cs="Times New Roman"/>
          <w:sz w:val="24"/>
          <w:szCs w:val="24"/>
        </w:rPr>
        <w:t xml:space="preserve"> darba tirgus politik</w:t>
      </w:r>
      <w:r w:rsidR="00987AE1" w:rsidRPr="0063727B">
        <w:rPr>
          <w:rFonts w:ascii="Times New Roman" w:hAnsi="Times New Roman" w:cs="Times New Roman"/>
          <w:sz w:val="24"/>
          <w:szCs w:val="24"/>
        </w:rPr>
        <w:t>a</w:t>
      </w:r>
      <w:r w:rsidRPr="0063727B">
        <w:rPr>
          <w:rFonts w:ascii="Times New Roman" w:hAnsi="Times New Roman" w:cs="Times New Roman"/>
          <w:sz w:val="24"/>
          <w:szCs w:val="24"/>
        </w:rPr>
        <w:t>. Ja mērķis ir koncentrēt aktivizēšanas poli</w:t>
      </w:r>
      <w:r w:rsidR="00987AE1" w:rsidRPr="0063727B">
        <w:rPr>
          <w:rFonts w:ascii="Times New Roman" w:hAnsi="Times New Roman" w:cs="Times New Roman"/>
          <w:sz w:val="24"/>
          <w:szCs w:val="24"/>
        </w:rPr>
        <w:t>tikas centienus uz tiem, kuriem savā ziņā</w:t>
      </w:r>
      <w:r w:rsidRPr="0063727B">
        <w:rPr>
          <w:rFonts w:ascii="Times New Roman" w:hAnsi="Times New Roman" w:cs="Times New Roman"/>
          <w:sz w:val="24"/>
          <w:szCs w:val="24"/>
        </w:rPr>
        <w:t xml:space="preserve"> ir visgrūtāk atrast darbu (1., 3., 7., un 9.grupa – vecāka gadagājuma personas ar hroniskām saslimšanām), tad politikai jākoncentrējas uz personām ar augstu risku iekļauties darba tirgū un, ņemot vērā grupu specifiku, nodarbinātības pakalpojumiem varētu būt jāveido sasaite ar veselības aprūpes pakalpojumiem. Savukārt, ja mērķis ir iesaistīt </w:t>
      </w:r>
      <w:r w:rsidRPr="0063727B">
        <w:rPr>
          <w:rFonts w:ascii="Times New Roman" w:hAnsi="Times New Roman" w:cs="Times New Roman"/>
          <w:sz w:val="24"/>
          <w:szCs w:val="24"/>
        </w:rPr>
        <w:lastRenderedPageBreak/>
        <w:t xml:space="preserve">darba tirgū cilvēkus ar salīdzinoši zemu risku (6.grupa – pašnodarbinātas personas), tad jāņem vērā, ka šie cilvēki ir labāk sagatavoti darba tirgum un viņu veiksmīga aktivizēšana, visticamāk būs lielāka. Bet tajā pašā laikā, vairākiem no šiem „zema riska” cilvēkiem var izdoties pārvarēt darba tirgus grūtības bez aktīvās nodarbinātības politikas atbalsta. Pieeja neizslēdz fokusēšanos uz abām atšķirīgajām grupām un to vajadzībām. Tāpēc praksē, kā norāda PB pētnieki, lemjot par politikas izstrādi un mērķauditoriju, ir lietderīgi apsvērt plašu informācijas klāstu. Atšķirīgs skatījums uz grupu īpašībām un nodarbinātības šķēršļiem arī norāda uz nepieciešamību kombinēt pabalstu un aktivizēšanas politiku. Zems pabalstu pārklājums tām grupām, kurām ir pastāvīgas darba tirgus grūtības, rada bažas ne tikai no vienlīdzības un nabadzības samazināšanas viedokļa, bet arī no efektīvas aktivizēšanas stratēģijas viedokļa, jo, ja uz personu neattiecas pabalsti, tad nodarbinātības dienestam atrast piemērotus pakalpojumus ir ievērojami sarežģītāk. </w:t>
      </w:r>
    </w:p>
    <w:p w:rsidR="002547D0" w:rsidRPr="0063727B" w:rsidRDefault="002547D0" w:rsidP="002547D0">
      <w:pPr>
        <w:spacing w:after="0" w:line="240" w:lineRule="auto"/>
        <w:ind w:firstLine="714"/>
        <w:jc w:val="both"/>
        <w:rPr>
          <w:rFonts w:ascii="Times New Roman" w:hAnsi="Times New Roman" w:cs="Times New Roman"/>
          <w:sz w:val="24"/>
          <w:szCs w:val="24"/>
          <w:lang w:eastAsia="lv-LV"/>
        </w:rPr>
      </w:pPr>
      <w:r w:rsidRPr="0063727B">
        <w:rPr>
          <w:rFonts w:ascii="Times New Roman" w:hAnsi="Times New Roman" w:cs="Times New Roman"/>
          <w:sz w:val="24"/>
          <w:szCs w:val="24"/>
        </w:rPr>
        <w:tab/>
        <w:t>Attiecībā uz trūcīgo, neaktīvo un bezdarbnieku motivācijas paaugstināšanu iesaistīties nodarbinātībā, PB pētnieki iesaka īstenot aktivizēšanas stratēģiju ar mērķi sasniegt identificētās grupas un veidot atbilstošus pakalpojumus, kā arī turpināt izmantot saiti starp pabalstiem un aktivizēšanas politikām kā instrumentu, lai piesaistītu bezdarbniekus nodarbinātības pakalpojumiem. ES dalībvalstīs izplatītākie atbalsta instrumenti ir pakāpeniska sociālo pabalstu samazināšana līdz strādājošais sāk saņemt noteiktu atalgojuma apmēru, piemēram, pabalsti strādājošiem</w:t>
      </w:r>
      <w:r w:rsidRPr="0063727B">
        <w:rPr>
          <w:rFonts w:ascii="Times New Roman" w:hAnsi="Times New Roman" w:cs="Times New Roman"/>
          <w:sz w:val="24"/>
          <w:szCs w:val="24"/>
          <w:lang w:eastAsia="lv-LV"/>
        </w:rPr>
        <w:t xml:space="preserve">, kā arī zemāki darbaspēka nodokļi. Ievērojot šādas sistēmas komplicētību, sasaisti ar nodokļu sistēmu un potenciālo ietekmi uz motivāciju iesaistīties darbā un nopelnīt, Labklājības ministrija </w:t>
      </w:r>
      <w:r w:rsidRPr="0063727B">
        <w:rPr>
          <w:rFonts w:ascii="Times New Roman" w:hAnsi="Times New Roman" w:cs="Times New Roman"/>
          <w:bCs/>
          <w:i/>
          <w:sz w:val="24"/>
          <w:szCs w:val="24"/>
          <w:lang w:eastAsia="lv-LV"/>
        </w:rPr>
        <w:t>Nodarbinātības un iekļaujošas izaugsmes pamatnostādņu projektā 2014.-20.gadam</w:t>
      </w:r>
      <w:r w:rsidRPr="0063727B">
        <w:rPr>
          <w:rFonts w:ascii="Times New Roman" w:hAnsi="Times New Roman" w:cs="Times New Roman"/>
          <w:b/>
          <w:bCs/>
          <w:sz w:val="24"/>
          <w:szCs w:val="24"/>
          <w:lang w:eastAsia="lv-LV"/>
        </w:rPr>
        <w:t xml:space="preserve"> </w:t>
      </w:r>
      <w:r w:rsidRPr="0063727B">
        <w:rPr>
          <w:rFonts w:ascii="Times New Roman" w:hAnsi="Times New Roman" w:cs="Times New Roman"/>
          <w:sz w:val="24"/>
          <w:szCs w:val="24"/>
          <w:lang w:eastAsia="lv-LV"/>
        </w:rPr>
        <w:t>rīcības virzienos piedāvā 2014.gadā sadarbībā ar F</w:t>
      </w:r>
      <w:r w:rsidR="002736F3" w:rsidRPr="0063727B">
        <w:rPr>
          <w:rFonts w:ascii="Times New Roman" w:hAnsi="Times New Roman" w:cs="Times New Roman"/>
          <w:sz w:val="24"/>
          <w:szCs w:val="24"/>
          <w:lang w:eastAsia="lv-LV"/>
        </w:rPr>
        <w:t>inanšu ministriju</w:t>
      </w:r>
      <w:r w:rsidRPr="0063727B">
        <w:rPr>
          <w:rFonts w:ascii="Times New Roman" w:hAnsi="Times New Roman" w:cs="Times New Roman"/>
          <w:sz w:val="24"/>
          <w:szCs w:val="24"/>
          <w:lang w:eastAsia="lv-LV"/>
        </w:rPr>
        <w:t xml:space="preserve"> izstrādāt koncepciju nodokļu un pabalstu sistēmas pilnveidošanai, izmantojot PB pētījuma rezultātus ar mērķi veicināt darbaspēka nodokļu sloga samazināšanu mazo algu saņēmējiem un finansiālu motivāciju, uzsākot darbu. Sākotnēji jāizskata iespējas uzsākt izmēģinājuma projektu, paredzot (laikā ierobežotu) pirmajos mēnešos nopelnītās - vienas minimālās darba algas neņemšanu vērā, sniedzot atbalstu trūcīgai mājsaimniecībai (vienam mājsaimniecības loceklim) 4 mēnešus.</w:t>
      </w:r>
    </w:p>
    <w:p w:rsidR="00AF0E2B" w:rsidRPr="0063727B" w:rsidRDefault="002547D0" w:rsidP="00AF0E2B">
      <w:pPr>
        <w:pStyle w:val="ListParagraph"/>
        <w:autoSpaceDE w:val="0"/>
        <w:autoSpaceDN w:val="0"/>
        <w:adjustRightInd w:val="0"/>
        <w:spacing w:after="0" w:line="240" w:lineRule="auto"/>
        <w:ind w:left="0" w:firstLine="714"/>
        <w:jc w:val="both"/>
        <w:rPr>
          <w:rFonts w:ascii="Times New Roman" w:hAnsi="Times New Roman" w:cs="Times New Roman"/>
          <w:sz w:val="24"/>
          <w:szCs w:val="24"/>
        </w:rPr>
      </w:pPr>
      <w:r w:rsidRPr="0063727B">
        <w:rPr>
          <w:rFonts w:ascii="Times New Roman" w:hAnsi="Times New Roman" w:cs="Times New Roman"/>
          <w:sz w:val="24"/>
          <w:szCs w:val="24"/>
        </w:rPr>
        <w:t xml:space="preserve"> </w:t>
      </w:r>
      <w:r w:rsidR="00343AF5" w:rsidRPr="0063727B">
        <w:rPr>
          <w:rFonts w:ascii="Times New Roman" w:hAnsi="Times New Roman" w:cs="Times New Roman"/>
          <w:sz w:val="24"/>
          <w:szCs w:val="24"/>
        </w:rPr>
        <w:t>Nodarbinātības valsts aģentūra</w:t>
      </w:r>
      <w:r w:rsidR="00AF0E2B" w:rsidRPr="0063727B">
        <w:rPr>
          <w:rFonts w:ascii="Times New Roman" w:hAnsi="Times New Roman" w:cs="Times New Roman"/>
          <w:sz w:val="24"/>
          <w:szCs w:val="24"/>
        </w:rPr>
        <w:t xml:space="preserve"> (turpmāk – NVA)</w:t>
      </w:r>
      <w:r w:rsidR="00343AF5" w:rsidRPr="0063727B">
        <w:rPr>
          <w:rFonts w:ascii="Times New Roman" w:hAnsi="Times New Roman" w:cs="Times New Roman"/>
          <w:sz w:val="24"/>
          <w:szCs w:val="24"/>
        </w:rPr>
        <w:t xml:space="preserve"> pašvaldību sociālo dienestu skatījumā ir veiksmīgs sadarbības partneris, risinot klientu problēmas</w:t>
      </w:r>
      <w:r w:rsidR="00343AF5" w:rsidRPr="0063727B">
        <w:rPr>
          <w:rStyle w:val="FootnoteReference"/>
          <w:rFonts w:ascii="Times New Roman" w:hAnsi="Times New Roman" w:cs="Times New Roman"/>
          <w:sz w:val="24"/>
          <w:szCs w:val="24"/>
        </w:rPr>
        <w:footnoteReference w:id="99"/>
      </w:r>
      <w:r w:rsidR="00343AF5" w:rsidRPr="0063727B">
        <w:rPr>
          <w:rFonts w:ascii="Times New Roman" w:hAnsi="Times New Roman" w:cs="Times New Roman"/>
          <w:sz w:val="24"/>
          <w:szCs w:val="24"/>
        </w:rPr>
        <w:t xml:space="preserve">, tomēr, apzinoties esošo un potenciālo darbaspēka trūkumu Latvijā un personu grupas, kurām ir pastāvīgas grūtības iekļauties darba tirgū, ir svarīgi novērst starpinstitucionālajā sadarbībā pastāvošos šķēršļus, izveidojot optimālu sadarbības modeli, lai efektīvāk risinātu kopējo klientu problēmsituācijas. </w:t>
      </w:r>
    </w:p>
    <w:p w:rsidR="00AF0E2B" w:rsidRPr="0063727B" w:rsidRDefault="00AF0E2B" w:rsidP="00AF0E2B">
      <w:pPr>
        <w:pStyle w:val="ListParagraph"/>
        <w:spacing w:after="0" w:line="240" w:lineRule="auto"/>
        <w:ind w:left="0" w:firstLine="633"/>
        <w:jc w:val="both"/>
        <w:rPr>
          <w:rFonts w:ascii="Times New Roman" w:hAnsi="Times New Roman" w:cs="Times New Roman"/>
          <w:sz w:val="24"/>
          <w:szCs w:val="24"/>
        </w:rPr>
      </w:pPr>
      <w:r w:rsidRPr="0063727B">
        <w:rPr>
          <w:rFonts w:ascii="Times New Roman" w:hAnsi="Times New Roman" w:cs="Times New Roman"/>
          <w:sz w:val="24"/>
          <w:szCs w:val="24"/>
        </w:rPr>
        <w:t>No 2013.gada 17.jūlija līdz 15.augustam tika veikta Nodarbinātības valsts aģentūras un pašvaldību sociālo dienestu darbinieku aptauja par abu iestāžu sadarbību klienta situācijas risināšanā, kur kopumā no abām iestādēm tika saņemtas 486 atbildes – 168 atbildes no NVA un 318 atbildes no sociālajiem dienestiem. Kā minēts arī iepriekš, kopumā sadarbība starp abām institūcijām tika vērtēta kā laba, tomēr klientu situācijas veiksmīgākai risināšanai ir identificēti atsevišķi trūkumi, sniedzot priekšlikumus to novēršanai:</w:t>
      </w:r>
    </w:p>
    <w:p w:rsidR="00AF0E2B" w:rsidRPr="0063727B" w:rsidRDefault="00AF0E2B" w:rsidP="009A1501">
      <w:pPr>
        <w:pStyle w:val="ListParagraph"/>
        <w:numPr>
          <w:ilvl w:val="1"/>
          <w:numId w:val="26"/>
        </w:numPr>
        <w:spacing w:after="0" w:line="240" w:lineRule="auto"/>
        <w:ind w:left="993"/>
        <w:jc w:val="both"/>
        <w:rPr>
          <w:rFonts w:ascii="Times New Roman" w:hAnsi="Times New Roman" w:cs="Times New Roman"/>
          <w:sz w:val="24"/>
          <w:szCs w:val="24"/>
        </w:rPr>
      </w:pPr>
      <w:r w:rsidRPr="0063727B">
        <w:rPr>
          <w:rFonts w:ascii="Times New Roman" w:hAnsi="Times New Roman" w:cs="Times New Roman"/>
          <w:sz w:val="24"/>
          <w:szCs w:val="24"/>
        </w:rPr>
        <w:t>regulāri organizēt kopīgas starpinstitūciju tikšanās par (1) klienta konkrēto gadījumu, (2) NVA aktuālajiem piedāvājumiem un projektiem un sociālo darbinieku rīcībā esošo informāciju par klienta situāciju;</w:t>
      </w:r>
    </w:p>
    <w:p w:rsidR="00AF0E2B" w:rsidRPr="0063727B" w:rsidRDefault="00AF0E2B" w:rsidP="009A1501">
      <w:pPr>
        <w:pStyle w:val="ListParagraph"/>
        <w:numPr>
          <w:ilvl w:val="1"/>
          <w:numId w:val="26"/>
        </w:numPr>
        <w:spacing w:after="0" w:line="240" w:lineRule="auto"/>
        <w:ind w:left="993"/>
        <w:jc w:val="both"/>
        <w:rPr>
          <w:rFonts w:ascii="Times New Roman" w:hAnsi="Times New Roman" w:cs="Times New Roman"/>
          <w:sz w:val="24"/>
          <w:szCs w:val="24"/>
        </w:rPr>
      </w:pPr>
      <w:r w:rsidRPr="0063727B">
        <w:rPr>
          <w:rFonts w:ascii="Times New Roman" w:hAnsi="Times New Roman" w:cs="Times New Roman"/>
          <w:sz w:val="24"/>
          <w:szCs w:val="24"/>
        </w:rPr>
        <w:lastRenderedPageBreak/>
        <w:t>pārskatīt normu, kur noteikts, ka personai darbspējīgā vecumā, kura vēlas saņemt sociālās palīdzības pabalstu, izņemot vienreizēju pabalstu ārkārtas situācijā, un nestrādā, jāreģistrējas NVA kā bezdarbniekam</w:t>
      </w:r>
      <w:r w:rsidRPr="0063727B">
        <w:rPr>
          <w:rStyle w:val="FootnoteReference"/>
          <w:rFonts w:ascii="Times New Roman" w:hAnsi="Times New Roman" w:cs="Times New Roman"/>
          <w:sz w:val="24"/>
          <w:szCs w:val="24"/>
        </w:rPr>
        <w:footnoteReference w:id="100"/>
      </w:r>
      <w:r w:rsidRPr="0063727B">
        <w:rPr>
          <w:rFonts w:ascii="Times New Roman" w:hAnsi="Times New Roman" w:cs="Times New Roman"/>
          <w:sz w:val="24"/>
          <w:szCs w:val="24"/>
        </w:rPr>
        <w:t>;</w:t>
      </w:r>
    </w:p>
    <w:p w:rsidR="00AF0E2B" w:rsidRPr="0063727B" w:rsidRDefault="00AF0E2B" w:rsidP="009A1501">
      <w:pPr>
        <w:pStyle w:val="ListParagraph"/>
        <w:numPr>
          <w:ilvl w:val="1"/>
          <w:numId w:val="26"/>
        </w:numPr>
        <w:spacing w:after="0" w:line="240" w:lineRule="auto"/>
        <w:ind w:left="992" w:hanging="357"/>
        <w:jc w:val="both"/>
        <w:rPr>
          <w:rFonts w:ascii="Times New Roman" w:hAnsi="Times New Roman" w:cs="Times New Roman"/>
          <w:sz w:val="24"/>
          <w:szCs w:val="24"/>
        </w:rPr>
      </w:pPr>
      <w:r w:rsidRPr="0063727B">
        <w:rPr>
          <w:rFonts w:ascii="Times New Roman" w:hAnsi="Times New Roman" w:cs="Times New Roman"/>
          <w:sz w:val="24"/>
          <w:szCs w:val="24"/>
        </w:rPr>
        <w:t xml:space="preserve">uzlabot institūciju datubāzēs pieejamo informāciju, veicinot tā savlaicīgumu un detalizācijas pakāpi; </w:t>
      </w:r>
    </w:p>
    <w:p w:rsidR="00AF0E2B" w:rsidRPr="0063727B" w:rsidRDefault="00AF0E2B" w:rsidP="009A1501">
      <w:pPr>
        <w:pStyle w:val="ListParagraph"/>
        <w:numPr>
          <w:ilvl w:val="1"/>
          <w:numId w:val="26"/>
        </w:numPr>
        <w:spacing w:after="120" w:line="240" w:lineRule="auto"/>
        <w:ind w:left="992" w:hanging="357"/>
        <w:jc w:val="both"/>
        <w:rPr>
          <w:rFonts w:ascii="Times New Roman" w:hAnsi="Times New Roman" w:cs="Times New Roman"/>
          <w:sz w:val="24"/>
          <w:szCs w:val="24"/>
        </w:rPr>
      </w:pPr>
      <w:r w:rsidRPr="0063727B">
        <w:rPr>
          <w:rFonts w:ascii="Times New Roman" w:hAnsi="Times New Roman" w:cs="Times New Roman"/>
          <w:sz w:val="24"/>
          <w:szCs w:val="24"/>
        </w:rPr>
        <w:t>izstrādāt vienotu metodiku sadarbības procesu īstenošanai.</w:t>
      </w:r>
    </w:p>
    <w:p w:rsidR="002339CE" w:rsidRPr="0063727B" w:rsidRDefault="00343AF5" w:rsidP="002339CE">
      <w:pPr>
        <w:spacing w:after="0" w:line="240" w:lineRule="auto"/>
        <w:ind w:firstLine="633"/>
        <w:jc w:val="both"/>
        <w:rPr>
          <w:rFonts w:ascii="Times New Roman" w:hAnsi="Times New Roman" w:cs="Times New Roman"/>
          <w:sz w:val="24"/>
          <w:szCs w:val="24"/>
        </w:rPr>
      </w:pPr>
      <w:r w:rsidRPr="0063727B">
        <w:rPr>
          <w:rFonts w:ascii="Times New Roman" w:hAnsi="Times New Roman" w:cs="Times New Roman"/>
          <w:sz w:val="24"/>
          <w:szCs w:val="24"/>
        </w:rPr>
        <w:t>Šobrīd NVA ir izstrādāts pilotmodelis sadarbībai ar pašvaldību sociālajiem dienestiem, kas paredz filiāļu darbu ar 2300 ilgstošajiem bezdarbniekiem sadarbībā ar pašvaldību sociāliem dienestiem, proti, tikšanos ar pašvaldību sociālo dienestu pārstāvjiem un informēšanu par sadarbību sociālo dienestu uzskaitē esošo NVA klientu – ilgstošo bezdarbnieku integrēšanai darba tirgū.</w:t>
      </w:r>
      <w:r w:rsidR="002339CE" w:rsidRPr="0063727B">
        <w:rPr>
          <w:rFonts w:ascii="Times New Roman" w:hAnsi="Times New Roman" w:cs="Times New Roman"/>
          <w:sz w:val="24"/>
          <w:szCs w:val="24"/>
        </w:rPr>
        <w:t xml:space="preserve"> Pirmos projekta rezultātus plānots prezentēt š.g. 4.ceturksnī, kas kalpos par pamatu turpmākā darba attīstības iespēju noteikšanai.  </w:t>
      </w:r>
    </w:p>
    <w:p w:rsidR="00D03A93" w:rsidRPr="0063727B" w:rsidRDefault="00343AF5" w:rsidP="00D03A93">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ab/>
      </w:r>
      <w:r w:rsidR="00D03A93" w:rsidRPr="0063727B">
        <w:rPr>
          <w:rFonts w:ascii="Times New Roman" w:hAnsi="Times New Roman" w:cs="Times New Roman"/>
          <w:sz w:val="24"/>
          <w:szCs w:val="24"/>
        </w:rPr>
        <w:t>Saglabājoties augstam bezdarba līmenim, ir būtiski uzlabot esošo darba tirgus pasākumu efektivitātes izvērtēšanu un attīstīt atbilstošas programmas un pieejas, kas balstītos uz individuāliem riskiem, ar ko sastopas bezdarbnieki</w:t>
      </w:r>
      <w:r w:rsidR="00D03A93" w:rsidRPr="0063727B">
        <w:rPr>
          <w:rStyle w:val="FootnoteReference"/>
          <w:rFonts w:ascii="Times New Roman" w:hAnsi="Times New Roman" w:cs="Times New Roman"/>
          <w:sz w:val="24"/>
          <w:szCs w:val="24"/>
        </w:rPr>
        <w:footnoteReference w:id="101"/>
      </w:r>
      <w:r w:rsidR="00D03A93" w:rsidRPr="0063727B">
        <w:rPr>
          <w:rFonts w:ascii="Times New Roman" w:hAnsi="Times New Roman" w:cs="Times New Roman"/>
          <w:sz w:val="24"/>
          <w:szCs w:val="24"/>
        </w:rPr>
        <w:t>. Kopumā PB pētījuma rezultāti liecina, ka aktīvie darba tirgus pasākumi (ADTP) visu veidu profesionālās un neformālās apmācību programmas bezdarbniekiem gan īstermiņā, gan vidējā termiņā (1,5-2 gadi) demonstrē pozitīvus darba tirgus iznākumus gan attiecībā uz nodarbinātību (atkārtotu bezdarba periodu biežums samazinās), gan ienākumiem. Tāpat arī OECD un citu valstu pētījumi apstiprina izglītības līmeņa kopējo pozitīvo ietekmi uz darba tirgus iznākumiem. Taču jārēķinās, ka bezdarbnieku apmācību programmu rezultātu ietekme lielā mērā ir atkarīga no nodarbinātības iespējām. Starp izvērtējumā iekļautajām valstīm Latvijā ir zemākais brīvo darbavietu skaits</w:t>
      </w:r>
      <w:r w:rsidR="00D03A93" w:rsidRPr="0063727B">
        <w:rPr>
          <w:rStyle w:val="FootnoteReference"/>
          <w:rFonts w:ascii="Times New Roman" w:hAnsi="Times New Roman" w:cs="Times New Roman"/>
          <w:sz w:val="24"/>
          <w:szCs w:val="24"/>
        </w:rPr>
        <w:footnoteReference w:id="102"/>
      </w:r>
      <w:r w:rsidR="00D03A93" w:rsidRPr="0063727B">
        <w:rPr>
          <w:rFonts w:ascii="Times New Roman" w:hAnsi="Times New Roman" w:cs="Times New Roman"/>
          <w:sz w:val="24"/>
          <w:szCs w:val="24"/>
        </w:rPr>
        <w:t xml:space="preserve">. Turklāt ADTP ietvaros veiktās apmācības nevar aizstāt un risināt izglītības sistēmas pienesumu vai problēmas. Kā viens no bezdarbnieku apmācības sistēmas trūkumiem PB pētījumā minēta </w:t>
      </w:r>
      <w:r w:rsidR="00D03A93" w:rsidRPr="0063727B">
        <w:rPr>
          <w:rFonts w:ascii="Times New Roman" w:hAnsi="Times New Roman" w:cs="Times New Roman"/>
          <w:b/>
          <w:bCs/>
          <w:sz w:val="24"/>
          <w:szCs w:val="24"/>
        </w:rPr>
        <w:t>rindas principa piemērošana</w:t>
      </w:r>
      <w:r w:rsidR="00D03A93" w:rsidRPr="0063727B">
        <w:rPr>
          <w:rFonts w:ascii="Times New Roman" w:hAnsi="Times New Roman" w:cs="Times New Roman"/>
          <w:sz w:val="24"/>
          <w:szCs w:val="24"/>
        </w:rPr>
        <w:t>, neizdalot prioritārās bezdarbnieku mērķa grupas, kā tas tiek darīts citās valstīs</w:t>
      </w:r>
      <w:r w:rsidR="00D03A93" w:rsidRPr="0063727B">
        <w:rPr>
          <w:rStyle w:val="FootnoteReference"/>
          <w:rFonts w:ascii="Times New Roman" w:hAnsi="Times New Roman" w:cs="Times New Roman"/>
          <w:sz w:val="24"/>
          <w:szCs w:val="24"/>
        </w:rPr>
        <w:footnoteReference w:id="103"/>
      </w:r>
      <w:r w:rsidR="00D03A93" w:rsidRPr="0063727B">
        <w:rPr>
          <w:rFonts w:ascii="Times New Roman" w:hAnsi="Times New Roman" w:cs="Times New Roman"/>
          <w:sz w:val="24"/>
          <w:szCs w:val="24"/>
        </w:rPr>
        <w:t xml:space="preserve">. Lai novērtu minētos trūkumus bezdarbnieku apmācības sistēmā, 2013.gada 26. februārī jau tika noteiktas prioritāšu grupas mūžizglītības pasākumos – vecuma grupa 45+, kamēr vecuma grupā 24-44 gadi atbalstu saņem invalīdi, personas, kurām ir vismaz 2 nepilngadīgi bērni un trūcīgas personas. Izstrādājot un īstenojot </w:t>
      </w:r>
      <w:r w:rsidR="00D03A93" w:rsidRPr="0063727B">
        <w:rPr>
          <w:rFonts w:ascii="Times New Roman" w:hAnsi="Times New Roman" w:cs="Times New Roman"/>
          <w:b/>
          <w:bCs/>
          <w:sz w:val="24"/>
          <w:szCs w:val="24"/>
        </w:rPr>
        <w:t>profilēšana sistēmu</w:t>
      </w:r>
      <w:r w:rsidR="00D03A93" w:rsidRPr="0063727B">
        <w:rPr>
          <w:rFonts w:ascii="Times New Roman" w:hAnsi="Times New Roman" w:cs="Times New Roman"/>
          <w:sz w:val="24"/>
          <w:szCs w:val="24"/>
        </w:rPr>
        <w:t>, šāda pieeja tiks tālāk attīstīta.</w:t>
      </w:r>
    </w:p>
    <w:p w:rsidR="0096323C" w:rsidRPr="0063727B" w:rsidRDefault="0096323C" w:rsidP="008D3BD7">
      <w:pPr>
        <w:autoSpaceDE w:val="0"/>
        <w:autoSpaceDN w:val="0"/>
        <w:adjustRightInd w:val="0"/>
        <w:spacing w:after="0" w:line="240" w:lineRule="auto"/>
        <w:ind w:firstLine="709"/>
        <w:jc w:val="both"/>
        <w:rPr>
          <w:rFonts w:ascii="Times New Roman" w:hAnsi="Times New Roman" w:cs="Times New Roman"/>
          <w:bCs/>
          <w:sz w:val="24"/>
          <w:szCs w:val="24"/>
        </w:rPr>
      </w:pPr>
      <w:r w:rsidRPr="0063727B">
        <w:rPr>
          <w:rFonts w:ascii="Times New Roman" w:hAnsi="Times New Roman" w:cs="Times New Roman"/>
          <w:bCs/>
          <w:sz w:val="24"/>
          <w:szCs w:val="24"/>
        </w:rPr>
        <w:t xml:space="preserve">Identificētie trūkumi un nepieciešamās rīcības ir iekļautas iepriekšminētajā </w:t>
      </w:r>
      <w:r w:rsidRPr="0063727B">
        <w:rPr>
          <w:rFonts w:ascii="Times New Roman" w:hAnsi="Times New Roman" w:cs="Times New Roman"/>
          <w:bCs/>
          <w:i/>
          <w:sz w:val="24"/>
          <w:szCs w:val="24"/>
          <w:lang w:eastAsia="lv-LV"/>
        </w:rPr>
        <w:t>Nodarbinātības un iekļaujošas izaugsmes pamatnostādņu projektā 2014.-20.gadam,</w:t>
      </w:r>
      <w:r w:rsidRPr="0063727B">
        <w:rPr>
          <w:rFonts w:ascii="Times New Roman" w:hAnsi="Times New Roman" w:cs="Times New Roman"/>
          <w:b/>
          <w:bCs/>
          <w:sz w:val="24"/>
          <w:szCs w:val="24"/>
          <w:lang w:eastAsia="lv-LV"/>
        </w:rPr>
        <w:t xml:space="preserve"> </w:t>
      </w:r>
      <w:r w:rsidRPr="0063727B">
        <w:rPr>
          <w:rFonts w:ascii="Times New Roman" w:hAnsi="Times New Roman" w:cs="Times New Roman"/>
          <w:bCs/>
          <w:sz w:val="24"/>
          <w:szCs w:val="24"/>
          <w:lang w:eastAsia="lv-LV"/>
        </w:rPr>
        <w:t xml:space="preserve">kur arī </w:t>
      </w:r>
      <w:r w:rsidR="008D3BD7" w:rsidRPr="0063727B">
        <w:rPr>
          <w:rFonts w:ascii="Times New Roman" w:hAnsi="Times New Roman" w:cs="Times New Roman"/>
          <w:bCs/>
          <w:sz w:val="24"/>
          <w:szCs w:val="24"/>
          <w:lang w:eastAsia="lv-LV"/>
        </w:rPr>
        <w:t>šajā ziņojumā</w:t>
      </w:r>
      <w:r w:rsidRPr="0063727B">
        <w:rPr>
          <w:rFonts w:ascii="Times New Roman" w:hAnsi="Times New Roman" w:cs="Times New Roman"/>
          <w:bCs/>
          <w:sz w:val="24"/>
          <w:szCs w:val="24"/>
          <w:lang w:eastAsia="lv-LV"/>
        </w:rPr>
        <w:t xml:space="preserve"> aplūkoti</w:t>
      </w:r>
      <w:r w:rsidR="008D3BD7" w:rsidRPr="0063727B">
        <w:rPr>
          <w:rFonts w:ascii="Times New Roman" w:hAnsi="Times New Roman" w:cs="Times New Roman"/>
          <w:bCs/>
          <w:sz w:val="24"/>
          <w:szCs w:val="24"/>
          <w:lang w:eastAsia="lv-LV"/>
        </w:rPr>
        <w:t>e</w:t>
      </w:r>
      <w:r w:rsidRPr="0063727B">
        <w:rPr>
          <w:rFonts w:ascii="Times New Roman" w:hAnsi="Times New Roman" w:cs="Times New Roman"/>
          <w:bCs/>
          <w:sz w:val="24"/>
          <w:szCs w:val="24"/>
          <w:lang w:eastAsia="lv-LV"/>
        </w:rPr>
        <w:t xml:space="preserve"> jautājumi tie</w:t>
      </w:r>
      <w:r w:rsidR="008D3BD7" w:rsidRPr="0063727B">
        <w:rPr>
          <w:rFonts w:ascii="Times New Roman" w:hAnsi="Times New Roman" w:cs="Times New Roman"/>
          <w:bCs/>
          <w:sz w:val="24"/>
          <w:szCs w:val="24"/>
          <w:lang w:eastAsia="lv-LV"/>
        </w:rPr>
        <w:t>k</w:t>
      </w:r>
      <w:r w:rsidRPr="0063727B">
        <w:rPr>
          <w:rFonts w:ascii="Times New Roman" w:hAnsi="Times New Roman" w:cs="Times New Roman"/>
          <w:bCs/>
          <w:sz w:val="24"/>
          <w:szCs w:val="24"/>
          <w:lang w:eastAsia="lv-LV"/>
        </w:rPr>
        <w:t xml:space="preserve"> </w:t>
      </w:r>
      <w:r w:rsidR="008D3BD7" w:rsidRPr="0063727B">
        <w:rPr>
          <w:rFonts w:ascii="Times New Roman" w:hAnsi="Times New Roman" w:cs="Times New Roman"/>
          <w:bCs/>
          <w:sz w:val="24"/>
          <w:szCs w:val="24"/>
          <w:lang w:eastAsia="lv-LV"/>
        </w:rPr>
        <w:t>analizēti</w:t>
      </w:r>
      <w:r w:rsidRPr="0063727B">
        <w:rPr>
          <w:rFonts w:ascii="Times New Roman" w:hAnsi="Times New Roman" w:cs="Times New Roman"/>
          <w:bCs/>
          <w:sz w:val="24"/>
          <w:szCs w:val="24"/>
          <w:lang w:eastAsia="lv-LV"/>
        </w:rPr>
        <w:t xml:space="preserve"> padziļinātāk, šajā dokumentā iezīmējot galvenās </w:t>
      </w:r>
      <w:proofErr w:type="spellStart"/>
      <w:r w:rsidRPr="0063727B">
        <w:rPr>
          <w:rFonts w:ascii="Times New Roman" w:hAnsi="Times New Roman" w:cs="Times New Roman"/>
          <w:bCs/>
          <w:sz w:val="24"/>
          <w:szCs w:val="24"/>
          <w:lang w:eastAsia="lv-LV"/>
        </w:rPr>
        <w:t>problēmjomas</w:t>
      </w:r>
      <w:proofErr w:type="spellEnd"/>
      <w:r w:rsidRPr="0063727B">
        <w:rPr>
          <w:rFonts w:ascii="Times New Roman" w:hAnsi="Times New Roman" w:cs="Times New Roman"/>
          <w:bCs/>
          <w:sz w:val="24"/>
          <w:szCs w:val="24"/>
          <w:lang w:eastAsia="lv-LV"/>
        </w:rPr>
        <w:t xml:space="preserve"> un nepieciešamos rīcības virzienus. </w:t>
      </w:r>
    </w:p>
    <w:p w:rsidR="0096323C" w:rsidRPr="0063727B" w:rsidRDefault="0096323C" w:rsidP="0005625A">
      <w:pPr>
        <w:autoSpaceDE w:val="0"/>
        <w:autoSpaceDN w:val="0"/>
        <w:adjustRightInd w:val="0"/>
        <w:spacing w:after="0" w:line="240" w:lineRule="auto"/>
        <w:ind w:firstLine="720"/>
        <w:jc w:val="both"/>
        <w:rPr>
          <w:rFonts w:ascii="Times New Roman" w:hAnsi="Times New Roman" w:cs="Times New Roman"/>
          <w:b/>
          <w:bCs/>
          <w:sz w:val="24"/>
          <w:szCs w:val="24"/>
          <w:u w:val="single"/>
        </w:rPr>
      </w:pPr>
    </w:p>
    <w:p w:rsidR="00343AF5" w:rsidRPr="0063727B" w:rsidRDefault="00343AF5" w:rsidP="00CB5354">
      <w:pPr>
        <w:autoSpaceDE w:val="0"/>
        <w:autoSpaceDN w:val="0"/>
        <w:adjustRightInd w:val="0"/>
        <w:spacing w:after="0" w:line="240" w:lineRule="auto"/>
        <w:jc w:val="both"/>
        <w:rPr>
          <w:rFonts w:ascii="Times New Roman" w:hAnsi="Times New Roman" w:cs="Times New Roman"/>
          <w:b/>
          <w:bCs/>
          <w:sz w:val="24"/>
          <w:szCs w:val="24"/>
        </w:rPr>
      </w:pPr>
      <w:r w:rsidRPr="0063727B">
        <w:rPr>
          <w:rFonts w:ascii="Times New Roman" w:hAnsi="Times New Roman" w:cs="Times New Roman"/>
          <w:b/>
          <w:bCs/>
          <w:sz w:val="24"/>
          <w:szCs w:val="24"/>
        </w:rPr>
        <w:t>Būtiskākie secinājumi un galvenās risināmās problēmas:</w:t>
      </w:r>
    </w:p>
    <w:p w:rsidR="00343AF5" w:rsidRPr="0063727B" w:rsidRDefault="00343AF5" w:rsidP="00AD6613">
      <w:pPr>
        <w:spacing w:after="0" w:line="240" w:lineRule="auto"/>
        <w:jc w:val="both"/>
        <w:rPr>
          <w:rFonts w:ascii="Times New Roman" w:hAnsi="Times New Roman" w:cs="Times New Roman"/>
          <w:sz w:val="24"/>
          <w:szCs w:val="24"/>
        </w:rPr>
      </w:pPr>
    </w:p>
    <w:p w:rsidR="00A94315" w:rsidRPr="0063727B" w:rsidRDefault="00A94315" w:rsidP="009A1501">
      <w:pPr>
        <w:pStyle w:val="ListParagraph"/>
        <w:numPr>
          <w:ilvl w:val="0"/>
          <w:numId w:val="12"/>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lai arī nodarbinātības un bezdarba rādītāji pakāpeniski uzlabojas, tomēr bezdarba līmenis, jo sevišķi ilgstošā bezdarba līmenis, saglabājās augsts;</w:t>
      </w:r>
    </w:p>
    <w:p w:rsidR="00A94315" w:rsidRPr="0063727B" w:rsidRDefault="00A94315" w:rsidP="009A150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nepieciešams izveidot NVA filiāļu un pašvaldību sociālo dienestu optimālu sadarbības modeli kopīgo klientu apzināšanai un efektīvāko pakalpojumu piedāvāšanai klientu iesaistei darba tirgū</w:t>
      </w:r>
      <w:r w:rsidR="00C01B1C" w:rsidRPr="0063727B">
        <w:rPr>
          <w:rFonts w:ascii="Times New Roman" w:hAnsi="Times New Roman" w:cs="Times New Roman"/>
          <w:sz w:val="24"/>
          <w:szCs w:val="24"/>
        </w:rPr>
        <w:t>, ņemot vērā PB pētījumā identificētos riskus personām ar pastāvīgām grūtībām iekļauties darba tirgū</w:t>
      </w:r>
      <w:r w:rsidRPr="0063727B">
        <w:rPr>
          <w:rFonts w:ascii="Times New Roman" w:hAnsi="Times New Roman" w:cs="Times New Roman"/>
          <w:sz w:val="24"/>
          <w:szCs w:val="24"/>
        </w:rPr>
        <w:t>;</w:t>
      </w:r>
    </w:p>
    <w:p w:rsidR="00A94315" w:rsidRPr="0063727B" w:rsidRDefault="00A94315" w:rsidP="009A150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lastRenderedPageBreak/>
        <w:t>lai bezdarbniekiem piedāvātu viņu vajadzībām atbilstošākos aktīvās darba tirgus pasākumus, ir jāievieš profilēšana sistēma;</w:t>
      </w:r>
    </w:p>
    <w:p w:rsidR="00A94315" w:rsidRDefault="00A94315" w:rsidP="009A1501">
      <w:pPr>
        <w:pStyle w:val="ListParagraph"/>
        <w:numPr>
          <w:ilvl w:val="0"/>
          <w:numId w:val="12"/>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lai aktīvie darba tirgus pasākumi būtu atbilstoši mērķēti, ir nepieciešams izvērtēt piedāvāto pasākumu efektivitāti, vienlaicīgi nosakot pieejas, kas būtu atbilstošas individuālajiem riskiem, ar kuriem sastopas bezdarbnieki. </w:t>
      </w:r>
    </w:p>
    <w:p w:rsidR="00EF0AEF" w:rsidRPr="0063727B" w:rsidRDefault="00EF0AEF" w:rsidP="00EF0AEF">
      <w:pPr>
        <w:pStyle w:val="ListParagraph"/>
        <w:spacing w:after="0" w:line="240" w:lineRule="auto"/>
        <w:jc w:val="both"/>
        <w:rPr>
          <w:rFonts w:ascii="Times New Roman" w:hAnsi="Times New Roman" w:cs="Times New Roman"/>
          <w:sz w:val="24"/>
          <w:szCs w:val="24"/>
        </w:rPr>
      </w:pPr>
    </w:p>
    <w:p w:rsidR="008D3BD7" w:rsidRPr="0063727B" w:rsidRDefault="008D3BD7" w:rsidP="008D3BD7">
      <w:pPr>
        <w:pStyle w:val="ListParagraph"/>
        <w:spacing w:after="0" w:line="240" w:lineRule="auto"/>
        <w:jc w:val="both"/>
        <w:rPr>
          <w:rFonts w:ascii="Times New Roman" w:hAnsi="Times New Roman" w:cs="Times New Roman"/>
          <w:sz w:val="24"/>
          <w:szCs w:val="24"/>
        </w:rPr>
      </w:pPr>
    </w:p>
    <w:p w:rsidR="00343AF5" w:rsidRPr="0063727B" w:rsidRDefault="00343AF5" w:rsidP="009A1501">
      <w:pPr>
        <w:pStyle w:val="Heading2"/>
        <w:numPr>
          <w:ilvl w:val="0"/>
          <w:numId w:val="20"/>
        </w:numPr>
        <w:tabs>
          <w:tab w:val="left" w:pos="1418"/>
        </w:tabs>
        <w:spacing w:before="0" w:line="240" w:lineRule="auto"/>
        <w:rPr>
          <w:rFonts w:ascii="Times New Roman" w:hAnsi="Times New Roman" w:cs="Times New Roman"/>
          <w:color w:val="auto"/>
          <w:sz w:val="24"/>
          <w:szCs w:val="24"/>
          <w:lang w:val="lv-LV"/>
        </w:rPr>
      </w:pPr>
      <w:r w:rsidRPr="0063727B">
        <w:rPr>
          <w:rFonts w:ascii="Times New Roman" w:hAnsi="Times New Roman" w:cs="Times New Roman"/>
          <w:color w:val="auto"/>
          <w:sz w:val="24"/>
          <w:szCs w:val="24"/>
          <w:lang w:val="lv-LV"/>
        </w:rPr>
        <w:t xml:space="preserve"> </w:t>
      </w:r>
      <w:bookmarkStart w:id="70" w:name="_Toc372812638"/>
      <w:r w:rsidRPr="0063727B">
        <w:rPr>
          <w:rFonts w:ascii="Times New Roman" w:hAnsi="Times New Roman" w:cs="Times New Roman"/>
          <w:color w:val="auto"/>
          <w:sz w:val="24"/>
          <w:szCs w:val="24"/>
          <w:lang w:val="lv-LV"/>
        </w:rPr>
        <w:t>Sociālais darbs un sociālie pakalpojumi</w:t>
      </w:r>
      <w:bookmarkEnd w:id="70"/>
    </w:p>
    <w:p w:rsidR="00343AF5" w:rsidRPr="0063727B" w:rsidRDefault="00343AF5" w:rsidP="001A531D">
      <w:pPr>
        <w:autoSpaceDE w:val="0"/>
        <w:autoSpaceDN w:val="0"/>
        <w:adjustRightInd w:val="0"/>
        <w:spacing w:after="0" w:line="240" w:lineRule="auto"/>
        <w:ind w:left="720" w:firstLine="720"/>
        <w:jc w:val="both"/>
        <w:rPr>
          <w:rFonts w:ascii="Times New Roman" w:hAnsi="Times New Roman" w:cs="Times New Roman"/>
          <w:sz w:val="24"/>
          <w:szCs w:val="24"/>
        </w:rPr>
      </w:pPr>
    </w:p>
    <w:p w:rsidR="00343AF5" w:rsidRPr="0063727B" w:rsidRDefault="00343AF5" w:rsidP="00297E34">
      <w:pPr>
        <w:spacing w:after="0" w:line="240" w:lineRule="auto"/>
        <w:ind w:firstLine="709"/>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 xml:space="preserve">Sociālie pakalpojumi un sociālā palīdzība ir uzlūkojami kā resursi sociālajā darbā. </w:t>
      </w:r>
      <w:r w:rsidRPr="0063727B">
        <w:rPr>
          <w:rFonts w:ascii="Times New Roman" w:hAnsi="Times New Roman" w:cs="Times New Roman"/>
          <w:b/>
          <w:sz w:val="24"/>
          <w:szCs w:val="24"/>
          <w:lang w:eastAsia="lv-LV"/>
        </w:rPr>
        <w:t>Sociālā darba profesija</w:t>
      </w:r>
      <w:r w:rsidRPr="0063727B">
        <w:rPr>
          <w:rFonts w:ascii="Times New Roman" w:hAnsi="Times New Roman" w:cs="Times New Roman"/>
          <w:sz w:val="24"/>
          <w:szCs w:val="24"/>
          <w:lang w:eastAsia="lv-LV"/>
        </w:rPr>
        <w:t xml:space="preserve"> veicina sociālās pārmaiņas, problēmu risināšanu attiecībās starp cilvēkiem, kā arī </w:t>
      </w:r>
      <w:r w:rsidR="00AA6D07" w:rsidRPr="0063727B">
        <w:rPr>
          <w:rFonts w:ascii="Times New Roman" w:hAnsi="Times New Roman" w:cs="Times New Roman"/>
          <w:sz w:val="24"/>
          <w:szCs w:val="24"/>
          <w:lang w:eastAsia="lv-LV"/>
        </w:rPr>
        <w:t xml:space="preserve">iespēju un brīvības došanu </w:t>
      </w:r>
      <w:r w:rsidRPr="0063727B">
        <w:rPr>
          <w:rFonts w:ascii="Times New Roman" w:hAnsi="Times New Roman" w:cs="Times New Roman"/>
          <w:sz w:val="24"/>
          <w:szCs w:val="24"/>
          <w:lang w:eastAsia="lv-LV"/>
        </w:rPr>
        <w:t>cilvēk</w:t>
      </w:r>
      <w:r w:rsidR="00AA6D07" w:rsidRPr="0063727B">
        <w:rPr>
          <w:rFonts w:ascii="Times New Roman" w:hAnsi="Times New Roman" w:cs="Times New Roman"/>
          <w:sz w:val="24"/>
          <w:szCs w:val="24"/>
          <w:lang w:eastAsia="lv-LV"/>
        </w:rPr>
        <w:t>iem</w:t>
      </w:r>
      <w:r w:rsidRPr="0063727B">
        <w:rPr>
          <w:rFonts w:ascii="Times New Roman" w:hAnsi="Times New Roman" w:cs="Times New Roman"/>
          <w:sz w:val="24"/>
          <w:szCs w:val="24"/>
          <w:lang w:eastAsia="lv-LV"/>
        </w:rPr>
        <w:t>, paaugstinot viņu labklājību. Lietojot teorijas par cilvēka uzvedību un sociālajām sistēmām, sociālais darbs iejaucas tajos aspektos, kur notiek mijiedarbība starp cilvēkiem un viņu vidi. Cilvēktiesību un sociālā taisnīguma principi ir sociālā darba pamatā</w:t>
      </w:r>
      <w:r w:rsidRPr="0063727B">
        <w:rPr>
          <w:rStyle w:val="FootnoteReference"/>
          <w:rFonts w:ascii="Times New Roman" w:hAnsi="Times New Roman" w:cs="Times New Roman"/>
          <w:sz w:val="24"/>
          <w:szCs w:val="24"/>
          <w:lang w:eastAsia="lv-LV"/>
        </w:rPr>
        <w:footnoteReference w:id="104"/>
      </w:r>
      <w:r w:rsidRPr="0063727B">
        <w:rPr>
          <w:rFonts w:ascii="Times New Roman" w:hAnsi="Times New Roman" w:cs="Times New Roman"/>
          <w:sz w:val="24"/>
          <w:szCs w:val="24"/>
          <w:lang w:eastAsia="lv-LV"/>
        </w:rPr>
        <w:t xml:space="preserve">. </w:t>
      </w: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lang w:eastAsia="lv-LV"/>
        </w:rPr>
        <w:t>Līdz ar profesionālo zināšanu uzkrāšanos, kā arī ekonomiskās krīzes apstākļos sabiedrībā pamazām mainās izpratne par to, kas ir profesionāls sociālais darbs. Līdz šim lielā daļā sabiedrības tika uzskatīts, ka sociālo darbinieka galvenais uzdevums ir sniegt materiālo palīdzību, lai gan nevar likt vienādības zīmi starp jēdzieniem "sociālais darbs" un "sociālā palīdzība”. Sniegtā materiālā palīdzība iedzīvotājam ir vērsta uz problēmu sekām (</w:t>
      </w:r>
      <w:r w:rsidRPr="0063727B">
        <w:rPr>
          <w:rFonts w:ascii="Times New Roman" w:hAnsi="Times New Roman" w:cs="Times New Roman"/>
          <w:i/>
          <w:iCs/>
          <w:sz w:val="24"/>
          <w:szCs w:val="24"/>
          <w:lang w:eastAsia="lv-LV"/>
        </w:rPr>
        <w:t>nepietiekami finanšu līdzekļi</w:t>
      </w:r>
      <w:r w:rsidRPr="0063727B">
        <w:rPr>
          <w:rFonts w:ascii="Times New Roman" w:hAnsi="Times New Roman" w:cs="Times New Roman"/>
          <w:sz w:val="24"/>
          <w:szCs w:val="24"/>
          <w:lang w:eastAsia="lv-LV"/>
        </w:rPr>
        <w:t>), nevis uz šo problēmu cēloņiem.</w:t>
      </w:r>
      <w:r w:rsidRPr="0063727B">
        <w:rPr>
          <w:rFonts w:ascii="Times New Roman" w:hAnsi="Times New Roman" w:cs="Times New Roman"/>
          <w:sz w:val="24"/>
          <w:szCs w:val="24"/>
        </w:rPr>
        <w:t xml:space="preserve"> </w:t>
      </w:r>
    </w:p>
    <w:p w:rsidR="00343AF5" w:rsidRPr="0063727B" w:rsidRDefault="00343AF5" w:rsidP="00297E34">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Pašvaldības pienākums ir nodrošināt iespēju saņemt personām, kuras deklarējušas attiecīgajā pašvaldībā savu dzīvesvietu, tās vajadzībām atbilstošus sociālos pakalpojumus un sociālo palīdzību. Lai veiktu šos pienākumus katrā pašvaldībā ir izveidots sociālais dienests.</w:t>
      </w:r>
    </w:p>
    <w:p w:rsidR="00343AF5" w:rsidRPr="0063727B" w:rsidRDefault="00343AF5" w:rsidP="00187CF2">
      <w:pPr>
        <w:autoSpaceDE w:val="0"/>
        <w:autoSpaceDN w:val="0"/>
        <w:adjustRightInd w:val="0"/>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b/>
          <w:sz w:val="24"/>
          <w:szCs w:val="24"/>
        </w:rPr>
        <w:t>Sociālo dienestu</w:t>
      </w:r>
      <w:r w:rsidRPr="0063727B">
        <w:rPr>
          <w:rFonts w:ascii="Times New Roman" w:hAnsi="Times New Roman" w:cs="Times New Roman"/>
          <w:sz w:val="24"/>
          <w:szCs w:val="24"/>
        </w:rPr>
        <w:t xml:space="preserve"> loma, izvērtējot un sniedzot atbalsta pakalpojumus, lai nodrošinātu pieejamību izglītībai vai apmācībai (</w:t>
      </w:r>
      <w:r w:rsidRPr="0063727B">
        <w:rPr>
          <w:rFonts w:ascii="Times New Roman" w:hAnsi="Times New Roman" w:cs="Times New Roman"/>
          <w:i/>
          <w:iCs/>
          <w:sz w:val="24"/>
          <w:szCs w:val="24"/>
        </w:rPr>
        <w:t>piemēram, bērna pieskatīšana</w:t>
      </w:r>
      <w:r w:rsidRPr="0063727B">
        <w:rPr>
          <w:rFonts w:ascii="Times New Roman" w:hAnsi="Times New Roman" w:cs="Times New Roman"/>
          <w:sz w:val="24"/>
          <w:szCs w:val="24"/>
        </w:rPr>
        <w:t>), darba tirgum (</w:t>
      </w:r>
      <w:r w:rsidRPr="0063727B">
        <w:rPr>
          <w:rFonts w:ascii="Times New Roman" w:hAnsi="Times New Roman" w:cs="Times New Roman"/>
          <w:i/>
          <w:iCs/>
          <w:sz w:val="24"/>
          <w:szCs w:val="24"/>
        </w:rPr>
        <w:t>piemēram, lai vecāks/-i varētu strādāt un rūpēties par apgādībā esošu bērnu vai kopjamu tēvu/māti u.c.</w:t>
      </w:r>
      <w:r w:rsidRPr="0063727B">
        <w:rPr>
          <w:rFonts w:ascii="Times New Roman" w:hAnsi="Times New Roman" w:cs="Times New Roman"/>
          <w:sz w:val="24"/>
          <w:szCs w:val="24"/>
        </w:rPr>
        <w:t>), veselībai (</w:t>
      </w:r>
      <w:r w:rsidRPr="0063727B">
        <w:rPr>
          <w:rFonts w:ascii="Times New Roman" w:hAnsi="Times New Roman" w:cs="Times New Roman"/>
          <w:i/>
          <w:iCs/>
          <w:sz w:val="24"/>
          <w:szCs w:val="24"/>
        </w:rPr>
        <w:t>piemēram, rehabilitācija, ārstēšanās</w:t>
      </w:r>
      <w:r w:rsidRPr="0063727B">
        <w:rPr>
          <w:rFonts w:ascii="Times New Roman" w:hAnsi="Times New Roman" w:cs="Times New Roman"/>
          <w:sz w:val="24"/>
          <w:szCs w:val="24"/>
        </w:rPr>
        <w:t xml:space="preserve">) u.c., ir atkarīga ne tikai no sociālo darbinieku darba kvalitātes, piedāvājot cilvēkam nepieciešamo pakalpojumu konkrētā situācijā, bet arī šo pakalpojumu pieejamības un pakalpojuma īstenošanas efektivitātes. </w:t>
      </w:r>
    </w:p>
    <w:p w:rsidR="00343AF5" w:rsidRPr="0063727B" w:rsidRDefault="00343AF5" w:rsidP="00187CF2">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Patlaban spēkā esošās Sociālo pakalpojumu un sociālās palīdzības likuma normas nosaka, ka, lai sociālais dienests varētu pienācīgi veikt savus uzdevumus, tajā jābūt vismaz vienam sociālā darba speciālistam</w:t>
      </w:r>
      <w:r w:rsidRPr="0063727B">
        <w:rPr>
          <w:rStyle w:val="FootnoteReference"/>
          <w:rFonts w:ascii="Times New Roman" w:hAnsi="Times New Roman" w:cs="Times New Roman"/>
          <w:sz w:val="24"/>
          <w:szCs w:val="24"/>
        </w:rPr>
        <w:footnoteReference w:id="105"/>
      </w:r>
      <w:r w:rsidRPr="0063727B">
        <w:rPr>
          <w:rFonts w:ascii="Times New Roman" w:hAnsi="Times New Roman" w:cs="Times New Roman"/>
          <w:sz w:val="24"/>
          <w:szCs w:val="24"/>
        </w:rPr>
        <w:t xml:space="preserve"> uz 1000 iedzīvotājiem. Atbilstoši pašvaldību sociālo dienestu sniegtajai informācijai, 2012.gadā republikas pilsētu un novadu pašvaldību sociālajos dienestos strādāja 1162 sociālā darba speciālisti, t.i. viens sociālā darba speciālists apmēram uz 1742 iedzīvotājiem. Redzams, ka sociālā darba speciālistu skaits ir nepietiekams, t.i., kopumā nodrošināts par 58% no normatīva.</w:t>
      </w:r>
    </w:p>
    <w:p w:rsidR="00343AF5" w:rsidRPr="0063727B" w:rsidRDefault="00343AF5" w:rsidP="00187CF2">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Tā kā valstī ir augsti ilgstošā bezdarba rādītāji, bet ilgstoša atrašanās bezdarba un nabadzības situācijā tikai padziļina psiholoģiskās un sociālās problēmas, sabiedrībā būtiski pieaugusi nepieciešamība pēc sociālā darba. Īpaša uzmanība pievēršama darbam ar ģimenēm, kurās ir bērni. Ir nepieciešams pilnveidot pašvaldību sociālajos dienestos pielietotās </w:t>
      </w:r>
      <w:r w:rsidRPr="0063727B">
        <w:rPr>
          <w:rFonts w:ascii="Times New Roman" w:hAnsi="Times New Roman" w:cs="Times New Roman"/>
          <w:i/>
          <w:iCs/>
          <w:sz w:val="24"/>
          <w:szCs w:val="24"/>
        </w:rPr>
        <w:t>sociālā darba metodes</w:t>
      </w:r>
      <w:r w:rsidRPr="0063727B">
        <w:rPr>
          <w:rFonts w:ascii="Times New Roman" w:hAnsi="Times New Roman" w:cs="Times New Roman"/>
          <w:sz w:val="24"/>
          <w:szCs w:val="24"/>
        </w:rPr>
        <w:t xml:space="preserve"> ar noteiktām mērķa grupām, tai skaitā pilnveidot sociālā gadījuma vadības metodes pielietojumu sociālā darba praksē. </w:t>
      </w:r>
    </w:p>
    <w:p w:rsidR="00343AF5" w:rsidRPr="0063727B" w:rsidRDefault="00343AF5" w:rsidP="0034675B">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b/>
          <w:bCs/>
          <w:sz w:val="24"/>
          <w:szCs w:val="24"/>
        </w:rPr>
        <w:lastRenderedPageBreak/>
        <w:t>Sociālie pakalpojumi</w:t>
      </w:r>
      <w:r w:rsidRPr="0063727B">
        <w:rPr>
          <w:rFonts w:ascii="Times New Roman" w:hAnsi="Times New Roman" w:cs="Times New Roman"/>
          <w:sz w:val="24"/>
          <w:szCs w:val="24"/>
        </w:rPr>
        <w:t xml:space="preserve"> ir viens no būtiskākajiem instrumentiem, lai nodrošinātu personu ar funkcionāliem traucējumiem un citu sociālās atstumtības riskiem pakļauto personu vienlīdzīgas iespējas dzīvot sabiedrībā ar pilnīgu iekļaušanos un līdzdalību sabiedrības dzīvē. Sociālie pakalpojumi risina ne tikai indivīdam, bet arī sabiedrībai kopumā sociāli nozīmīgas problēmas (vardarbība, atkarības problēmas u.c.) un ļauj nodrošināt sociālo stabilitāti un drošību.</w:t>
      </w:r>
    </w:p>
    <w:p w:rsidR="00343AF5" w:rsidRPr="0063727B" w:rsidRDefault="00343AF5" w:rsidP="0034675B">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  Sociālo pakalpojumu un sociālās palīdzības likuma izpratnē par sociālajiem pakalpojumiem sauc</w:t>
      </w:r>
      <w:r w:rsidRPr="0063727B">
        <w:rPr>
          <w:sz w:val="24"/>
          <w:szCs w:val="24"/>
        </w:rPr>
        <w:t xml:space="preserve"> </w:t>
      </w:r>
      <w:r w:rsidRPr="0063727B">
        <w:rPr>
          <w:rFonts w:ascii="Times New Roman" w:hAnsi="Times New Roman" w:cs="Times New Roman"/>
          <w:sz w:val="24"/>
          <w:szCs w:val="24"/>
        </w:rPr>
        <w:t>sociālās aprūpes, sociālās rehabilitācijas, profesionālās rehabilitācijas pakalpojumus, kā arī nodrošināšanu ar tehniskajiem palīglīdzekļiem.</w:t>
      </w:r>
      <w:r w:rsidRPr="0063727B">
        <w:rPr>
          <w:sz w:val="24"/>
          <w:szCs w:val="24"/>
        </w:rPr>
        <w:t xml:space="preserve"> </w:t>
      </w:r>
      <w:r w:rsidRPr="0063727B">
        <w:rPr>
          <w:rFonts w:ascii="Times New Roman" w:hAnsi="Times New Roman" w:cs="Times New Roman"/>
          <w:sz w:val="24"/>
          <w:szCs w:val="24"/>
        </w:rPr>
        <w:t>Atbilstoši likumam, personai nepieciešamie sociālie pakalpojumi pirm</w:t>
      </w:r>
      <w:r w:rsidR="00C42507" w:rsidRPr="0063727B">
        <w:rPr>
          <w:rFonts w:ascii="Times New Roman" w:hAnsi="Times New Roman" w:cs="Times New Roman"/>
          <w:sz w:val="24"/>
          <w:szCs w:val="24"/>
        </w:rPr>
        <w:t>kārt</w:t>
      </w:r>
      <w:r w:rsidRPr="0063727B">
        <w:rPr>
          <w:rFonts w:ascii="Times New Roman" w:hAnsi="Times New Roman" w:cs="Times New Roman"/>
          <w:sz w:val="24"/>
          <w:szCs w:val="24"/>
        </w:rPr>
        <w:t xml:space="preserve"> nodrošināmi viņa dzīvesvietā vai iespējami tuvu tai. Tikai tad, ja dzīvesvietā nodrošināmo pakalpojumu apjoms nav pietiekams, tiek nodrošināta sociālā aprūpe un sociālā rehabilitācija ilgstošas aprūpes un sociālās rehabilitācijas institūcijā (institucionālā aprūpe).</w:t>
      </w:r>
    </w:p>
    <w:p w:rsidR="00343AF5" w:rsidRPr="0063727B" w:rsidRDefault="00A269FF" w:rsidP="0034675B">
      <w:p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b/>
        <w:t>Savukārt, analizējot sociālo</w:t>
      </w:r>
      <w:r w:rsidR="00343AF5" w:rsidRPr="0063727B">
        <w:rPr>
          <w:rFonts w:ascii="Times New Roman" w:hAnsi="Times New Roman" w:cs="Times New Roman"/>
          <w:sz w:val="24"/>
          <w:szCs w:val="24"/>
        </w:rPr>
        <w:t xml:space="preserve"> pakalpojumu sniegšanu, iezīmējas tādas problēmas kā institucionālās aprūpes formu dominēšana un būtiskas atšķirības starp reģioniem pakalpojumu nodrošināšanā. Saskaņā ar valsts statistikas datu apkopojumiem</w:t>
      </w:r>
      <w:r w:rsidR="0007277E" w:rsidRPr="0063727B">
        <w:rPr>
          <w:rFonts w:ascii="Times New Roman" w:hAnsi="Times New Roman" w:cs="Times New Roman"/>
          <w:sz w:val="24"/>
          <w:szCs w:val="24"/>
        </w:rPr>
        <w:t xml:space="preserve"> </w:t>
      </w:r>
      <w:r w:rsidR="00343AF5" w:rsidRPr="0063727B">
        <w:rPr>
          <w:rFonts w:ascii="Times New Roman" w:hAnsi="Times New Roman" w:cs="Times New Roman"/>
          <w:sz w:val="24"/>
          <w:szCs w:val="24"/>
        </w:rPr>
        <w:t>un LM apkopoto informāciju uz 2013.g. 1. janvāri institucionālajā aprūpē atradās 13040 personas, turpretī aprūpi mājās 2012. gadā saņēma 9739 personas. Rindā uz valsts apmaksāto institucionālo aprūpi personām ar smagiem garīga rakstura traucējumiem uz 2012.g. 18. decembri gaidīja 335 personas, uz pašvaldību finansētu institucionālo aprūpi</w:t>
      </w:r>
      <w:r w:rsidR="00354C1F" w:rsidRPr="0063727B">
        <w:rPr>
          <w:rFonts w:ascii="Times New Roman" w:hAnsi="Times New Roman" w:cs="Times New Roman"/>
          <w:sz w:val="24"/>
          <w:szCs w:val="24"/>
        </w:rPr>
        <w:t xml:space="preserve"> </w:t>
      </w:r>
      <w:r w:rsidR="00343AF5" w:rsidRPr="0063727B">
        <w:rPr>
          <w:rFonts w:ascii="Times New Roman" w:hAnsi="Times New Roman" w:cs="Times New Roman"/>
          <w:sz w:val="24"/>
          <w:szCs w:val="24"/>
        </w:rPr>
        <w:t xml:space="preserve">- 80 personas ( dati uz 2013. g. 1. janvāri), turpretī rindā uz aprūpi mājās – tikai 2 personas. </w:t>
      </w:r>
    </w:p>
    <w:p w:rsidR="00343AF5" w:rsidRPr="0063727B" w:rsidRDefault="00343AF5" w:rsidP="0034675B">
      <w:p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b/>
        <w:t xml:space="preserve"> Neviens normatīvais akts vai plānošanas dokuments</w:t>
      </w:r>
      <w:r w:rsidR="0007277E" w:rsidRPr="0063727B">
        <w:rPr>
          <w:rFonts w:ascii="Times New Roman" w:hAnsi="Times New Roman" w:cs="Times New Roman"/>
          <w:sz w:val="24"/>
          <w:szCs w:val="24"/>
        </w:rPr>
        <w:t xml:space="preserve"> </w:t>
      </w:r>
      <w:r w:rsidRPr="0063727B">
        <w:rPr>
          <w:rFonts w:ascii="Times New Roman" w:hAnsi="Times New Roman" w:cs="Times New Roman"/>
          <w:sz w:val="24"/>
          <w:szCs w:val="24"/>
        </w:rPr>
        <w:t>līdz šim nenosaka</w:t>
      </w:r>
      <w:r w:rsidR="0007277E"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katrā apdzīvojuma līmenī nodrošināmo sociālo pakalpojumu klāstu. Katrā konkrētā pašvaldībā personai pieejamais sociālo pakalpojumu klāsts ir atkarīgs no pašvaldības finansiālajām iespējām, pieejamās infrastruktūras, prasmēm īstenot investīciju projektus un lielā mērā – arī pašvaldības politiķu prioritātēm, kas ne vienmēr ir pamatotas ar iedzīvotāji objektīvajām vajadzībām.   </w:t>
      </w:r>
    </w:p>
    <w:p w:rsidR="00A269FF" w:rsidRPr="0063727B" w:rsidRDefault="00343AF5" w:rsidP="000F13E1">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ab/>
        <w:t xml:space="preserve">Nepietiekamais sabiedrībā balstītu pakalpojumu klāsts, pakalpojumi, kuri tiek sniegti </w:t>
      </w:r>
      <w:r w:rsidR="009D2A6F" w:rsidRPr="0063727B">
        <w:rPr>
          <w:rFonts w:ascii="Times New Roman" w:hAnsi="Times New Roman" w:cs="Times New Roman"/>
          <w:sz w:val="24"/>
          <w:szCs w:val="24"/>
        </w:rPr>
        <w:t xml:space="preserve">izolētā </w:t>
      </w:r>
      <w:r w:rsidRPr="0063727B">
        <w:rPr>
          <w:rFonts w:ascii="Times New Roman" w:hAnsi="Times New Roman" w:cs="Times New Roman"/>
          <w:sz w:val="24"/>
          <w:szCs w:val="24"/>
        </w:rPr>
        <w:t xml:space="preserve">vidē, kā arī nepietiekama virzība uz katra pakalpojuma saņēmēja individuālām vajadzībām ir uzskatāmi par galvenajiem šķēršļiem, kuri šobrīd Latvijā ierobežo personu ar funkcionāliem traucējumiem un citu sociālās atstumtības riskiem pakļauto personu vienlīdzīgas </w:t>
      </w:r>
      <w:r w:rsidR="00A65CD0" w:rsidRPr="0063727B">
        <w:rPr>
          <w:rFonts w:ascii="Times New Roman" w:hAnsi="Times New Roman" w:cs="Times New Roman"/>
          <w:sz w:val="24"/>
          <w:szCs w:val="24"/>
        </w:rPr>
        <w:t xml:space="preserve">tiesības </w:t>
      </w:r>
      <w:r w:rsidRPr="0063727B">
        <w:rPr>
          <w:rFonts w:ascii="Times New Roman" w:hAnsi="Times New Roman" w:cs="Times New Roman"/>
          <w:sz w:val="24"/>
          <w:szCs w:val="24"/>
        </w:rPr>
        <w:t xml:space="preserve">būt līdzvērtīgam sabiedrības loceklim. </w:t>
      </w:r>
      <w:r w:rsidR="00A269FF" w:rsidRPr="0063727B">
        <w:rPr>
          <w:rFonts w:ascii="Times New Roman" w:hAnsi="Times New Roman" w:cs="Times New Roman"/>
          <w:sz w:val="24"/>
          <w:szCs w:val="24"/>
        </w:rPr>
        <w:t>Minētā situācija ietekmē ne tikai personas, kurām nepieciešami sociālie pakalpojumi, bet arī viņu ģimenes locekļus, kuri, lai nodrošinātu šādu personu aprūpi ģimenē, nereti ir spiesti izstāties no darba tirgus un zaudēt savu kvalifikāciju, bieži pēc ilgstošas piespiedu prombūtnes vairs nespējot atgriezties darba tirgū.</w:t>
      </w:r>
    </w:p>
    <w:p w:rsidR="00F94C32" w:rsidRPr="0063727B" w:rsidRDefault="00343AF5" w:rsidP="00F94C32">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Esošie demogrāfiskie izaicinājumi - sabiedrības novecošanās, dzimstības un darbaspējīgo iedzīvotāju īpatsvara samazināšanās, migrācija – augstie</w:t>
      </w:r>
      <w:r w:rsidR="007B2AFC" w:rsidRPr="0063727B">
        <w:rPr>
          <w:rFonts w:ascii="Times New Roman" w:hAnsi="Times New Roman" w:cs="Times New Roman"/>
          <w:sz w:val="24"/>
          <w:szCs w:val="24"/>
        </w:rPr>
        <w:t xml:space="preserve"> </w:t>
      </w:r>
      <w:r w:rsidRPr="0063727B">
        <w:rPr>
          <w:rFonts w:ascii="Times New Roman" w:hAnsi="Times New Roman" w:cs="Times New Roman"/>
          <w:sz w:val="24"/>
          <w:szCs w:val="24"/>
        </w:rPr>
        <w:t>nabadzības un sociālās atstumtības rādītāji un</w:t>
      </w:r>
      <w:r w:rsidR="00A65CD0" w:rsidRPr="0063727B">
        <w:rPr>
          <w:rFonts w:ascii="Times New Roman" w:hAnsi="Times New Roman" w:cs="Times New Roman"/>
          <w:sz w:val="24"/>
          <w:szCs w:val="24"/>
        </w:rPr>
        <w:t xml:space="preserve"> </w:t>
      </w:r>
      <w:r w:rsidRPr="0063727B">
        <w:rPr>
          <w:rFonts w:ascii="Times New Roman" w:hAnsi="Times New Roman" w:cs="Times New Roman"/>
          <w:sz w:val="24"/>
          <w:szCs w:val="24"/>
        </w:rPr>
        <w:t>ierobežotie valsts un pašvaldību finanšu resursi nosaka nepieciešamību pēc tādas sociālo pakalpojumu sistēmas, kas vērsta uz indivīda sociālā un/vai ekonomiskā potenciālā maksimālu atjaunošanu un viņa integrāciju sabiedrībā un darba tirgū.</w:t>
      </w:r>
      <w:r w:rsidR="00F94C32" w:rsidRPr="0063727B">
        <w:rPr>
          <w:rFonts w:ascii="Times New Roman" w:hAnsi="Times New Roman" w:cs="Times New Roman"/>
          <w:sz w:val="24"/>
          <w:szCs w:val="24"/>
        </w:rPr>
        <w:t xml:space="preserve"> Šajā kontekstā ir ļoti svarīgi izmantot ikviena cilvēka potenciālo ieguldījumu ne tikai savas labklājības celšanai, bet arī valsts attīstībai kopumā, un Latvijai ir jāizmanto visi tai pieejami cilvēkresursi, ņemot vērā minētos izaicinājumus. Personas ar invaliditāti ir viena iedzīvotāju grupām, kurām aizvien jāsastopas ar vairākiem šķēršļiem, lai integrētos izglītības sistēmā un darba tirgū, kas ir priekšnosacījumi indivīda turpmākajām nākotnes perspektīvām.    </w:t>
      </w:r>
    </w:p>
    <w:p w:rsidR="00354DC1" w:rsidRPr="0063727B" w:rsidRDefault="00ED35F1" w:rsidP="007B03E5">
      <w:pPr>
        <w:spacing w:after="0" w:line="240" w:lineRule="auto"/>
        <w:ind w:firstLine="709"/>
        <w:jc w:val="both"/>
        <w:rPr>
          <w:rFonts w:ascii="Times New Roman" w:hAnsi="Times New Roman" w:cs="Times New Roman"/>
          <w:sz w:val="24"/>
          <w:szCs w:val="24"/>
        </w:rPr>
      </w:pPr>
      <w:r w:rsidRPr="0063727B">
        <w:rPr>
          <w:rFonts w:ascii="Times New Roman" w:hAnsi="Times New Roman" w:cs="Times New Roman"/>
          <w:sz w:val="24"/>
          <w:szCs w:val="24"/>
        </w:rPr>
        <w:t xml:space="preserve">Lai pilnveidotu </w:t>
      </w:r>
      <w:r w:rsidR="00343AF5" w:rsidRPr="0063727B">
        <w:rPr>
          <w:rFonts w:ascii="Times New Roman" w:hAnsi="Times New Roman" w:cs="Times New Roman"/>
          <w:sz w:val="24"/>
          <w:szCs w:val="24"/>
        </w:rPr>
        <w:t>politiku sociālā darba un sociālo pakalpojumu jomā</w:t>
      </w:r>
      <w:r w:rsidR="00BE222A" w:rsidRPr="0063727B">
        <w:rPr>
          <w:rFonts w:ascii="Times New Roman" w:hAnsi="Times New Roman" w:cs="Times New Roman"/>
          <w:sz w:val="24"/>
          <w:szCs w:val="24"/>
        </w:rPr>
        <w:t>,</w:t>
      </w:r>
      <w:r w:rsidR="00343AF5"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Labklājības ministrija </w:t>
      </w:r>
      <w:r w:rsidR="00343AF5" w:rsidRPr="0063727B">
        <w:rPr>
          <w:rFonts w:ascii="Times New Roman" w:hAnsi="Times New Roman" w:cs="Times New Roman"/>
          <w:sz w:val="24"/>
          <w:szCs w:val="24"/>
        </w:rPr>
        <w:t xml:space="preserve">ir izstrādājusi trīs </w:t>
      </w:r>
      <w:r w:rsidR="00B13EBF" w:rsidRPr="0063727B">
        <w:rPr>
          <w:rFonts w:ascii="Times New Roman" w:hAnsi="Times New Roman" w:cs="Times New Roman"/>
          <w:sz w:val="24"/>
          <w:szCs w:val="24"/>
        </w:rPr>
        <w:t xml:space="preserve">vidēja termiņa </w:t>
      </w:r>
      <w:r w:rsidR="00343AF5" w:rsidRPr="0063727B">
        <w:rPr>
          <w:rFonts w:ascii="Times New Roman" w:hAnsi="Times New Roman" w:cs="Times New Roman"/>
          <w:sz w:val="24"/>
          <w:szCs w:val="24"/>
        </w:rPr>
        <w:t>politikas plānošanas dokumentus (sk</w:t>
      </w:r>
      <w:r w:rsidR="00354DC1" w:rsidRPr="0063727B">
        <w:rPr>
          <w:rFonts w:ascii="Times New Roman" w:hAnsi="Times New Roman" w:cs="Times New Roman"/>
          <w:sz w:val="24"/>
          <w:szCs w:val="24"/>
        </w:rPr>
        <w:t>at. arī</w:t>
      </w:r>
      <w:r w:rsidR="00343AF5" w:rsidRPr="0063727B">
        <w:rPr>
          <w:rFonts w:ascii="Times New Roman" w:hAnsi="Times New Roman" w:cs="Times New Roman"/>
          <w:sz w:val="24"/>
          <w:szCs w:val="24"/>
        </w:rPr>
        <w:t xml:space="preserve"> 3.6.apakš</w:t>
      </w:r>
      <w:r w:rsidR="0016564D" w:rsidRPr="0063727B">
        <w:rPr>
          <w:rFonts w:ascii="Times New Roman" w:hAnsi="Times New Roman" w:cs="Times New Roman"/>
          <w:sz w:val="24"/>
          <w:szCs w:val="24"/>
        </w:rPr>
        <w:t>no</w:t>
      </w:r>
      <w:r w:rsidR="00343AF5" w:rsidRPr="0063727B">
        <w:rPr>
          <w:rFonts w:ascii="Times New Roman" w:hAnsi="Times New Roman" w:cs="Times New Roman"/>
          <w:sz w:val="24"/>
          <w:szCs w:val="24"/>
        </w:rPr>
        <w:t>daļ</w:t>
      </w:r>
      <w:r w:rsidR="00354DC1" w:rsidRPr="0063727B">
        <w:rPr>
          <w:rFonts w:ascii="Times New Roman" w:hAnsi="Times New Roman" w:cs="Times New Roman"/>
          <w:sz w:val="24"/>
          <w:szCs w:val="24"/>
        </w:rPr>
        <w:t>u</w:t>
      </w:r>
      <w:r w:rsidR="00343AF5" w:rsidRPr="0063727B">
        <w:rPr>
          <w:rFonts w:ascii="Times New Roman" w:hAnsi="Times New Roman" w:cs="Times New Roman"/>
          <w:sz w:val="24"/>
          <w:szCs w:val="24"/>
        </w:rPr>
        <w:t>)</w:t>
      </w:r>
      <w:r w:rsidR="00354DC1" w:rsidRPr="0063727B">
        <w:rPr>
          <w:rFonts w:ascii="Times New Roman" w:hAnsi="Times New Roman" w:cs="Times New Roman"/>
          <w:sz w:val="24"/>
          <w:szCs w:val="24"/>
        </w:rPr>
        <w:t>:</w:t>
      </w:r>
    </w:p>
    <w:p w:rsidR="00B13EBF" w:rsidRPr="0063727B" w:rsidRDefault="00354DC1" w:rsidP="009A1501">
      <w:pPr>
        <w:pStyle w:val="ListParagraph"/>
        <w:numPr>
          <w:ilvl w:val="0"/>
          <w:numId w:val="27"/>
        </w:numPr>
        <w:spacing w:after="0" w:line="240" w:lineRule="auto"/>
        <w:jc w:val="both"/>
        <w:rPr>
          <w:rFonts w:ascii="Times New Roman" w:hAnsi="Times New Roman" w:cs="Times New Roman"/>
          <w:iCs/>
          <w:sz w:val="24"/>
          <w:szCs w:val="24"/>
        </w:rPr>
      </w:pPr>
      <w:r w:rsidRPr="0063727B">
        <w:rPr>
          <w:rFonts w:ascii="Times New Roman" w:hAnsi="Times New Roman" w:cs="Times New Roman"/>
          <w:iCs/>
          <w:sz w:val="24"/>
          <w:szCs w:val="24"/>
        </w:rPr>
        <w:t>„Profesionālā sociālā darba attīstības pamatnostādnes2014.-2020.gadam;</w:t>
      </w:r>
    </w:p>
    <w:p w:rsidR="00B13EBF" w:rsidRPr="0063727B" w:rsidRDefault="00B13EBF" w:rsidP="009A1501">
      <w:pPr>
        <w:pStyle w:val="ListParagraph"/>
        <w:numPr>
          <w:ilvl w:val="0"/>
          <w:numId w:val="27"/>
        </w:numPr>
        <w:spacing w:after="0" w:line="240" w:lineRule="auto"/>
        <w:jc w:val="both"/>
        <w:rPr>
          <w:rFonts w:ascii="Times New Roman" w:hAnsi="Times New Roman" w:cs="Times New Roman"/>
          <w:sz w:val="24"/>
          <w:szCs w:val="24"/>
        </w:rPr>
      </w:pPr>
      <w:r w:rsidRPr="0063727B">
        <w:rPr>
          <w:rFonts w:ascii="Times New Roman" w:hAnsi="Times New Roman" w:cs="Times New Roman"/>
          <w:iCs/>
          <w:sz w:val="24"/>
          <w:szCs w:val="24"/>
        </w:rPr>
        <w:lastRenderedPageBreak/>
        <w:t>„Pamatnostādnes sociālo pakalpojumu attīstībai 2014.-2020.gadam”</w:t>
      </w:r>
      <w:r w:rsidRPr="0063727B">
        <w:rPr>
          <w:rFonts w:ascii="Times New Roman" w:hAnsi="Times New Roman" w:cs="Times New Roman"/>
          <w:sz w:val="24"/>
          <w:szCs w:val="24"/>
        </w:rPr>
        <w:t>;</w:t>
      </w:r>
    </w:p>
    <w:p w:rsidR="00343AF5" w:rsidRDefault="00B13EBF" w:rsidP="009A1501">
      <w:pPr>
        <w:pStyle w:val="ListParagraph"/>
        <w:numPr>
          <w:ilvl w:val="0"/>
          <w:numId w:val="27"/>
        </w:numPr>
        <w:spacing w:after="0" w:line="240" w:lineRule="auto"/>
        <w:jc w:val="both"/>
        <w:rPr>
          <w:rFonts w:ascii="Times New Roman" w:hAnsi="Times New Roman" w:cs="Times New Roman"/>
          <w:sz w:val="24"/>
          <w:szCs w:val="24"/>
        </w:rPr>
      </w:pPr>
      <w:r w:rsidRPr="0063727B">
        <w:rPr>
          <w:rFonts w:ascii="Times New Roman" w:hAnsi="Times New Roman" w:cs="Times New Roman"/>
          <w:iCs/>
          <w:sz w:val="24"/>
          <w:szCs w:val="24"/>
          <w:lang w:eastAsia="lv-LV"/>
        </w:rPr>
        <w:t>„Apvienoto Nāciju Organizācijas Konvencijas par personu ar invaliditāti tiesībām īstenošanas pamatnostādnes 2014.-2020.gadam”</w:t>
      </w:r>
      <w:r w:rsidR="00ED35F1" w:rsidRPr="0063727B">
        <w:rPr>
          <w:rFonts w:ascii="Times New Roman" w:hAnsi="Times New Roman" w:cs="Times New Roman"/>
          <w:sz w:val="24"/>
          <w:szCs w:val="24"/>
          <w:lang w:eastAsia="lv-LV"/>
        </w:rPr>
        <w:t xml:space="preserve">. </w:t>
      </w:r>
    </w:p>
    <w:p w:rsidR="00EF0AEF" w:rsidRDefault="00EF0AE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43AF5" w:rsidRPr="0063727B" w:rsidRDefault="00343AF5" w:rsidP="009A1501">
      <w:pPr>
        <w:pStyle w:val="Heading1"/>
        <w:numPr>
          <w:ilvl w:val="0"/>
          <w:numId w:val="19"/>
        </w:numPr>
        <w:rPr>
          <w:rFonts w:ascii="Times New Roman" w:hAnsi="Times New Roman" w:cs="Times New Roman"/>
          <w:color w:val="auto"/>
          <w:sz w:val="24"/>
          <w:szCs w:val="24"/>
          <w:lang w:val="lv-LV"/>
        </w:rPr>
      </w:pPr>
      <w:bookmarkStart w:id="71" w:name="_Toc372812639"/>
      <w:r w:rsidRPr="0063727B">
        <w:rPr>
          <w:rFonts w:ascii="Times New Roman" w:hAnsi="Times New Roman" w:cs="Times New Roman"/>
          <w:color w:val="auto"/>
          <w:sz w:val="24"/>
          <w:szCs w:val="24"/>
          <w:lang w:val="lv-LV"/>
        </w:rPr>
        <w:t>TURPMĀKĀ RĪCĪBA</w:t>
      </w:r>
      <w:bookmarkEnd w:id="71"/>
    </w:p>
    <w:p w:rsidR="00825480" w:rsidRPr="0063727B" w:rsidRDefault="00825480" w:rsidP="00297E34">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43AF5" w:rsidRPr="0063727B" w:rsidRDefault="00343AF5" w:rsidP="00297E34">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Šajā sadaļā apkopoti veicamie uzdevumi katrā no sociālās drošības sistēmas </w:t>
      </w:r>
      <w:r w:rsidR="00825480" w:rsidRPr="0063727B">
        <w:rPr>
          <w:rFonts w:ascii="Times New Roman" w:hAnsi="Times New Roman" w:cs="Times New Roman"/>
          <w:sz w:val="24"/>
          <w:szCs w:val="24"/>
        </w:rPr>
        <w:t>jomām</w:t>
      </w:r>
      <w:r w:rsidRPr="0063727B">
        <w:rPr>
          <w:rFonts w:ascii="Times New Roman" w:hAnsi="Times New Roman" w:cs="Times New Roman"/>
          <w:sz w:val="24"/>
          <w:szCs w:val="24"/>
        </w:rPr>
        <w:t>, lai risinātu situāciju saistībā ar augstajiem nabadzības rādītājiem, tai skaitā efektīvi samazinātu bērnu nabadzību. Paredzēts veikt pilnveidojumus sociālās palīdzības sistēmas organizācijā, uzlabot pabalstu adekvātumu, lai tie attiektos uz lielāku iedzīvotāju skaitu, kā arī</w:t>
      </w:r>
      <w:r w:rsidR="00DE797B" w:rsidRPr="0063727B">
        <w:rPr>
          <w:rFonts w:ascii="Times New Roman" w:hAnsi="Times New Roman" w:cs="Times New Roman"/>
          <w:sz w:val="24"/>
          <w:szCs w:val="24"/>
        </w:rPr>
        <w:t xml:space="preserve"> </w:t>
      </w:r>
      <w:r w:rsidR="008021C0" w:rsidRPr="0063727B">
        <w:rPr>
          <w:rFonts w:ascii="Times New Roman" w:hAnsi="Times New Roman" w:cs="Times New Roman"/>
          <w:sz w:val="24"/>
          <w:szCs w:val="24"/>
        </w:rPr>
        <w:t xml:space="preserve">uzlabojot </w:t>
      </w:r>
      <w:r w:rsidRPr="0063727B">
        <w:rPr>
          <w:rFonts w:ascii="Times New Roman" w:hAnsi="Times New Roman" w:cs="Times New Roman"/>
          <w:sz w:val="24"/>
          <w:szCs w:val="24"/>
        </w:rPr>
        <w:t xml:space="preserve">pabalstu saņēmēju motivēšanas un aktivizēšanas pasākumus.   </w:t>
      </w:r>
    </w:p>
    <w:p w:rsidR="00343AF5" w:rsidRPr="0063727B" w:rsidRDefault="00343AF5" w:rsidP="006F1D76">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343AF5" w:rsidRPr="0063727B" w:rsidRDefault="00343AF5" w:rsidP="006F1D76">
      <w:pPr>
        <w:pStyle w:val="ListParagraph"/>
        <w:autoSpaceDE w:val="0"/>
        <w:autoSpaceDN w:val="0"/>
        <w:adjustRightInd w:val="0"/>
        <w:spacing w:after="0" w:line="240" w:lineRule="auto"/>
        <w:ind w:left="0"/>
        <w:rPr>
          <w:rFonts w:ascii="Times New Roman" w:hAnsi="Times New Roman" w:cs="Times New Roman"/>
          <w:sz w:val="24"/>
          <w:szCs w:val="24"/>
        </w:rPr>
      </w:pPr>
    </w:p>
    <w:p w:rsidR="00343AF5" w:rsidRPr="0063727B" w:rsidRDefault="00343AF5" w:rsidP="009A1501">
      <w:pPr>
        <w:pStyle w:val="Heading2"/>
        <w:numPr>
          <w:ilvl w:val="1"/>
          <w:numId w:val="2"/>
        </w:numPr>
        <w:spacing w:before="0" w:line="240" w:lineRule="auto"/>
        <w:rPr>
          <w:rFonts w:ascii="Times New Roman" w:hAnsi="Times New Roman" w:cs="Times New Roman"/>
          <w:color w:val="auto"/>
          <w:sz w:val="24"/>
          <w:szCs w:val="24"/>
          <w:lang w:val="lv-LV"/>
        </w:rPr>
      </w:pPr>
      <w:bookmarkStart w:id="72" w:name="_Toc372812640"/>
      <w:r w:rsidRPr="0063727B">
        <w:rPr>
          <w:rFonts w:ascii="Times New Roman" w:hAnsi="Times New Roman" w:cs="Times New Roman"/>
          <w:color w:val="auto"/>
          <w:sz w:val="24"/>
          <w:szCs w:val="24"/>
          <w:lang w:val="lv-LV"/>
        </w:rPr>
        <w:t>Minimālā nodrošinājuma līmenis</w:t>
      </w:r>
      <w:bookmarkEnd w:id="72"/>
    </w:p>
    <w:p w:rsidR="00A7028F" w:rsidRPr="0063727B" w:rsidRDefault="00A7028F" w:rsidP="00825480">
      <w:pPr>
        <w:spacing w:after="0" w:line="240" w:lineRule="auto"/>
        <w:ind w:firstLine="720"/>
        <w:jc w:val="both"/>
        <w:rPr>
          <w:rFonts w:ascii="Times New Roman" w:hAnsi="Times New Roman" w:cs="Times New Roman"/>
          <w:sz w:val="24"/>
          <w:szCs w:val="24"/>
        </w:rPr>
      </w:pPr>
    </w:p>
    <w:p w:rsidR="00343AF5" w:rsidRPr="0063727B" w:rsidRDefault="00343AF5" w:rsidP="00825480">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Lai nodrošināt</w:t>
      </w:r>
      <w:r w:rsidR="00A7028F" w:rsidRPr="0063727B">
        <w:rPr>
          <w:rFonts w:ascii="Times New Roman" w:hAnsi="Times New Roman" w:cs="Times New Roman"/>
          <w:sz w:val="24"/>
          <w:szCs w:val="24"/>
        </w:rPr>
        <w:t>u vienotu pieeju valstī minimālā</w:t>
      </w:r>
      <w:r w:rsidRPr="0063727B">
        <w:rPr>
          <w:rFonts w:ascii="Times New Roman" w:hAnsi="Times New Roman" w:cs="Times New Roman"/>
          <w:sz w:val="24"/>
          <w:szCs w:val="24"/>
        </w:rPr>
        <w:t xml:space="preserve"> ienākumu</w:t>
      </w:r>
      <w:r w:rsidR="00A7028F" w:rsidRPr="0063727B">
        <w:rPr>
          <w:rFonts w:ascii="Times New Roman" w:hAnsi="Times New Roman" w:cs="Times New Roman"/>
          <w:sz w:val="24"/>
          <w:szCs w:val="24"/>
        </w:rPr>
        <w:t xml:space="preserve"> (minimālā </w:t>
      </w:r>
      <w:r w:rsidR="00E909BC" w:rsidRPr="0063727B">
        <w:rPr>
          <w:rFonts w:ascii="Times New Roman" w:hAnsi="Times New Roman" w:cs="Times New Roman"/>
          <w:sz w:val="24"/>
          <w:szCs w:val="24"/>
        </w:rPr>
        <w:t>nodrošinājuma</w:t>
      </w:r>
      <w:r w:rsidR="00A7028F" w:rsidRPr="0063727B">
        <w:rPr>
          <w:rFonts w:ascii="Times New Roman" w:hAnsi="Times New Roman" w:cs="Times New Roman"/>
          <w:sz w:val="24"/>
          <w:szCs w:val="24"/>
        </w:rPr>
        <w:t>)</w:t>
      </w:r>
      <w:r w:rsidRPr="0063727B">
        <w:rPr>
          <w:rFonts w:ascii="Times New Roman" w:hAnsi="Times New Roman" w:cs="Times New Roman"/>
          <w:sz w:val="24"/>
          <w:szCs w:val="24"/>
        </w:rPr>
        <w:t xml:space="preserve"> līmeņa noteikšanai, kura apmērs veidojas no visiem tiem ienākumiem, kurus persona var saņemt no ziņojumā aprakstītajām sistēmām, balstoties uz starptautisko un ES praksi nabadzības mērīšanā, nepieciešams veikt šādus pasākumus</w:t>
      </w:r>
      <w:r w:rsidR="004C7521" w:rsidRPr="0063727B">
        <w:rPr>
          <w:rFonts w:ascii="Times New Roman" w:hAnsi="Times New Roman" w:cs="Times New Roman"/>
          <w:sz w:val="24"/>
          <w:szCs w:val="24"/>
        </w:rPr>
        <w:t>, izvēloties vienu no piedāvātajiem variantiem</w:t>
      </w:r>
      <w:r w:rsidRPr="0063727B">
        <w:rPr>
          <w:rFonts w:ascii="Times New Roman" w:hAnsi="Times New Roman" w:cs="Times New Roman"/>
          <w:sz w:val="24"/>
          <w:szCs w:val="24"/>
        </w:rPr>
        <w:t xml:space="preserve">: </w:t>
      </w:r>
    </w:p>
    <w:p w:rsidR="00825480" w:rsidRPr="0063727B" w:rsidRDefault="00825480" w:rsidP="00825480">
      <w:pPr>
        <w:spacing w:after="0" w:line="240" w:lineRule="auto"/>
        <w:ind w:firstLine="720"/>
        <w:jc w:val="both"/>
        <w:rPr>
          <w:rFonts w:ascii="Times New Roman" w:hAnsi="Times New Roman" w:cs="Times New Roman"/>
          <w:sz w:val="24"/>
          <w:szCs w:val="24"/>
        </w:rPr>
      </w:pPr>
    </w:p>
    <w:p w:rsidR="00343AF5" w:rsidRPr="0063727B" w:rsidRDefault="00343AF5" w:rsidP="00825480">
      <w:pPr>
        <w:pStyle w:val="ListParagraph"/>
        <w:autoSpaceDE w:val="0"/>
        <w:autoSpaceDN w:val="0"/>
        <w:adjustRightInd w:val="0"/>
        <w:spacing w:after="0" w:line="240" w:lineRule="auto"/>
        <w:ind w:left="567"/>
        <w:jc w:val="both"/>
        <w:rPr>
          <w:rFonts w:ascii="Times New Roman" w:hAnsi="Times New Roman" w:cs="Times New Roman"/>
          <w:sz w:val="24"/>
          <w:szCs w:val="24"/>
          <w:u w:val="single"/>
        </w:rPr>
      </w:pPr>
      <w:r w:rsidRPr="0063727B">
        <w:rPr>
          <w:rFonts w:ascii="Times New Roman" w:hAnsi="Times New Roman" w:cs="Times New Roman"/>
          <w:sz w:val="24"/>
          <w:szCs w:val="24"/>
          <w:u w:val="single"/>
        </w:rPr>
        <w:t>1.variants:</w:t>
      </w:r>
    </w:p>
    <w:p w:rsidR="00343AF5" w:rsidRPr="0063727B" w:rsidRDefault="00343AF5" w:rsidP="00825480">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 xml:space="preserve">Noteikt </w:t>
      </w:r>
      <w:r w:rsidR="00527896" w:rsidRPr="0063727B">
        <w:rPr>
          <w:rFonts w:ascii="Times New Roman" w:hAnsi="Times New Roman" w:cs="Times New Roman"/>
          <w:b/>
          <w:sz w:val="24"/>
          <w:szCs w:val="24"/>
        </w:rPr>
        <w:t>vienotu</w:t>
      </w:r>
      <w:r w:rsidR="00527896" w:rsidRPr="0063727B">
        <w:rPr>
          <w:rFonts w:ascii="Times New Roman" w:hAnsi="Times New Roman" w:cs="Times New Roman"/>
          <w:sz w:val="24"/>
          <w:szCs w:val="24"/>
        </w:rPr>
        <w:t xml:space="preserve"> </w:t>
      </w:r>
      <w:r w:rsidR="00972AFA" w:rsidRPr="0063727B">
        <w:rPr>
          <w:rFonts w:ascii="Times New Roman" w:hAnsi="Times New Roman" w:cs="Times New Roman"/>
          <w:sz w:val="24"/>
          <w:szCs w:val="24"/>
        </w:rPr>
        <w:t xml:space="preserve">(vienu) </w:t>
      </w:r>
      <w:r w:rsidR="004702FF" w:rsidRPr="0063727B">
        <w:rPr>
          <w:rFonts w:ascii="Times New Roman" w:hAnsi="Times New Roman" w:cs="Times New Roman"/>
          <w:sz w:val="24"/>
          <w:szCs w:val="24"/>
        </w:rPr>
        <w:t>minimāl</w:t>
      </w:r>
      <w:r w:rsidR="00A7028F" w:rsidRPr="0063727B">
        <w:rPr>
          <w:rFonts w:ascii="Times New Roman" w:hAnsi="Times New Roman" w:cs="Times New Roman"/>
          <w:sz w:val="24"/>
          <w:szCs w:val="24"/>
        </w:rPr>
        <w:t>o</w:t>
      </w:r>
      <w:r w:rsidR="004702FF" w:rsidRPr="0063727B">
        <w:rPr>
          <w:rFonts w:ascii="Times New Roman" w:hAnsi="Times New Roman" w:cs="Times New Roman"/>
          <w:sz w:val="24"/>
          <w:szCs w:val="24"/>
        </w:rPr>
        <w:t xml:space="preserve"> ienākumu (minimālā nodrošinājuma) līmeni </w:t>
      </w:r>
      <w:r w:rsidR="00825480" w:rsidRPr="0063727B">
        <w:rPr>
          <w:rFonts w:ascii="Times New Roman" w:hAnsi="Times New Roman" w:cs="Times New Roman"/>
          <w:b/>
          <w:sz w:val="24"/>
          <w:szCs w:val="24"/>
        </w:rPr>
        <w:t>30%, 40%, 50%</w:t>
      </w:r>
      <w:r w:rsidR="00825480" w:rsidRPr="0063727B">
        <w:rPr>
          <w:rFonts w:ascii="Times New Roman" w:hAnsi="Times New Roman" w:cs="Times New Roman"/>
          <w:sz w:val="24"/>
          <w:szCs w:val="24"/>
        </w:rPr>
        <w:t xml:space="preserve"> vai </w:t>
      </w:r>
      <w:r w:rsidRPr="0063727B">
        <w:rPr>
          <w:rFonts w:ascii="Times New Roman" w:hAnsi="Times New Roman" w:cs="Times New Roman"/>
          <w:b/>
          <w:bCs/>
          <w:sz w:val="24"/>
          <w:szCs w:val="24"/>
        </w:rPr>
        <w:t xml:space="preserve">60% </w:t>
      </w:r>
      <w:r w:rsidR="00527896" w:rsidRPr="0063727B">
        <w:rPr>
          <w:rFonts w:ascii="Times New Roman" w:hAnsi="Times New Roman" w:cs="Times New Roman"/>
          <w:bCs/>
          <w:sz w:val="24"/>
          <w:szCs w:val="24"/>
        </w:rPr>
        <w:t>apmērā</w:t>
      </w:r>
      <w:r w:rsidR="00527896" w:rsidRPr="0063727B">
        <w:rPr>
          <w:rFonts w:ascii="Times New Roman" w:hAnsi="Times New Roman" w:cs="Times New Roman"/>
          <w:b/>
          <w:bCs/>
          <w:sz w:val="24"/>
          <w:szCs w:val="24"/>
        </w:rPr>
        <w:t xml:space="preserve"> </w:t>
      </w:r>
      <w:r w:rsidR="00825480" w:rsidRPr="0063727B">
        <w:rPr>
          <w:rFonts w:ascii="Times New Roman" w:hAnsi="Times New Roman" w:cs="Times New Roman"/>
          <w:bCs/>
          <w:sz w:val="24"/>
          <w:szCs w:val="24"/>
        </w:rPr>
        <w:t>no mediānas ekvivalentajiem ienākumiem</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mēnesī, piemērojot OECD ekvivalences skalu</w:t>
      </w:r>
      <w:r w:rsidRPr="0063727B">
        <w:rPr>
          <w:rStyle w:val="FootnoteReference"/>
          <w:rFonts w:ascii="Times New Roman" w:hAnsi="Times New Roman" w:cs="Times New Roman"/>
          <w:iCs/>
          <w:sz w:val="24"/>
          <w:szCs w:val="24"/>
        </w:rPr>
        <w:footnoteReference w:id="106"/>
      </w:r>
      <w:r w:rsidRPr="0063727B">
        <w:rPr>
          <w:rFonts w:ascii="Times New Roman" w:hAnsi="Times New Roman" w:cs="Times New Roman"/>
          <w:iCs/>
          <w:sz w:val="24"/>
          <w:szCs w:val="24"/>
        </w:rPr>
        <w:t>;</w:t>
      </w:r>
      <w:r w:rsidRPr="0063727B">
        <w:rPr>
          <w:rFonts w:ascii="Times New Roman" w:hAnsi="Times New Roman" w:cs="Times New Roman"/>
          <w:sz w:val="24"/>
          <w:szCs w:val="24"/>
        </w:rPr>
        <w:t xml:space="preserve"> </w:t>
      </w:r>
    </w:p>
    <w:p w:rsidR="00343AF5" w:rsidRPr="0063727B" w:rsidRDefault="00343AF5" w:rsidP="00527896">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pārtraukt aprēķināt 1991.gadā noteikto iztikas minimuma patēriņa preču un pakalpojumu grozu.</w:t>
      </w:r>
    </w:p>
    <w:p w:rsidR="00343AF5" w:rsidRPr="0063727B" w:rsidRDefault="00343AF5" w:rsidP="00825480">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343AF5" w:rsidRPr="0063727B" w:rsidRDefault="00527896" w:rsidP="00825480">
      <w:pPr>
        <w:pStyle w:val="ListParagraph"/>
        <w:autoSpaceDE w:val="0"/>
        <w:autoSpaceDN w:val="0"/>
        <w:adjustRightInd w:val="0"/>
        <w:spacing w:after="0" w:line="240" w:lineRule="auto"/>
        <w:ind w:left="567"/>
        <w:jc w:val="both"/>
        <w:rPr>
          <w:rFonts w:ascii="Times New Roman" w:hAnsi="Times New Roman" w:cs="Times New Roman"/>
          <w:bCs/>
          <w:sz w:val="24"/>
          <w:szCs w:val="24"/>
          <w:u w:val="single"/>
        </w:rPr>
      </w:pPr>
      <w:r w:rsidRPr="0063727B">
        <w:rPr>
          <w:rFonts w:ascii="Times New Roman" w:hAnsi="Times New Roman" w:cs="Times New Roman"/>
          <w:bCs/>
          <w:sz w:val="24"/>
          <w:szCs w:val="24"/>
          <w:u w:val="single"/>
        </w:rPr>
        <w:t>2</w:t>
      </w:r>
      <w:r w:rsidR="00343AF5" w:rsidRPr="0063727B">
        <w:rPr>
          <w:rFonts w:ascii="Times New Roman" w:hAnsi="Times New Roman" w:cs="Times New Roman"/>
          <w:bCs/>
          <w:sz w:val="24"/>
          <w:szCs w:val="24"/>
          <w:u w:val="single"/>
        </w:rPr>
        <w:t>.variants:</w:t>
      </w:r>
    </w:p>
    <w:p w:rsidR="00343AF5" w:rsidRPr="0063727B" w:rsidRDefault="00527896" w:rsidP="00825480">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N</w:t>
      </w:r>
      <w:r w:rsidR="00343AF5" w:rsidRPr="0063727B">
        <w:rPr>
          <w:rFonts w:ascii="Times New Roman" w:hAnsi="Times New Roman" w:cs="Times New Roman"/>
          <w:sz w:val="24"/>
          <w:szCs w:val="24"/>
        </w:rPr>
        <w:t xml:space="preserve">oteikt </w:t>
      </w:r>
      <w:r w:rsidR="00343AF5" w:rsidRPr="0063727B">
        <w:rPr>
          <w:rFonts w:ascii="Times New Roman" w:hAnsi="Times New Roman" w:cs="Times New Roman"/>
          <w:b/>
          <w:sz w:val="24"/>
          <w:szCs w:val="24"/>
        </w:rPr>
        <w:t>diferencētus</w:t>
      </w:r>
      <w:r w:rsidR="00343AF5" w:rsidRPr="0063727B">
        <w:rPr>
          <w:rFonts w:ascii="Times New Roman" w:hAnsi="Times New Roman" w:cs="Times New Roman"/>
          <w:sz w:val="24"/>
          <w:szCs w:val="24"/>
        </w:rPr>
        <w:t xml:space="preserve"> </w:t>
      </w:r>
      <w:r w:rsidR="00972AFA" w:rsidRPr="0063727B">
        <w:rPr>
          <w:rFonts w:ascii="Times New Roman" w:hAnsi="Times New Roman" w:cs="Times New Roman"/>
          <w:sz w:val="24"/>
          <w:szCs w:val="24"/>
        </w:rPr>
        <w:t xml:space="preserve">(vairāk kā vienu) </w:t>
      </w:r>
      <w:r w:rsidR="004702FF" w:rsidRPr="0063727B">
        <w:rPr>
          <w:rFonts w:ascii="Times New Roman" w:hAnsi="Times New Roman" w:cs="Times New Roman"/>
          <w:sz w:val="24"/>
          <w:szCs w:val="24"/>
        </w:rPr>
        <w:t xml:space="preserve">minimālo ienākumu (minimālā nodrošinājuma) līmeņus </w:t>
      </w:r>
      <w:r w:rsidR="004702FF" w:rsidRPr="0063727B">
        <w:rPr>
          <w:rFonts w:ascii="Times New Roman" w:hAnsi="Times New Roman" w:cs="Times New Roman"/>
          <w:b/>
          <w:sz w:val="24"/>
          <w:szCs w:val="24"/>
        </w:rPr>
        <w:t xml:space="preserve">30%, </w:t>
      </w:r>
      <w:r w:rsidRPr="0063727B">
        <w:rPr>
          <w:rFonts w:ascii="Times New Roman" w:hAnsi="Times New Roman" w:cs="Times New Roman"/>
          <w:b/>
          <w:sz w:val="24"/>
          <w:szCs w:val="24"/>
        </w:rPr>
        <w:t>40%, 50%</w:t>
      </w:r>
      <w:r w:rsidRPr="0063727B">
        <w:rPr>
          <w:rFonts w:ascii="Times New Roman" w:hAnsi="Times New Roman" w:cs="Times New Roman"/>
          <w:sz w:val="24"/>
          <w:szCs w:val="24"/>
        </w:rPr>
        <w:t xml:space="preserve"> vai </w:t>
      </w:r>
      <w:r w:rsidRPr="0063727B">
        <w:rPr>
          <w:rFonts w:ascii="Times New Roman" w:hAnsi="Times New Roman" w:cs="Times New Roman"/>
          <w:b/>
          <w:bCs/>
          <w:sz w:val="24"/>
          <w:szCs w:val="24"/>
        </w:rPr>
        <w:t xml:space="preserve">60% </w:t>
      </w:r>
      <w:r w:rsidRPr="0063727B">
        <w:rPr>
          <w:rFonts w:ascii="Times New Roman" w:hAnsi="Times New Roman" w:cs="Times New Roman"/>
          <w:bCs/>
          <w:sz w:val="24"/>
          <w:szCs w:val="24"/>
        </w:rPr>
        <w:t>apmērā</w:t>
      </w:r>
      <w:r w:rsidRPr="0063727B">
        <w:rPr>
          <w:rFonts w:ascii="Times New Roman" w:hAnsi="Times New Roman" w:cs="Times New Roman"/>
          <w:b/>
          <w:bCs/>
          <w:sz w:val="24"/>
          <w:szCs w:val="24"/>
        </w:rPr>
        <w:t xml:space="preserve"> </w:t>
      </w:r>
      <w:r w:rsidRPr="0063727B">
        <w:rPr>
          <w:rFonts w:ascii="Times New Roman" w:hAnsi="Times New Roman" w:cs="Times New Roman"/>
          <w:bCs/>
          <w:sz w:val="24"/>
          <w:szCs w:val="24"/>
        </w:rPr>
        <w:t>no mediānas ekvivalentajiem ienākumiem</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mēnesī, piemērojot OECD ekvivalences skalu</w:t>
      </w:r>
      <w:r w:rsidRPr="0063727B">
        <w:rPr>
          <w:rFonts w:ascii="Times New Roman" w:hAnsi="Times New Roman" w:cs="Times New Roman"/>
          <w:iCs/>
          <w:sz w:val="24"/>
          <w:szCs w:val="24"/>
        </w:rPr>
        <w:t>;</w:t>
      </w:r>
      <w:r w:rsidR="00343AF5" w:rsidRPr="0063727B">
        <w:rPr>
          <w:rFonts w:ascii="Times New Roman" w:hAnsi="Times New Roman" w:cs="Times New Roman"/>
          <w:sz w:val="24"/>
          <w:szCs w:val="24"/>
        </w:rPr>
        <w:t xml:space="preserve"> </w:t>
      </w:r>
    </w:p>
    <w:p w:rsidR="00343AF5" w:rsidRPr="0063727B" w:rsidRDefault="00343AF5" w:rsidP="00825480">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pārtraukt aprēķināt 1991.gadā noteikto iztikas minimuma patēriņa preču un pakalpojumu grozu.</w:t>
      </w:r>
    </w:p>
    <w:p w:rsidR="00343AF5" w:rsidRPr="0063727B" w:rsidRDefault="00343AF5" w:rsidP="00825480">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343AF5" w:rsidRPr="0063727B" w:rsidRDefault="004702FF" w:rsidP="00825480">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u w:val="single"/>
        </w:rPr>
        <w:t>3</w:t>
      </w:r>
      <w:r w:rsidR="00343AF5" w:rsidRPr="0063727B">
        <w:rPr>
          <w:rFonts w:ascii="Times New Roman" w:hAnsi="Times New Roman" w:cs="Times New Roman"/>
          <w:sz w:val="24"/>
          <w:szCs w:val="24"/>
          <w:u w:val="single"/>
        </w:rPr>
        <w:t>.variants:</w:t>
      </w:r>
    </w:p>
    <w:p w:rsidR="00343AF5" w:rsidRPr="0063727B" w:rsidRDefault="00527896" w:rsidP="00F66330">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 xml:space="preserve">pārtraukt aprēķināt 1991.gadā noteikto iztikas minimuma patēriņa preču un pakalpojumu grozu un </w:t>
      </w:r>
      <w:r w:rsidR="00343AF5" w:rsidRPr="0063727B">
        <w:rPr>
          <w:rFonts w:ascii="Times New Roman" w:hAnsi="Times New Roman" w:cs="Times New Roman"/>
          <w:b/>
          <w:sz w:val="24"/>
          <w:szCs w:val="24"/>
        </w:rPr>
        <w:t>izstrādāt jaunu iztikas minimuma</w:t>
      </w:r>
      <w:r w:rsidR="00343AF5" w:rsidRPr="0063727B">
        <w:rPr>
          <w:rFonts w:ascii="Times New Roman" w:hAnsi="Times New Roman" w:cs="Times New Roman"/>
          <w:sz w:val="24"/>
          <w:szCs w:val="24"/>
        </w:rPr>
        <w:t xml:space="preserve"> patēriņa preču un pakalpojumu grozu </w:t>
      </w:r>
      <w:r w:rsidRPr="0063727B">
        <w:rPr>
          <w:rFonts w:ascii="Times New Roman" w:hAnsi="Times New Roman" w:cs="Times New Roman"/>
          <w:sz w:val="24"/>
          <w:szCs w:val="24"/>
        </w:rPr>
        <w:t xml:space="preserve">vai vairākus grozus </w:t>
      </w:r>
      <w:r w:rsidR="00343AF5" w:rsidRPr="0063727B">
        <w:rPr>
          <w:rFonts w:ascii="Times New Roman" w:hAnsi="Times New Roman" w:cs="Times New Roman"/>
          <w:sz w:val="24"/>
          <w:szCs w:val="24"/>
        </w:rPr>
        <w:t>dažādām iedzīvotāju grupām;</w:t>
      </w:r>
    </w:p>
    <w:p w:rsidR="00343AF5" w:rsidRPr="0063727B" w:rsidRDefault="00527896" w:rsidP="00F66330">
      <w:pPr>
        <w:pStyle w:val="ListParagraph"/>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noteikt minimālo</w:t>
      </w:r>
      <w:r w:rsidR="00343AF5"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ienākumu (minimālā </w:t>
      </w:r>
      <w:r w:rsidR="00343AF5" w:rsidRPr="0063727B">
        <w:rPr>
          <w:rFonts w:ascii="Times New Roman" w:hAnsi="Times New Roman" w:cs="Times New Roman"/>
          <w:sz w:val="24"/>
          <w:szCs w:val="24"/>
        </w:rPr>
        <w:t>nodrošinājuma</w:t>
      </w:r>
      <w:r w:rsidRPr="0063727B">
        <w:rPr>
          <w:rFonts w:ascii="Times New Roman" w:hAnsi="Times New Roman" w:cs="Times New Roman"/>
          <w:sz w:val="24"/>
          <w:szCs w:val="24"/>
        </w:rPr>
        <w:t>)</w:t>
      </w:r>
      <w:r w:rsidR="00343AF5" w:rsidRPr="0063727B">
        <w:rPr>
          <w:rFonts w:ascii="Times New Roman" w:hAnsi="Times New Roman" w:cs="Times New Roman"/>
          <w:sz w:val="24"/>
          <w:szCs w:val="24"/>
        </w:rPr>
        <w:t xml:space="preserve"> līmeni iztikas minimu</w:t>
      </w:r>
      <w:r w:rsidRPr="0063727B">
        <w:rPr>
          <w:rFonts w:ascii="Times New Roman" w:hAnsi="Times New Roman" w:cs="Times New Roman"/>
          <w:sz w:val="24"/>
          <w:szCs w:val="24"/>
        </w:rPr>
        <w:t>ma līmenī vai procentuāli no tā.</w:t>
      </w:r>
    </w:p>
    <w:p w:rsidR="00945149" w:rsidRDefault="00945149" w:rsidP="00945149">
      <w:pPr>
        <w:autoSpaceDE w:val="0"/>
        <w:autoSpaceDN w:val="0"/>
        <w:adjustRightInd w:val="0"/>
        <w:spacing w:after="0" w:line="240" w:lineRule="auto"/>
        <w:jc w:val="both"/>
        <w:rPr>
          <w:rFonts w:ascii="Times New Roman" w:hAnsi="Times New Roman" w:cs="Times New Roman"/>
          <w:sz w:val="24"/>
          <w:szCs w:val="24"/>
        </w:rPr>
      </w:pPr>
    </w:p>
    <w:p w:rsidR="00343AF5" w:rsidRPr="002A46BF" w:rsidRDefault="00343AF5" w:rsidP="00945149">
      <w:pPr>
        <w:autoSpaceDE w:val="0"/>
        <w:autoSpaceDN w:val="0"/>
        <w:adjustRightInd w:val="0"/>
        <w:spacing w:after="0" w:line="240" w:lineRule="auto"/>
        <w:jc w:val="both"/>
        <w:rPr>
          <w:rFonts w:ascii="Times New Roman" w:hAnsi="Times New Roman" w:cs="Times New Roman"/>
          <w:sz w:val="24"/>
          <w:szCs w:val="24"/>
        </w:rPr>
      </w:pPr>
      <w:r w:rsidRPr="002A46BF">
        <w:rPr>
          <w:rFonts w:ascii="Times New Roman" w:hAnsi="Times New Roman" w:cs="Times New Roman"/>
          <w:sz w:val="24"/>
          <w:szCs w:val="24"/>
        </w:rPr>
        <w:t xml:space="preserve">Termiņš </w:t>
      </w:r>
      <w:r w:rsidR="00C33F8B" w:rsidRPr="002A46BF">
        <w:rPr>
          <w:rFonts w:ascii="Times New Roman" w:hAnsi="Times New Roman" w:cs="Times New Roman"/>
          <w:sz w:val="24"/>
          <w:szCs w:val="24"/>
        </w:rPr>
        <w:t xml:space="preserve">koncepcijas projekta </w:t>
      </w:r>
      <w:r w:rsidR="00F56077" w:rsidRPr="002A46BF">
        <w:rPr>
          <w:rFonts w:ascii="Times New Roman" w:hAnsi="Times New Roman" w:cs="Times New Roman"/>
          <w:sz w:val="24"/>
          <w:szCs w:val="24"/>
        </w:rPr>
        <w:t xml:space="preserve">„Par </w:t>
      </w:r>
      <w:r w:rsidR="00C33F8B" w:rsidRPr="002A46BF">
        <w:rPr>
          <w:rFonts w:ascii="Times New Roman" w:hAnsi="Times New Roman" w:cs="Times New Roman"/>
          <w:sz w:val="24"/>
          <w:szCs w:val="24"/>
        </w:rPr>
        <w:t xml:space="preserve">minimālā ienākuma (minimālā nodrošinājuma) līmeņa </w:t>
      </w:r>
      <w:r w:rsidR="00945149" w:rsidRPr="002A46BF">
        <w:rPr>
          <w:rFonts w:ascii="Times New Roman" w:hAnsi="Times New Roman" w:cs="Times New Roman"/>
          <w:sz w:val="24"/>
          <w:szCs w:val="24"/>
        </w:rPr>
        <w:t>noteik</w:t>
      </w:r>
      <w:r w:rsidR="00F56077" w:rsidRPr="002A46BF">
        <w:rPr>
          <w:rFonts w:ascii="Times New Roman" w:hAnsi="Times New Roman" w:cs="Times New Roman"/>
          <w:sz w:val="24"/>
          <w:szCs w:val="24"/>
        </w:rPr>
        <w:t>šanu”</w:t>
      </w:r>
      <w:r w:rsidR="00945149" w:rsidRPr="002A46BF">
        <w:rPr>
          <w:rFonts w:ascii="Times New Roman" w:hAnsi="Times New Roman" w:cs="Times New Roman"/>
          <w:sz w:val="24"/>
          <w:szCs w:val="24"/>
        </w:rPr>
        <w:t xml:space="preserve"> </w:t>
      </w:r>
      <w:r w:rsidRPr="002A46BF">
        <w:rPr>
          <w:rFonts w:ascii="Times New Roman" w:hAnsi="Times New Roman" w:cs="Times New Roman"/>
          <w:sz w:val="24"/>
          <w:szCs w:val="24"/>
        </w:rPr>
        <w:t>izstrāde</w:t>
      </w:r>
      <w:r w:rsidR="00825480" w:rsidRPr="002A46BF">
        <w:rPr>
          <w:rFonts w:ascii="Times New Roman" w:hAnsi="Times New Roman" w:cs="Times New Roman"/>
          <w:sz w:val="24"/>
          <w:szCs w:val="24"/>
        </w:rPr>
        <w:t>i</w:t>
      </w:r>
      <w:r w:rsidRPr="002A46BF">
        <w:rPr>
          <w:rFonts w:ascii="Times New Roman" w:hAnsi="Times New Roman" w:cs="Times New Roman"/>
          <w:sz w:val="24"/>
          <w:szCs w:val="24"/>
        </w:rPr>
        <w:t xml:space="preserve"> </w:t>
      </w:r>
      <w:r w:rsidR="00463879" w:rsidRPr="002A46BF">
        <w:rPr>
          <w:rFonts w:ascii="Times New Roman" w:hAnsi="Times New Roman" w:cs="Times New Roman"/>
          <w:sz w:val="24"/>
          <w:szCs w:val="24"/>
        </w:rPr>
        <w:t xml:space="preserve">un iesniegšanai Ministru kabinetā </w:t>
      </w:r>
      <w:r w:rsidR="004968A7" w:rsidRPr="002A46BF">
        <w:rPr>
          <w:rFonts w:ascii="Times New Roman" w:hAnsi="Times New Roman" w:cs="Times New Roman"/>
          <w:sz w:val="24"/>
          <w:szCs w:val="24"/>
        </w:rPr>
        <w:t xml:space="preserve">- </w:t>
      </w:r>
      <w:r w:rsidRPr="002A46BF">
        <w:rPr>
          <w:rFonts w:ascii="Times New Roman" w:hAnsi="Times New Roman" w:cs="Times New Roman"/>
          <w:sz w:val="24"/>
          <w:szCs w:val="24"/>
        </w:rPr>
        <w:t xml:space="preserve">2014.gada </w:t>
      </w:r>
      <w:r w:rsidR="00DA61A6" w:rsidRPr="002A46BF">
        <w:rPr>
          <w:rFonts w:ascii="Times New Roman" w:hAnsi="Times New Roman" w:cs="Times New Roman"/>
          <w:sz w:val="24"/>
          <w:szCs w:val="24"/>
        </w:rPr>
        <w:t>30.</w:t>
      </w:r>
      <w:r w:rsidR="00C33F8B" w:rsidRPr="002A46BF">
        <w:rPr>
          <w:rFonts w:ascii="Times New Roman" w:hAnsi="Times New Roman" w:cs="Times New Roman"/>
          <w:sz w:val="24"/>
          <w:szCs w:val="24"/>
        </w:rPr>
        <w:t>aprīli</w:t>
      </w:r>
      <w:r w:rsidR="004968A7" w:rsidRPr="002A46BF">
        <w:rPr>
          <w:rFonts w:ascii="Times New Roman" w:hAnsi="Times New Roman" w:cs="Times New Roman"/>
          <w:sz w:val="24"/>
          <w:szCs w:val="24"/>
        </w:rPr>
        <w:t>s</w:t>
      </w:r>
      <w:r w:rsidRPr="002A46BF">
        <w:rPr>
          <w:rFonts w:ascii="Times New Roman" w:hAnsi="Times New Roman" w:cs="Times New Roman"/>
          <w:sz w:val="24"/>
          <w:szCs w:val="24"/>
        </w:rPr>
        <w:t>.</w:t>
      </w:r>
    </w:p>
    <w:p w:rsidR="00EF0AEF" w:rsidRPr="0063727B" w:rsidRDefault="00EF0AEF" w:rsidP="006F1D76">
      <w:pPr>
        <w:autoSpaceDE w:val="0"/>
        <w:autoSpaceDN w:val="0"/>
        <w:adjustRightInd w:val="0"/>
        <w:spacing w:after="0" w:line="240" w:lineRule="auto"/>
        <w:rPr>
          <w:rFonts w:ascii="Times New Roman" w:hAnsi="Times New Roman" w:cs="Times New Roman"/>
          <w:sz w:val="24"/>
          <w:szCs w:val="24"/>
        </w:rPr>
      </w:pPr>
    </w:p>
    <w:p w:rsidR="00343AF5" w:rsidRPr="0063727B" w:rsidRDefault="00343AF5" w:rsidP="006F1D76">
      <w:pPr>
        <w:autoSpaceDE w:val="0"/>
        <w:autoSpaceDN w:val="0"/>
        <w:adjustRightInd w:val="0"/>
        <w:spacing w:after="0" w:line="240" w:lineRule="auto"/>
        <w:rPr>
          <w:rFonts w:ascii="Times New Roman" w:hAnsi="Times New Roman" w:cs="Times New Roman"/>
          <w:sz w:val="24"/>
          <w:szCs w:val="24"/>
        </w:rPr>
      </w:pPr>
    </w:p>
    <w:p w:rsidR="00343AF5" w:rsidRPr="0063727B" w:rsidRDefault="00343AF5" w:rsidP="009A1501">
      <w:pPr>
        <w:pStyle w:val="Heading2"/>
        <w:numPr>
          <w:ilvl w:val="1"/>
          <w:numId w:val="2"/>
        </w:numPr>
        <w:spacing w:before="0" w:line="240" w:lineRule="auto"/>
        <w:rPr>
          <w:rFonts w:ascii="Times New Roman" w:hAnsi="Times New Roman" w:cs="Times New Roman"/>
          <w:color w:val="auto"/>
          <w:sz w:val="24"/>
          <w:szCs w:val="24"/>
          <w:lang w:val="lv-LV"/>
        </w:rPr>
      </w:pPr>
      <w:bookmarkStart w:id="73" w:name="_Toc372812641"/>
      <w:r w:rsidRPr="0063727B">
        <w:rPr>
          <w:rFonts w:ascii="Times New Roman" w:hAnsi="Times New Roman" w:cs="Times New Roman"/>
          <w:color w:val="auto"/>
          <w:sz w:val="24"/>
          <w:szCs w:val="24"/>
          <w:lang w:val="lv-LV"/>
        </w:rPr>
        <w:t>Sociālā apdrošināšana</w:t>
      </w:r>
      <w:bookmarkEnd w:id="73"/>
    </w:p>
    <w:p w:rsidR="00343AF5" w:rsidRPr="0063727B" w:rsidRDefault="00343AF5" w:rsidP="006F1D76">
      <w:pPr>
        <w:spacing w:after="0" w:line="240" w:lineRule="auto"/>
      </w:pPr>
    </w:p>
    <w:p w:rsidR="00A331FB" w:rsidRPr="0063727B" w:rsidRDefault="00A331FB" w:rsidP="00A331FB">
      <w:pPr>
        <w:spacing w:after="0" w:line="240" w:lineRule="auto"/>
        <w:ind w:firstLine="360"/>
        <w:jc w:val="both"/>
        <w:rPr>
          <w:rFonts w:ascii="Times New Roman" w:hAnsi="Times New Roman" w:cs="Times New Roman"/>
          <w:sz w:val="24"/>
          <w:szCs w:val="24"/>
        </w:rPr>
      </w:pPr>
      <w:r w:rsidRPr="0063727B">
        <w:rPr>
          <w:rFonts w:ascii="Times New Roman" w:hAnsi="Times New Roman" w:cs="Times New Roman"/>
          <w:sz w:val="24"/>
          <w:szCs w:val="24"/>
        </w:rPr>
        <w:t xml:space="preserve">Lai arī sociālās apdrošināšanas sistēma ir balstīta uz individuālajām sociālās apdrošināšanas iemaksām, tomēr sociālās apdrošināšanas pakalpojumu minimālos apmērus ir nepieciešams noteikt tādā līmenī, lai tie būtu samēroti ar valsts noteikto minimālo ienākumu </w:t>
      </w:r>
      <w:r w:rsidRPr="0063727B">
        <w:rPr>
          <w:rFonts w:ascii="Times New Roman" w:hAnsi="Times New Roman" w:cs="Times New Roman"/>
          <w:sz w:val="24"/>
          <w:szCs w:val="24"/>
        </w:rPr>
        <w:lastRenderedPageBreak/>
        <w:t xml:space="preserve">(minimālā nodrošinājuma) līmeni, attiecīgi preventīvi novēršot šo cilvēku nākotnes nabadzības risku. Tādēļ, pamatojoties uz atsevišķām identificētajām problēmām, ir nepieciešams veikt šādus pasākumus: </w:t>
      </w:r>
    </w:p>
    <w:p w:rsidR="00B45071" w:rsidRPr="0063727B" w:rsidRDefault="00B45071" w:rsidP="007710A4">
      <w:pPr>
        <w:autoSpaceDE w:val="0"/>
        <w:autoSpaceDN w:val="0"/>
        <w:adjustRightInd w:val="0"/>
        <w:spacing w:after="0" w:line="240" w:lineRule="auto"/>
        <w:ind w:firstLine="720"/>
        <w:jc w:val="both"/>
        <w:rPr>
          <w:rFonts w:ascii="Times New Roman" w:hAnsi="Times New Roman" w:cs="Times New Roman"/>
          <w:sz w:val="24"/>
          <w:szCs w:val="24"/>
        </w:rPr>
      </w:pPr>
    </w:p>
    <w:p w:rsidR="00171CC1" w:rsidRPr="0063727B" w:rsidRDefault="00A974AE" w:rsidP="005A24DF">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63727B">
        <w:rPr>
          <w:rFonts w:ascii="Times New Roman" w:hAnsi="Times New Roman" w:cs="Times New Roman"/>
          <w:sz w:val="24"/>
          <w:szCs w:val="24"/>
        </w:rPr>
        <w:t>1.</w:t>
      </w:r>
      <w:r w:rsidR="00A86B67" w:rsidRPr="0063727B">
        <w:rPr>
          <w:rFonts w:ascii="Times New Roman" w:hAnsi="Times New Roman" w:cs="Times New Roman"/>
          <w:sz w:val="24"/>
          <w:szCs w:val="24"/>
        </w:rPr>
        <w:t xml:space="preserve">Ievērojot to, </w:t>
      </w:r>
      <w:r w:rsidR="00171CC1" w:rsidRPr="0063727B">
        <w:rPr>
          <w:rFonts w:ascii="Times New Roman" w:hAnsi="Times New Roman" w:cs="Times New Roman"/>
          <w:sz w:val="24"/>
          <w:szCs w:val="24"/>
        </w:rPr>
        <w:t xml:space="preserve">ka ieviešot minimālo ienākumu (minimālā nodrošinājuma) līmeni, personas, kuras sociālās apdrošināšanas iemaksas veikušas no zemiem ienākumiem, iespējams, saņems pensiju, kas ir zemāka par minimālo ienākumu (minimālā nodrošinājuma) līmeni, izvērtēt iespēju </w:t>
      </w:r>
      <w:r w:rsidR="00171CC1" w:rsidRPr="0063727B">
        <w:rPr>
          <w:rFonts w:ascii="Times New Roman" w:hAnsi="Times New Roman" w:cs="Times New Roman"/>
          <w:b/>
          <w:bCs/>
          <w:sz w:val="24"/>
          <w:szCs w:val="24"/>
        </w:rPr>
        <w:t>noteikt bāzes vai sociālo pensiju</w:t>
      </w:r>
      <w:r w:rsidR="00171CC1" w:rsidRPr="0063727B">
        <w:rPr>
          <w:rFonts w:ascii="Times New Roman" w:hAnsi="Times New Roman" w:cs="Times New Roman"/>
          <w:sz w:val="24"/>
          <w:szCs w:val="24"/>
        </w:rPr>
        <w:t xml:space="preserve">, </w:t>
      </w:r>
      <w:r w:rsidR="00171CC1" w:rsidRPr="0063727B">
        <w:rPr>
          <w:rFonts w:ascii="Times New Roman" w:hAnsi="Times New Roman" w:cs="Times New Roman"/>
          <w:sz w:val="24"/>
          <w:szCs w:val="24"/>
          <w:u w:val="single"/>
        </w:rPr>
        <w:t>kas tiek maksāta</w:t>
      </w:r>
      <w:r w:rsidR="00171CC1" w:rsidRPr="0063727B">
        <w:rPr>
          <w:rFonts w:ascii="Times New Roman" w:hAnsi="Times New Roman" w:cs="Times New Roman"/>
          <w:sz w:val="24"/>
          <w:szCs w:val="24"/>
        </w:rPr>
        <w:t xml:space="preserve"> visiem pensiju (vecuma, invaliditātes un apgādnieka zaudējuma pensiju) saņēmējiem </w:t>
      </w:r>
      <w:r w:rsidR="00171CC1" w:rsidRPr="0063727B">
        <w:rPr>
          <w:rFonts w:ascii="Times New Roman" w:hAnsi="Times New Roman" w:cs="Times New Roman"/>
          <w:sz w:val="24"/>
          <w:szCs w:val="24"/>
          <w:u w:val="single"/>
        </w:rPr>
        <w:t>no valsts pamatbudžeta</w:t>
      </w:r>
      <w:r w:rsidR="00171CC1" w:rsidRPr="0063727B">
        <w:rPr>
          <w:rFonts w:ascii="Times New Roman" w:hAnsi="Times New Roman" w:cs="Times New Roman"/>
          <w:sz w:val="24"/>
          <w:szCs w:val="24"/>
        </w:rPr>
        <w:t xml:space="preserve">, tādējādi aizstājot šobrīd noteiktos minimālos pensiju apmērus. Ieviešot bāzes pensiju, pensiju saņēmēji saņemtu </w:t>
      </w:r>
      <w:r w:rsidR="00171CC1" w:rsidRPr="0063727B">
        <w:rPr>
          <w:rFonts w:ascii="Times New Roman" w:hAnsi="Times New Roman" w:cs="Times New Roman"/>
          <w:i/>
          <w:sz w:val="24"/>
          <w:szCs w:val="24"/>
        </w:rPr>
        <w:t>bāzes pensiju</w:t>
      </w:r>
      <w:r w:rsidR="00171CC1" w:rsidRPr="0063727B">
        <w:rPr>
          <w:rFonts w:ascii="Times New Roman" w:hAnsi="Times New Roman" w:cs="Times New Roman"/>
          <w:sz w:val="24"/>
          <w:szCs w:val="24"/>
        </w:rPr>
        <w:t xml:space="preserve"> un </w:t>
      </w:r>
      <w:r w:rsidR="00171CC1" w:rsidRPr="0063727B">
        <w:rPr>
          <w:rFonts w:ascii="Times New Roman" w:hAnsi="Times New Roman" w:cs="Times New Roman"/>
          <w:i/>
          <w:sz w:val="24"/>
          <w:szCs w:val="24"/>
        </w:rPr>
        <w:t>sociālās apdrošināšanas pensiju</w:t>
      </w:r>
      <w:r w:rsidR="00171CC1" w:rsidRPr="0063727B">
        <w:rPr>
          <w:rFonts w:ascii="Times New Roman" w:hAnsi="Times New Roman" w:cs="Times New Roman"/>
          <w:sz w:val="24"/>
          <w:szCs w:val="24"/>
        </w:rPr>
        <w:t>, kas aprēķināta no individuālajām sociālās apdrošināšanas iemaksām, tādējādi palielinot pensiju saņēmēju ienākumus.</w:t>
      </w:r>
    </w:p>
    <w:p w:rsidR="00A86B67" w:rsidRPr="0063727B" w:rsidRDefault="00A86B67" w:rsidP="00171CC1">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A86B67" w:rsidRPr="002A46BF" w:rsidRDefault="00A86B67" w:rsidP="00AB0940">
      <w:pPr>
        <w:autoSpaceDE w:val="0"/>
        <w:autoSpaceDN w:val="0"/>
        <w:adjustRightInd w:val="0"/>
        <w:spacing w:after="0" w:line="240" w:lineRule="auto"/>
        <w:jc w:val="both"/>
        <w:rPr>
          <w:rFonts w:ascii="Times New Roman" w:hAnsi="Times New Roman" w:cs="Times New Roman"/>
          <w:sz w:val="24"/>
          <w:szCs w:val="24"/>
        </w:rPr>
      </w:pPr>
      <w:r w:rsidRPr="002A46BF">
        <w:rPr>
          <w:rFonts w:ascii="Times New Roman" w:hAnsi="Times New Roman" w:cs="Times New Roman"/>
          <w:sz w:val="24"/>
          <w:szCs w:val="24"/>
        </w:rPr>
        <w:t xml:space="preserve">Termiņš </w:t>
      </w:r>
      <w:r w:rsidR="00B01299" w:rsidRPr="002A46BF">
        <w:rPr>
          <w:rFonts w:ascii="Times New Roman" w:hAnsi="Times New Roman" w:cs="Times New Roman"/>
          <w:sz w:val="24"/>
          <w:szCs w:val="24"/>
        </w:rPr>
        <w:t xml:space="preserve">koncepcijas </w:t>
      </w:r>
      <w:r w:rsidR="00AA3E49" w:rsidRPr="002A46BF">
        <w:rPr>
          <w:rFonts w:ascii="Times New Roman" w:hAnsi="Times New Roman" w:cs="Times New Roman"/>
          <w:sz w:val="24"/>
          <w:szCs w:val="24"/>
        </w:rPr>
        <w:t xml:space="preserve">projekta </w:t>
      </w:r>
      <w:r w:rsidRPr="002A46BF">
        <w:rPr>
          <w:rFonts w:ascii="Times New Roman" w:hAnsi="Times New Roman" w:cs="Times New Roman"/>
          <w:sz w:val="24"/>
          <w:szCs w:val="24"/>
        </w:rPr>
        <w:t>izstrāde</w:t>
      </w:r>
      <w:r w:rsidR="001E4D08" w:rsidRPr="002A46BF">
        <w:rPr>
          <w:rFonts w:ascii="Times New Roman" w:hAnsi="Times New Roman" w:cs="Times New Roman"/>
          <w:sz w:val="24"/>
          <w:szCs w:val="24"/>
        </w:rPr>
        <w:t>i</w:t>
      </w:r>
      <w:r w:rsidRPr="002A46BF">
        <w:rPr>
          <w:rFonts w:ascii="Times New Roman" w:hAnsi="Times New Roman" w:cs="Times New Roman"/>
          <w:sz w:val="24"/>
          <w:szCs w:val="24"/>
        </w:rPr>
        <w:t xml:space="preserve"> </w:t>
      </w:r>
      <w:r w:rsidR="00AB0940" w:rsidRPr="002A46BF">
        <w:rPr>
          <w:rFonts w:ascii="Times New Roman" w:hAnsi="Times New Roman" w:cs="Times New Roman"/>
          <w:sz w:val="24"/>
          <w:szCs w:val="24"/>
        </w:rPr>
        <w:t xml:space="preserve">un iesniegšanai Ministru kabinetā - </w:t>
      </w:r>
      <w:r w:rsidRPr="002A46BF">
        <w:rPr>
          <w:rFonts w:ascii="Times New Roman" w:hAnsi="Times New Roman" w:cs="Times New Roman"/>
          <w:sz w:val="24"/>
          <w:szCs w:val="24"/>
        </w:rPr>
        <w:t xml:space="preserve">2015.gada </w:t>
      </w:r>
      <w:r w:rsidR="00DA61A6" w:rsidRPr="002A46BF">
        <w:rPr>
          <w:rFonts w:ascii="Times New Roman" w:hAnsi="Times New Roman" w:cs="Times New Roman"/>
          <w:sz w:val="24"/>
          <w:szCs w:val="24"/>
        </w:rPr>
        <w:t>31.decembris.</w:t>
      </w:r>
    </w:p>
    <w:p w:rsidR="00A86B67" w:rsidRPr="002A46BF" w:rsidRDefault="00A86B67" w:rsidP="00A86B67">
      <w:pPr>
        <w:autoSpaceDE w:val="0"/>
        <w:autoSpaceDN w:val="0"/>
        <w:adjustRightInd w:val="0"/>
        <w:spacing w:after="0" w:line="240" w:lineRule="auto"/>
        <w:rPr>
          <w:rFonts w:ascii="Times New Roman" w:hAnsi="Times New Roman" w:cs="Times New Roman"/>
          <w:sz w:val="24"/>
          <w:szCs w:val="24"/>
        </w:rPr>
      </w:pPr>
    </w:p>
    <w:p w:rsidR="00A86B67" w:rsidRPr="002A46BF" w:rsidRDefault="00A974AE" w:rsidP="005A24DF">
      <w:pPr>
        <w:autoSpaceDE w:val="0"/>
        <w:autoSpaceDN w:val="0"/>
        <w:adjustRightInd w:val="0"/>
        <w:spacing w:after="0" w:line="240" w:lineRule="auto"/>
        <w:ind w:left="567"/>
        <w:jc w:val="both"/>
        <w:rPr>
          <w:rFonts w:ascii="Times New Roman" w:hAnsi="Times New Roman" w:cs="Times New Roman"/>
          <w:sz w:val="24"/>
          <w:szCs w:val="24"/>
        </w:rPr>
      </w:pPr>
      <w:r w:rsidRPr="002A46BF">
        <w:rPr>
          <w:rFonts w:ascii="Times New Roman" w:hAnsi="Times New Roman" w:cs="Times New Roman"/>
          <w:sz w:val="24"/>
          <w:szCs w:val="24"/>
        </w:rPr>
        <w:t>2.</w:t>
      </w:r>
      <w:r w:rsidR="00E471F6" w:rsidRPr="002A46BF">
        <w:rPr>
          <w:rFonts w:ascii="Times New Roman" w:hAnsi="Times New Roman" w:cs="Times New Roman"/>
          <w:sz w:val="24"/>
          <w:szCs w:val="24"/>
        </w:rPr>
        <w:t xml:space="preserve">Izvērtēt iespēju noteikt </w:t>
      </w:r>
      <w:r w:rsidR="00E471F6" w:rsidRPr="002A46BF">
        <w:rPr>
          <w:rFonts w:ascii="Times New Roman" w:hAnsi="Times New Roman" w:cs="Times New Roman"/>
          <w:b/>
          <w:sz w:val="24"/>
          <w:szCs w:val="24"/>
        </w:rPr>
        <w:t>minimālo bezdarbnieka pabalsta līmeni</w:t>
      </w:r>
      <w:r w:rsidR="00E471F6" w:rsidRPr="002A46BF">
        <w:rPr>
          <w:rFonts w:ascii="Times New Roman" w:hAnsi="Times New Roman" w:cs="Times New Roman"/>
          <w:sz w:val="24"/>
          <w:szCs w:val="24"/>
        </w:rPr>
        <w:t xml:space="preserve">, lai paaugstinātu zemo algu saņēmēju sociālo aizsardzību, tādējādi novēršot to nabadzības risku. </w:t>
      </w:r>
    </w:p>
    <w:p w:rsidR="00A86B67" w:rsidRPr="002A46BF" w:rsidRDefault="00A86B67" w:rsidP="00A86B67">
      <w:pPr>
        <w:autoSpaceDE w:val="0"/>
        <w:autoSpaceDN w:val="0"/>
        <w:adjustRightInd w:val="0"/>
        <w:spacing w:after="0" w:line="240" w:lineRule="auto"/>
        <w:rPr>
          <w:rFonts w:ascii="Times New Roman" w:hAnsi="Times New Roman" w:cs="Times New Roman"/>
          <w:sz w:val="24"/>
          <w:szCs w:val="24"/>
        </w:rPr>
      </w:pPr>
    </w:p>
    <w:p w:rsidR="001E4D08" w:rsidRPr="002A46BF" w:rsidRDefault="001E4D08" w:rsidP="00AB0940">
      <w:pPr>
        <w:autoSpaceDE w:val="0"/>
        <w:autoSpaceDN w:val="0"/>
        <w:adjustRightInd w:val="0"/>
        <w:spacing w:after="0" w:line="240" w:lineRule="auto"/>
        <w:jc w:val="both"/>
        <w:rPr>
          <w:rFonts w:ascii="Times New Roman" w:hAnsi="Times New Roman" w:cs="Times New Roman"/>
          <w:sz w:val="24"/>
          <w:szCs w:val="24"/>
        </w:rPr>
      </w:pPr>
      <w:r w:rsidRPr="002A46BF">
        <w:rPr>
          <w:rFonts w:ascii="Times New Roman" w:hAnsi="Times New Roman" w:cs="Times New Roman"/>
          <w:sz w:val="24"/>
          <w:szCs w:val="24"/>
        </w:rPr>
        <w:t xml:space="preserve">Termiņš </w:t>
      </w:r>
      <w:r w:rsidR="00B01299" w:rsidRPr="002A46BF">
        <w:rPr>
          <w:rFonts w:ascii="Times New Roman" w:hAnsi="Times New Roman" w:cs="Times New Roman"/>
          <w:sz w:val="24"/>
          <w:szCs w:val="24"/>
        </w:rPr>
        <w:t xml:space="preserve">koncepcijas </w:t>
      </w:r>
      <w:r w:rsidR="00AA3E49" w:rsidRPr="002A46BF">
        <w:rPr>
          <w:rFonts w:ascii="Times New Roman" w:hAnsi="Times New Roman" w:cs="Times New Roman"/>
          <w:sz w:val="24"/>
          <w:szCs w:val="24"/>
        </w:rPr>
        <w:t xml:space="preserve">projekta </w:t>
      </w:r>
      <w:r w:rsidRPr="002A46BF">
        <w:rPr>
          <w:rFonts w:ascii="Times New Roman" w:hAnsi="Times New Roman" w:cs="Times New Roman"/>
          <w:sz w:val="24"/>
          <w:szCs w:val="24"/>
        </w:rPr>
        <w:t xml:space="preserve">izstrādei </w:t>
      </w:r>
      <w:r w:rsidR="00AB0940" w:rsidRPr="002A46BF">
        <w:rPr>
          <w:rFonts w:ascii="Times New Roman" w:hAnsi="Times New Roman" w:cs="Times New Roman"/>
          <w:sz w:val="24"/>
          <w:szCs w:val="24"/>
        </w:rPr>
        <w:t xml:space="preserve">un iesniegšanai Ministru kabinetā - </w:t>
      </w:r>
      <w:r w:rsidRPr="002A46BF">
        <w:rPr>
          <w:rFonts w:ascii="Times New Roman" w:hAnsi="Times New Roman" w:cs="Times New Roman"/>
          <w:sz w:val="24"/>
          <w:szCs w:val="24"/>
        </w:rPr>
        <w:t>2015.gada 31.decembris.</w:t>
      </w:r>
    </w:p>
    <w:p w:rsidR="00EF0AEF" w:rsidRPr="002A46BF" w:rsidRDefault="00EF0AEF" w:rsidP="001E4D08">
      <w:pPr>
        <w:autoSpaceDE w:val="0"/>
        <w:autoSpaceDN w:val="0"/>
        <w:adjustRightInd w:val="0"/>
        <w:spacing w:after="0" w:line="240" w:lineRule="auto"/>
        <w:rPr>
          <w:rFonts w:ascii="Times New Roman" w:hAnsi="Times New Roman" w:cs="Times New Roman"/>
          <w:sz w:val="24"/>
          <w:szCs w:val="24"/>
        </w:rPr>
      </w:pPr>
    </w:p>
    <w:p w:rsidR="00343AF5" w:rsidRPr="0063727B" w:rsidRDefault="00343AF5" w:rsidP="00441F77">
      <w:pPr>
        <w:autoSpaceDE w:val="0"/>
        <w:autoSpaceDN w:val="0"/>
        <w:adjustRightInd w:val="0"/>
        <w:spacing w:after="0" w:line="240" w:lineRule="auto"/>
        <w:rPr>
          <w:rFonts w:ascii="Times New Roman" w:hAnsi="Times New Roman" w:cs="Times New Roman"/>
          <w:sz w:val="24"/>
          <w:szCs w:val="24"/>
        </w:rPr>
      </w:pPr>
    </w:p>
    <w:p w:rsidR="00343AF5" w:rsidRPr="0063727B" w:rsidRDefault="00343AF5" w:rsidP="00DF5660">
      <w:pPr>
        <w:pStyle w:val="Heading2"/>
        <w:numPr>
          <w:ilvl w:val="1"/>
          <w:numId w:val="2"/>
        </w:numPr>
        <w:spacing w:before="0" w:line="240" w:lineRule="auto"/>
        <w:rPr>
          <w:rStyle w:val="SubtleEmphasis"/>
          <w:rFonts w:ascii="Times New Roman" w:hAnsi="Times New Roman" w:cs="Times New Roman"/>
          <w:i w:val="0"/>
          <w:iCs w:val="0"/>
          <w:color w:val="auto"/>
          <w:sz w:val="24"/>
          <w:szCs w:val="24"/>
          <w:lang w:val="lv-LV"/>
        </w:rPr>
      </w:pPr>
      <w:bookmarkStart w:id="74" w:name="_Toc372812642"/>
      <w:r w:rsidRPr="0063727B">
        <w:rPr>
          <w:rStyle w:val="SubtleEmphasis"/>
          <w:rFonts w:ascii="Times New Roman" w:hAnsi="Times New Roman" w:cs="Times New Roman"/>
          <w:i w:val="0"/>
          <w:iCs w:val="0"/>
          <w:color w:val="auto"/>
          <w:sz w:val="24"/>
          <w:szCs w:val="24"/>
          <w:lang w:val="lv-LV"/>
        </w:rPr>
        <w:t>Valsts sociālie pabalsti (universālie pabalsti)</w:t>
      </w:r>
      <w:bookmarkEnd w:id="74"/>
      <w:r w:rsidRPr="0063727B">
        <w:rPr>
          <w:rStyle w:val="SubtleEmphasis"/>
          <w:rFonts w:ascii="Times New Roman" w:hAnsi="Times New Roman" w:cs="Times New Roman"/>
          <w:i w:val="0"/>
          <w:iCs w:val="0"/>
          <w:color w:val="auto"/>
          <w:sz w:val="24"/>
          <w:szCs w:val="24"/>
          <w:lang w:val="lv-LV"/>
        </w:rPr>
        <w:t xml:space="preserve"> </w:t>
      </w:r>
    </w:p>
    <w:p w:rsidR="00825480" w:rsidRPr="0063727B" w:rsidRDefault="00825480" w:rsidP="006F1D76">
      <w:pPr>
        <w:spacing w:after="0" w:line="240" w:lineRule="auto"/>
        <w:jc w:val="both"/>
        <w:rPr>
          <w:rStyle w:val="SubtleEmphasis"/>
          <w:rFonts w:ascii="Times New Roman" w:hAnsi="Times New Roman" w:cs="Times New Roman"/>
          <w:i w:val="0"/>
          <w:iCs w:val="0"/>
          <w:color w:val="auto"/>
          <w:sz w:val="24"/>
          <w:szCs w:val="24"/>
        </w:rPr>
      </w:pPr>
    </w:p>
    <w:p w:rsidR="00497428" w:rsidRPr="0063727B" w:rsidRDefault="00343AF5" w:rsidP="002A46BF">
      <w:pPr>
        <w:spacing w:after="0" w:line="240" w:lineRule="auto"/>
        <w:ind w:firstLine="360"/>
        <w:jc w:val="both"/>
        <w:rPr>
          <w:rStyle w:val="SubtleEmphasis"/>
          <w:rFonts w:ascii="Times New Roman" w:hAnsi="Times New Roman" w:cs="Times New Roman"/>
          <w:i w:val="0"/>
          <w:iCs w:val="0"/>
          <w:color w:val="auto"/>
          <w:sz w:val="24"/>
          <w:szCs w:val="24"/>
        </w:rPr>
      </w:pPr>
      <w:r w:rsidRPr="0063727B">
        <w:rPr>
          <w:rStyle w:val="SubtleEmphasis"/>
          <w:rFonts w:ascii="Times New Roman" w:hAnsi="Times New Roman" w:cs="Times New Roman"/>
          <w:i w:val="0"/>
          <w:iCs w:val="0"/>
          <w:color w:val="auto"/>
          <w:sz w:val="24"/>
          <w:szCs w:val="24"/>
        </w:rPr>
        <w:t>Ievērojot P</w:t>
      </w:r>
      <w:r w:rsidR="00C27814" w:rsidRPr="0063727B">
        <w:rPr>
          <w:rStyle w:val="SubtleEmphasis"/>
          <w:rFonts w:ascii="Times New Roman" w:hAnsi="Times New Roman" w:cs="Times New Roman"/>
          <w:i w:val="0"/>
          <w:iCs w:val="0"/>
          <w:color w:val="auto"/>
          <w:sz w:val="24"/>
          <w:szCs w:val="24"/>
        </w:rPr>
        <w:t xml:space="preserve">B </w:t>
      </w:r>
      <w:r w:rsidRPr="0063727B">
        <w:rPr>
          <w:rStyle w:val="SubtleEmphasis"/>
          <w:rFonts w:ascii="Times New Roman" w:hAnsi="Times New Roman" w:cs="Times New Roman"/>
          <w:i w:val="0"/>
          <w:iCs w:val="0"/>
          <w:color w:val="auto"/>
          <w:sz w:val="24"/>
          <w:szCs w:val="24"/>
        </w:rPr>
        <w:t xml:space="preserve">ziņojumā minēto par to, ka valsts sociālie pabalsti nav pietiekami mērķēti </w:t>
      </w:r>
      <w:r w:rsidRPr="0063727B">
        <w:rPr>
          <w:rStyle w:val="SubtleEmphasis"/>
          <w:rFonts w:ascii="Times New Roman" w:hAnsi="Times New Roman" w:cs="Times New Roman"/>
          <w:i w:val="0"/>
          <w:iCs w:val="0"/>
          <w:color w:val="auto"/>
          <w:sz w:val="24"/>
          <w:szCs w:val="24"/>
        </w:rPr>
        <w:t xml:space="preserve">un līdz ar to </w:t>
      </w:r>
      <w:r w:rsidR="00A7028F" w:rsidRPr="0063727B">
        <w:rPr>
          <w:rStyle w:val="SubtleEmphasis"/>
          <w:rFonts w:ascii="Times New Roman" w:hAnsi="Times New Roman" w:cs="Times New Roman"/>
          <w:i w:val="0"/>
          <w:iCs w:val="0"/>
          <w:color w:val="auto"/>
          <w:sz w:val="24"/>
          <w:szCs w:val="24"/>
        </w:rPr>
        <w:t>nesniedz</w:t>
      </w:r>
      <w:r w:rsidRPr="0063727B">
        <w:rPr>
          <w:rStyle w:val="SubtleEmphasis"/>
          <w:rFonts w:ascii="Times New Roman" w:hAnsi="Times New Roman" w:cs="Times New Roman"/>
          <w:i w:val="0"/>
          <w:iCs w:val="0"/>
          <w:color w:val="auto"/>
          <w:sz w:val="24"/>
          <w:szCs w:val="24"/>
        </w:rPr>
        <w:t xml:space="preserve"> pietiekamu </w:t>
      </w:r>
      <w:r w:rsidR="009A1501" w:rsidRPr="0063727B">
        <w:rPr>
          <w:rStyle w:val="SubtleEmphasis"/>
          <w:rFonts w:ascii="Times New Roman" w:hAnsi="Times New Roman" w:cs="Times New Roman"/>
          <w:i w:val="0"/>
          <w:iCs w:val="0"/>
          <w:color w:val="auto"/>
          <w:sz w:val="24"/>
          <w:szCs w:val="24"/>
        </w:rPr>
        <w:t>ietekmi uz nabadzības mazināšanu</w:t>
      </w:r>
      <w:r w:rsidR="00C27814" w:rsidRPr="0063727B">
        <w:rPr>
          <w:rStyle w:val="SubtleEmphasis"/>
          <w:rFonts w:ascii="Times New Roman" w:hAnsi="Times New Roman" w:cs="Times New Roman"/>
          <w:i w:val="0"/>
          <w:iCs w:val="0"/>
          <w:color w:val="auto"/>
          <w:sz w:val="24"/>
          <w:szCs w:val="24"/>
        </w:rPr>
        <w:t>,</w:t>
      </w:r>
      <w:r w:rsidRPr="0063727B">
        <w:rPr>
          <w:rStyle w:val="SubtleEmphasis"/>
          <w:rFonts w:ascii="Times New Roman" w:hAnsi="Times New Roman" w:cs="Times New Roman"/>
          <w:i w:val="0"/>
          <w:iCs w:val="0"/>
          <w:color w:val="auto"/>
          <w:sz w:val="24"/>
          <w:szCs w:val="24"/>
        </w:rPr>
        <w:t xml:space="preserve"> </w:t>
      </w:r>
      <w:r w:rsidR="00C27814" w:rsidRPr="0063727B">
        <w:rPr>
          <w:rStyle w:val="SubtleEmphasis"/>
          <w:rFonts w:ascii="Times New Roman" w:hAnsi="Times New Roman" w:cs="Times New Roman"/>
          <w:i w:val="0"/>
          <w:iCs w:val="0"/>
          <w:color w:val="auto"/>
          <w:sz w:val="24"/>
          <w:szCs w:val="24"/>
        </w:rPr>
        <w:t>t</w:t>
      </w:r>
      <w:r w:rsidR="002A46BF">
        <w:rPr>
          <w:rStyle w:val="SubtleEmphasis"/>
          <w:rFonts w:ascii="Times New Roman" w:hAnsi="Times New Roman" w:cs="Times New Roman"/>
          <w:i w:val="0"/>
          <w:iCs w:val="0"/>
          <w:color w:val="auto"/>
          <w:sz w:val="24"/>
          <w:szCs w:val="24"/>
        </w:rPr>
        <w:t xml:space="preserve">iek ierosināts </w:t>
      </w:r>
      <w:r w:rsidR="00AA3E49">
        <w:rPr>
          <w:rStyle w:val="SubtleEmphasis"/>
          <w:rFonts w:ascii="Times New Roman" w:hAnsi="Times New Roman" w:cs="Times New Roman"/>
          <w:i w:val="0"/>
          <w:iCs w:val="0"/>
          <w:color w:val="auto"/>
          <w:sz w:val="24"/>
          <w:szCs w:val="24"/>
        </w:rPr>
        <w:t>i</w:t>
      </w:r>
      <w:r w:rsidR="00A42963" w:rsidRPr="0063727B">
        <w:rPr>
          <w:rStyle w:val="SubtleEmphasis"/>
          <w:rFonts w:ascii="Times New Roman" w:hAnsi="Times New Roman" w:cs="Times New Roman"/>
          <w:i w:val="0"/>
          <w:iCs w:val="0"/>
          <w:color w:val="auto"/>
          <w:sz w:val="24"/>
          <w:szCs w:val="24"/>
        </w:rPr>
        <w:t>zvērtēt un sagatavot priekšlikumus</w:t>
      </w:r>
      <w:r w:rsidR="00FC10D5">
        <w:rPr>
          <w:rStyle w:val="SubtleEmphasis"/>
          <w:rFonts w:ascii="Times New Roman" w:hAnsi="Times New Roman" w:cs="Times New Roman"/>
          <w:i w:val="0"/>
          <w:iCs w:val="0"/>
          <w:color w:val="auto"/>
          <w:sz w:val="24"/>
          <w:szCs w:val="24"/>
        </w:rPr>
        <w:t xml:space="preserve"> </w:t>
      </w:r>
      <w:r w:rsidR="00497428" w:rsidRPr="0063727B">
        <w:rPr>
          <w:rFonts w:ascii="Times New Roman" w:hAnsi="Times New Roman" w:cs="Times New Roman"/>
          <w:sz w:val="24"/>
          <w:szCs w:val="24"/>
          <w:lang w:eastAsia="lv-LV"/>
        </w:rPr>
        <w:t xml:space="preserve">valsts sociālo pabalstu izdevumu </w:t>
      </w:r>
      <w:r w:rsidR="00497428" w:rsidRPr="002A46BF">
        <w:rPr>
          <w:rFonts w:ascii="Times New Roman" w:hAnsi="Times New Roman" w:cs="Times New Roman"/>
          <w:sz w:val="24"/>
          <w:szCs w:val="24"/>
          <w:lang w:eastAsia="lv-LV"/>
        </w:rPr>
        <w:t>restrukturizācija</w:t>
      </w:r>
      <w:r w:rsidR="00B43DDA" w:rsidRPr="002A46BF">
        <w:rPr>
          <w:rFonts w:ascii="Times New Roman" w:hAnsi="Times New Roman" w:cs="Times New Roman"/>
          <w:sz w:val="24"/>
          <w:szCs w:val="24"/>
          <w:lang w:eastAsia="lv-LV"/>
        </w:rPr>
        <w:t>i</w:t>
      </w:r>
      <w:r w:rsidR="00497428" w:rsidRPr="002A46BF">
        <w:rPr>
          <w:rFonts w:ascii="Times New Roman" w:hAnsi="Times New Roman" w:cs="Times New Roman"/>
          <w:sz w:val="24"/>
          <w:szCs w:val="24"/>
          <w:lang w:eastAsia="lv-LV"/>
        </w:rPr>
        <w:t xml:space="preserve"> vai apmēru pārskatīšana</w:t>
      </w:r>
      <w:r w:rsidR="00B43DDA" w:rsidRPr="002A46BF">
        <w:rPr>
          <w:rFonts w:ascii="Times New Roman" w:hAnsi="Times New Roman" w:cs="Times New Roman"/>
          <w:sz w:val="24"/>
          <w:szCs w:val="24"/>
          <w:lang w:eastAsia="lv-LV"/>
        </w:rPr>
        <w:t>i</w:t>
      </w:r>
      <w:r w:rsidR="00497428" w:rsidRPr="002A46BF">
        <w:rPr>
          <w:rFonts w:ascii="Times New Roman" w:hAnsi="Times New Roman" w:cs="Times New Roman"/>
          <w:sz w:val="24"/>
          <w:szCs w:val="24"/>
          <w:lang w:eastAsia="lv-LV"/>
        </w:rPr>
        <w:t xml:space="preserve"> (piemēram, </w:t>
      </w:r>
      <w:r w:rsidR="00AA3E49" w:rsidRPr="002A46BF">
        <w:rPr>
          <w:rStyle w:val="SubtleEmphasis"/>
          <w:rFonts w:ascii="Times New Roman" w:hAnsi="Times New Roman" w:cs="Times New Roman"/>
          <w:i w:val="0"/>
          <w:iCs w:val="0"/>
          <w:color w:val="auto"/>
          <w:sz w:val="24"/>
          <w:szCs w:val="24"/>
        </w:rPr>
        <w:t xml:space="preserve">ģimenes valsts pabalsta, </w:t>
      </w:r>
      <w:r w:rsidR="00497428" w:rsidRPr="002A46BF">
        <w:rPr>
          <w:rFonts w:ascii="Times New Roman" w:hAnsi="Times New Roman" w:cs="Times New Roman"/>
          <w:sz w:val="24"/>
          <w:szCs w:val="24"/>
          <w:lang w:eastAsia="lv-LV"/>
        </w:rPr>
        <w:t xml:space="preserve">valsts </w:t>
      </w:r>
      <w:r w:rsidR="00497428" w:rsidRPr="0063727B">
        <w:rPr>
          <w:rFonts w:ascii="Times New Roman" w:hAnsi="Times New Roman" w:cs="Times New Roman"/>
          <w:sz w:val="24"/>
          <w:szCs w:val="24"/>
          <w:lang w:eastAsia="lv-LV"/>
        </w:rPr>
        <w:t>sociālā nodrošinājuma pabalsta), piesaistot tos noteikta</w:t>
      </w:r>
      <w:r w:rsidR="009A7FB5" w:rsidRPr="0063727B">
        <w:rPr>
          <w:rFonts w:ascii="Times New Roman" w:hAnsi="Times New Roman" w:cs="Times New Roman"/>
          <w:sz w:val="24"/>
          <w:szCs w:val="24"/>
          <w:lang w:eastAsia="lv-LV"/>
        </w:rPr>
        <w:t xml:space="preserve">m sociāli ekonomiskam rādītājam, </w:t>
      </w:r>
      <w:r w:rsidR="009A7FB5" w:rsidRPr="00EC5E11">
        <w:rPr>
          <w:rFonts w:ascii="Times New Roman" w:hAnsi="Times New Roman" w:cs="Times New Roman"/>
          <w:i/>
          <w:sz w:val="24"/>
          <w:szCs w:val="24"/>
          <w:lang w:eastAsia="lv-LV"/>
        </w:rPr>
        <w:t>ar mērķi</w:t>
      </w:r>
      <w:r w:rsidR="009A7FB5" w:rsidRPr="0063727B">
        <w:rPr>
          <w:rFonts w:ascii="Times New Roman" w:hAnsi="Times New Roman" w:cs="Times New Roman"/>
          <w:sz w:val="24"/>
          <w:szCs w:val="24"/>
          <w:lang w:eastAsia="lv-LV"/>
        </w:rPr>
        <w:t xml:space="preserve"> veidot </w:t>
      </w:r>
      <w:r w:rsidR="009A7FB5" w:rsidRPr="0063727B">
        <w:rPr>
          <w:rFonts w:ascii="Times New Roman" w:hAnsi="Times New Roman" w:cs="Times New Roman"/>
          <w:i/>
          <w:sz w:val="24"/>
          <w:szCs w:val="24"/>
          <w:lang w:eastAsia="lv-LV"/>
        </w:rPr>
        <w:t>integrētu valsts sociālo pabalstu</w:t>
      </w:r>
      <w:r w:rsidR="009A7FB5" w:rsidRPr="0063727B">
        <w:rPr>
          <w:rFonts w:ascii="Times New Roman" w:hAnsi="Times New Roman" w:cs="Times New Roman"/>
          <w:sz w:val="24"/>
          <w:szCs w:val="24"/>
          <w:lang w:eastAsia="lv-LV"/>
        </w:rPr>
        <w:t xml:space="preserve"> un </w:t>
      </w:r>
      <w:r w:rsidR="009A7FB5" w:rsidRPr="0063727B">
        <w:rPr>
          <w:rFonts w:ascii="Times New Roman" w:hAnsi="Times New Roman" w:cs="Times New Roman"/>
          <w:i/>
          <w:sz w:val="24"/>
          <w:szCs w:val="24"/>
          <w:lang w:eastAsia="lv-LV"/>
        </w:rPr>
        <w:t>pašvaldību sociālās palīdzības programmu</w:t>
      </w:r>
      <w:r w:rsidR="009A7FB5" w:rsidRPr="0063727B">
        <w:rPr>
          <w:rStyle w:val="SubtleEmphasis"/>
          <w:rFonts w:ascii="Times New Roman" w:hAnsi="Times New Roman" w:cs="Times New Roman"/>
          <w:i w:val="0"/>
          <w:iCs w:val="0"/>
          <w:color w:val="auto"/>
          <w:sz w:val="24"/>
          <w:szCs w:val="24"/>
        </w:rPr>
        <w:t>;</w:t>
      </w:r>
      <w:r w:rsidR="009A7FB5" w:rsidRPr="0063727B">
        <w:rPr>
          <w:rFonts w:ascii="Times New Roman" w:hAnsi="Times New Roman" w:cs="Times New Roman"/>
          <w:sz w:val="24"/>
          <w:szCs w:val="24"/>
        </w:rPr>
        <w:t xml:space="preserve"> veikt integrētās programmas uzraudzību un novērtēšanu, izmantojot Valsts sociālās politikas monitoringa informācijas sistēmu (SPOLIS).</w:t>
      </w:r>
    </w:p>
    <w:p w:rsidR="00497428" w:rsidRPr="0063727B" w:rsidRDefault="00497428" w:rsidP="00497428">
      <w:pPr>
        <w:spacing w:after="0" w:line="240" w:lineRule="auto"/>
        <w:jc w:val="both"/>
        <w:rPr>
          <w:rStyle w:val="SubtleEmphasis"/>
          <w:rFonts w:ascii="Times New Roman" w:hAnsi="Times New Roman" w:cs="Times New Roman"/>
          <w:i w:val="0"/>
          <w:iCs w:val="0"/>
          <w:color w:val="auto"/>
          <w:sz w:val="24"/>
          <w:szCs w:val="24"/>
        </w:rPr>
      </w:pPr>
    </w:p>
    <w:p w:rsidR="00497428" w:rsidRPr="002A46BF" w:rsidRDefault="00497428" w:rsidP="00497428">
      <w:pPr>
        <w:spacing w:after="0" w:line="240" w:lineRule="auto"/>
        <w:jc w:val="both"/>
        <w:rPr>
          <w:rStyle w:val="SubtleEmphasis"/>
          <w:rFonts w:ascii="Times New Roman" w:hAnsi="Times New Roman" w:cs="Times New Roman"/>
          <w:i w:val="0"/>
          <w:iCs w:val="0"/>
          <w:color w:val="auto"/>
          <w:sz w:val="24"/>
          <w:szCs w:val="24"/>
        </w:rPr>
      </w:pPr>
      <w:r w:rsidRPr="002A46BF">
        <w:rPr>
          <w:rStyle w:val="SubtleEmphasis"/>
          <w:rFonts w:ascii="Times New Roman" w:hAnsi="Times New Roman" w:cs="Times New Roman"/>
          <w:i w:val="0"/>
          <w:iCs w:val="0"/>
          <w:color w:val="auto"/>
          <w:sz w:val="24"/>
          <w:szCs w:val="24"/>
        </w:rPr>
        <w:t xml:space="preserve">Termiņš </w:t>
      </w:r>
      <w:r w:rsidR="00B01299" w:rsidRPr="002A46BF">
        <w:rPr>
          <w:rFonts w:ascii="Times New Roman" w:hAnsi="Times New Roman" w:cs="Times New Roman"/>
          <w:sz w:val="24"/>
          <w:szCs w:val="24"/>
        </w:rPr>
        <w:t xml:space="preserve">koncepcijas </w:t>
      </w:r>
      <w:r w:rsidR="00AA3E49" w:rsidRPr="002A46BF">
        <w:rPr>
          <w:rFonts w:ascii="Times New Roman" w:hAnsi="Times New Roman" w:cs="Times New Roman"/>
          <w:sz w:val="24"/>
          <w:szCs w:val="24"/>
        </w:rPr>
        <w:t xml:space="preserve">projekta izstrādei un iesniegšanai Ministru kabinetā - </w:t>
      </w:r>
      <w:r w:rsidRPr="002A46BF">
        <w:rPr>
          <w:rStyle w:val="SubtleEmphasis"/>
          <w:rFonts w:ascii="Times New Roman" w:hAnsi="Times New Roman" w:cs="Times New Roman"/>
          <w:i w:val="0"/>
          <w:iCs w:val="0"/>
          <w:color w:val="auto"/>
          <w:sz w:val="24"/>
          <w:szCs w:val="24"/>
        </w:rPr>
        <w:t>201</w:t>
      </w:r>
      <w:r w:rsidR="00750B3D" w:rsidRPr="002A46BF">
        <w:rPr>
          <w:rStyle w:val="SubtleEmphasis"/>
          <w:rFonts w:ascii="Times New Roman" w:hAnsi="Times New Roman" w:cs="Times New Roman"/>
          <w:i w:val="0"/>
          <w:iCs w:val="0"/>
          <w:color w:val="auto"/>
          <w:sz w:val="24"/>
          <w:szCs w:val="24"/>
        </w:rPr>
        <w:t>5</w:t>
      </w:r>
      <w:r w:rsidRPr="002A46BF">
        <w:rPr>
          <w:rStyle w:val="SubtleEmphasis"/>
          <w:rFonts w:ascii="Times New Roman" w:hAnsi="Times New Roman" w:cs="Times New Roman"/>
          <w:i w:val="0"/>
          <w:iCs w:val="0"/>
          <w:color w:val="auto"/>
          <w:sz w:val="24"/>
          <w:szCs w:val="24"/>
        </w:rPr>
        <w:t>.gada</w:t>
      </w:r>
      <w:r w:rsidR="00DA61A6" w:rsidRPr="002A46BF">
        <w:rPr>
          <w:rStyle w:val="SubtleEmphasis"/>
          <w:rFonts w:ascii="Times New Roman" w:hAnsi="Times New Roman" w:cs="Times New Roman"/>
          <w:i w:val="0"/>
          <w:iCs w:val="0"/>
          <w:color w:val="auto"/>
          <w:sz w:val="24"/>
          <w:szCs w:val="24"/>
        </w:rPr>
        <w:t xml:space="preserve"> </w:t>
      </w:r>
      <w:r w:rsidR="00DA61A6" w:rsidRPr="002A46BF">
        <w:rPr>
          <w:rFonts w:ascii="Times New Roman" w:hAnsi="Times New Roman" w:cs="Times New Roman"/>
          <w:sz w:val="24"/>
          <w:szCs w:val="24"/>
        </w:rPr>
        <w:t>31.decembris.</w:t>
      </w:r>
      <w:r w:rsidRPr="002A46BF">
        <w:rPr>
          <w:rStyle w:val="SubtleEmphasis"/>
          <w:rFonts w:ascii="Times New Roman" w:hAnsi="Times New Roman" w:cs="Times New Roman"/>
          <w:i w:val="0"/>
          <w:iCs w:val="0"/>
          <w:color w:val="auto"/>
          <w:sz w:val="24"/>
          <w:szCs w:val="24"/>
        </w:rPr>
        <w:t xml:space="preserve"> </w:t>
      </w:r>
    </w:p>
    <w:p w:rsidR="007710A4" w:rsidRPr="0063727B" w:rsidRDefault="007710A4" w:rsidP="006F1D76">
      <w:pPr>
        <w:spacing w:after="0" w:line="240" w:lineRule="auto"/>
        <w:jc w:val="both"/>
        <w:rPr>
          <w:rStyle w:val="SubtleEmphasis"/>
          <w:rFonts w:ascii="Times New Roman" w:hAnsi="Times New Roman" w:cs="Times New Roman"/>
          <w:i w:val="0"/>
          <w:iCs w:val="0"/>
          <w:color w:val="auto"/>
          <w:sz w:val="24"/>
          <w:szCs w:val="24"/>
        </w:rPr>
      </w:pPr>
    </w:p>
    <w:p w:rsidR="00343AF5" w:rsidRPr="0063727B" w:rsidRDefault="00343AF5" w:rsidP="00DF5660">
      <w:pPr>
        <w:pStyle w:val="Heading2"/>
        <w:numPr>
          <w:ilvl w:val="1"/>
          <w:numId w:val="2"/>
        </w:numPr>
        <w:spacing w:before="0" w:line="240" w:lineRule="auto"/>
        <w:rPr>
          <w:rFonts w:ascii="Times New Roman" w:hAnsi="Times New Roman" w:cs="Times New Roman"/>
          <w:color w:val="auto"/>
          <w:sz w:val="24"/>
          <w:szCs w:val="24"/>
          <w:lang w:val="lv-LV"/>
        </w:rPr>
      </w:pPr>
      <w:bookmarkStart w:id="75" w:name="_Toc372812643"/>
      <w:r w:rsidRPr="0063727B">
        <w:rPr>
          <w:rFonts w:ascii="Times New Roman" w:hAnsi="Times New Roman" w:cs="Times New Roman"/>
          <w:color w:val="auto"/>
          <w:sz w:val="24"/>
          <w:szCs w:val="24"/>
          <w:lang w:val="lv-LV"/>
        </w:rPr>
        <w:t>Pašvaldību sociālā palīdzība</w:t>
      </w:r>
      <w:bookmarkEnd w:id="75"/>
    </w:p>
    <w:p w:rsidR="009A1501" w:rsidRPr="0063727B" w:rsidRDefault="009A1501" w:rsidP="009A1501">
      <w:pPr>
        <w:pStyle w:val="Heading7"/>
        <w:spacing w:before="0" w:line="240" w:lineRule="auto"/>
        <w:ind w:firstLine="720"/>
        <w:jc w:val="both"/>
        <w:rPr>
          <w:rFonts w:ascii="Times New Roman" w:hAnsi="Times New Roman" w:cs="Times New Roman"/>
          <w:i w:val="0"/>
          <w:iCs w:val="0"/>
          <w:color w:val="auto"/>
          <w:sz w:val="24"/>
          <w:szCs w:val="24"/>
        </w:rPr>
      </w:pPr>
    </w:p>
    <w:p w:rsidR="00343AF5" w:rsidRPr="0063727B" w:rsidRDefault="00343AF5" w:rsidP="009A1501">
      <w:pPr>
        <w:pStyle w:val="Heading7"/>
        <w:spacing w:before="0" w:line="240" w:lineRule="auto"/>
        <w:ind w:firstLine="720"/>
        <w:jc w:val="both"/>
        <w:rPr>
          <w:rFonts w:ascii="Times New Roman" w:hAnsi="Times New Roman" w:cs="Times New Roman"/>
          <w:i w:val="0"/>
          <w:iCs w:val="0"/>
          <w:color w:val="auto"/>
          <w:sz w:val="24"/>
          <w:szCs w:val="24"/>
        </w:rPr>
      </w:pPr>
      <w:r w:rsidRPr="0063727B">
        <w:rPr>
          <w:rFonts w:ascii="Times New Roman" w:hAnsi="Times New Roman" w:cs="Times New Roman"/>
          <w:i w:val="0"/>
          <w:iCs w:val="0"/>
          <w:color w:val="auto"/>
          <w:sz w:val="24"/>
          <w:szCs w:val="24"/>
        </w:rPr>
        <w:t xml:space="preserve">Pašvaldības sociālā palīdzība tiek sniegta gadījumos, ja persona negūst ienākumus no algota darba, pašnodarbinātības, kapitāla vai nesaņem pensiju vai pabalstu no sociālās apdrošināšanas sistēmas vai valsts sociālo pabalstu veidā, kā arī, ja iepriekšminētie ienākumi ir zemāki par noteiktu ienākumu slieksni un persona saviem spēkiem nespēj nodrošināt sev un savai ģimenei minimālo dzīves standartu </w:t>
      </w:r>
    </w:p>
    <w:p w:rsidR="00343AF5" w:rsidRPr="0063727B" w:rsidRDefault="00343AF5" w:rsidP="009A1501">
      <w:pPr>
        <w:pStyle w:val="Heading7"/>
        <w:spacing w:before="0" w:line="240" w:lineRule="auto"/>
        <w:ind w:firstLine="720"/>
        <w:jc w:val="both"/>
        <w:rPr>
          <w:rFonts w:ascii="Times New Roman" w:hAnsi="Times New Roman" w:cs="Times New Roman"/>
          <w:i w:val="0"/>
          <w:iCs w:val="0"/>
          <w:color w:val="auto"/>
          <w:sz w:val="24"/>
          <w:szCs w:val="24"/>
        </w:rPr>
      </w:pPr>
      <w:r w:rsidRPr="0063727B">
        <w:rPr>
          <w:rFonts w:ascii="Times New Roman" w:hAnsi="Times New Roman" w:cs="Times New Roman"/>
          <w:i w:val="0"/>
          <w:iCs w:val="0"/>
          <w:color w:val="auto"/>
          <w:sz w:val="24"/>
          <w:szCs w:val="24"/>
        </w:rPr>
        <w:t xml:space="preserve">Pašvaldības sociālā palīdzība tiek sniegta līdz brīdim, kamēr saglabājas objektīvi apstākļi un kamēr persona atgriežas pie tādu ienākumu gūšanas, kas pārsniedz noteiktu ienākumu slieksni.  </w:t>
      </w:r>
    </w:p>
    <w:p w:rsidR="00D875B1" w:rsidRPr="0063727B" w:rsidRDefault="00D875B1" w:rsidP="009A1501">
      <w:pPr>
        <w:spacing w:after="0" w:line="240" w:lineRule="auto"/>
        <w:ind w:firstLine="720"/>
        <w:jc w:val="both"/>
        <w:rPr>
          <w:rFonts w:ascii="Times New Roman" w:hAnsi="Times New Roman"/>
          <w:sz w:val="24"/>
          <w:szCs w:val="24"/>
        </w:rPr>
      </w:pPr>
      <w:r w:rsidRPr="0063727B">
        <w:rPr>
          <w:rFonts w:ascii="Times New Roman" w:hAnsi="Times New Roman" w:cs="Times New Roman"/>
          <w:sz w:val="24"/>
          <w:szCs w:val="24"/>
        </w:rPr>
        <w:t>Jāatzīmē arī tas, ka sociālās palīdzības pabalstu lielums jāvērtē kontekstā ar personu ieinteresētību strādāt un veikt sociālās apdrošināšanas iemaksas, lai</w:t>
      </w:r>
      <w:r w:rsidR="009B24BD"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neapdraudētu šīs </w:t>
      </w:r>
      <w:r w:rsidRPr="0063727B">
        <w:rPr>
          <w:rFonts w:ascii="Times New Roman" w:hAnsi="Times New Roman" w:cs="Times New Roman"/>
          <w:sz w:val="24"/>
          <w:szCs w:val="24"/>
        </w:rPr>
        <w:lastRenderedPageBreak/>
        <w:t>sistēmas, kas uzskatāma par sociālās drošības sistēmas pamatu, pastāvēšanu. Pārskatot pašvaldību sociālās palīdzības sistēmu, svarīgi ir vērtēt motivējošos elementus personai veikt sociālās apdrošināšanas iemaksas ilgtermiņā. Pašvaldību sociālās palīdzības sistēmas pārskatīšanas gaitā tiek vērtēta arī personas iespēja atgriezties pie patstāvīgu ienākumu gūšanas, kā arī, tie aspekti, kas saistīti ar darbaspēka nodokļiem.</w:t>
      </w:r>
    </w:p>
    <w:p w:rsidR="00343AF5" w:rsidRPr="0063727B" w:rsidRDefault="00343AF5" w:rsidP="009A1501">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Ievērojot iepriekšminētos apsvērumus</w:t>
      </w:r>
      <w:r w:rsidR="009A1501" w:rsidRPr="0063727B">
        <w:rPr>
          <w:rFonts w:ascii="Times New Roman" w:hAnsi="Times New Roman" w:cs="Times New Roman"/>
          <w:sz w:val="24"/>
          <w:szCs w:val="24"/>
        </w:rPr>
        <w:t>,</w:t>
      </w:r>
      <w:r w:rsidRPr="0063727B">
        <w:rPr>
          <w:rFonts w:ascii="Times New Roman" w:hAnsi="Times New Roman" w:cs="Times New Roman"/>
          <w:sz w:val="24"/>
          <w:szCs w:val="24"/>
        </w:rPr>
        <w:t xml:space="preserve"> tiek piedāvāts veikt šādus pašvaldības sociālās palīdzības sistēmas pilnveidojumus.</w:t>
      </w:r>
    </w:p>
    <w:p w:rsidR="00343AF5" w:rsidRPr="0063727B" w:rsidRDefault="00343AF5" w:rsidP="001B2CB8">
      <w:pPr>
        <w:spacing w:after="0" w:line="240" w:lineRule="auto"/>
        <w:ind w:firstLine="360"/>
        <w:jc w:val="both"/>
        <w:rPr>
          <w:rFonts w:ascii="Times New Roman" w:hAnsi="Times New Roman" w:cs="Times New Roman"/>
          <w:sz w:val="24"/>
          <w:szCs w:val="24"/>
        </w:rPr>
      </w:pPr>
    </w:p>
    <w:p w:rsidR="00343AF5" w:rsidRPr="0063727B" w:rsidRDefault="00343AF5" w:rsidP="001B2CB8">
      <w:pPr>
        <w:spacing w:after="0" w:line="240" w:lineRule="auto"/>
        <w:jc w:val="both"/>
        <w:rPr>
          <w:rFonts w:ascii="Times New Roman" w:hAnsi="Times New Roman" w:cs="Times New Roman"/>
          <w:b/>
          <w:bCs/>
          <w:sz w:val="24"/>
          <w:szCs w:val="24"/>
        </w:rPr>
      </w:pPr>
      <w:r w:rsidRPr="0063727B">
        <w:rPr>
          <w:rFonts w:ascii="Times New Roman" w:hAnsi="Times New Roman" w:cs="Times New Roman"/>
          <w:b/>
          <w:bCs/>
          <w:sz w:val="24"/>
          <w:szCs w:val="24"/>
        </w:rPr>
        <w:t>Pasākumi sociālās palīdzības sistēmas pilnveidei</w:t>
      </w:r>
      <w:r w:rsidR="00AD28A5" w:rsidRPr="0063727B">
        <w:rPr>
          <w:rFonts w:ascii="Times New Roman" w:hAnsi="Times New Roman" w:cs="Times New Roman"/>
          <w:b/>
          <w:bCs/>
          <w:sz w:val="24"/>
          <w:szCs w:val="24"/>
        </w:rPr>
        <w:t>:</w:t>
      </w:r>
    </w:p>
    <w:p w:rsidR="00343AF5" w:rsidRPr="0063727B" w:rsidRDefault="00343AF5" w:rsidP="001B2CB8">
      <w:pPr>
        <w:spacing w:after="0" w:line="240" w:lineRule="auto"/>
        <w:jc w:val="both"/>
        <w:rPr>
          <w:rFonts w:ascii="Times New Roman" w:hAnsi="Times New Roman" w:cs="Times New Roman"/>
          <w:sz w:val="24"/>
          <w:szCs w:val="24"/>
        </w:rPr>
      </w:pPr>
    </w:p>
    <w:p w:rsidR="00B36A5C" w:rsidRPr="0063727B" w:rsidRDefault="00B36A5C" w:rsidP="009A1501">
      <w:pPr>
        <w:pStyle w:val="ListParagraph"/>
        <w:numPr>
          <w:ilvl w:val="0"/>
          <w:numId w:val="28"/>
        </w:numPr>
        <w:spacing w:after="0" w:line="240" w:lineRule="auto"/>
        <w:ind w:left="567" w:hanging="567"/>
        <w:jc w:val="both"/>
        <w:rPr>
          <w:rFonts w:ascii="Times New Roman" w:hAnsi="Times New Roman" w:cs="Times New Roman"/>
          <w:sz w:val="24"/>
          <w:szCs w:val="24"/>
        </w:rPr>
      </w:pPr>
      <w:r w:rsidRPr="0063727B">
        <w:rPr>
          <w:rFonts w:ascii="Times New Roman" w:hAnsi="Times New Roman"/>
          <w:sz w:val="24"/>
          <w:szCs w:val="24"/>
        </w:rPr>
        <w:t>I</w:t>
      </w:r>
      <w:r w:rsidRPr="0063727B">
        <w:rPr>
          <w:rFonts w:ascii="Times New Roman" w:hAnsi="Times New Roman" w:cs="Times New Roman"/>
          <w:iCs/>
          <w:sz w:val="24"/>
          <w:szCs w:val="24"/>
        </w:rPr>
        <w:t>zveidot</w:t>
      </w:r>
      <w:r w:rsidRPr="0063727B">
        <w:rPr>
          <w:rFonts w:ascii="Times New Roman" w:hAnsi="Times New Roman" w:cs="Times New Roman"/>
          <w:i/>
          <w:iCs/>
          <w:sz w:val="24"/>
          <w:szCs w:val="24"/>
        </w:rPr>
        <w:t xml:space="preserve"> vienotu sistēmu</w:t>
      </w:r>
      <w:r w:rsidRPr="0063727B">
        <w:rPr>
          <w:rFonts w:ascii="Times New Roman" w:hAnsi="Times New Roman" w:cs="Times New Roman"/>
          <w:sz w:val="24"/>
          <w:szCs w:val="24"/>
        </w:rPr>
        <w:t xml:space="preserve">, kurā katram pašvaldības sociāla dienesta klientam </w:t>
      </w:r>
      <w:r w:rsidR="00FF5FC9" w:rsidRPr="0063727B">
        <w:rPr>
          <w:rFonts w:ascii="Times New Roman" w:hAnsi="Times New Roman" w:cs="Times New Roman"/>
          <w:sz w:val="24"/>
          <w:szCs w:val="24"/>
        </w:rPr>
        <w:t xml:space="preserve">vispirms </w:t>
      </w:r>
      <w:r w:rsidRPr="0063727B">
        <w:rPr>
          <w:rFonts w:ascii="Times New Roman" w:hAnsi="Times New Roman" w:cs="Times New Roman"/>
          <w:sz w:val="24"/>
          <w:szCs w:val="24"/>
        </w:rPr>
        <w:t>tiktu nodrošināts profesionāla sociāla darbinieka vispusīgs sociālās situācijas izvērtējums un mērķtiecīgs atbalsts klienta sociālo problēmu risināšanā, piesaistot katrā gadījumā atbilstošus resursus</w:t>
      </w:r>
      <w:r w:rsidR="003F78AB" w:rsidRPr="0063727B">
        <w:rPr>
          <w:rFonts w:ascii="Times New Roman" w:hAnsi="Times New Roman" w:cs="Times New Roman"/>
          <w:sz w:val="24"/>
          <w:szCs w:val="24"/>
        </w:rPr>
        <w:t xml:space="preserve"> (</w:t>
      </w:r>
      <w:r w:rsidR="00DA27AC" w:rsidRPr="0063727B">
        <w:rPr>
          <w:rFonts w:ascii="Times New Roman" w:hAnsi="Times New Roman" w:cs="Times New Roman"/>
          <w:sz w:val="24"/>
          <w:szCs w:val="24"/>
        </w:rPr>
        <w:t xml:space="preserve">piemēram, </w:t>
      </w:r>
      <w:r w:rsidR="00855B30" w:rsidRPr="0063727B">
        <w:rPr>
          <w:rFonts w:ascii="Times New Roman" w:hAnsi="Times New Roman" w:cs="Times New Roman"/>
          <w:sz w:val="24"/>
          <w:szCs w:val="24"/>
        </w:rPr>
        <w:t xml:space="preserve">piesaistīti </w:t>
      </w:r>
      <w:r w:rsidR="003F78AB" w:rsidRPr="0063727B">
        <w:rPr>
          <w:rFonts w:ascii="Times New Roman" w:hAnsi="Times New Roman" w:cs="Times New Roman"/>
          <w:sz w:val="24"/>
          <w:szCs w:val="24"/>
        </w:rPr>
        <w:t>citu jomu profesionāļ</w:t>
      </w:r>
      <w:r w:rsidR="00855B30" w:rsidRPr="0063727B">
        <w:rPr>
          <w:rFonts w:ascii="Times New Roman" w:hAnsi="Times New Roman" w:cs="Times New Roman"/>
          <w:sz w:val="24"/>
          <w:szCs w:val="24"/>
        </w:rPr>
        <w:t>i</w:t>
      </w:r>
      <w:r w:rsidR="00CB646B" w:rsidRPr="0063727B">
        <w:rPr>
          <w:rFonts w:ascii="Times New Roman" w:hAnsi="Times New Roman" w:cs="Times New Roman"/>
          <w:sz w:val="24"/>
          <w:szCs w:val="24"/>
        </w:rPr>
        <w:t xml:space="preserve"> klienta sociālās situācijas </w:t>
      </w:r>
      <w:r w:rsidR="00847A2E" w:rsidRPr="0063727B">
        <w:rPr>
          <w:rFonts w:ascii="Times New Roman" w:hAnsi="Times New Roman" w:cs="Times New Roman"/>
          <w:sz w:val="24"/>
          <w:szCs w:val="24"/>
        </w:rPr>
        <w:t>risināšanai</w:t>
      </w:r>
      <w:r w:rsidR="003F78AB" w:rsidRPr="0063727B">
        <w:rPr>
          <w:rFonts w:ascii="Times New Roman" w:hAnsi="Times New Roman" w:cs="Times New Roman"/>
          <w:sz w:val="24"/>
          <w:szCs w:val="24"/>
        </w:rPr>
        <w:t xml:space="preserve">, </w:t>
      </w:r>
      <w:r w:rsidR="00D0628A" w:rsidRPr="0063727B">
        <w:rPr>
          <w:rFonts w:ascii="Times New Roman" w:hAnsi="Times New Roman" w:cs="Times New Roman"/>
          <w:sz w:val="24"/>
          <w:szCs w:val="24"/>
        </w:rPr>
        <w:t xml:space="preserve">nepieciešamie </w:t>
      </w:r>
      <w:r w:rsidR="003F78AB" w:rsidRPr="0063727B">
        <w:rPr>
          <w:rFonts w:ascii="Times New Roman" w:hAnsi="Times New Roman" w:cs="Times New Roman"/>
          <w:sz w:val="24"/>
          <w:szCs w:val="24"/>
        </w:rPr>
        <w:t xml:space="preserve">sociālie pakalpojumi, </w:t>
      </w:r>
      <w:r w:rsidR="00D0628A" w:rsidRPr="0063727B">
        <w:rPr>
          <w:rFonts w:ascii="Times New Roman" w:hAnsi="Times New Roman" w:cs="Times New Roman"/>
          <w:sz w:val="24"/>
          <w:szCs w:val="24"/>
        </w:rPr>
        <w:t xml:space="preserve">kā arī </w:t>
      </w:r>
      <w:r w:rsidR="003F78AB" w:rsidRPr="0063727B">
        <w:rPr>
          <w:rFonts w:ascii="Times New Roman" w:hAnsi="Times New Roman" w:cs="Times New Roman"/>
          <w:sz w:val="24"/>
          <w:szCs w:val="24"/>
        </w:rPr>
        <w:t>atbalsts naudas izteiksmē u.c.)</w:t>
      </w:r>
      <w:r w:rsidRPr="0063727B">
        <w:rPr>
          <w:rFonts w:ascii="Times New Roman" w:hAnsi="Times New Roman" w:cs="Times New Roman"/>
          <w:sz w:val="24"/>
          <w:szCs w:val="24"/>
        </w:rPr>
        <w:t>.</w:t>
      </w:r>
    </w:p>
    <w:p w:rsidR="00B36A5C" w:rsidRPr="0063727B" w:rsidRDefault="00B36A5C" w:rsidP="009A1501">
      <w:pPr>
        <w:pStyle w:val="ListParagraph"/>
        <w:numPr>
          <w:ilvl w:val="0"/>
          <w:numId w:val="28"/>
        </w:numPr>
        <w:spacing w:after="0" w:line="240" w:lineRule="auto"/>
        <w:ind w:left="567" w:hanging="567"/>
        <w:jc w:val="both"/>
        <w:rPr>
          <w:rFonts w:ascii="Times New Roman" w:hAnsi="Times New Roman"/>
          <w:sz w:val="24"/>
          <w:szCs w:val="24"/>
        </w:rPr>
      </w:pPr>
      <w:r w:rsidRPr="0063727B">
        <w:rPr>
          <w:rFonts w:ascii="Times New Roman" w:hAnsi="Times New Roman"/>
          <w:sz w:val="24"/>
          <w:szCs w:val="24"/>
        </w:rPr>
        <w:t>Pilnveidot tiesību aktus, nosakot, ka sociālais darbinieks, izmantojot sociālā darba metodes, veicina kā indivīdu, tā sabiedrības grupu labklājību un piemērošanos sociālajai videi.</w:t>
      </w:r>
    </w:p>
    <w:p w:rsidR="00B36A5C" w:rsidRPr="0063727B" w:rsidRDefault="00B36A5C" w:rsidP="009A1501">
      <w:pPr>
        <w:pStyle w:val="ListParagraph"/>
        <w:numPr>
          <w:ilvl w:val="0"/>
          <w:numId w:val="28"/>
        </w:numPr>
        <w:spacing w:after="0" w:line="240" w:lineRule="auto"/>
        <w:ind w:left="567" w:hanging="567"/>
        <w:jc w:val="both"/>
        <w:rPr>
          <w:rFonts w:ascii="Times New Roman" w:hAnsi="Times New Roman"/>
          <w:sz w:val="24"/>
          <w:szCs w:val="24"/>
        </w:rPr>
      </w:pPr>
      <w:r w:rsidRPr="0063727B">
        <w:rPr>
          <w:rFonts w:ascii="Times New Roman" w:hAnsi="Times New Roman"/>
          <w:sz w:val="24"/>
          <w:szCs w:val="24"/>
        </w:rPr>
        <w:t>Īpaš</w:t>
      </w:r>
      <w:r w:rsidR="00AD28A5" w:rsidRPr="0063727B">
        <w:rPr>
          <w:rFonts w:ascii="Times New Roman" w:hAnsi="Times New Roman"/>
          <w:sz w:val="24"/>
          <w:szCs w:val="24"/>
        </w:rPr>
        <w:t>u</w:t>
      </w:r>
      <w:r w:rsidRPr="0063727B">
        <w:rPr>
          <w:rFonts w:ascii="Times New Roman" w:hAnsi="Times New Roman"/>
          <w:sz w:val="24"/>
          <w:szCs w:val="24"/>
        </w:rPr>
        <w:t xml:space="preserve"> uzmanīb</w:t>
      </w:r>
      <w:r w:rsidR="00AD28A5" w:rsidRPr="0063727B">
        <w:rPr>
          <w:rFonts w:ascii="Times New Roman" w:hAnsi="Times New Roman"/>
          <w:sz w:val="24"/>
          <w:szCs w:val="24"/>
        </w:rPr>
        <w:t>u</w:t>
      </w:r>
      <w:r w:rsidRPr="0063727B">
        <w:rPr>
          <w:rFonts w:ascii="Times New Roman" w:hAnsi="Times New Roman"/>
          <w:sz w:val="24"/>
          <w:szCs w:val="24"/>
        </w:rPr>
        <w:t xml:space="preserve"> pievērst starpinstitucionālajai sadarbībai gan </w:t>
      </w:r>
      <w:r w:rsidR="00262DB1" w:rsidRPr="0063727B">
        <w:rPr>
          <w:rFonts w:ascii="Times New Roman" w:hAnsi="Times New Roman"/>
          <w:sz w:val="24"/>
          <w:szCs w:val="24"/>
        </w:rPr>
        <w:t xml:space="preserve">iestādes </w:t>
      </w:r>
      <w:r w:rsidRPr="0063727B">
        <w:rPr>
          <w:rFonts w:ascii="Times New Roman" w:hAnsi="Times New Roman"/>
          <w:sz w:val="24"/>
          <w:szCs w:val="24"/>
        </w:rPr>
        <w:t>vadības līmenī, gan konkrēta sociālā gadījuma vadības procesā.</w:t>
      </w:r>
    </w:p>
    <w:p w:rsidR="00C908A0" w:rsidRPr="0063727B" w:rsidRDefault="00C908A0" w:rsidP="009A1501">
      <w:pPr>
        <w:pStyle w:val="ListParagraph"/>
        <w:numPr>
          <w:ilvl w:val="0"/>
          <w:numId w:val="28"/>
        </w:numPr>
        <w:autoSpaceDE w:val="0"/>
        <w:autoSpaceDN w:val="0"/>
        <w:adjustRightInd w:val="0"/>
        <w:spacing w:after="0" w:line="240" w:lineRule="auto"/>
        <w:ind w:left="567" w:hanging="567"/>
        <w:jc w:val="both"/>
        <w:rPr>
          <w:rFonts w:ascii="Times New Roman" w:hAnsi="Times New Roman" w:cs="Times New Roman"/>
          <w:sz w:val="24"/>
          <w:szCs w:val="24"/>
        </w:rPr>
      </w:pPr>
      <w:r w:rsidRPr="0063727B">
        <w:rPr>
          <w:rFonts w:ascii="Times New Roman" w:hAnsi="Times New Roman" w:cs="Times New Roman"/>
          <w:sz w:val="24"/>
          <w:szCs w:val="24"/>
        </w:rPr>
        <w:t xml:space="preserve">Pašvaldības sociālā dienesta klienta materiālās situācijas risināšanai noteikt </w:t>
      </w:r>
      <w:r w:rsidRPr="0063727B">
        <w:rPr>
          <w:rFonts w:ascii="Times New Roman" w:hAnsi="Times New Roman" w:cs="Times New Roman"/>
          <w:b/>
          <w:sz w:val="24"/>
          <w:szCs w:val="24"/>
        </w:rPr>
        <w:t>atbalstu naudas izteiksmē</w:t>
      </w:r>
      <w:r w:rsidRPr="0063727B">
        <w:rPr>
          <w:rFonts w:ascii="Times New Roman" w:hAnsi="Times New Roman" w:cs="Times New Roman"/>
          <w:sz w:val="24"/>
          <w:szCs w:val="24"/>
        </w:rPr>
        <w:t xml:space="preserve">, kuru piešķir mājsaimniecībai, aprēķinot tā </w:t>
      </w:r>
      <w:r w:rsidR="00FE7855" w:rsidRPr="0063727B">
        <w:rPr>
          <w:rFonts w:ascii="Times New Roman" w:hAnsi="Times New Roman" w:cs="Times New Roman"/>
          <w:sz w:val="24"/>
          <w:szCs w:val="24"/>
        </w:rPr>
        <w:t xml:space="preserve">maksimālo </w:t>
      </w:r>
      <w:r w:rsidRPr="0063727B">
        <w:rPr>
          <w:rFonts w:ascii="Times New Roman" w:hAnsi="Times New Roman" w:cs="Times New Roman"/>
          <w:sz w:val="24"/>
          <w:szCs w:val="24"/>
        </w:rPr>
        <w:t>apmēru</w:t>
      </w:r>
      <w:r w:rsidR="0065683B" w:rsidRPr="0063727B">
        <w:rPr>
          <w:rFonts w:ascii="Times New Roman" w:hAnsi="Times New Roman" w:cs="Times New Roman"/>
          <w:sz w:val="24"/>
          <w:szCs w:val="24"/>
        </w:rPr>
        <w:t xml:space="preserve"> </w:t>
      </w:r>
      <w:r w:rsidR="00FE7855" w:rsidRPr="0063727B">
        <w:rPr>
          <w:rFonts w:ascii="Times New Roman" w:hAnsi="Times New Roman" w:cs="Times New Roman"/>
          <w:sz w:val="24"/>
          <w:szCs w:val="24"/>
        </w:rPr>
        <w:t xml:space="preserve">atbilstoši </w:t>
      </w:r>
      <w:r w:rsidR="0065683B" w:rsidRPr="0063727B">
        <w:rPr>
          <w:rFonts w:ascii="Times New Roman" w:hAnsi="Times New Roman" w:cs="Times New Roman"/>
          <w:sz w:val="24"/>
          <w:szCs w:val="24"/>
        </w:rPr>
        <w:t>valstī noteiktajam</w:t>
      </w:r>
      <w:r w:rsidRPr="0063727B">
        <w:rPr>
          <w:rFonts w:ascii="Times New Roman" w:hAnsi="Times New Roman" w:cs="Times New Roman"/>
          <w:sz w:val="24"/>
          <w:szCs w:val="24"/>
        </w:rPr>
        <w:t xml:space="preserve"> minimālo ienākumu </w:t>
      </w:r>
      <w:r w:rsidR="004B273F" w:rsidRPr="0063727B">
        <w:rPr>
          <w:rFonts w:ascii="Times New Roman" w:hAnsi="Times New Roman" w:cs="Times New Roman"/>
          <w:sz w:val="24"/>
          <w:szCs w:val="24"/>
          <w:shd w:val="clear" w:color="auto" w:fill="FFFFFF"/>
        </w:rPr>
        <w:t xml:space="preserve">jeb </w:t>
      </w:r>
      <w:r w:rsidR="006B0941" w:rsidRPr="0063727B">
        <w:rPr>
          <w:rFonts w:ascii="Times New Roman" w:hAnsi="Times New Roman" w:cs="Times New Roman"/>
          <w:sz w:val="24"/>
          <w:szCs w:val="24"/>
          <w:shd w:val="clear" w:color="auto" w:fill="FFFFFF"/>
        </w:rPr>
        <w:t xml:space="preserve">minimālā </w:t>
      </w:r>
      <w:r w:rsidR="004B273F" w:rsidRPr="0063727B">
        <w:rPr>
          <w:rFonts w:ascii="Times New Roman" w:hAnsi="Times New Roman" w:cs="Times New Roman"/>
          <w:sz w:val="24"/>
          <w:szCs w:val="24"/>
        </w:rPr>
        <w:t xml:space="preserve">nodrošinājuma </w:t>
      </w:r>
      <w:r w:rsidRPr="0063727B">
        <w:rPr>
          <w:rFonts w:ascii="Times New Roman" w:hAnsi="Times New Roman" w:cs="Times New Roman"/>
          <w:sz w:val="24"/>
          <w:szCs w:val="24"/>
        </w:rPr>
        <w:t>līmeni</w:t>
      </w:r>
      <w:r w:rsidR="0065683B" w:rsidRPr="0063727B">
        <w:rPr>
          <w:rFonts w:ascii="Times New Roman" w:hAnsi="Times New Roman" w:cs="Times New Roman"/>
          <w:sz w:val="24"/>
          <w:szCs w:val="24"/>
        </w:rPr>
        <w:t xml:space="preserve">m, piemērojot OECD ekvivalences skalu. Maksimālā atbalsta summa mājsaimniecībai tiek </w:t>
      </w:r>
      <w:r w:rsidR="0065683B" w:rsidRPr="0063727B">
        <w:rPr>
          <w:rFonts w:ascii="Times New Roman" w:hAnsi="Times New Roman" w:cs="Times New Roman"/>
          <w:i/>
          <w:sz w:val="24"/>
          <w:szCs w:val="24"/>
        </w:rPr>
        <w:t>samazināta</w:t>
      </w:r>
      <w:r w:rsidR="0065683B" w:rsidRPr="0063727B">
        <w:rPr>
          <w:rFonts w:ascii="Times New Roman" w:hAnsi="Times New Roman" w:cs="Times New Roman"/>
          <w:sz w:val="24"/>
          <w:szCs w:val="24"/>
        </w:rPr>
        <w:t xml:space="preserve"> par </w:t>
      </w:r>
      <w:r w:rsidRPr="0063727B">
        <w:rPr>
          <w:rFonts w:ascii="Times New Roman" w:hAnsi="Times New Roman" w:cs="Times New Roman"/>
          <w:sz w:val="24"/>
          <w:szCs w:val="24"/>
        </w:rPr>
        <w:t xml:space="preserve">mājsaimniecības kopējiem ienākumiem, nosakot, ka </w:t>
      </w:r>
      <w:r w:rsidRPr="0063727B">
        <w:rPr>
          <w:rFonts w:ascii="Times New Roman" w:hAnsi="Times New Roman" w:cs="Times New Roman"/>
          <w:sz w:val="24"/>
          <w:szCs w:val="24"/>
          <w:u w:val="single"/>
        </w:rPr>
        <w:t>par ienākumiem šajā situācijā neuzskata šādus ienākumus</w:t>
      </w:r>
      <w:r w:rsidRPr="0063727B">
        <w:rPr>
          <w:rFonts w:ascii="Times New Roman" w:hAnsi="Times New Roman" w:cs="Times New Roman"/>
          <w:sz w:val="24"/>
          <w:szCs w:val="24"/>
        </w:rPr>
        <w:t>:</w:t>
      </w:r>
    </w:p>
    <w:p w:rsidR="00C908A0"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ienākumus, kas gūti no algota darba vai pašnodarbinātības (tai skaitā</w:t>
      </w:r>
      <w:r w:rsidR="009251D5" w:rsidRPr="0063727B">
        <w:rPr>
          <w:rFonts w:ascii="Times New Roman" w:hAnsi="Times New Roman" w:cs="Times New Roman"/>
          <w:sz w:val="24"/>
          <w:szCs w:val="24"/>
        </w:rPr>
        <w:t>,</w:t>
      </w:r>
      <w:r w:rsidRPr="0063727B">
        <w:rPr>
          <w:rFonts w:ascii="Times New Roman" w:hAnsi="Times New Roman" w:cs="Times New Roman"/>
          <w:sz w:val="24"/>
          <w:szCs w:val="24"/>
        </w:rPr>
        <w:t xml:space="preserve"> izņemot patentu ogu, sēņu lasīšanai, ārstniecības augu vākšanai, kā arī no īslaicīgiem darbiem lauksaimniecībā)</w:t>
      </w:r>
      <w:r w:rsidR="000A1063" w:rsidRPr="0063727B">
        <w:rPr>
          <w:rFonts w:ascii="Times New Roman" w:hAnsi="Times New Roman" w:cs="Times New Roman"/>
          <w:sz w:val="24"/>
          <w:szCs w:val="24"/>
        </w:rPr>
        <w:t>,</w:t>
      </w:r>
      <w:r w:rsidRPr="0063727B">
        <w:rPr>
          <w:rFonts w:ascii="Times New Roman" w:hAnsi="Times New Roman" w:cs="Times New Roman"/>
          <w:sz w:val="24"/>
          <w:szCs w:val="24"/>
        </w:rPr>
        <w:t xml:space="preserve"> </w:t>
      </w:r>
      <w:r w:rsidRPr="0063727B">
        <w:rPr>
          <w:rFonts w:ascii="Times New Roman" w:hAnsi="Times New Roman" w:cs="Times New Roman"/>
          <w:i/>
          <w:sz w:val="24"/>
          <w:szCs w:val="24"/>
        </w:rPr>
        <w:t>4 mēnešus</w:t>
      </w:r>
      <w:r w:rsidRPr="0063727B">
        <w:rPr>
          <w:rFonts w:ascii="Times New Roman" w:hAnsi="Times New Roman" w:cs="Times New Roman"/>
          <w:sz w:val="24"/>
          <w:szCs w:val="24"/>
        </w:rPr>
        <w:t xml:space="preserve"> pēc darba attiecību uzsākšanas </w:t>
      </w:r>
      <w:r w:rsidRPr="0063727B">
        <w:rPr>
          <w:rFonts w:ascii="Times New Roman" w:hAnsi="Times New Roman" w:cs="Times New Roman"/>
          <w:b/>
          <w:sz w:val="24"/>
          <w:szCs w:val="24"/>
        </w:rPr>
        <w:t>valstī noteiktās minimālās darba algas bruto apmērā.</w:t>
      </w:r>
      <w:r w:rsidRPr="0063727B">
        <w:rPr>
          <w:rFonts w:ascii="Times New Roman" w:hAnsi="Times New Roman" w:cs="Times New Roman"/>
          <w:sz w:val="24"/>
          <w:szCs w:val="24"/>
        </w:rPr>
        <w:t xml:space="preserve"> Tiek noteikts, ka par ienākumiem </w:t>
      </w:r>
      <w:r w:rsidR="00A6554B" w:rsidRPr="0063727B">
        <w:rPr>
          <w:rFonts w:ascii="Times New Roman" w:hAnsi="Times New Roman" w:cs="Times New Roman"/>
          <w:sz w:val="24"/>
          <w:szCs w:val="24"/>
        </w:rPr>
        <w:t xml:space="preserve">iepriekšminētajā apmērā </w:t>
      </w:r>
      <w:r w:rsidRPr="0063727B">
        <w:rPr>
          <w:rFonts w:ascii="Times New Roman" w:hAnsi="Times New Roman" w:cs="Times New Roman"/>
          <w:sz w:val="24"/>
          <w:szCs w:val="24"/>
        </w:rPr>
        <w:t xml:space="preserve">netiek uzskatīti </w:t>
      </w:r>
      <w:r w:rsidR="001A31E3" w:rsidRPr="0063727B">
        <w:rPr>
          <w:rFonts w:ascii="Times New Roman" w:hAnsi="Times New Roman" w:cs="Times New Roman"/>
          <w:sz w:val="24"/>
          <w:szCs w:val="24"/>
        </w:rPr>
        <w:t xml:space="preserve">arī </w:t>
      </w:r>
      <w:r w:rsidR="00BD5E48" w:rsidRPr="0063727B">
        <w:rPr>
          <w:rFonts w:ascii="Times New Roman" w:hAnsi="Times New Roman" w:cs="Times New Roman"/>
          <w:sz w:val="24"/>
          <w:szCs w:val="24"/>
        </w:rPr>
        <w:t xml:space="preserve">noteiktu </w:t>
      </w:r>
      <w:r w:rsidRPr="0063727B">
        <w:rPr>
          <w:rFonts w:ascii="Times New Roman" w:hAnsi="Times New Roman" w:cs="Times New Roman"/>
          <w:sz w:val="24"/>
          <w:szCs w:val="24"/>
        </w:rPr>
        <w:t xml:space="preserve">sezonas darbu ienākumi. Sezonas darbu veicēju mājsaimniecībām, kurās dzīvo bērni, nodrošinājuma līmenis atkarīgs no tā, vai persona maksā nodokļus, tātad ir nodarbinātā statusā, vai nemaksā nodokļus; </w:t>
      </w:r>
    </w:p>
    <w:p w:rsidR="00C908A0"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ieņēmumus no </w:t>
      </w:r>
      <w:r w:rsidRPr="0063727B">
        <w:rPr>
          <w:rFonts w:ascii="Times New Roman" w:hAnsi="Times New Roman" w:cs="Times New Roman"/>
          <w:sz w:val="24"/>
          <w:szCs w:val="24"/>
          <w:u w:val="single"/>
        </w:rPr>
        <w:t>lauksaimnieciskās zemes</w:t>
      </w:r>
      <w:r w:rsidRPr="0063727B">
        <w:rPr>
          <w:rFonts w:ascii="Times New Roman" w:hAnsi="Times New Roman" w:cs="Times New Roman"/>
          <w:sz w:val="24"/>
          <w:szCs w:val="24"/>
        </w:rPr>
        <w:t>, ja kopējā platība nepārsniedz 1 ha</w:t>
      </w:r>
      <w:r w:rsidR="00F233DC" w:rsidRPr="0063727B">
        <w:rPr>
          <w:rFonts w:ascii="Times New Roman" w:hAnsi="Times New Roman" w:cs="Times New Roman"/>
          <w:sz w:val="24"/>
          <w:szCs w:val="24"/>
        </w:rPr>
        <w:t>;</w:t>
      </w:r>
    </w:p>
    <w:p w:rsidR="00C908A0"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piemaksu pie ģimenes valsts pabalsta par bērnu invalīdu,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nāves gadījumā, kā arī šajā likumā noteiktos pašvaldības sociālās palīdzības pabalstus;</w:t>
      </w:r>
    </w:p>
    <w:p w:rsidR="009A1501"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atlīdzīb</w:t>
      </w:r>
      <w:r w:rsidR="001A48FF" w:rsidRPr="0063727B">
        <w:rPr>
          <w:rFonts w:ascii="Times New Roman" w:hAnsi="Times New Roman" w:cs="Times New Roman"/>
          <w:sz w:val="24"/>
          <w:szCs w:val="24"/>
        </w:rPr>
        <w:t>u</w:t>
      </w:r>
      <w:r w:rsidRPr="0063727B">
        <w:rPr>
          <w:rFonts w:ascii="Times New Roman" w:hAnsi="Times New Roman" w:cs="Times New Roman"/>
          <w:sz w:val="24"/>
          <w:szCs w:val="24"/>
        </w:rPr>
        <w:t xml:space="preserve"> par apgādnieka zaudējumu, uzturlīdzekļ</w:t>
      </w:r>
      <w:r w:rsidR="001A48FF" w:rsidRPr="0063727B">
        <w:rPr>
          <w:rFonts w:ascii="Times New Roman" w:hAnsi="Times New Roman" w:cs="Times New Roman"/>
          <w:sz w:val="24"/>
          <w:szCs w:val="24"/>
        </w:rPr>
        <w:t>us</w:t>
      </w:r>
      <w:r w:rsidRPr="0063727B">
        <w:rPr>
          <w:rFonts w:ascii="Times New Roman" w:hAnsi="Times New Roman" w:cs="Times New Roman"/>
          <w:sz w:val="24"/>
          <w:szCs w:val="24"/>
        </w:rPr>
        <w:t xml:space="preserve"> bērnam</w:t>
      </w:r>
      <w:r w:rsidR="00E82473" w:rsidRPr="0063727B">
        <w:rPr>
          <w:rFonts w:ascii="Times New Roman" w:hAnsi="Times New Roman" w:cs="Times New Roman"/>
          <w:sz w:val="24"/>
          <w:szCs w:val="24"/>
        </w:rPr>
        <w:t xml:space="preserve"> </w:t>
      </w:r>
      <w:r w:rsidRPr="0063727B">
        <w:rPr>
          <w:rFonts w:ascii="Times New Roman" w:hAnsi="Times New Roman" w:cs="Times New Roman"/>
          <w:b/>
          <w:sz w:val="24"/>
          <w:szCs w:val="24"/>
        </w:rPr>
        <w:t>valstī noteiktās minimālās darba algas bruto apmērā</w:t>
      </w:r>
      <w:r w:rsidRPr="0063727B">
        <w:rPr>
          <w:rFonts w:ascii="Times New Roman" w:hAnsi="Times New Roman" w:cs="Times New Roman"/>
          <w:sz w:val="24"/>
          <w:szCs w:val="24"/>
        </w:rPr>
        <w:t>;</w:t>
      </w:r>
    </w:p>
    <w:p w:rsidR="009A1501"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studentu un bezdarbnieku stipendij</w:t>
      </w:r>
      <w:r w:rsidR="001A48FF" w:rsidRPr="0063727B">
        <w:rPr>
          <w:rFonts w:ascii="Times New Roman" w:hAnsi="Times New Roman" w:cs="Times New Roman"/>
          <w:sz w:val="24"/>
          <w:szCs w:val="24"/>
        </w:rPr>
        <w:t>u</w:t>
      </w:r>
      <w:r w:rsidRPr="0063727B">
        <w:rPr>
          <w:rFonts w:ascii="Times New Roman" w:hAnsi="Times New Roman" w:cs="Times New Roman"/>
          <w:sz w:val="24"/>
          <w:szCs w:val="24"/>
        </w:rPr>
        <w:t>, bezdarbnieka transporta kompensācijas summ</w:t>
      </w:r>
      <w:r w:rsidR="001A48FF" w:rsidRPr="0063727B">
        <w:rPr>
          <w:rFonts w:ascii="Times New Roman" w:hAnsi="Times New Roman" w:cs="Times New Roman"/>
          <w:sz w:val="24"/>
          <w:szCs w:val="24"/>
        </w:rPr>
        <w:t>u</w:t>
      </w:r>
      <w:r w:rsidRPr="0063727B">
        <w:rPr>
          <w:rFonts w:ascii="Times New Roman" w:hAnsi="Times New Roman" w:cs="Times New Roman"/>
          <w:sz w:val="24"/>
          <w:szCs w:val="24"/>
        </w:rPr>
        <w:t>, kā arī skolēnu nopelnītā alg</w:t>
      </w:r>
      <w:r w:rsidR="001A48FF" w:rsidRPr="0063727B">
        <w:rPr>
          <w:rFonts w:ascii="Times New Roman" w:hAnsi="Times New Roman" w:cs="Times New Roman"/>
          <w:sz w:val="24"/>
          <w:szCs w:val="24"/>
        </w:rPr>
        <w:t>u</w:t>
      </w:r>
      <w:r w:rsidRPr="0063727B">
        <w:rPr>
          <w:rFonts w:ascii="Times New Roman" w:hAnsi="Times New Roman" w:cs="Times New Roman"/>
          <w:sz w:val="24"/>
          <w:szCs w:val="24"/>
        </w:rPr>
        <w:t>;</w:t>
      </w:r>
    </w:p>
    <w:p w:rsidR="00C908A0" w:rsidRPr="0063727B" w:rsidRDefault="00C908A0" w:rsidP="009A1501">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sociālās garantijas bārenim un bez vecāku gādības palikušam bērnam pēc ārpusģimenes aprūpes beigšanā, kā arī naudas līdzekļi, kas iegūti no labdarības fondiem, studējošā kredīts un sociālo kampaņu rezultātā gūtais materiālais labums. </w:t>
      </w:r>
    </w:p>
    <w:p w:rsidR="00C908A0" w:rsidRPr="0063727B" w:rsidRDefault="00C908A0" w:rsidP="009A1501">
      <w:pPr>
        <w:pStyle w:val="ListParagraph"/>
        <w:numPr>
          <w:ilvl w:val="0"/>
          <w:numId w:val="28"/>
        </w:numPr>
        <w:autoSpaceDE w:val="0"/>
        <w:autoSpaceDN w:val="0"/>
        <w:adjustRightInd w:val="0"/>
        <w:spacing w:after="0" w:line="240" w:lineRule="auto"/>
        <w:ind w:left="567" w:hanging="567"/>
        <w:jc w:val="both"/>
        <w:rPr>
          <w:rFonts w:ascii="Times New Roman" w:hAnsi="Times New Roman" w:cs="Times New Roman"/>
          <w:sz w:val="24"/>
          <w:szCs w:val="24"/>
        </w:rPr>
      </w:pPr>
      <w:r w:rsidRPr="0063727B">
        <w:rPr>
          <w:rFonts w:ascii="Times New Roman" w:hAnsi="Times New Roman" w:cs="Times New Roman"/>
          <w:sz w:val="24"/>
          <w:szCs w:val="24"/>
        </w:rPr>
        <w:lastRenderedPageBreak/>
        <w:t xml:space="preserve">Ievērojot to, ka pašvaldības sociālās palīdzības sniegšanā tiek izmantoti nodokļu ieņēmumi, noteikt </w:t>
      </w:r>
      <w:r w:rsidRPr="0063727B">
        <w:rPr>
          <w:rFonts w:ascii="Times New Roman" w:hAnsi="Times New Roman" w:cs="Times New Roman"/>
          <w:sz w:val="24"/>
          <w:szCs w:val="24"/>
          <w:u w:val="single"/>
        </w:rPr>
        <w:t>vienotus materiālās situācijas izvērtējuma kritērijus</w:t>
      </w:r>
      <w:r w:rsidRPr="0063727B">
        <w:rPr>
          <w:rFonts w:ascii="Times New Roman" w:hAnsi="Times New Roman" w:cs="Times New Roman"/>
          <w:sz w:val="24"/>
          <w:szCs w:val="24"/>
        </w:rPr>
        <w:t xml:space="preserve"> kustāmās mantas un nekustāmā īpašuma novērtējumam, izvērtējot tā realizācijas iespējas, bet ne ilgāk par gadu.</w:t>
      </w:r>
    </w:p>
    <w:p w:rsidR="00343AF5" w:rsidRPr="0063727B" w:rsidRDefault="00262DB1" w:rsidP="009A1501">
      <w:pPr>
        <w:pStyle w:val="ListParagraph"/>
        <w:numPr>
          <w:ilvl w:val="0"/>
          <w:numId w:val="28"/>
        </w:numPr>
        <w:autoSpaceDE w:val="0"/>
        <w:autoSpaceDN w:val="0"/>
        <w:adjustRightInd w:val="0"/>
        <w:spacing w:after="0" w:line="240" w:lineRule="auto"/>
        <w:ind w:left="567" w:hanging="567"/>
        <w:jc w:val="both"/>
        <w:rPr>
          <w:rFonts w:ascii="Times New Roman" w:hAnsi="Times New Roman" w:cs="Times New Roman"/>
          <w:sz w:val="24"/>
          <w:szCs w:val="24"/>
        </w:rPr>
      </w:pPr>
      <w:bookmarkStart w:id="76" w:name="sodiena"/>
      <w:bookmarkEnd w:id="76"/>
      <w:r w:rsidRPr="0063727B">
        <w:rPr>
          <w:rFonts w:ascii="Times New Roman" w:hAnsi="Times New Roman" w:cs="Times New Roman"/>
          <w:sz w:val="24"/>
          <w:szCs w:val="24"/>
        </w:rPr>
        <w:t>N</w:t>
      </w:r>
      <w:r w:rsidR="00343AF5" w:rsidRPr="0063727B">
        <w:rPr>
          <w:rFonts w:ascii="Times New Roman" w:hAnsi="Times New Roman" w:cs="Times New Roman"/>
          <w:sz w:val="24"/>
          <w:szCs w:val="24"/>
        </w:rPr>
        <w:t>oteikt valstī vienot</w:t>
      </w:r>
      <w:r w:rsidRPr="0063727B">
        <w:rPr>
          <w:rFonts w:ascii="Times New Roman" w:hAnsi="Times New Roman" w:cs="Times New Roman"/>
          <w:sz w:val="24"/>
          <w:szCs w:val="24"/>
        </w:rPr>
        <w:t>us</w:t>
      </w:r>
      <w:r w:rsidR="00343AF5" w:rsidRPr="0063727B">
        <w:rPr>
          <w:rFonts w:ascii="Times New Roman" w:hAnsi="Times New Roman" w:cs="Times New Roman"/>
          <w:sz w:val="24"/>
          <w:szCs w:val="24"/>
        </w:rPr>
        <w:t xml:space="preserve"> galven</w:t>
      </w:r>
      <w:r w:rsidRPr="0063727B">
        <w:rPr>
          <w:rFonts w:ascii="Times New Roman" w:hAnsi="Times New Roman" w:cs="Times New Roman"/>
          <w:sz w:val="24"/>
          <w:szCs w:val="24"/>
        </w:rPr>
        <w:t>os</w:t>
      </w:r>
      <w:r w:rsidR="00343AF5" w:rsidRPr="0063727B">
        <w:rPr>
          <w:rFonts w:ascii="Times New Roman" w:hAnsi="Times New Roman" w:cs="Times New Roman"/>
          <w:sz w:val="24"/>
          <w:szCs w:val="24"/>
        </w:rPr>
        <w:t xml:space="preserve"> </w:t>
      </w:r>
      <w:r w:rsidR="00343AF5" w:rsidRPr="0063727B">
        <w:rPr>
          <w:rFonts w:ascii="Times New Roman" w:hAnsi="Times New Roman" w:cs="Times New Roman"/>
          <w:sz w:val="24"/>
          <w:szCs w:val="24"/>
          <w:u w:val="single"/>
        </w:rPr>
        <w:t>minimāl</w:t>
      </w:r>
      <w:r w:rsidRPr="0063727B">
        <w:rPr>
          <w:rFonts w:ascii="Times New Roman" w:hAnsi="Times New Roman" w:cs="Times New Roman"/>
          <w:sz w:val="24"/>
          <w:szCs w:val="24"/>
          <w:u w:val="single"/>
        </w:rPr>
        <w:t>os</w:t>
      </w:r>
      <w:r w:rsidR="00343AF5" w:rsidRPr="0063727B">
        <w:rPr>
          <w:rFonts w:ascii="Times New Roman" w:hAnsi="Times New Roman" w:cs="Times New Roman"/>
          <w:sz w:val="24"/>
          <w:szCs w:val="24"/>
          <w:u w:val="single"/>
        </w:rPr>
        <w:t xml:space="preserve"> standart</w:t>
      </w:r>
      <w:r w:rsidRPr="0063727B">
        <w:rPr>
          <w:rFonts w:ascii="Times New Roman" w:hAnsi="Times New Roman" w:cs="Times New Roman"/>
          <w:sz w:val="24"/>
          <w:szCs w:val="24"/>
          <w:u w:val="single"/>
        </w:rPr>
        <w:t>us</w:t>
      </w:r>
      <w:r w:rsidR="00343AF5" w:rsidRPr="0063727B">
        <w:rPr>
          <w:rFonts w:ascii="Times New Roman" w:hAnsi="Times New Roman" w:cs="Times New Roman"/>
          <w:sz w:val="24"/>
          <w:szCs w:val="24"/>
          <w:u w:val="single"/>
        </w:rPr>
        <w:t xml:space="preserve"> mājokļa pabalsta piešķiršanai </w:t>
      </w:r>
      <w:r w:rsidR="00343AF5" w:rsidRPr="0063727B">
        <w:rPr>
          <w:rFonts w:ascii="Times New Roman" w:hAnsi="Times New Roman" w:cs="Times New Roman"/>
          <w:sz w:val="24"/>
          <w:szCs w:val="24"/>
        </w:rPr>
        <w:t>–piemērot ienākumu izvērtēšanas princip</w:t>
      </w:r>
      <w:r w:rsidR="0097534C" w:rsidRPr="0063727B">
        <w:rPr>
          <w:rFonts w:ascii="Times New Roman" w:hAnsi="Times New Roman" w:cs="Times New Roman"/>
          <w:sz w:val="24"/>
          <w:szCs w:val="24"/>
        </w:rPr>
        <w:t>u</w:t>
      </w:r>
      <w:r w:rsidR="00343AF5" w:rsidRPr="0063727B">
        <w:rPr>
          <w:rFonts w:ascii="Times New Roman" w:hAnsi="Times New Roman" w:cs="Times New Roman"/>
          <w:sz w:val="24"/>
          <w:szCs w:val="24"/>
        </w:rPr>
        <w:t xml:space="preserve"> un noteikt galven</w:t>
      </w:r>
      <w:r w:rsidR="0097534C" w:rsidRPr="0063727B">
        <w:rPr>
          <w:rFonts w:ascii="Times New Roman" w:hAnsi="Times New Roman" w:cs="Times New Roman"/>
          <w:sz w:val="24"/>
          <w:szCs w:val="24"/>
        </w:rPr>
        <w:t>os</w:t>
      </w:r>
      <w:r w:rsidR="00343AF5" w:rsidRPr="0063727B">
        <w:rPr>
          <w:rFonts w:ascii="Times New Roman" w:hAnsi="Times New Roman" w:cs="Times New Roman"/>
          <w:sz w:val="24"/>
          <w:szCs w:val="24"/>
        </w:rPr>
        <w:t xml:space="preserve"> ar dzīvojamās telpas lietošanu saistīt</w:t>
      </w:r>
      <w:r w:rsidR="0097534C" w:rsidRPr="0063727B">
        <w:rPr>
          <w:rFonts w:ascii="Times New Roman" w:hAnsi="Times New Roman" w:cs="Times New Roman"/>
          <w:sz w:val="24"/>
          <w:szCs w:val="24"/>
        </w:rPr>
        <w:t>os</w:t>
      </w:r>
      <w:r w:rsidR="00343AF5" w:rsidRPr="0063727B">
        <w:rPr>
          <w:rFonts w:ascii="Times New Roman" w:hAnsi="Times New Roman" w:cs="Times New Roman"/>
          <w:sz w:val="24"/>
          <w:szCs w:val="24"/>
        </w:rPr>
        <w:t xml:space="preserve"> izdevum</w:t>
      </w:r>
      <w:r w:rsidR="0097534C" w:rsidRPr="0063727B">
        <w:rPr>
          <w:rFonts w:ascii="Times New Roman" w:hAnsi="Times New Roman" w:cs="Times New Roman"/>
          <w:sz w:val="24"/>
          <w:szCs w:val="24"/>
        </w:rPr>
        <w:t>us</w:t>
      </w:r>
      <w:r w:rsidR="00343AF5" w:rsidRPr="0063727B">
        <w:rPr>
          <w:rFonts w:ascii="Times New Roman" w:hAnsi="Times New Roman" w:cs="Times New Roman"/>
          <w:sz w:val="24"/>
          <w:szCs w:val="24"/>
        </w:rPr>
        <w:t>, kuru segšanai tiek piešķirts mājokļa pabalsts</w:t>
      </w:r>
      <w:r w:rsidR="00343AF5" w:rsidRPr="0063727B">
        <w:rPr>
          <w:rStyle w:val="FootnoteReference"/>
          <w:rFonts w:ascii="Times New Roman" w:hAnsi="Times New Roman" w:cs="Times New Roman"/>
          <w:sz w:val="24"/>
          <w:szCs w:val="24"/>
        </w:rPr>
        <w:footnoteReference w:id="107"/>
      </w:r>
      <w:r w:rsidR="00343AF5" w:rsidRPr="0063727B">
        <w:rPr>
          <w:rFonts w:ascii="Times New Roman" w:hAnsi="Times New Roman" w:cs="Times New Roman"/>
          <w:sz w:val="24"/>
          <w:szCs w:val="24"/>
        </w:rPr>
        <w:t xml:space="preserve">: </w:t>
      </w:r>
    </w:p>
    <w:p w:rsidR="00343AF5" w:rsidRPr="0063727B" w:rsidRDefault="00343AF5" w:rsidP="009A1501">
      <w:pPr>
        <w:pStyle w:val="tv2131"/>
        <w:numPr>
          <w:ilvl w:val="0"/>
          <w:numId w:val="5"/>
        </w:numPr>
        <w:spacing w:before="0" w:line="240" w:lineRule="auto"/>
        <w:ind w:left="1276"/>
        <w:rPr>
          <w:rFonts w:ascii="Times New Roman" w:hAnsi="Times New Roman" w:cs="Times New Roman"/>
          <w:sz w:val="24"/>
          <w:szCs w:val="24"/>
        </w:rPr>
      </w:pPr>
      <w:r w:rsidRPr="0063727B">
        <w:rPr>
          <w:rFonts w:ascii="Times New Roman" w:hAnsi="Times New Roman" w:cs="Times New Roman"/>
          <w:sz w:val="24"/>
          <w:szCs w:val="24"/>
        </w:rPr>
        <w:t>obligāti veicamajām pārvaldīšanas darbībām nepieciešamie izdevumi vai īres maksa;</w:t>
      </w:r>
    </w:p>
    <w:p w:rsidR="00343AF5" w:rsidRPr="0063727B" w:rsidRDefault="00343AF5" w:rsidP="009A1501">
      <w:pPr>
        <w:pStyle w:val="tv2131"/>
        <w:numPr>
          <w:ilvl w:val="0"/>
          <w:numId w:val="5"/>
        </w:numPr>
        <w:spacing w:before="0" w:line="240" w:lineRule="auto"/>
        <w:ind w:left="1276"/>
        <w:rPr>
          <w:rFonts w:ascii="Times New Roman" w:hAnsi="Times New Roman" w:cs="Times New Roman"/>
          <w:sz w:val="24"/>
          <w:szCs w:val="24"/>
        </w:rPr>
      </w:pPr>
      <w:r w:rsidRPr="0063727B">
        <w:rPr>
          <w:rFonts w:ascii="Times New Roman" w:hAnsi="Times New Roman" w:cs="Times New Roman"/>
          <w:sz w:val="24"/>
          <w:szCs w:val="24"/>
        </w:rPr>
        <w:t>izdevumi apkures nodrošināšanai, vai arī i</w:t>
      </w:r>
      <w:r w:rsidR="007710A4" w:rsidRPr="0063727B">
        <w:rPr>
          <w:rFonts w:ascii="Times New Roman" w:hAnsi="Times New Roman" w:cs="Times New Roman"/>
          <w:sz w:val="24"/>
          <w:szCs w:val="24"/>
        </w:rPr>
        <w:t xml:space="preserve">zdevumi apkures un karstā ūdens </w:t>
      </w:r>
      <w:r w:rsidRPr="0063727B">
        <w:rPr>
          <w:rFonts w:ascii="Times New Roman" w:hAnsi="Times New Roman" w:cs="Times New Roman"/>
          <w:sz w:val="24"/>
          <w:szCs w:val="24"/>
        </w:rPr>
        <w:t>nodrošināšanai, ja tam izmanto siltumenerģiju vai dabasgāzi;</w:t>
      </w:r>
    </w:p>
    <w:p w:rsidR="00343AF5" w:rsidRPr="0063727B" w:rsidRDefault="00343AF5" w:rsidP="009A1501">
      <w:pPr>
        <w:pStyle w:val="tv2131"/>
        <w:numPr>
          <w:ilvl w:val="0"/>
          <w:numId w:val="5"/>
        </w:numPr>
        <w:spacing w:before="0" w:line="240" w:lineRule="auto"/>
        <w:ind w:left="1276"/>
        <w:rPr>
          <w:rFonts w:ascii="Times New Roman" w:hAnsi="Times New Roman" w:cs="Times New Roman"/>
          <w:sz w:val="24"/>
          <w:szCs w:val="24"/>
        </w:rPr>
      </w:pPr>
      <w:r w:rsidRPr="0063727B">
        <w:rPr>
          <w:rFonts w:ascii="Times New Roman" w:hAnsi="Times New Roman" w:cs="Times New Roman"/>
          <w:sz w:val="24"/>
          <w:szCs w:val="24"/>
        </w:rPr>
        <w:t>izdevumi par patērēto ūdeni;</w:t>
      </w:r>
    </w:p>
    <w:p w:rsidR="00343AF5" w:rsidRPr="0063727B" w:rsidRDefault="00343AF5" w:rsidP="009A1501">
      <w:pPr>
        <w:pStyle w:val="tv2131"/>
        <w:numPr>
          <w:ilvl w:val="0"/>
          <w:numId w:val="5"/>
        </w:numPr>
        <w:spacing w:before="0" w:line="240" w:lineRule="auto"/>
        <w:ind w:left="1276"/>
        <w:rPr>
          <w:rFonts w:ascii="Times New Roman" w:hAnsi="Times New Roman" w:cs="Times New Roman"/>
          <w:sz w:val="24"/>
          <w:szCs w:val="24"/>
        </w:rPr>
      </w:pPr>
      <w:r w:rsidRPr="0063727B">
        <w:rPr>
          <w:rFonts w:ascii="Times New Roman" w:hAnsi="Times New Roman" w:cs="Times New Roman"/>
          <w:sz w:val="24"/>
          <w:szCs w:val="24"/>
        </w:rPr>
        <w:t>izdevumi par kanalizācijas vai asenizācijas nodrošināšanu;</w:t>
      </w:r>
    </w:p>
    <w:p w:rsidR="00343AF5" w:rsidRPr="0063727B" w:rsidRDefault="00343AF5" w:rsidP="009A1501">
      <w:pPr>
        <w:pStyle w:val="tv2131"/>
        <w:numPr>
          <w:ilvl w:val="0"/>
          <w:numId w:val="5"/>
        </w:numPr>
        <w:spacing w:before="0" w:line="240" w:lineRule="auto"/>
        <w:ind w:left="1276"/>
        <w:rPr>
          <w:rFonts w:ascii="Times New Roman" w:hAnsi="Times New Roman" w:cs="Times New Roman"/>
          <w:sz w:val="24"/>
          <w:szCs w:val="24"/>
        </w:rPr>
      </w:pPr>
      <w:r w:rsidRPr="0063727B">
        <w:rPr>
          <w:rFonts w:ascii="Times New Roman" w:hAnsi="Times New Roman" w:cs="Times New Roman"/>
          <w:sz w:val="24"/>
          <w:szCs w:val="24"/>
        </w:rPr>
        <w:t>izdevumi par sadzīves atkritumu apsaimniekošanu;</w:t>
      </w:r>
    </w:p>
    <w:p w:rsidR="00343AF5" w:rsidRPr="0063727B" w:rsidRDefault="00343AF5" w:rsidP="009A1501">
      <w:pPr>
        <w:pStyle w:val="ListParagraph"/>
        <w:numPr>
          <w:ilvl w:val="0"/>
          <w:numId w:val="5"/>
        </w:numPr>
        <w:autoSpaceDE w:val="0"/>
        <w:autoSpaceDN w:val="0"/>
        <w:adjustRightInd w:val="0"/>
        <w:spacing w:after="0" w:line="240" w:lineRule="auto"/>
        <w:ind w:left="1276"/>
        <w:jc w:val="both"/>
        <w:rPr>
          <w:rFonts w:ascii="Times New Roman" w:hAnsi="Times New Roman" w:cs="Times New Roman"/>
          <w:sz w:val="24"/>
          <w:szCs w:val="24"/>
        </w:rPr>
      </w:pPr>
      <w:r w:rsidRPr="0063727B">
        <w:rPr>
          <w:rFonts w:ascii="Times New Roman" w:hAnsi="Times New Roman" w:cs="Times New Roman"/>
          <w:sz w:val="24"/>
          <w:szCs w:val="24"/>
        </w:rPr>
        <w:t>izdevumi par elektroenerģiju.</w:t>
      </w:r>
    </w:p>
    <w:p w:rsidR="00343AF5" w:rsidRPr="0063727B" w:rsidRDefault="00EA2F58" w:rsidP="001B2CB8">
      <w:pPr>
        <w:pStyle w:val="ListParagraph"/>
        <w:autoSpaceDE w:val="0"/>
        <w:autoSpaceDN w:val="0"/>
        <w:adjustRightInd w:val="0"/>
        <w:spacing w:after="0" w:line="240" w:lineRule="auto"/>
        <w:ind w:left="0" w:firstLine="588"/>
        <w:jc w:val="both"/>
        <w:rPr>
          <w:rFonts w:ascii="Times New Roman" w:hAnsi="Times New Roman" w:cs="Times New Roman"/>
          <w:sz w:val="24"/>
          <w:szCs w:val="24"/>
        </w:rPr>
      </w:pPr>
      <w:r w:rsidRPr="0063727B">
        <w:rPr>
          <w:rFonts w:ascii="Times New Roman" w:hAnsi="Times New Roman" w:cs="Times New Roman"/>
          <w:sz w:val="24"/>
          <w:szCs w:val="24"/>
        </w:rPr>
        <w:t>D</w:t>
      </w:r>
      <w:r w:rsidR="00343AF5" w:rsidRPr="0063727B">
        <w:rPr>
          <w:rFonts w:ascii="Times New Roman" w:hAnsi="Times New Roman" w:cs="Times New Roman"/>
          <w:sz w:val="24"/>
          <w:szCs w:val="24"/>
        </w:rPr>
        <w:t xml:space="preserve">eleģēt </w:t>
      </w:r>
      <w:r w:rsidRPr="0063727B">
        <w:rPr>
          <w:rFonts w:ascii="Times New Roman" w:hAnsi="Times New Roman" w:cs="Times New Roman"/>
          <w:sz w:val="24"/>
          <w:szCs w:val="24"/>
        </w:rPr>
        <w:t xml:space="preserve">pašvaldībām </w:t>
      </w:r>
      <w:r w:rsidR="00343AF5" w:rsidRPr="0063727B">
        <w:rPr>
          <w:rFonts w:ascii="Times New Roman" w:hAnsi="Times New Roman" w:cs="Times New Roman"/>
          <w:sz w:val="24"/>
          <w:szCs w:val="24"/>
        </w:rPr>
        <w:t>tiesības iekļaut mājokļa pabalstā arī citas ar mājokli tieši vai netieši saistītas pozīcijas (</w:t>
      </w:r>
      <w:r w:rsidR="00343AF5" w:rsidRPr="0063727B">
        <w:rPr>
          <w:rFonts w:ascii="Times New Roman" w:hAnsi="Times New Roman" w:cs="Times New Roman"/>
          <w:i/>
          <w:iCs/>
          <w:sz w:val="24"/>
          <w:szCs w:val="24"/>
        </w:rPr>
        <w:t>piemēram</w:t>
      </w:r>
      <w:r w:rsidR="00343AF5" w:rsidRPr="0063727B">
        <w:rPr>
          <w:rFonts w:ascii="Times New Roman" w:hAnsi="Times New Roman" w:cs="Times New Roman"/>
          <w:sz w:val="24"/>
          <w:szCs w:val="24"/>
        </w:rPr>
        <w:t xml:space="preserve">, cietais kurināmais, interneta, telefona apmaksa). </w:t>
      </w:r>
    </w:p>
    <w:p w:rsidR="00343AF5" w:rsidRPr="0063727B" w:rsidRDefault="00343AF5" w:rsidP="001B2CB8">
      <w:pPr>
        <w:pStyle w:val="ListParagraph"/>
        <w:autoSpaceDE w:val="0"/>
        <w:autoSpaceDN w:val="0"/>
        <w:adjustRightInd w:val="0"/>
        <w:spacing w:after="0" w:line="240" w:lineRule="auto"/>
        <w:ind w:left="0" w:firstLine="588"/>
        <w:jc w:val="both"/>
        <w:rPr>
          <w:rFonts w:ascii="Times New Roman" w:hAnsi="Times New Roman" w:cs="Times New Roman"/>
          <w:sz w:val="24"/>
          <w:szCs w:val="24"/>
        </w:rPr>
      </w:pPr>
      <w:r w:rsidRPr="0063727B">
        <w:rPr>
          <w:rFonts w:ascii="Times New Roman" w:hAnsi="Times New Roman" w:cs="Times New Roman"/>
          <w:sz w:val="24"/>
          <w:szCs w:val="24"/>
        </w:rPr>
        <w:t xml:space="preserve">Tiek noteikti katras </w:t>
      </w:r>
      <w:r w:rsidRPr="0063727B">
        <w:rPr>
          <w:rFonts w:ascii="Times New Roman" w:hAnsi="Times New Roman" w:cs="Times New Roman"/>
          <w:i/>
          <w:iCs/>
          <w:sz w:val="24"/>
          <w:szCs w:val="24"/>
        </w:rPr>
        <w:t>izdevumu</w:t>
      </w:r>
      <w:r w:rsidRPr="0063727B">
        <w:rPr>
          <w:rFonts w:ascii="Times New Roman" w:hAnsi="Times New Roman" w:cs="Times New Roman"/>
          <w:sz w:val="24"/>
          <w:szCs w:val="24"/>
        </w:rPr>
        <w:t xml:space="preserve"> pozīcijas </w:t>
      </w:r>
      <w:r w:rsidRPr="0063727B">
        <w:rPr>
          <w:rFonts w:ascii="Times New Roman" w:hAnsi="Times New Roman" w:cs="Times New Roman"/>
          <w:i/>
          <w:iCs/>
          <w:sz w:val="24"/>
          <w:szCs w:val="24"/>
        </w:rPr>
        <w:t>minimālie normatīvi</w:t>
      </w:r>
      <w:r w:rsidRPr="0063727B">
        <w:rPr>
          <w:rFonts w:ascii="Times New Roman" w:hAnsi="Times New Roman" w:cs="Times New Roman"/>
          <w:sz w:val="24"/>
          <w:szCs w:val="24"/>
        </w:rPr>
        <w:t>, kā arī atbalsta apmērs atkarībā no mājokļa atrašanās vietas un mājsaimniecības lieluma. Pašvaldībām tiek deleģētas tiesības līdz noteiktai robežai palielināt valsts noteiktos minimālos normatīvus</w:t>
      </w:r>
      <w:r w:rsidR="001C38A7" w:rsidRPr="0063727B">
        <w:rPr>
          <w:rFonts w:ascii="Times New Roman" w:hAnsi="Times New Roman" w:cs="Times New Roman"/>
          <w:sz w:val="24"/>
          <w:szCs w:val="24"/>
        </w:rPr>
        <w:t xml:space="preserve">, bet </w:t>
      </w:r>
      <w:r w:rsidR="00296C10" w:rsidRPr="0063727B">
        <w:rPr>
          <w:rFonts w:ascii="Times New Roman" w:hAnsi="Times New Roman" w:cs="Times New Roman"/>
          <w:sz w:val="24"/>
          <w:szCs w:val="24"/>
        </w:rPr>
        <w:t xml:space="preserve">mājokļa pabalsta aprēķinā ņemt vērā izdevumus, kas </w:t>
      </w:r>
      <w:r w:rsidR="00296C10" w:rsidRPr="0063727B">
        <w:rPr>
          <w:rFonts w:ascii="Times New Roman" w:hAnsi="Times New Roman" w:cs="Times New Roman"/>
          <w:i/>
          <w:sz w:val="24"/>
          <w:szCs w:val="24"/>
        </w:rPr>
        <w:t xml:space="preserve">nepārsniedz </w:t>
      </w:r>
      <w:r w:rsidR="001C38A7" w:rsidRPr="0063727B">
        <w:rPr>
          <w:rFonts w:ascii="Times New Roman" w:hAnsi="Times New Roman" w:cs="Times New Roman"/>
          <w:i/>
          <w:sz w:val="24"/>
          <w:szCs w:val="24"/>
        </w:rPr>
        <w:t>faktisk</w:t>
      </w:r>
      <w:r w:rsidR="00296C10" w:rsidRPr="0063727B">
        <w:rPr>
          <w:rFonts w:ascii="Times New Roman" w:hAnsi="Times New Roman" w:cs="Times New Roman"/>
          <w:i/>
          <w:sz w:val="24"/>
          <w:szCs w:val="24"/>
        </w:rPr>
        <w:t xml:space="preserve">os </w:t>
      </w:r>
      <w:r w:rsidR="001C38A7" w:rsidRPr="0063727B">
        <w:rPr>
          <w:rFonts w:ascii="Times New Roman" w:hAnsi="Times New Roman" w:cs="Times New Roman"/>
          <w:i/>
          <w:sz w:val="24"/>
          <w:szCs w:val="24"/>
        </w:rPr>
        <w:t>izdevum</w:t>
      </w:r>
      <w:r w:rsidR="00296C10" w:rsidRPr="0063727B">
        <w:rPr>
          <w:rFonts w:ascii="Times New Roman" w:hAnsi="Times New Roman" w:cs="Times New Roman"/>
          <w:i/>
          <w:sz w:val="24"/>
          <w:szCs w:val="24"/>
        </w:rPr>
        <w:t>us</w:t>
      </w:r>
      <w:r w:rsidR="001C38A7" w:rsidRPr="0063727B">
        <w:rPr>
          <w:rFonts w:ascii="Times New Roman" w:hAnsi="Times New Roman" w:cs="Times New Roman"/>
          <w:sz w:val="24"/>
          <w:szCs w:val="24"/>
        </w:rPr>
        <w:t xml:space="preserve"> šajās pozīcijās</w:t>
      </w:r>
      <w:r w:rsidRPr="0063727B">
        <w:rPr>
          <w:rFonts w:ascii="Times New Roman" w:hAnsi="Times New Roman" w:cs="Times New Roman"/>
          <w:sz w:val="24"/>
          <w:szCs w:val="24"/>
        </w:rPr>
        <w:t>.</w:t>
      </w:r>
    </w:p>
    <w:p w:rsidR="00343AF5" w:rsidRPr="0063727B" w:rsidRDefault="00343AF5" w:rsidP="001B2CB8">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3727B">
        <w:rPr>
          <w:rFonts w:ascii="Times New Roman" w:hAnsi="Times New Roman" w:cs="Times New Roman"/>
          <w:sz w:val="24"/>
          <w:szCs w:val="24"/>
        </w:rPr>
        <w:t>Ikmēneša mājokļa pabalsta apmēra aprēķināšanai tiek piedāvāts piemērot, piemēram, šādu formulu:</w:t>
      </w:r>
    </w:p>
    <w:p w:rsidR="00343AF5" w:rsidRPr="0063727B" w:rsidRDefault="00343AF5" w:rsidP="00DA61A6">
      <w:pPr>
        <w:spacing w:after="0" w:line="240" w:lineRule="auto"/>
        <w:ind w:left="2520" w:firstLine="228"/>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 xml:space="preserve">P = </w:t>
      </w:r>
      <w:r w:rsidR="00BB6B82" w:rsidRPr="0063727B">
        <w:rPr>
          <w:rFonts w:ascii="Times New Roman" w:hAnsi="Times New Roman" w:cs="Times New Roman"/>
          <w:sz w:val="24"/>
          <w:szCs w:val="24"/>
          <w:shd w:val="clear" w:color="auto" w:fill="FFFFFF"/>
        </w:rPr>
        <w:t>MNL</w:t>
      </w:r>
      <w:r w:rsidRPr="0063727B">
        <w:rPr>
          <w:rFonts w:ascii="Times New Roman" w:hAnsi="Times New Roman" w:cs="Times New Roman"/>
          <w:sz w:val="24"/>
          <w:szCs w:val="24"/>
          <w:shd w:val="clear" w:color="auto" w:fill="FFFFFF"/>
        </w:rPr>
        <w:t xml:space="preserve"> + K – I, kur</w:t>
      </w:r>
    </w:p>
    <w:p w:rsidR="00343AF5" w:rsidRPr="0063727B" w:rsidRDefault="00343AF5" w:rsidP="009A1501">
      <w:pPr>
        <w:numPr>
          <w:ilvl w:val="0"/>
          <w:numId w:val="5"/>
        </w:numPr>
        <w:spacing w:after="0" w:line="240" w:lineRule="auto"/>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 xml:space="preserve">P – mājokļa pabalsta apmērs; </w:t>
      </w:r>
    </w:p>
    <w:p w:rsidR="00343AF5" w:rsidRPr="0063727B" w:rsidRDefault="00BB6B82" w:rsidP="009A1501">
      <w:pPr>
        <w:numPr>
          <w:ilvl w:val="0"/>
          <w:numId w:val="5"/>
        </w:numPr>
        <w:spacing w:after="0" w:line="240" w:lineRule="auto"/>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 xml:space="preserve">MNL </w:t>
      </w:r>
      <w:r w:rsidR="00343AF5" w:rsidRPr="0063727B">
        <w:rPr>
          <w:rFonts w:ascii="Times New Roman" w:hAnsi="Times New Roman" w:cs="Times New Roman"/>
          <w:sz w:val="24"/>
          <w:szCs w:val="24"/>
          <w:shd w:val="clear" w:color="auto" w:fill="FFFFFF"/>
        </w:rPr>
        <w:t>- minimāl</w:t>
      </w:r>
      <w:r w:rsidR="00920BE3" w:rsidRPr="0063727B">
        <w:rPr>
          <w:rFonts w:ascii="Times New Roman" w:hAnsi="Times New Roman" w:cs="Times New Roman"/>
          <w:sz w:val="24"/>
          <w:szCs w:val="24"/>
          <w:shd w:val="clear" w:color="auto" w:fill="FFFFFF"/>
        </w:rPr>
        <w:t>ā</w:t>
      </w:r>
      <w:r w:rsidR="00343AF5" w:rsidRPr="0063727B">
        <w:rPr>
          <w:rFonts w:ascii="Times New Roman" w:hAnsi="Times New Roman" w:cs="Times New Roman"/>
          <w:sz w:val="24"/>
          <w:szCs w:val="24"/>
          <w:shd w:val="clear" w:color="auto" w:fill="FFFFFF"/>
        </w:rPr>
        <w:t xml:space="preserve"> ienākum</w:t>
      </w:r>
      <w:r w:rsidR="00920BE3" w:rsidRPr="0063727B">
        <w:rPr>
          <w:rFonts w:ascii="Times New Roman" w:hAnsi="Times New Roman" w:cs="Times New Roman"/>
          <w:sz w:val="24"/>
          <w:szCs w:val="24"/>
          <w:shd w:val="clear" w:color="auto" w:fill="FFFFFF"/>
        </w:rPr>
        <w:t>a</w:t>
      </w:r>
      <w:r w:rsidR="00343AF5" w:rsidRPr="0063727B">
        <w:rPr>
          <w:rFonts w:ascii="Times New Roman" w:hAnsi="Times New Roman" w:cs="Times New Roman"/>
          <w:sz w:val="24"/>
          <w:szCs w:val="24"/>
          <w:shd w:val="clear" w:color="auto" w:fill="FFFFFF"/>
        </w:rPr>
        <w:t xml:space="preserve"> </w:t>
      </w:r>
      <w:r w:rsidR="00BE3B23" w:rsidRPr="0063727B">
        <w:rPr>
          <w:rFonts w:ascii="Times New Roman" w:hAnsi="Times New Roman" w:cs="Times New Roman"/>
          <w:sz w:val="24"/>
          <w:szCs w:val="24"/>
          <w:shd w:val="clear" w:color="auto" w:fill="FFFFFF"/>
        </w:rPr>
        <w:t xml:space="preserve">jeb </w:t>
      </w:r>
      <w:r w:rsidR="00BE3B23" w:rsidRPr="0063727B">
        <w:rPr>
          <w:rFonts w:ascii="Times New Roman" w:hAnsi="Times New Roman" w:cs="Times New Roman"/>
          <w:sz w:val="24"/>
          <w:szCs w:val="24"/>
        </w:rPr>
        <w:t>nodrošinājuma līme</w:t>
      </w:r>
      <w:r w:rsidR="00920BE3" w:rsidRPr="0063727B">
        <w:rPr>
          <w:rFonts w:ascii="Times New Roman" w:hAnsi="Times New Roman" w:cs="Times New Roman"/>
          <w:sz w:val="24"/>
          <w:szCs w:val="24"/>
        </w:rPr>
        <w:t>nis</w:t>
      </w:r>
      <w:r w:rsidR="00BE3B23" w:rsidRPr="0063727B">
        <w:rPr>
          <w:rFonts w:ascii="Times New Roman" w:hAnsi="Times New Roman" w:cs="Times New Roman"/>
          <w:sz w:val="24"/>
          <w:szCs w:val="24"/>
          <w:shd w:val="clear" w:color="auto" w:fill="FFFFFF"/>
        </w:rPr>
        <w:t xml:space="preserve"> </w:t>
      </w:r>
      <w:r w:rsidR="00343AF5" w:rsidRPr="0063727B">
        <w:rPr>
          <w:rFonts w:ascii="Times New Roman" w:hAnsi="Times New Roman" w:cs="Times New Roman"/>
          <w:sz w:val="24"/>
          <w:szCs w:val="24"/>
          <w:shd w:val="clear" w:color="auto" w:fill="FFFFFF"/>
        </w:rPr>
        <w:t>pārrēķināt</w:t>
      </w:r>
      <w:r w:rsidR="00920BE3" w:rsidRPr="0063727B">
        <w:rPr>
          <w:rFonts w:ascii="Times New Roman" w:hAnsi="Times New Roman" w:cs="Times New Roman"/>
          <w:sz w:val="24"/>
          <w:szCs w:val="24"/>
          <w:shd w:val="clear" w:color="auto" w:fill="FFFFFF"/>
        </w:rPr>
        <w:t>s</w:t>
      </w:r>
      <w:r w:rsidR="00343AF5" w:rsidRPr="0063727B">
        <w:rPr>
          <w:rFonts w:ascii="Times New Roman" w:hAnsi="Times New Roman" w:cs="Times New Roman"/>
          <w:sz w:val="24"/>
          <w:szCs w:val="24"/>
          <w:shd w:val="clear" w:color="auto" w:fill="FFFFFF"/>
        </w:rPr>
        <w:t xml:space="preserve"> atbilstoši </w:t>
      </w:r>
      <w:r w:rsidR="00EA2F58" w:rsidRPr="0063727B">
        <w:rPr>
          <w:rFonts w:ascii="Times New Roman" w:hAnsi="Times New Roman" w:cs="Times New Roman"/>
          <w:sz w:val="24"/>
          <w:szCs w:val="24"/>
          <w:shd w:val="clear" w:color="auto" w:fill="FFFFFF"/>
        </w:rPr>
        <w:t xml:space="preserve">OECD </w:t>
      </w:r>
      <w:r w:rsidR="00343AF5" w:rsidRPr="0063727B">
        <w:rPr>
          <w:rFonts w:ascii="Times New Roman" w:hAnsi="Times New Roman" w:cs="Times New Roman"/>
          <w:sz w:val="24"/>
          <w:szCs w:val="24"/>
          <w:shd w:val="clear" w:color="auto" w:fill="FFFFFF"/>
        </w:rPr>
        <w:t xml:space="preserve">ekvivalences skalai konkrētajai mājsaimniecībai; </w:t>
      </w:r>
    </w:p>
    <w:p w:rsidR="00343AF5" w:rsidRPr="0063727B" w:rsidRDefault="00343AF5" w:rsidP="009A1501">
      <w:pPr>
        <w:numPr>
          <w:ilvl w:val="0"/>
          <w:numId w:val="5"/>
        </w:numPr>
        <w:spacing w:after="0" w:line="240" w:lineRule="auto"/>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 xml:space="preserve">K – normatīvie izdevumi par īri vai apsaimniekošanu un komunālajiem pakalpojumiem; </w:t>
      </w:r>
    </w:p>
    <w:p w:rsidR="00920BE3" w:rsidRPr="0063727B" w:rsidRDefault="00920BE3" w:rsidP="009A1501">
      <w:pPr>
        <w:numPr>
          <w:ilvl w:val="0"/>
          <w:numId w:val="5"/>
        </w:numPr>
        <w:spacing w:after="0" w:line="240" w:lineRule="auto"/>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 xml:space="preserve">I </w:t>
      </w:r>
      <w:r w:rsidR="005C364A" w:rsidRPr="0063727B">
        <w:rPr>
          <w:rFonts w:ascii="Times New Roman" w:hAnsi="Times New Roman" w:cs="Times New Roman"/>
          <w:sz w:val="24"/>
          <w:szCs w:val="24"/>
          <w:shd w:val="clear" w:color="auto" w:fill="FFFFFF"/>
        </w:rPr>
        <w:t>-</w:t>
      </w:r>
      <w:r w:rsidRPr="0063727B">
        <w:rPr>
          <w:rFonts w:ascii="Times New Roman" w:hAnsi="Times New Roman" w:cs="Times New Roman"/>
          <w:sz w:val="24"/>
          <w:szCs w:val="24"/>
          <w:shd w:val="clear" w:color="auto" w:fill="FFFFFF"/>
        </w:rPr>
        <w:t xml:space="preserve"> mājsaimniecības kopējie ienākumi.</w:t>
      </w:r>
    </w:p>
    <w:p w:rsidR="00343AF5" w:rsidRPr="0063727B" w:rsidRDefault="00343AF5" w:rsidP="009A1501">
      <w:pPr>
        <w:pStyle w:val="ListParagraph"/>
        <w:numPr>
          <w:ilvl w:val="0"/>
          <w:numId w:val="28"/>
        </w:numPr>
        <w:spacing w:after="0" w:line="240" w:lineRule="auto"/>
        <w:ind w:left="567" w:hanging="567"/>
        <w:jc w:val="both"/>
        <w:rPr>
          <w:rFonts w:ascii="Times New Roman" w:hAnsi="Times New Roman" w:cs="Times New Roman"/>
          <w:sz w:val="24"/>
          <w:szCs w:val="24"/>
          <w:shd w:val="clear" w:color="auto" w:fill="FFFFFF"/>
        </w:rPr>
      </w:pPr>
      <w:r w:rsidRPr="0063727B">
        <w:rPr>
          <w:rFonts w:ascii="Times New Roman" w:hAnsi="Times New Roman" w:cs="Times New Roman"/>
          <w:sz w:val="24"/>
          <w:szCs w:val="24"/>
          <w:shd w:val="clear" w:color="auto" w:fill="FFFFFF"/>
        </w:rPr>
        <w:t>Ja</w:t>
      </w:r>
      <w:r w:rsidR="009B5F54" w:rsidRPr="0063727B">
        <w:rPr>
          <w:rFonts w:ascii="Times New Roman" w:hAnsi="Times New Roman" w:cs="Times New Roman"/>
          <w:sz w:val="24"/>
          <w:szCs w:val="24"/>
          <w:shd w:val="clear" w:color="auto" w:fill="FFFFFF"/>
        </w:rPr>
        <w:t xml:space="preserve"> </w:t>
      </w:r>
      <w:r w:rsidRPr="0063727B">
        <w:rPr>
          <w:rFonts w:ascii="Times New Roman" w:hAnsi="Times New Roman" w:cs="Times New Roman"/>
          <w:sz w:val="24"/>
          <w:szCs w:val="24"/>
          <w:shd w:val="clear" w:color="auto" w:fill="FFFFFF"/>
        </w:rPr>
        <w:t xml:space="preserve">mājsaimniecībai, kurā visas darbspējīgas personas ir iesaistītas darba tirgū, tiek </w:t>
      </w:r>
      <w:r w:rsidR="005C364A" w:rsidRPr="0063727B">
        <w:rPr>
          <w:rFonts w:ascii="Times New Roman" w:hAnsi="Times New Roman" w:cs="Times New Roman"/>
          <w:sz w:val="24"/>
          <w:szCs w:val="24"/>
          <w:shd w:val="clear" w:color="auto" w:fill="FFFFFF"/>
        </w:rPr>
        <w:t xml:space="preserve">piemērots minimālā ienākuma jeb </w:t>
      </w:r>
      <w:r w:rsidR="005C364A" w:rsidRPr="0063727B">
        <w:rPr>
          <w:rFonts w:ascii="Times New Roman" w:hAnsi="Times New Roman" w:cs="Times New Roman"/>
          <w:sz w:val="24"/>
          <w:szCs w:val="24"/>
        </w:rPr>
        <w:t>nodrošinājuma līmenis</w:t>
      </w:r>
      <w:r w:rsidR="00CE361E" w:rsidRPr="0063727B">
        <w:rPr>
          <w:rFonts w:ascii="Times New Roman" w:hAnsi="Times New Roman" w:cs="Times New Roman"/>
          <w:sz w:val="24"/>
          <w:szCs w:val="24"/>
        </w:rPr>
        <w:t xml:space="preserve"> </w:t>
      </w:r>
      <w:r w:rsidRPr="0063727B">
        <w:rPr>
          <w:rFonts w:ascii="Times New Roman" w:hAnsi="Times New Roman" w:cs="Times New Roman"/>
          <w:sz w:val="24"/>
          <w:szCs w:val="24"/>
          <w:shd w:val="clear" w:color="auto" w:fill="FFFFFF"/>
        </w:rPr>
        <w:t xml:space="preserve">60% apmērā no mediānas ekvivalentajiem ienākumiem, tad tiek pieņemts, ka 20% no šīs summas jāizlieto mājokļa normatīvo izdevumu apmaksai. Atlikusī mājokļa normatīvo izdevumu summa tiek apmaksāta mājokļa pabalsta veidā. </w:t>
      </w:r>
    </w:p>
    <w:p w:rsidR="00343AF5" w:rsidRPr="0063727B" w:rsidRDefault="00343AF5" w:rsidP="001B2CB8">
      <w:pPr>
        <w:autoSpaceDE w:val="0"/>
        <w:autoSpaceDN w:val="0"/>
        <w:adjustRightInd w:val="0"/>
        <w:spacing w:after="0" w:line="240" w:lineRule="auto"/>
        <w:rPr>
          <w:rFonts w:ascii="Times New Roman" w:hAnsi="Times New Roman" w:cs="Times New Roman"/>
          <w:sz w:val="24"/>
          <w:szCs w:val="24"/>
        </w:rPr>
      </w:pPr>
    </w:p>
    <w:p w:rsidR="00343AF5" w:rsidRPr="0063727B" w:rsidRDefault="00343AF5" w:rsidP="00DF5660">
      <w:pPr>
        <w:pStyle w:val="Heading2"/>
        <w:numPr>
          <w:ilvl w:val="1"/>
          <w:numId w:val="2"/>
        </w:numPr>
        <w:spacing w:before="0" w:line="240" w:lineRule="auto"/>
        <w:rPr>
          <w:rFonts w:ascii="Times New Roman" w:hAnsi="Times New Roman" w:cs="Times New Roman"/>
          <w:color w:val="auto"/>
          <w:sz w:val="24"/>
          <w:szCs w:val="24"/>
          <w:lang w:val="lv-LV"/>
        </w:rPr>
      </w:pPr>
      <w:bookmarkStart w:id="77" w:name="_Toc372812644"/>
      <w:r w:rsidRPr="0063727B">
        <w:rPr>
          <w:rFonts w:ascii="Times New Roman" w:hAnsi="Times New Roman" w:cs="Times New Roman"/>
          <w:color w:val="auto"/>
          <w:sz w:val="24"/>
          <w:szCs w:val="24"/>
          <w:lang w:val="lv-LV"/>
        </w:rPr>
        <w:t>Aktīvie darba tirgus pasākumi</w:t>
      </w:r>
      <w:bookmarkEnd w:id="77"/>
    </w:p>
    <w:p w:rsidR="00343AF5" w:rsidRPr="0063727B" w:rsidRDefault="00343AF5" w:rsidP="006F1D76">
      <w:pPr>
        <w:pStyle w:val="ListParagraph"/>
        <w:autoSpaceDE w:val="0"/>
        <w:autoSpaceDN w:val="0"/>
        <w:adjustRightInd w:val="0"/>
        <w:spacing w:after="0" w:line="240" w:lineRule="auto"/>
        <w:ind w:left="1080"/>
        <w:rPr>
          <w:rFonts w:ascii="Times New Roman" w:hAnsi="Times New Roman" w:cs="Times New Roman"/>
          <w:b/>
          <w:bCs/>
          <w:i/>
          <w:iCs/>
          <w:sz w:val="24"/>
          <w:szCs w:val="24"/>
        </w:rPr>
      </w:pPr>
    </w:p>
    <w:p w:rsidR="00343AF5" w:rsidRPr="0063727B" w:rsidRDefault="00343AF5" w:rsidP="00385E9E">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Lai risinātu identificētos trūkumus un nepilnības</w:t>
      </w:r>
      <w:r w:rsidRPr="0063727B">
        <w:rPr>
          <w:rFonts w:ascii="Times New Roman" w:hAnsi="Times New Roman" w:cs="Times New Roman"/>
          <w:b/>
          <w:bCs/>
          <w:sz w:val="24"/>
          <w:szCs w:val="24"/>
        </w:rPr>
        <w:t xml:space="preserve"> </w:t>
      </w:r>
      <w:r w:rsidRPr="0063727B">
        <w:rPr>
          <w:rFonts w:ascii="Times New Roman" w:hAnsi="Times New Roman" w:cs="Times New Roman"/>
          <w:bCs/>
          <w:sz w:val="24"/>
          <w:szCs w:val="24"/>
        </w:rPr>
        <w:t>nodarbinātības un darba tirgus politikas jomā</w:t>
      </w:r>
      <w:r w:rsidRPr="0063727B">
        <w:rPr>
          <w:rFonts w:ascii="Times New Roman" w:hAnsi="Times New Roman" w:cs="Times New Roman"/>
          <w:sz w:val="24"/>
          <w:szCs w:val="24"/>
        </w:rPr>
        <w:t xml:space="preserve">, Labklājības ministrija izstrādā vidēja termiņa politikas plānošanas dokumentu </w:t>
      </w:r>
      <w:r w:rsidRPr="0063727B">
        <w:rPr>
          <w:rFonts w:ascii="Times New Roman" w:hAnsi="Times New Roman" w:cs="Times New Roman"/>
          <w:i/>
          <w:iCs/>
          <w:sz w:val="24"/>
          <w:szCs w:val="24"/>
        </w:rPr>
        <w:t>„Nodarbinātības un iekļaujošas izaugsmes pamatnostādnes 2014.-2020.gadam”</w:t>
      </w:r>
      <w:r w:rsidRPr="0063727B">
        <w:rPr>
          <w:rFonts w:ascii="Times New Roman" w:hAnsi="Times New Roman" w:cs="Times New Roman"/>
          <w:sz w:val="24"/>
          <w:szCs w:val="24"/>
        </w:rPr>
        <w:t xml:space="preserve">, kur noteikti šādi </w:t>
      </w:r>
      <w:r w:rsidRPr="0063727B">
        <w:rPr>
          <w:rFonts w:ascii="Times New Roman" w:hAnsi="Times New Roman" w:cs="Times New Roman"/>
          <w:sz w:val="24"/>
          <w:szCs w:val="24"/>
          <w:u w:val="single"/>
        </w:rPr>
        <w:t>rīcības virzieni</w:t>
      </w:r>
      <w:r w:rsidRPr="0063727B">
        <w:rPr>
          <w:rFonts w:ascii="Times New Roman" w:hAnsi="Times New Roman" w:cs="Times New Roman"/>
          <w:sz w:val="24"/>
          <w:szCs w:val="24"/>
        </w:rPr>
        <w:t xml:space="preserve">: </w:t>
      </w:r>
    </w:p>
    <w:p w:rsidR="00343AF5" w:rsidRPr="0063727B" w:rsidRDefault="00343AF5" w:rsidP="00385E9E">
      <w:pPr>
        <w:spacing w:after="0" w:line="240" w:lineRule="auto"/>
        <w:ind w:firstLine="720"/>
        <w:jc w:val="both"/>
        <w:rPr>
          <w:rFonts w:ascii="Times New Roman" w:hAnsi="Times New Roman" w:cs="Times New Roman"/>
          <w:sz w:val="24"/>
          <w:szCs w:val="24"/>
        </w:rPr>
      </w:pPr>
    </w:p>
    <w:p w:rsidR="00343AF5" w:rsidRPr="0063727B" w:rsidRDefault="00343AF5" w:rsidP="009A1501">
      <w:pPr>
        <w:pStyle w:val="ListParagraph"/>
        <w:numPr>
          <w:ilvl w:val="0"/>
          <w:numId w:val="14"/>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b/>
          <w:bCs/>
          <w:sz w:val="24"/>
          <w:szCs w:val="24"/>
        </w:rPr>
        <w:lastRenderedPageBreak/>
        <w:t xml:space="preserve">Augsti līdzdalības rādītāji darba tirgū </w:t>
      </w:r>
      <w:r w:rsidRPr="0063727B">
        <w:rPr>
          <w:rFonts w:ascii="Times New Roman" w:hAnsi="Times New Roman" w:cs="Times New Roman"/>
          <w:sz w:val="24"/>
          <w:szCs w:val="24"/>
        </w:rPr>
        <w:t>– vai visas darba spējīgās personas ir aktīvas un kompetentas, un visas dzīves laikā saistītas ar darba tirgu, saņemot vajadzīgo atbalstu izmērāmā un izmaksu ziņā lietderīgā veidā?</w:t>
      </w:r>
    </w:p>
    <w:p w:rsidR="00343AF5" w:rsidRPr="0063727B" w:rsidRDefault="00343AF5" w:rsidP="009A1501">
      <w:pPr>
        <w:pStyle w:val="ListParagraph"/>
        <w:numPr>
          <w:ilvl w:val="0"/>
          <w:numId w:val="14"/>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b/>
          <w:bCs/>
          <w:sz w:val="24"/>
          <w:szCs w:val="24"/>
        </w:rPr>
        <w:t>Sociāli iekļaujoša un taisnīga pieeja</w:t>
      </w:r>
      <w:r w:rsidRPr="0063727B">
        <w:rPr>
          <w:rFonts w:ascii="Times New Roman" w:hAnsi="Times New Roman" w:cs="Times New Roman"/>
          <w:sz w:val="24"/>
          <w:szCs w:val="24"/>
        </w:rPr>
        <w:t> – vai darbs ir atbilstošas kvalitātes, stabils un vienlīdzīgi pieejams dažādu vecumu vīriešiem un sievietēm, vai tas atspoguļo daudzveidību sabiedrībā, ir brīvs no šķēršļiem un pārredzams, ar iespēju saņemt skaidru informāciju?</w:t>
      </w:r>
    </w:p>
    <w:p w:rsidR="00343AF5" w:rsidRPr="0063727B" w:rsidRDefault="00343AF5" w:rsidP="009A1501">
      <w:pPr>
        <w:pStyle w:val="ListParagraph"/>
        <w:numPr>
          <w:ilvl w:val="0"/>
          <w:numId w:val="14"/>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b/>
          <w:bCs/>
          <w:sz w:val="24"/>
          <w:szCs w:val="24"/>
        </w:rPr>
        <w:t>Efektīva piedāvājuma un pieprasījuma saskaņošana </w:t>
      </w:r>
      <w:r w:rsidRPr="0063727B">
        <w:rPr>
          <w:rFonts w:ascii="Times New Roman" w:hAnsi="Times New Roman" w:cs="Times New Roman"/>
          <w:sz w:val="24"/>
          <w:szCs w:val="24"/>
        </w:rPr>
        <w:t>– vai ir iespējama netraucēta, ātra un droša pāreja no vienas darbavietas uz otru, kas atbilst darba meklētāju vai darba ņēmēju vajadzībām, kā arī darba devēju prasībām, un vai tajā ir iekļauta kvalitatīva mūžizglītība?</w:t>
      </w:r>
    </w:p>
    <w:p w:rsidR="00343AF5" w:rsidRPr="0063727B" w:rsidRDefault="00343AF5" w:rsidP="009A1501">
      <w:pPr>
        <w:pStyle w:val="ListParagraph"/>
        <w:numPr>
          <w:ilvl w:val="0"/>
          <w:numId w:val="14"/>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b/>
          <w:bCs/>
          <w:sz w:val="24"/>
          <w:szCs w:val="24"/>
        </w:rPr>
        <w:t>Nodarbinātību sekmējoša vide</w:t>
      </w:r>
      <w:r w:rsidRPr="0063727B">
        <w:rPr>
          <w:rFonts w:ascii="Times New Roman" w:hAnsi="Times New Roman" w:cs="Times New Roman"/>
          <w:sz w:val="24"/>
          <w:szCs w:val="24"/>
        </w:rPr>
        <w:t> – vai veicinot darbavietu radīšanu, darba ņēmējiem un uzņēmumiem kopīgi tiek nodrošināti ilgtspējīgi panākumi, un vai darba izmaksas un vērtību var pielāgot rezultātiem, lai nodrošinātu atbilstošus ienākumus un saglabātu konkurētspēju?</w:t>
      </w:r>
    </w:p>
    <w:p w:rsidR="00343AF5" w:rsidRPr="0063727B" w:rsidRDefault="00343AF5" w:rsidP="009A1501">
      <w:pPr>
        <w:pStyle w:val="ListParagraph"/>
        <w:numPr>
          <w:ilvl w:val="0"/>
          <w:numId w:val="14"/>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b/>
          <w:bCs/>
          <w:sz w:val="24"/>
          <w:szCs w:val="24"/>
        </w:rPr>
        <w:t>Mobilitātes iespējas</w:t>
      </w:r>
      <w:r w:rsidRPr="0063727B">
        <w:rPr>
          <w:rFonts w:ascii="Times New Roman" w:hAnsi="Times New Roman" w:cs="Times New Roman"/>
          <w:sz w:val="24"/>
          <w:szCs w:val="24"/>
        </w:rPr>
        <w:t> – vai darba ņēmēji var droši gūt panākumus darbā un mainīt darbavietas bez nepamatotiem šķēršļiem un sodiem, un vai viņi vienlaikus tiek atbalstīti, ja nepieciešami pielāgojumi?</w:t>
      </w:r>
    </w:p>
    <w:p w:rsidR="00343AF5" w:rsidRPr="0063727B" w:rsidRDefault="00343AF5" w:rsidP="00385E9E">
      <w:pPr>
        <w:tabs>
          <w:tab w:val="left" w:pos="1134"/>
          <w:tab w:val="left" w:pos="5693"/>
        </w:tabs>
        <w:spacing w:after="0" w:line="240" w:lineRule="auto"/>
        <w:jc w:val="both"/>
        <w:rPr>
          <w:rFonts w:ascii="Times New Roman" w:hAnsi="Times New Roman" w:cs="Times New Roman"/>
          <w:sz w:val="24"/>
          <w:szCs w:val="24"/>
        </w:rPr>
      </w:pPr>
    </w:p>
    <w:p w:rsidR="00343AF5" w:rsidRDefault="00343AF5" w:rsidP="00385E9E">
      <w:pPr>
        <w:tabs>
          <w:tab w:val="left" w:pos="1134"/>
          <w:tab w:val="left" w:pos="5693"/>
        </w:tabs>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Pamatnostādņu</w:t>
      </w:r>
      <w:r w:rsidRPr="0063727B">
        <w:rPr>
          <w:rFonts w:ascii="Times New Roman" w:hAnsi="Times New Roman" w:cs="Times New Roman"/>
          <w:b/>
          <w:bCs/>
          <w:sz w:val="24"/>
          <w:szCs w:val="24"/>
        </w:rPr>
        <w:t xml:space="preserve"> </w:t>
      </w:r>
      <w:r w:rsidRPr="0063727B">
        <w:rPr>
          <w:rFonts w:ascii="Times New Roman" w:hAnsi="Times New Roman" w:cs="Times New Roman"/>
          <w:bCs/>
          <w:sz w:val="24"/>
          <w:szCs w:val="24"/>
        </w:rPr>
        <w:t>mērķis</w:t>
      </w:r>
      <w:r w:rsidRPr="0063727B">
        <w:rPr>
          <w:rFonts w:ascii="Times New Roman" w:hAnsi="Times New Roman" w:cs="Times New Roman"/>
          <w:sz w:val="24"/>
          <w:szCs w:val="24"/>
        </w:rPr>
        <w:t xml:space="preserve"> ir nodrošināt sabalansētu un līdzsvarotu darba tirgus attīstību, veidot politiku, kas stimulē jaunu darbavietu radīšanu tautsaimniecībā, samazināt bezdarba izraisītās negatīvās sekas, palīdzēt atgriezties darba tirgū nelabvēlīgākā situācijā esošajiem bezdarbniekiem un darba meklētājiem, kā arī pilnvērtīgi izmantot cilvēkresursu potenciālu.</w:t>
      </w:r>
    </w:p>
    <w:p w:rsidR="00EF0AEF" w:rsidRPr="0063727B" w:rsidRDefault="00EF0AEF" w:rsidP="00385E9E">
      <w:pPr>
        <w:tabs>
          <w:tab w:val="left" w:pos="1134"/>
          <w:tab w:val="left" w:pos="5693"/>
        </w:tabs>
        <w:spacing w:after="0" w:line="240" w:lineRule="auto"/>
        <w:jc w:val="both"/>
        <w:rPr>
          <w:rFonts w:ascii="Times New Roman" w:hAnsi="Times New Roman" w:cs="Times New Roman"/>
          <w:sz w:val="24"/>
          <w:szCs w:val="24"/>
        </w:rPr>
      </w:pPr>
    </w:p>
    <w:p w:rsidR="007710A4" w:rsidRPr="0063727B" w:rsidRDefault="007710A4" w:rsidP="007710A4">
      <w:pPr>
        <w:pStyle w:val="Heading2"/>
        <w:spacing w:before="0" w:line="240" w:lineRule="auto"/>
        <w:rPr>
          <w:rFonts w:ascii="Times New Roman" w:hAnsi="Times New Roman" w:cs="Times New Roman"/>
          <w:b w:val="0"/>
          <w:bCs w:val="0"/>
          <w:color w:val="auto"/>
          <w:sz w:val="24"/>
          <w:szCs w:val="24"/>
          <w:lang w:val="lv-LV" w:eastAsia="en-US"/>
        </w:rPr>
      </w:pPr>
    </w:p>
    <w:p w:rsidR="00343AF5" w:rsidRPr="0063727B" w:rsidRDefault="00343AF5" w:rsidP="00DF5660">
      <w:pPr>
        <w:pStyle w:val="Heading2"/>
        <w:numPr>
          <w:ilvl w:val="1"/>
          <w:numId w:val="2"/>
        </w:numPr>
        <w:spacing w:before="0" w:line="240" w:lineRule="auto"/>
        <w:rPr>
          <w:rFonts w:ascii="Times New Roman" w:hAnsi="Times New Roman" w:cs="Times New Roman"/>
          <w:color w:val="auto"/>
          <w:sz w:val="24"/>
          <w:szCs w:val="24"/>
          <w:lang w:val="lv-LV"/>
        </w:rPr>
      </w:pPr>
      <w:bookmarkStart w:id="78" w:name="_Toc372812645"/>
      <w:r w:rsidRPr="0063727B">
        <w:rPr>
          <w:rFonts w:ascii="Times New Roman" w:hAnsi="Times New Roman" w:cs="Times New Roman"/>
          <w:color w:val="auto"/>
          <w:sz w:val="24"/>
          <w:szCs w:val="24"/>
          <w:lang w:val="lv-LV"/>
        </w:rPr>
        <w:t>Sociālais darbs un sociālie pakalpojumi</w:t>
      </w:r>
      <w:bookmarkEnd w:id="78"/>
    </w:p>
    <w:p w:rsidR="00343AF5" w:rsidRPr="0063727B" w:rsidRDefault="00343AF5" w:rsidP="006F1D76">
      <w:pPr>
        <w:spacing w:after="0" w:line="240" w:lineRule="auto"/>
        <w:jc w:val="both"/>
        <w:rPr>
          <w:rFonts w:ascii="Times New Roman" w:hAnsi="Times New Roman" w:cs="Times New Roman"/>
          <w:sz w:val="24"/>
          <w:szCs w:val="24"/>
        </w:rPr>
      </w:pPr>
    </w:p>
    <w:p w:rsidR="00343AF5" w:rsidRPr="0063727B" w:rsidRDefault="00343AF5" w:rsidP="006F1D76">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Tiek piedāvāts </w:t>
      </w:r>
      <w:r w:rsidRPr="0063727B">
        <w:rPr>
          <w:rFonts w:ascii="Times New Roman" w:hAnsi="Times New Roman" w:cs="Times New Roman"/>
          <w:i/>
          <w:iCs/>
          <w:sz w:val="24"/>
          <w:szCs w:val="24"/>
        </w:rPr>
        <w:t>izveidot vienotu sistēmu</w:t>
      </w:r>
      <w:r w:rsidRPr="0063727B">
        <w:rPr>
          <w:rFonts w:ascii="Times New Roman" w:hAnsi="Times New Roman" w:cs="Times New Roman"/>
          <w:sz w:val="24"/>
          <w:szCs w:val="24"/>
        </w:rPr>
        <w:t xml:space="preserve">, kurā katram pašvaldības sociāla dienesta klientam tiktu nodrošināts </w:t>
      </w:r>
      <w:r w:rsidRPr="0063727B">
        <w:rPr>
          <w:rFonts w:ascii="Times New Roman" w:hAnsi="Times New Roman" w:cs="Times New Roman"/>
          <w:sz w:val="24"/>
          <w:szCs w:val="24"/>
          <w:u w:val="single"/>
        </w:rPr>
        <w:t>profesionāla sociāla darbinieka</w:t>
      </w:r>
      <w:r w:rsidRPr="0063727B">
        <w:rPr>
          <w:rFonts w:ascii="Times New Roman" w:hAnsi="Times New Roman" w:cs="Times New Roman"/>
          <w:sz w:val="24"/>
          <w:szCs w:val="24"/>
        </w:rPr>
        <w:t xml:space="preserve"> vispusīgs sociālās situācijas izvērtējums un mērķtiecīgs atbalsts klienta sociālo problēmu risināšanā, piesaistot katrā gadījumā atbilstošus resursus. </w:t>
      </w:r>
    </w:p>
    <w:p w:rsidR="00343AF5" w:rsidRPr="0063727B" w:rsidRDefault="00343AF5" w:rsidP="006F1D76">
      <w:pPr>
        <w:spacing w:after="0" w:line="240" w:lineRule="auto"/>
        <w:ind w:firstLine="567"/>
        <w:jc w:val="both"/>
        <w:rPr>
          <w:rFonts w:ascii="Times New Roman" w:hAnsi="Times New Roman" w:cs="Times New Roman"/>
          <w:sz w:val="24"/>
          <w:szCs w:val="24"/>
        </w:rPr>
      </w:pPr>
      <w:r w:rsidRPr="0063727B">
        <w:rPr>
          <w:rFonts w:ascii="Times New Roman" w:hAnsi="Times New Roman" w:cs="Times New Roman"/>
          <w:sz w:val="24"/>
          <w:szCs w:val="24"/>
        </w:rPr>
        <w:t>Lai risinātu identificētos trūkumus un nepilnības</w:t>
      </w:r>
      <w:r w:rsidRPr="0063727B">
        <w:rPr>
          <w:rFonts w:ascii="Times New Roman" w:hAnsi="Times New Roman" w:cs="Times New Roman"/>
          <w:b/>
          <w:bCs/>
          <w:sz w:val="24"/>
          <w:szCs w:val="24"/>
        </w:rPr>
        <w:t xml:space="preserve"> sociālā darbā jomā</w:t>
      </w:r>
      <w:r w:rsidRPr="0063727B">
        <w:rPr>
          <w:rFonts w:ascii="Times New Roman" w:hAnsi="Times New Roman" w:cs="Times New Roman"/>
          <w:sz w:val="24"/>
          <w:szCs w:val="24"/>
        </w:rPr>
        <w:t xml:space="preserve">, ir izstrādāts vidēja termiņa politikas plānošanas dokuments </w:t>
      </w:r>
      <w:r w:rsidRPr="0063727B">
        <w:rPr>
          <w:rFonts w:ascii="Times New Roman" w:hAnsi="Times New Roman" w:cs="Times New Roman"/>
          <w:i/>
          <w:iCs/>
          <w:sz w:val="24"/>
          <w:szCs w:val="24"/>
        </w:rPr>
        <w:t>„Profesionālā sociālā darba attīstības pamatnostādnes2014.-2020.gadam”</w:t>
      </w:r>
      <w:r w:rsidRPr="0063727B">
        <w:rPr>
          <w:rFonts w:ascii="Times New Roman" w:hAnsi="Times New Roman" w:cs="Times New Roman"/>
          <w:sz w:val="24"/>
          <w:szCs w:val="24"/>
        </w:rPr>
        <w:t>, kur noteikti šādi rīcības virzieni sociālās darba pilnveidošanas jomā:</w:t>
      </w:r>
    </w:p>
    <w:p w:rsidR="00343AF5" w:rsidRPr="0063727B" w:rsidRDefault="00343AF5" w:rsidP="009A1501">
      <w:pPr>
        <w:pStyle w:val="ListParagraph"/>
        <w:numPr>
          <w:ilvl w:val="0"/>
          <w:numId w:val="15"/>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sociālā darba kvalitātes pilnveidošana, </w:t>
      </w:r>
    </w:p>
    <w:p w:rsidR="00343AF5" w:rsidRPr="0063727B" w:rsidRDefault="00343AF5" w:rsidP="009A1501">
      <w:pPr>
        <w:pStyle w:val="ListParagraph"/>
        <w:numPr>
          <w:ilvl w:val="0"/>
          <w:numId w:val="15"/>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pieejamības nodrošināšana un efektivitātes paaugstināšana, </w:t>
      </w:r>
    </w:p>
    <w:p w:rsidR="00343AF5" w:rsidRPr="0063727B" w:rsidRDefault="00343AF5" w:rsidP="009A1501">
      <w:pPr>
        <w:pStyle w:val="ListParagraph"/>
        <w:numPr>
          <w:ilvl w:val="0"/>
          <w:numId w:val="15"/>
        </w:numPr>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ilgtspējīga sociālā darba nozares attīstība.</w:t>
      </w:r>
    </w:p>
    <w:p w:rsidR="00777D73" w:rsidRPr="0063727B" w:rsidRDefault="00343AF5" w:rsidP="00EA477A">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b/>
          <w:bCs/>
          <w:sz w:val="24"/>
          <w:szCs w:val="24"/>
        </w:rPr>
        <w:t>Sociālie pakalpojumi</w:t>
      </w:r>
      <w:r w:rsidRPr="0063727B">
        <w:rPr>
          <w:rFonts w:ascii="Times New Roman" w:hAnsi="Times New Roman" w:cs="Times New Roman"/>
          <w:sz w:val="24"/>
          <w:szCs w:val="24"/>
        </w:rPr>
        <w:t xml:space="preserve"> ir iekļaujošu izaugsmi veicinošs faktors, jo tajos ieguldītie līdzekļi sekmē cilvēkkapitāla attīstību, tādējādi sniedzot vidēju un ilgtermiņa atdevi kā ekonomiskā aspektā, tā individuālā un sabiedrības līmenī kopumā. Savlaicīgi nesaņemti pakalpojumi var ietekmēt ne tikai personas, kurām nepieciešami sociālie pakalpojumi, bet arī viņu ģimenes locekļus, kuri uzņemas šo cilvēku aprūpi un tādēļ nereti ir spiesti izstāties no darba tirgus un zaudēt savu kvalifikāciju, bieži pēc ilgstošas piespiedu prombūtnes vairs nespējot atgriezties darba tirgū. </w:t>
      </w:r>
    </w:p>
    <w:p w:rsidR="00343AF5" w:rsidRPr="0063727B" w:rsidRDefault="00343AF5" w:rsidP="00EA477A">
      <w:pPr>
        <w:spacing w:after="0" w:line="240" w:lineRule="auto"/>
        <w:ind w:firstLine="720"/>
        <w:jc w:val="both"/>
        <w:rPr>
          <w:rFonts w:ascii="Times New Roman" w:hAnsi="Times New Roman" w:cs="Times New Roman"/>
          <w:sz w:val="24"/>
          <w:szCs w:val="24"/>
        </w:rPr>
      </w:pPr>
      <w:r w:rsidRPr="0063727B">
        <w:rPr>
          <w:rFonts w:ascii="Times New Roman" w:hAnsi="Times New Roman" w:cs="Times New Roman"/>
          <w:sz w:val="24"/>
          <w:szCs w:val="24"/>
        </w:rPr>
        <w:t xml:space="preserve">Lai </w:t>
      </w:r>
      <w:r w:rsidR="000919FD" w:rsidRPr="0063727B">
        <w:rPr>
          <w:rFonts w:ascii="Times New Roman" w:hAnsi="Times New Roman" w:cs="Times New Roman"/>
          <w:sz w:val="24"/>
          <w:szCs w:val="24"/>
        </w:rPr>
        <w:t xml:space="preserve">pilnveidotu </w:t>
      </w:r>
      <w:r w:rsidRPr="0063727B">
        <w:rPr>
          <w:rFonts w:ascii="Times New Roman" w:hAnsi="Times New Roman" w:cs="Times New Roman"/>
          <w:sz w:val="24"/>
          <w:szCs w:val="24"/>
        </w:rPr>
        <w:t>sociālo pakalpojumu jom</w:t>
      </w:r>
      <w:r w:rsidR="000919FD" w:rsidRPr="0063727B">
        <w:rPr>
          <w:rFonts w:ascii="Times New Roman" w:hAnsi="Times New Roman" w:cs="Times New Roman"/>
          <w:sz w:val="24"/>
          <w:szCs w:val="24"/>
        </w:rPr>
        <w:t>u</w:t>
      </w:r>
      <w:r w:rsidRPr="0063727B">
        <w:rPr>
          <w:rFonts w:ascii="Times New Roman" w:hAnsi="Times New Roman" w:cs="Times New Roman"/>
          <w:sz w:val="24"/>
          <w:szCs w:val="24"/>
        </w:rPr>
        <w:t xml:space="preserve">, Labklājības ministrija </w:t>
      </w:r>
      <w:r w:rsidR="00937250" w:rsidRPr="0063727B">
        <w:rPr>
          <w:rFonts w:ascii="Times New Roman" w:hAnsi="Times New Roman" w:cs="Times New Roman"/>
          <w:sz w:val="24"/>
          <w:szCs w:val="24"/>
        </w:rPr>
        <w:t>ir izstrādājusi</w:t>
      </w:r>
      <w:r w:rsidRPr="0063727B">
        <w:rPr>
          <w:rFonts w:ascii="Times New Roman" w:hAnsi="Times New Roman" w:cs="Times New Roman"/>
          <w:sz w:val="24"/>
          <w:szCs w:val="24"/>
        </w:rPr>
        <w:t xml:space="preserve"> </w:t>
      </w:r>
      <w:r w:rsidRPr="0063727B">
        <w:rPr>
          <w:rFonts w:ascii="Times New Roman" w:hAnsi="Times New Roman" w:cs="Times New Roman"/>
          <w:i/>
          <w:iCs/>
          <w:sz w:val="24"/>
          <w:szCs w:val="24"/>
        </w:rPr>
        <w:t>„Pamatnostādnes sociālo pakalpojumu attīstībai 2014.-2020.gadam”</w:t>
      </w:r>
      <w:r w:rsidRPr="0063727B">
        <w:rPr>
          <w:rFonts w:ascii="Times New Roman" w:hAnsi="Times New Roman" w:cs="Times New Roman"/>
          <w:sz w:val="24"/>
          <w:szCs w:val="24"/>
        </w:rPr>
        <w:t xml:space="preserve">, apzinot gan esošās problēmas </w:t>
      </w:r>
      <w:r w:rsidRPr="0063727B">
        <w:rPr>
          <w:rFonts w:ascii="Times New Roman" w:hAnsi="Times New Roman" w:cs="Times New Roman"/>
          <w:bCs/>
          <w:sz w:val="24"/>
          <w:szCs w:val="24"/>
        </w:rPr>
        <w:t>sociālo pakalpojumu jomā</w:t>
      </w:r>
      <w:r w:rsidRPr="0063727B">
        <w:rPr>
          <w:rFonts w:ascii="Times New Roman" w:hAnsi="Times New Roman" w:cs="Times New Roman"/>
          <w:sz w:val="24"/>
          <w:szCs w:val="24"/>
        </w:rPr>
        <w:t xml:space="preserve"> (sociālās aprūpes, sociālās rehabilitācijas pakalpojumi, profesionālās rehabilitācijas pakalpojumi un tehniskie palīglīdzekļi), iezīmējot turpmākās </w:t>
      </w:r>
      <w:r w:rsidRPr="0063727B">
        <w:rPr>
          <w:rFonts w:ascii="Times New Roman" w:hAnsi="Times New Roman" w:cs="Times New Roman"/>
          <w:sz w:val="24"/>
          <w:szCs w:val="24"/>
        </w:rPr>
        <w:lastRenderedPageBreak/>
        <w:t>darbības iespējamajiem risinājumiem, nākotnē veicamajiem pasākumiem, nodrošinot izvirzīto mērķu sasniegšanu. Pamatnostādnes piedāvā</w:t>
      </w:r>
      <w:r w:rsidR="000919FD" w:rsidRPr="0063727B">
        <w:rPr>
          <w:rFonts w:ascii="Times New Roman" w:hAnsi="Times New Roman" w:cs="Times New Roman"/>
          <w:sz w:val="24"/>
          <w:szCs w:val="24"/>
        </w:rPr>
        <w:t xml:space="preserve"> </w:t>
      </w:r>
      <w:r w:rsidRPr="0063727B">
        <w:rPr>
          <w:rFonts w:ascii="Times New Roman" w:hAnsi="Times New Roman" w:cs="Times New Roman"/>
          <w:sz w:val="24"/>
          <w:szCs w:val="24"/>
        </w:rPr>
        <w:t>mainīt līdzšinējo</w:t>
      </w:r>
      <w:proofErr w:type="gramStart"/>
      <w:r w:rsidRPr="0063727B">
        <w:rPr>
          <w:rFonts w:ascii="Times New Roman" w:hAnsi="Times New Roman" w:cs="Times New Roman"/>
          <w:sz w:val="24"/>
          <w:szCs w:val="24"/>
        </w:rPr>
        <w:t xml:space="preserve">  </w:t>
      </w:r>
      <w:proofErr w:type="gramEnd"/>
      <w:r w:rsidRPr="0063727B">
        <w:rPr>
          <w:rFonts w:ascii="Times New Roman" w:hAnsi="Times New Roman" w:cs="Times New Roman"/>
          <w:sz w:val="24"/>
          <w:szCs w:val="24"/>
        </w:rPr>
        <w:t xml:space="preserve">pieeju un izpratni par sociālajiem pakalpojumiem ne tikai kā vienkārši aprūpes formu, bet  arī kā atbalsta  instrumentu indivīdu aktivizēšanai, iekļaušanai sabiedrībā, izglītības sistēmā un darba tirgū, tādējādi radot  iespēju cilvēkiem būt neatkarīgiem no ilgtermiņa aprūpes.  Kopumā sociālo pakalpojumu attīstība paredzēta trīs rīcības virzienos: sociālās aprūpes </w:t>
      </w:r>
      <w:proofErr w:type="spellStart"/>
      <w:r w:rsidRPr="0063727B">
        <w:rPr>
          <w:rFonts w:ascii="Times New Roman" w:hAnsi="Times New Roman" w:cs="Times New Roman"/>
          <w:sz w:val="24"/>
          <w:szCs w:val="24"/>
        </w:rPr>
        <w:t>deinstitucionalizācija</w:t>
      </w:r>
      <w:proofErr w:type="spellEnd"/>
      <w:r w:rsidRPr="0063727B">
        <w:rPr>
          <w:rFonts w:ascii="Times New Roman" w:hAnsi="Times New Roman" w:cs="Times New Roman"/>
          <w:sz w:val="24"/>
          <w:szCs w:val="24"/>
        </w:rPr>
        <w:t>, sabiedrībā balstīti, pēctecīgi un klienta individuālajām vajadzībām atbilstoši sociālie pakalpojumi, efektīva sociālo pakalpojumu pārvaldība.</w:t>
      </w:r>
    </w:p>
    <w:p w:rsidR="00343AF5" w:rsidRPr="0063727B" w:rsidRDefault="00343AF5" w:rsidP="006F1D76">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Apvienoto Nāciju Organizācijas Konvencijas</w:t>
      </w:r>
      <w:r w:rsidRPr="0063727B">
        <w:rPr>
          <w:rStyle w:val="FootnoteReference"/>
          <w:rFonts w:ascii="Times New Roman" w:hAnsi="Times New Roman" w:cs="Times New Roman"/>
          <w:sz w:val="24"/>
          <w:szCs w:val="24"/>
          <w:lang w:eastAsia="lv-LV"/>
        </w:rPr>
        <w:footnoteReference w:id="108"/>
      </w:r>
      <w:r w:rsidRPr="0063727B">
        <w:rPr>
          <w:rFonts w:ascii="Times New Roman" w:hAnsi="Times New Roman" w:cs="Times New Roman"/>
          <w:sz w:val="24"/>
          <w:szCs w:val="24"/>
          <w:lang w:eastAsia="lv-LV"/>
        </w:rPr>
        <w:t xml:space="preserve"> par </w:t>
      </w:r>
      <w:r w:rsidRPr="0063727B">
        <w:rPr>
          <w:rFonts w:ascii="Times New Roman" w:hAnsi="Times New Roman" w:cs="Times New Roman"/>
          <w:b/>
          <w:bCs/>
          <w:sz w:val="24"/>
          <w:szCs w:val="24"/>
          <w:lang w:eastAsia="lv-LV"/>
        </w:rPr>
        <w:t>personu ar invaliditāti</w:t>
      </w:r>
      <w:r w:rsidRPr="0063727B">
        <w:rPr>
          <w:rFonts w:ascii="Times New Roman" w:hAnsi="Times New Roman" w:cs="Times New Roman"/>
          <w:sz w:val="24"/>
          <w:szCs w:val="24"/>
          <w:lang w:eastAsia="lv-LV"/>
        </w:rPr>
        <w:t xml:space="preserve"> tiesībām (turpmāk – Konvencija) īstenošana</w:t>
      </w:r>
      <w:r w:rsidRPr="0063727B">
        <w:rPr>
          <w:rFonts w:ascii="Times New Roman" w:hAnsi="Times New Roman" w:cs="Times New Roman"/>
          <w:sz w:val="24"/>
          <w:szCs w:val="24"/>
        </w:rPr>
        <w:t xml:space="preserve">i Labklājības ministrija ir izstrādājusi </w:t>
      </w:r>
      <w:r w:rsidRPr="0063727B">
        <w:rPr>
          <w:rFonts w:ascii="Times New Roman" w:hAnsi="Times New Roman" w:cs="Times New Roman"/>
          <w:i/>
          <w:iCs/>
          <w:sz w:val="24"/>
          <w:szCs w:val="24"/>
          <w:lang w:eastAsia="lv-LV"/>
        </w:rPr>
        <w:t>„Apvienoto Nāciju Organizācijas Konvencijas par personu ar invaliditāti tiesībām īstenošanas pamatnostādnes 2014.-2020.gadam”</w:t>
      </w:r>
      <w:r w:rsidRPr="0063727B">
        <w:rPr>
          <w:rFonts w:ascii="Times New Roman" w:hAnsi="Times New Roman" w:cs="Times New Roman"/>
          <w:sz w:val="24"/>
          <w:szCs w:val="24"/>
          <w:lang w:eastAsia="lv-LV"/>
        </w:rPr>
        <w:t xml:space="preserve">, kas ir vidēja termiņa politikas plānošanas dokuments septiņiem gadiem. Pamatnostādnēs noteikti galvenie mērķi, pamatprincipi, rīcības virzieni un sasniedzamie rezultāti personu ar invaliditāti pamattiesību un pamatbrīvību nodrošināšanai. </w:t>
      </w:r>
    </w:p>
    <w:p w:rsidR="00343AF5" w:rsidRPr="0063727B" w:rsidRDefault="00343AF5" w:rsidP="006F1D76">
      <w:pPr>
        <w:autoSpaceDE w:val="0"/>
        <w:autoSpaceDN w:val="0"/>
        <w:adjustRightInd w:val="0"/>
        <w:spacing w:after="0" w:line="240" w:lineRule="auto"/>
        <w:ind w:firstLine="720"/>
        <w:jc w:val="both"/>
        <w:rPr>
          <w:rFonts w:ascii="Times New Roman" w:hAnsi="Times New Roman" w:cs="Times New Roman"/>
          <w:b/>
          <w:bCs/>
          <w:sz w:val="24"/>
          <w:szCs w:val="24"/>
          <w:lang w:eastAsia="lv-LV"/>
        </w:rPr>
      </w:pPr>
      <w:r w:rsidRPr="0063727B">
        <w:rPr>
          <w:rFonts w:ascii="Times New Roman" w:hAnsi="Times New Roman" w:cs="Times New Roman"/>
          <w:sz w:val="24"/>
          <w:szCs w:val="24"/>
          <w:lang w:eastAsia="lv-LV"/>
        </w:rPr>
        <w:t>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nepieciešams veikt pielāgojumus, lai personas ar invaliditāti varētu īstenot savas tiesības, kā arī nosaka jomas, kurās stiprināma personu ar invaliditāti tiesību aizsardzība. Konvencija veicina un aizsargā personu ar invaliditāti cilvēktiesības ekonomiskajā, sociālajā, politiskajā un kultūras dzīvē.</w:t>
      </w:r>
    </w:p>
    <w:p w:rsidR="00343AF5" w:rsidRPr="0063727B" w:rsidRDefault="00343AF5" w:rsidP="006F1D76">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63727B">
        <w:rPr>
          <w:rFonts w:ascii="Times New Roman" w:hAnsi="Times New Roman" w:cs="Times New Roman"/>
          <w:sz w:val="24"/>
          <w:szCs w:val="24"/>
          <w:lang w:eastAsia="lv-LV"/>
        </w:rPr>
        <w:t xml:space="preserve">Konvencija maina izpratni par personu ar invaliditāti, proti, Konvencija nosaka pāreju no medicīniskā modeļa, kas uzsver cilvēka nespēju un atkarību no citiem cilvēkiem, uz cilvēktiesību modeli, kur uzsvars tiek likts uz personas ar invaliditāti tiesībām un patstāvīgu dzīvi un aktīvu līdzdalību sabiedriskajos procesos. </w:t>
      </w:r>
    </w:p>
    <w:p w:rsidR="006A34FC" w:rsidRPr="0063727B" w:rsidRDefault="006A34FC">
      <w:pPr>
        <w:spacing w:after="0" w:line="240" w:lineRule="auto"/>
        <w:rPr>
          <w:rFonts w:ascii="Times New Roman" w:hAnsi="Times New Roman" w:cs="Times New Roman"/>
          <w:b/>
          <w:bCs/>
          <w:sz w:val="28"/>
          <w:szCs w:val="28"/>
          <w:lang w:eastAsia="ru-RU"/>
        </w:rPr>
      </w:pPr>
      <w:r w:rsidRPr="0063727B">
        <w:rPr>
          <w:rFonts w:ascii="Times New Roman" w:hAnsi="Times New Roman" w:cs="Times New Roman"/>
        </w:rPr>
        <w:br w:type="page"/>
      </w:r>
    </w:p>
    <w:p w:rsidR="00343AF5" w:rsidRPr="0063727B" w:rsidRDefault="00343AF5" w:rsidP="006F1D76">
      <w:pPr>
        <w:pStyle w:val="Heading1"/>
        <w:spacing w:before="0" w:line="240" w:lineRule="auto"/>
        <w:rPr>
          <w:rFonts w:ascii="Times New Roman" w:hAnsi="Times New Roman" w:cs="Times New Roman"/>
          <w:color w:val="auto"/>
          <w:lang w:val="lv-LV"/>
        </w:rPr>
      </w:pPr>
    </w:p>
    <w:p w:rsidR="00343AF5" w:rsidRPr="0063727B" w:rsidRDefault="00343AF5" w:rsidP="006F1D76">
      <w:pPr>
        <w:pStyle w:val="Heading1"/>
        <w:spacing w:before="0" w:line="240" w:lineRule="auto"/>
        <w:rPr>
          <w:rFonts w:ascii="Times New Roman" w:hAnsi="Times New Roman" w:cs="Times New Roman"/>
          <w:color w:val="auto"/>
          <w:lang w:val="lv-LV"/>
        </w:rPr>
      </w:pPr>
      <w:bookmarkStart w:id="79" w:name="_Toc372812646"/>
      <w:r w:rsidRPr="0063727B">
        <w:rPr>
          <w:rFonts w:ascii="Times New Roman" w:hAnsi="Times New Roman" w:cs="Times New Roman"/>
          <w:color w:val="auto"/>
          <w:lang w:val="lv-LV"/>
        </w:rPr>
        <w:t>Nobeigums</w:t>
      </w:r>
      <w:bookmarkEnd w:id="79"/>
    </w:p>
    <w:p w:rsidR="00343AF5" w:rsidRPr="0063727B" w:rsidRDefault="00343AF5" w:rsidP="006F1D76">
      <w:pPr>
        <w:spacing w:after="0" w:line="240" w:lineRule="auto"/>
        <w:ind w:firstLine="360"/>
        <w:jc w:val="both"/>
        <w:rPr>
          <w:rFonts w:ascii="Times New Roman" w:hAnsi="Times New Roman" w:cs="Times New Roman"/>
          <w:sz w:val="24"/>
          <w:szCs w:val="24"/>
        </w:rPr>
      </w:pPr>
    </w:p>
    <w:p w:rsidR="00B47550" w:rsidRPr="0063727B" w:rsidRDefault="00B47550" w:rsidP="00D84770">
      <w:pPr>
        <w:spacing w:after="0" w:line="240" w:lineRule="auto"/>
        <w:ind w:firstLine="360"/>
        <w:jc w:val="both"/>
        <w:rPr>
          <w:rFonts w:ascii="Times New Roman" w:hAnsi="Times New Roman" w:cs="Times New Roman"/>
          <w:sz w:val="24"/>
          <w:szCs w:val="24"/>
        </w:rPr>
      </w:pPr>
      <w:r w:rsidRPr="0063727B">
        <w:rPr>
          <w:rFonts w:ascii="Times New Roman" w:hAnsi="Times New Roman" w:cs="Times New Roman"/>
          <w:sz w:val="24"/>
          <w:szCs w:val="24"/>
        </w:rPr>
        <w:t xml:space="preserve">Ministru kabineta sēdes </w:t>
      </w:r>
      <w:proofErr w:type="spellStart"/>
      <w:r w:rsidRPr="0063727B">
        <w:rPr>
          <w:rFonts w:ascii="Times New Roman" w:hAnsi="Times New Roman" w:cs="Times New Roman"/>
          <w:sz w:val="24"/>
          <w:szCs w:val="24"/>
        </w:rPr>
        <w:t>protokollēmumā</w:t>
      </w:r>
      <w:proofErr w:type="spellEnd"/>
      <w:r w:rsidRPr="0063727B">
        <w:rPr>
          <w:rFonts w:ascii="Times New Roman" w:hAnsi="Times New Roman" w:cs="Times New Roman"/>
          <w:sz w:val="24"/>
          <w:szCs w:val="24"/>
        </w:rPr>
        <w:t xml:space="preserve"> būtu nosakāmi Labklājības </w:t>
      </w:r>
      <w:r w:rsidR="007D52F9" w:rsidRPr="0063727B">
        <w:rPr>
          <w:rFonts w:ascii="Times New Roman" w:hAnsi="Times New Roman" w:cs="Times New Roman"/>
          <w:sz w:val="24"/>
          <w:szCs w:val="24"/>
        </w:rPr>
        <w:t>ministrijai izvirzāmie uzdevumi</w:t>
      </w:r>
      <w:r w:rsidRPr="0063727B">
        <w:rPr>
          <w:rFonts w:ascii="Times New Roman" w:hAnsi="Times New Roman" w:cs="Times New Roman"/>
          <w:sz w:val="24"/>
          <w:szCs w:val="24"/>
        </w:rPr>
        <w:t>:</w:t>
      </w:r>
    </w:p>
    <w:p w:rsidR="001D0E24" w:rsidRPr="0063727B" w:rsidRDefault="001D0E24" w:rsidP="00D84770">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p>
    <w:p w:rsidR="001A4B0A" w:rsidRPr="0063727B" w:rsidRDefault="001A4B0A" w:rsidP="007E2FF7">
      <w:pPr>
        <w:pStyle w:val="ListParagraph"/>
        <w:numPr>
          <w:ilvl w:val="0"/>
          <w:numId w:val="39"/>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sz w:val="24"/>
          <w:szCs w:val="24"/>
        </w:rPr>
        <w:t>līdz 2014.gada 3</w:t>
      </w:r>
      <w:r w:rsidR="007E4A6A" w:rsidRPr="0063727B">
        <w:rPr>
          <w:rFonts w:ascii="Times New Roman" w:hAnsi="Times New Roman" w:cs="Times New Roman"/>
          <w:sz w:val="24"/>
          <w:szCs w:val="24"/>
        </w:rPr>
        <w:t>0</w:t>
      </w:r>
      <w:r w:rsidRPr="0063727B">
        <w:rPr>
          <w:rFonts w:ascii="Times New Roman" w:hAnsi="Times New Roman" w:cs="Times New Roman"/>
          <w:sz w:val="24"/>
          <w:szCs w:val="24"/>
        </w:rPr>
        <w:t>.</w:t>
      </w:r>
      <w:r w:rsidR="007E4A6A" w:rsidRPr="0063727B">
        <w:rPr>
          <w:rFonts w:ascii="Times New Roman" w:hAnsi="Times New Roman" w:cs="Times New Roman"/>
          <w:sz w:val="24"/>
          <w:szCs w:val="24"/>
        </w:rPr>
        <w:t>aprīlim</w:t>
      </w:r>
      <w:r w:rsidRPr="0063727B">
        <w:rPr>
          <w:rFonts w:ascii="Times New Roman" w:hAnsi="Times New Roman" w:cs="Times New Roman"/>
          <w:sz w:val="24"/>
          <w:szCs w:val="24"/>
        </w:rPr>
        <w:t xml:space="preserve"> sagatavot un iesniegt izskatīšanai Ministru kabinetā </w:t>
      </w:r>
      <w:r w:rsidR="007E4A6A" w:rsidRPr="0063727B">
        <w:rPr>
          <w:rFonts w:ascii="Times New Roman" w:hAnsi="Times New Roman" w:cs="Times New Roman"/>
          <w:sz w:val="24"/>
          <w:szCs w:val="24"/>
        </w:rPr>
        <w:t xml:space="preserve">koncepcijas projektu </w:t>
      </w:r>
      <w:r w:rsidRPr="0063727B">
        <w:rPr>
          <w:rFonts w:ascii="Times New Roman" w:hAnsi="Times New Roman" w:cs="Times New Roman"/>
          <w:sz w:val="24"/>
          <w:szCs w:val="24"/>
        </w:rPr>
        <w:t xml:space="preserve">minimālā ienākuma (minimālā nodrošinājuma) līmeņa noteikšanai; </w:t>
      </w:r>
    </w:p>
    <w:p w:rsidR="001A4B0A" w:rsidRPr="0063727B" w:rsidRDefault="001A4B0A" w:rsidP="007E2FF7">
      <w:pPr>
        <w:pStyle w:val="ListParagraph"/>
        <w:numPr>
          <w:ilvl w:val="0"/>
          <w:numId w:val="39"/>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sz w:val="24"/>
          <w:szCs w:val="24"/>
        </w:rPr>
        <w:t xml:space="preserve">viena gada laikā pēc </w:t>
      </w:r>
      <w:r w:rsidR="00645894" w:rsidRPr="0063727B">
        <w:rPr>
          <w:rFonts w:ascii="Times New Roman" w:hAnsi="Times New Roman" w:cs="Times New Roman"/>
          <w:sz w:val="24"/>
          <w:szCs w:val="24"/>
        </w:rPr>
        <w:t xml:space="preserve">minimālā ienākuma (minimālā nodrošinājuma) līmeņa noteikšanas un ar to saistītās normatīvās bāzes izstrādes sagatavot un iesniegt izskatīšanai Ministru kabinetā </w:t>
      </w:r>
      <w:r w:rsidRPr="0063727B">
        <w:rPr>
          <w:rFonts w:ascii="Times New Roman" w:hAnsi="Times New Roman" w:cs="Times New Roman"/>
          <w:sz w:val="24"/>
          <w:szCs w:val="24"/>
        </w:rPr>
        <w:t xml:space="preserve">normatīvo aktu projektus atbalsta nodrošināšanai mājsaimniecībām, kuru ienākumi zemāki par valstī noteiktā minimālā ienākuma </w:t>
      </w:r>
      <w:r w:rsidRPr="0063727B">
        <w:rPr>
          <w:rFonts w:ascii="Times New Roman" w:hAnsi="Times New Roman" w:cs="Times New Roman"/>
          <w:sz w:val="24"/>
          <w:szCs w:val="24"/>
        </w:rPr>
        <w:t>(minimālā nodrošinājuma) līmeni</w:t>
      </w:r>
      <w:r w:rsidR="00FF408F" w:rsidRPr="0063727B">
        <w:rPr>
          <w:rFonts w:ascii="Times New Roman" w:hAnsi="Times New Roman" w:cs="Times New Roman"/>
          <w:sz w:val="24"/>
          <w:szCs w:val="24"/>
        </w:rPr>
        <w:t>, piemērojot OEC</w:t>
      </w:r>
      <w:r w:rsidR="00FF70B0" w:rsidRPr="0063727B">
        <w:rPr>
          <w:rFonts w:ascii="Times New Roman" w:hAnsi="Times New Roman" w:cs="Times New Roman"/>
          <w:sz w:val="24"/>
          <w:szCs w:val="24"/>
        </w:rPr>
        <w:t>D</w:t>
      </w:r>
      <w:r w:rsidR="00FF408F" w:rsidRPr="0063727B">
        <w:rPr>
          <w:rFonts w:ascii="Times New Roman" w:hAnsi="Times New Roman" w:cs="Times New Roman"/>
          <w:sz w:val="24"/>
          <w:szCs w:val="24"/>
        </w:rPr>
        <w:t xml:space="preserve"> ekvivalences skalu</w:t>
      </w:r>
      <w:r w:rsidRPr="0063727B">
        <w:rPr>
          <w:rFonts w:ascii="Times New Roman" w:hAnsi="Times New Roman" w:cs="Times New Roman"/>
          <w:sz w:val="24"/>
          <w:szCs w:val="24"/>
        </w:rPr>
        <w:t>;</w:t>
      </w:r>
    </w:p>
    <w:p w:rsidR="001A4B0A" w:rsidRPr="0063727B" w:rsidRDefault="001A4B0A" w:rsidP="007E2FF7">
      <w:pPr>
        <w:pStyle w:val="ListParagraph"/>
        <w:numPr>
          <w:ilvl w:val="0"/>
          <w:numId w:val="39"/>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sz w:val="24"/>
          <w:szCs w:val="24"/>
        </w:rPr>
        <w:t xml:space="preserve">līdz 2015.gada 31.decembrim </w:t>
      </w:r>
      <w:r w:rsidR="00631A7A" w:rsidRPr="0063727B">
        <w:rPr>
          <w:rFonts w:ascii="Times New Roman" w:hAnsi="Times New Roman" w:cs="Times New Roman"/>
          <w:sz w:val="24"/>
          <w:szCs w:val="24"/>
        </w:rPr>
        <w:t>sagatavot un iesniegt izskatīšanai Ministru kabinetā</w:t>
      </w:r>
      <w:proofErr w:type="gramStart"/>
      <w:r w:rsidR="00631A7A" w:rsidRPr="0063727B">
        <w:rPr>
          <w:rFonts w:ascii="Times New Roman" w:hAnsi="Times New Roman" w:cs="Times New Roman"/>
          <w:sz w:val="24"/>
          <w:szCs w:val="24"/>
        </w:rPr>
        <w:t xml:space="preserve"> </w:t>
      </w:r>
      <w:r w:rsidR="00D225C1">
        <w:rPr>
          <w:rFonts w:ascii="Times New Roman" w:hAnsi="Times New Roman" w:cs="Times New Roman"/>
          <w:sz w:val="24"/>
          <w:szCs w:val="24"/>
        </w:rPr>
        <w:t xml:space="preserve"> </w:t>
      </w:r>
      <w:proofErr w:type="gramEnd"/>
      <w:r w:rsidR="00503148">
        <w:rPr>
          <w:rFonts w:ascii="Times New Roman" w:hAnsi="Times New Roman" w:cs="Times New Roman"/>
          <w:sz w:val="24"/>
          <w:szCs w:val="24"/>
        </w:rPr>
        <w:t>koncepcijas</w:t>
      </w:r>
      <w:r w:rsidR="00D225C1">
        <w:rPr>
          <w:rFonts w:ascii="Times New Roman" w:hAnsi="Times New Roman" w:cs="Times New Roman"/>
          <w:sz w:val="24"/>
          <w:szCs w:val="24"/>
        </w:rPr>
        <w:t xml:space="preserve"> projektu</w:t>
      </w:r>
      <w:r w:rsidR="00D225C1" w:rsidRPr="0063727B">
        <w:rPr>
          <w:rFonts w:ascii="Times New Roman" w:hAnsi="Times New Roman" w:cs="Times New Roman"/>
          <w:sz w:val="24"/>
          <w:szCs w:val="24"/>
        </w:rPr>
        <w:t xml:space="preserve"> </w:t>
      </w:r>
      <w:r w:rsidRPr="0063727B">
        <w:rPr>
          <w:rFonts w:ascii="Times New Roman" w:hAnsi="Times New Roman" w:cs="Times New Roman"/>
          <w:sz w:val="24"/>
          <w:szCs w:val="24"/>
        </w:rPr>
        <w:t>par iespēju noteikt bāzes jeb sociālo pensiju;</w:t>
      </w:r>
    </w:p>
    <w:p w:rsidR="001A4B0A" w:rsidRPr="0063727B" w:rsidRDefault="001A4B0A" w:rsidP="007E2FF7">
      <w:pPr>
        <w:pStyle w:val="ListParagraph"/>
        <w:numPr>
          <w:ilvl w:val="0"/>
          <w:numId w:val="39"/>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sz w:val="24"/>
          <w:szCs w:val="24"/>
        </w:rPr>
        <w:t xml:space="preserve">līdz 2015.gada 31.decembrim </w:t>
      </w:r>
      <w:r w:rsidR="00631A7A" w:rsidRPr="0063727B">
        <w:rPr>
          <w:rFonts w:ascii="Times New Roman" w:hAnsi="Times New Roman" w:cs="Times New Roman"/>
          <w:sz w:val="24"/>
          <w:szCs w:val="24"/>
        </w:rPr>
        <w:t>sagatavot un iesniegt izskatīšanai Ministru kabinetā</w:t>
      </w:r>
      <w:proofErr w:type="gramStart"/>
      <w:r w:rsidR="00631A7A" w:rsidRPr="0063727B">
        <w:rPr>
          <w:rFonts w:ascii="Times New Roman" w:hAnsi="Times New Roman" w:cs="Times New Roman"/>
          <w:sz w:val="24"/>
          <w:szCs w:val="24"/>
        </w:rPr>
        <w:t xml:space="preserve"> </w:t>
      </w:r>
      <w:r w:rsidRPr="0063727B">
        <w:rPr>
          <w:rFonts w:ascii="Times New Roman" w:hAnsi="Times New Roman" w:cs="Times New Roman"/>
          <w:sz w:val="24"/>
          <w:szCs w:val="24"/>
        </w:rPr>
        <w:t xml:space="preserve"> </w:t>
      </w:r>
      <w:proofErr w:type="gramEnd"/>
      <w:r w:rsidR="00503148">
        <w:rPr>
          <w:rFonts w:ascii="Times New Roman" w:hAnsi="Times New Roman" w:cs="Times New Roman"/>
          <w:sz w:val="24"/>
          <w:szCs w:val="24"/>
        </w:rPr>
        <w:t xml:space="preserve">koncepcijas projektu </w:t>
      </w:r>
      <w:r w:rsidRPr="0063727B">
        <w:rPr>
          <w:rFonts w:ascii="Times New Roman" w:hAnsi="Times New Roman" w:cs="Times New Roman"/>
          <w:sz w:val="24"/>
          <w:szCs w:val="24"/>
        </w:rPr>
        <w:t>par iespēju noteikt minimālo bezdarbnieka pabalsta apmēru;</w:t>
      </w:r>
    </w:p>
    <w:p w:rsidR="001A4B0A" w:rsidRPr="0063727B" w:rsidRDefault="001A4B0A" w:rsidP="007E2FF7">
      <w:pPr>
        <w:pStyle w:val="ListParagraph"/>
        <w:numPr>
          <w:ilvl w:val="0"/>
          <w:numId w:val="39"/>
        </w:numPr>
        <w:spacing w:after="0" w:line="240" w:lineRule="auto"/>
        <w:ind w:left="714" w:hanging="357"/>
        <w:jc w:val="both"/>
        <w:rPr>
          <w:rFonts w:ascii="Times New Roman" w:hAnsi="Times New Roman" w:cs="Times New Roman"/>
          <w:sz w:val="24"/>
          <w:szCs w:val="24"/>
        </w:rPr>
      </w:pPr>
      <w:r w:rsidRPr="0063727B">
        <w:rPr>
          <w:rFonts w:ascii="Times New Roman" w:hAnsi="Times New Roman" w:cs="Times New Roman"/>
          <w:sz w:val="24"/>
          <w:szCs w:val="24"/>
        </w:rPr>
        <w:t>līdz 201</w:t>
      </w:r>
      <w:r w:rsidR="00503148">
        <w:rPr>
          <w:rFonts w:ascii="Times New Roman" w:hAnsi="Times New Roman" w:cs="Times New Roman"/>
          <w:sz w:val="24"/>
          <w:szCs w:val="24"/>
        </w:rPr>
        <w:t>5</w:t>
      </w:r>
      <w:r w:rsidRPr="0063727B">
        <w:rPr>
          <w:rFonts w:ascii="Times New Roman" w:hAnsi="Times New Roman" w:cs="Times New Roman"/>
          <w:sz w:val="24"/>
          <w:szCs w:val="24"/>
        </w:rPr>
        <w:t>.gada 31.decembrim</w:t>
      </w:r>
      <w:r w:rsidR="00631A7A" w:rsidRPr="0063727B">
        <w:rPr>
          <w:rFonts w:ascii="Times New Roman" w:hAnsi="Times New Roman" w:cs="Times New Roman"/>
          <w:sz w:val="24"/>
          <w:szCs w:val="24"/>
        </w:rPr>
        <w:t xml:space="preserve"> sagatavot un iesniegt izskatīšanai Ministru kabinetā</w:t>
      </w:r>
      <w:proofErr w:type="gramStart"/>
      <w:r w:rsidRPr="0063727B">
        <w:rPr>
          <w:rFonts w:ascii="Times New Roman" w:hAnsi="Times New Roman" w:cs="Times New Roman"/>
          <w:sz w:val="24"/>
          <w:szCs w:val="24"/>
        </w:rPr>
        <w:t xml:space="preserve">  </w:t>
      </w:r>
      <w:proofErr w:type="gramEnd"/>
      <w:r w:rsidR="00503148">
        <w:rPr>
          <w:rFonts w:ascii="Times New Roman" w:hAnsi="Times New Roman" w:cs="Times New Roman"/>
          <w:sz w:val="24"/>
          <w:szCs w:val="24"/>
        </w:rPr>
        <w:t xml:space="preserve">koncepcijas projektu </w:t>
      </w:r>
      <w:r w:rsidRPr="0063727B">
        <w:rPr>
          <w:rFonts w:ascii="Times New Roman" w:hAnsi="Times New Roman" w:cs="Times New Roman"/>
          <w:sz w:val="24"/>
          <w:szCs w:val="24"/>
        </w:rPr>
        <w:t>par iespējām restrukturizēt valsts sociālo pabalstu</w:t>
      </w:r>
      <w:r w:rsidR="00EC5E11">
        <w:rPr>
          <w:rFonts w:ascii="Times New Roman" w:hAnsi="Times New Roman" w:cs="Times New Roman"/>
          <w:sz w:val="24"/>
          <w:szCs w:val="24"/>
        </w:rPr>
        <w:t xml:space="preserve">, t.sk. ģimenes valsts </w:t>
      </w:r>
      <w:r w:rsidR="00EC5E11">
        <w:rPr>
          <w:rFonts w:ascii="Times New Roman" w:hAnsi="Times New Roman" w:cs="Times New Roman"/>
          <w:sz w:val="24"/>
          <w:szCs w:val="24"/>
        </w:rPr>
        <w:t>pabalsta</w:t>
      </w:r>
      <w:r w:rsidRPr="0063727B">
        <w:rPr>
          <w:rFonts w:ascii="Times New Roman" w:hAnsi="Times New Roman" w:cs="Times New Roman"/>
          <w:sz w:val="24"/>
          <w:szCs w:val="24"/>
        </w:rPr>
        <w:t xml:space="preserve"> izdevumus vai pārskatīt to apmērus, piesaistot tos noteiktam sociāli ekonomiskam rādītājam.</w:t>
      </w:r>
    </w:p>
    <w:p w:rsidR="001D0E24" w:rsidRPr="0063727B" w:rsidRDefault="008433E0" w:rsidP="001D0E24">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ab/>
      </w:r>
    </w:p>
    <w:p w:rsidR="00873B92" w:rsidRDefault="00873B92" w:rsidP="00873B92">
      <w:pPr>
        <w:pStyle w:val="naisc"/>
        <w:spacing w:before="0" w:after="0"/>
        <w:ind w:firstLine="284"/>
        <w:jc w:val="both"/>
      </w:pPr>
      <w:r w:rsidRPr="0063727B">
        <w:t>Atbilstoši valdības lēmumam par nepieciešamību īstenot noteiktos pasākumus konstatēto tūkumu novēršanai saistībā ar minimālajiem ienākumu sliekšņiem, valsts sociālo apdrošināšanu, valsts sociālajiem pabalstiem un sociālo palīdzību, Labklājības ministrija izstrādās attiecīgos politikas plānošanas dokumentus un tiesību aktu projektus un veiks ietekmes uz valsts un pašvaldību budžetiem novērtējumu.</w:t>
      </w:r>
    </w:p>
    <w:p w:rsidR="000E52AD" w:rsidRPr="0063727B" w:rsidRDefault="000E52AD" w:rsidP="00873B92">
      <w:pPr>
        <w:pStyle w:val="naisc"/>
        <w:spacing w:before="0" w:after="0"/>
        <w:ind w:firstLine="284"/>
        <w:jc w:val="both"/>
        <w:rPr>
          <w:u w:val="single"/>
        </w:rPr>
      </w:pPr>
    </w:p>
    <w:p w:rsidR="001D0E24" w:rsidRPr="0063727B" w:rsidRDefault="001D0E24" w:rsidP="001D0E24">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p>
    <w:p w:rsidR="00F94A4B" w:rsidRPr="0063727B" w:rsidRDefault="00F94A4B" w:rsidP="001D0E24">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p>
    <w:p w:rsidR="00F94A4B" w:rsidRPr="0063727B" w:rsidRDefault="00F94A4B" w:rsidP="001D0E24">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p>
    <w:p w:rsidR="00DB2E20" w:rsidRPr="0063727B" w:rsidRDefault="00DB2E20">
      <w:pPr>
        <w:spacing w:after="0" w:line="240" w:lineRule="auto"/>
        <w:rPr>
          <w:rFonts w:ascii="Times New Roman" w:hAnsi="Times New Roman" w:cs="Times New Roman"/>
          <w:sz w:val="24"/>
          <w:szCs w:val="24"/>
        </w:rPr>
      </w:pPr>
      <w:r w:rsidRPr="0063727B">
        <w:rPr>
          <w:rFonts w:ascii="Times New Roman" w:hAnsi="Times New Roman" w:cs="Times New Roman"/>
          <w:sz w:val="24"/>
          <w:szCs w:val="24"/>
        </w:rPr>
        <w:br w:type="page"/>
      </w:r>
    </w:p>
    <w:p w:rsidR="00096ECE" w:rsidRPr="0063727B" w:rsidRDefault="00096ECE" w:rsidP="00096ECE">
      <w:pPr>
        <w:pStyle w:val="Heading1"/>
        <w:rPr>
          <w:rFonts w:ascii="Times New Roman" w:hAnsi="Times New Roman" w:cs="Times New Roman"/>
          <w:color w:val="auto"/>
          <w:sz w:val="24"/>
          <w:szCs w:val="24"/>
          <w:lang w:val="lv-LV"/>
        </w:rPr>
      </w:pPr>
      <w:bookmarkStart w:id="80" w:name="_Toc372812647"/>
      <w:r w:rsidRPr="0063727B">
        <w:rPr>
          <w:rFonts w:ascii="Times New Roman" w:hAnsi="Times New Roman" w:cs="Times New Roman"/>
          <w:color w:val="auto"/>
          <w:sz w:val="24"/>
          <w:szCs w:val="24"/>
          <w:lang w:val="lv-LV"/>
        </w:rPr>
        <w:lastRenderedPageBreak/>
        <w:t>Attēlu pielikums</w:t>
      </w:r>
      <w:bookmarkEnd w:id="80"/>
    </w:p>
    <w:p w:rsidR="00096ECE" w:rsidRPr="0063727B" w:rsidRDefault="001B7847" w:rsidP="001B7847">
      <w:pPr>
        <w:spacing w:after="0" w:line="240" w:lineRule="auto"/>
        <w:ind w:firstLine="720"/>
        <w:rPr>
          <w:rFonts w:ascii="Times New Roman" w:hAnsi="Times New Roman" w:cs="Times New Roman"/>
          <w:sz w:val="24"/>
          <w:szCs w:val="24"/>
        </w:rPr>
      </w:pPr>
      <w:r w:rsidRPr="0063727B">
        <w:rPr>
          <w:rFonts w:ascii="Times New Roman" w:hAnsi="Times New Roman" w:cs="Times New Roman"/>
          <w:sz w:val="24"/>
          <w:szCs w:val="24"/>
        </w:rPr>
        <w:t xml:space="preserve">     </w:t>
      </w:r>
      <w:r w:rsidR="00096ECE" w:rsidRPr="0063727B">
        <w:rPr>
          <w:rFonts w:ascii="Times New Roman" w:hAnsi="Times New Roman" w:cs="Times New Roman"/>
          <w:sz w:val="24"/>
          <w:szCs w:val="24"/>
        </w:rPr>
        <w:t xml:space="preserve"> 1.attēls. </w:t>
      </w:r>
    </w:p>
    <w:p w:rsidR="00096ECE" w:rsidRPr="0063727B" w:rsidRDefault="003C6CFB" w:rsidP="00096ECE">
      <w:pPr>
        <w:spacing w:after="0" w:line="240" w:lineRule="auto"/>
        <w:jc w:val="center"/>
        <w:rPr>
          <w:rFonts w:ascii="Times New Roman" w:hAnsi="Times New Roman" w:cs="Times New Roman"/>
          <w:sz w:val="24"/>
          <w:szCs w:val="24"/>
        </w:rPr>
      </w:pPr>
      <w:r w:rsidRPr="0063727B">
        <w:rPr>
          <w:noProof/>
          <w:lang w:eastAsia="lv-LV"/>
        </w:rPr>
        <w:drawing>
          <wp:inline distT="0" distB="0" distL="0" distR="0" wp14:anchorId="482BEB74" wp14:editId="57F4AA6A">
            <wp:extent cx="4245997" cy="2425148"/>
            <wp:effectExtent l="0" t="0" r="21590"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6ECE" w:rsidRPr="0063727B" w:rsidRDefault="00096ECE" w:rsidP="00096ECE">
      <w:pPr>
        <w:spacing w:after="0" w:line="240" w:lineRule="auto"/>
        <w:ind w:left="1440"/>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096ECE" w:rsidRPr="0063727B" w:rsidRDefault="00096ECE" w:rsidP="00096ECE">
      <w:pPr>
        <w:spacing w:after="0" w:line="240" w:lineRule="auto"/>
        <w:ind w:left="1440" w:firstLine="720"/>
        <w:rPr>
          <w:rFonts w:ascii="Times New Roman" w:hAnsi="Times New Roman" w:cs="Times New Roman"/>
          <w:sz w:val="24"/>
          <w:szCs w:val="24"/>
        </w:rPr>
      </w:pPr>
    </w:p>
    <w:p w:rsidR="00096ECE" w:rsidRPr="0063727B" w:rsidRDefault="00096ECE" w:rsidP="00096ECE">
      <w:pPr>
        <w:spacing w:after="0" w:line="240" w:lineRule="auto"/>
        <w:ind w:left="1440" w:firstLine="720"/>
        <w:rPr>
          <w:rFonts w:ascii="Times New Roman" w:hAnsi="Times New Roman" w:cs="Times New Roman"/>
          <w:sz w:val="24"/>
          <w:szCs w:val="24"/>
        </w:rPr>
      </w:pPr>
      <w:r w:rsidRPr="0063727B">
        <w:rPr>
          <w:rFonts w:ascii="Times New Roman" w:hAnsi="Times New Roman" w:cs="Times New Roman"/>
          <w:sz w:val="24"/>
          <w:szCs w:val="24"/>
        </w:rPr>
        <w:t>2.attēls.</w:t>
      </w:r>
    </w:p>
    <w:p w:rsidR="00343AF5" w:rsidRPr="0063727B" w:rsidRDefault="003C6CFB" w:rsidP="00E843A6">
      <w:pPr>
        <w:spacing w:after="0" w:line="240" w:lineRule="auto"/>
        <w:ind w:right="-239"/>
        <w:jc w:val="center"/>
        <w:rPr>
          <w:rFonts w:ascii="Times New Roman" w:hAnsi="Times New Roman" w:cs="Times New Roman"/>
          <w:sz w:val="24"/>
          <w:szCs w:val="24"/>
        </w:rPr>
      </w:pPr>
      <w:r w:rsidRPr="0063727B">
        <w:rPr>
          <w:noProof/>
          <w:lang w:eastAsia="lv-LV"/>
        </w:rPr>
        <w:drawing>
          <wp:inline distT="0" distB="0" distL="0" distR="0" wp14:anchorId="603A8636" wp14:editId="403BC06D">
            <wp:extent cx="3554233" cy="2130949"/>
            <wp:effectExtent l="0" t="0" r="27305" b="222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3AF5" w:rsidRPr="0063727B" w:rsidRDefault="00343AF5" w:rsidP="00825480">
      <w:pPr>
        <w:spacing w:after="0" w:line="240" w:lineRule="auto"/>
        <w:ind w:left="1440"/>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1B7847" w:rsidRPr="0063727B" w:rsidRDefault="001B7847" w:rsidP="00666E80">
      <w:pPr>
        <w:spacing w:after="0" w:line="240" w:lineRule="auto"/>
        <w:jc w:val="center"/>
        <w:rPr>
          <w:rFonts w:ascii="Times New Roman" w:hAnsi="Times New Roman" w:cs="Times New Roman"/>
          <w:sz w:val="24"/>
          <w:szCs w:val="24"/>
        </w:rPr>
      </w:pPr>
    </w:p>
    <w:p w:rsidR="00343AF5" w:rsidRPr="0063727B" w:rsidRDefault="001B7847" w:rsidP="001B7847">
      <w:pPr>
        <w:spacing w:after="0" w:line="240" w:lineRule="auto"/>
        <w:rPr>
          <w:rFonts w:ascii="Times New Roman" w:hAnsi="Times New Roman" w:cs="Times New Roman"/>
          <w:sz w:val="24"/>
          <w:szCs w:val="24"/>
        </w:rPr>
      </w:pPr>
      <w:r w:rsidRPr="0063727B">
        <w:rPr>
          <w:rFonts w:ascii="Times New Roman" w:hAnsi="Times New Roman" w:cs="Times New Roman"/>
          <w:sz w:val="24"/>
          <w:szCs w:val="24"/>
        </w:rPr>
        <w:t xml:space="preserve">          3</w:t>
      </w:r>
      <w:r w:rsidR="00343AF5" w:rsidRPr="0063727B">
        <w:rPr>
          <w:rFonts w:ascii="Times New Roman" w:hAnsi="Times New Roman" w:cs="Times New Roman"/>
          <w:sz w:val="24"/>
          <w:szCs w:val="24"/>
        </w:rPr>
        <w:t>.attēls.</w:t>
      </w:r>
      <w:r w:rsidR="00666E80" w:rsidRPr="0063727B">
        <w:rPr>
          <w:rFonts w:ascii="Times New Roman" w:hAnsi="Times New Roman" w:cs="Times New Roman"/>
          <w:sz w:val="24"/>
          <w:szCs w:val="24"/>
        </w:rPr>
        <w:t xml:space="preserve"> </w:t>
      </w:r>
    </w:p>
    <w:p w:rsidR="00343AF5" w:rsidRPr="0063727B" w:rsidRDefault="002A1EE3" w:rsidP="007176E5">
      <w:pPr>
        <w:spacing w:after="0" w:line="240" w:lineRule="auto"/>
        <w:jc w:val="center"/>
        <w:rPr>
          <w:rFonts w:ascii="Times New Roman" w:hAnsi="Times New Roman" w:cs="Times New Roman"/>
          <w:sz w:val="24"/>
          <w:szCs w:val="24"/>
        </w:rPr>
      </w:pPr>
      <w:r w:rsidRPr="0063727B">
        <w:rPr>
          <w:noProof/>
          <w:sz w:val="20"/>
          <w:szCs w:val="20"/>
          <w:lang w:eastAsia="lv-LV"/>
        </w:rPr>
        <w:drawing>
          <wp:inline distT="0" distB="0" distL="0" distR="0" wp14:anchorId="4F51E446" wp14:editId="13AF20A2">
            <wp:extent cx="4118776" cy="2528515"/>
            <wp:effectExtent l="0" t="0" r="15240" b="2476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6E80" w:rsidRPr="0063727B" w:rsidRDefault="00343AF5" w:rsidP="00666E80">
      <w:pPr>
        <w:spacing w:after="0" w:line="240" w:lineRule="auto"/>
        <w:ind w:firstLine="567"/>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AD0361" w:rsidRPr="0063727B" w:rsidRDefault="00AD0361" w:rsidP="00855E91">
      <w:pPr>
        <w:spacing w:after="0" w:line="240" w:lineRule="auto"/>
        <w:rPr>
          <w:rFonts w:ascii="Times New Roman" w:hAnsi="Times New Roman" w:cs="Times New Roman"/>
          <w:sz w:val="24"/>
          <w:szCs w:val="24"/>
          <w:lang w:eastAsia="lv-LV"/>
        </w:rPr>
      </w:pPr>
    </w:p>
    <w:p w:rsidR="00855E91" w:rsidRPr="0063727B" w:rsidRDefault="00855E91" w:rsidP="00855E91">
      <w:pPr>
        <w:spacing w:after="0" w:line="240" w:lineRule="auto"/>
        <w:rPr>
          <w:rFonts w:ascii="Times New Roman" w:hAnsi="Times New Roman" w:cs="Times New Roman"/>
          <w:sz w:val="24"/>
          <w:szCs w:val="24"/>
        </w:rPr>
      </w:pPr>
      <w:r w:rsidRPr="0063727B">
        <w:rPr>
          <w:rFonts w:ascii="Times New Roman" w:hAnsi="Times New Roman" w:cs="Times New Roman"/>
          <w:sz w:val="24"/>
          <w:szCs w:val="24"/>
          <w:lang w:eastAsia="lv-LV"/>
        </w:rPr>
        <w:t xml:space="preserve">4.attēls. </w:t>
      </w:r>
      <w:r w:rsidRPr="0063727B">
        <w:rPr>
          <w:rFonts w:ascii="Times New Roman" w:hAnsi="Times New Roman" w:cs="Times New Roman"/>
          <w:sz w:val="24"/>
          <w:szCs w:val="24"/>
        </w:rPr>
        <w:t xml:space="preserve">Rīcībā esošie ienākumi pa vecuma grupām 2008.-2011.gadā </w:t>
      </w:r>
      <w:r w:rsidR="008D5C38" w:rsidRPr="0063727B">
        <w:rPr>
          <w:rFonts w:ascii="Times New Roman" w:hAnsi="Times New Roman" w:cs="Times New Roman"/>
          <w:sz w:val="24"/>
          <w:szCs w:val="24"/>
        </w:rPr>
        <w:t xml:space="preserve">LVL mēnesī </w:t>
      </w:r>
      <w:r w:rsidRPr="0063727B">
        <w:rPr>
          <w:rFonts w:ascii="Times New Roman" w:hAnsi="Times New Roman" w:cs="Times New Roman"/>
          <w:sz w:val="24"/>
          <w:szCs w:val="24"/>
        </w:rPr>
        <w:t>(vi</w:t>
      </w:r>
      <w:r w:rsidR="008D5C38" w:rsidRPr="0063727B">
        <w:rPr>
          <w:rFonts w:ascii="Times New Roman" w:hAnsi="Times New Roman" w:cs="Times New Roman"/>
          <w:sz w:val="24"/>
          <w:szCs w:val="24"/>
        </w:rPr>
        <w:t>dēji uz ekvivalento patērētāju).</w:t>
      </w:r>
    </w:p>
    <w:p w:rsidR="00855E91" w:rsidRPr="0063727B" w:rsidRDefault="00855E91" w:rsidP="00855E91">
      <w:pPr>
        <w:spacing w:after="0" w:line="240" w:lineRule="auto"/>
        <w:rPr>
          <w:rFonts w:ascii="Times New Roman" w:hAnsi="Times New Roman" w:cs="Times New Roman"/>
          <w:sz w:val="24"/>
          <w:szCs w:val="24"/>
        </w:rPr>
      </w:pPr>
    </w:p>
    <w:p w:rsidR="00855E91" w:rsidRPr="0063727B" w:rsidRDefault="009D28F9" w:rsidP="009D28F9">
      <w:pPr>
        <w:jc w:val="center"/>
        <w:rPr>
          <w:lang w:eastAsia="lv-LV"/>
        </w:rPr>
      </w:pPr>
      <w:r w:rsidRPr="0063727B">
        <w:rPr>
          <w:noProof/>
          <w:lang w:eastAsia="lv-LV"/>
        </w:rPr>
        <w:drawing>
          <wp:inline distT="0" distB="0" distL="0" distR="0" wp14:anchorId="40839A1A" wp14:editId="13BBBA94">
            <wp:extent cx="5448300" cy="4138613"/>
            <wp:effectExtent l="0" t="0" r="19050" b="146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5E91" w:rsidRPr="0063727B" w:rsidRDefault="00855E91" w:rsidP="00855E91">
      <w:pPr>
        <w:spacing w:after="0" w:line="240" w:lineRule="auto"/>
        <w:rPr>
          <w:rFonts w:ascii="Times New Roman" w:hAnsi="Times New Roman" w:cs="Times New Roman"/>
          <w:sz w:val="18"/>
          <w:szCs w:val="18"/>
        </w:rPr>
      </w:pPr>
      <w:r w:rsidRPr="0063727B">
        <w:rPr>
          <w:rFonts w:ascii="Times New Roman" w:hAnsi="Times New Roman" w:cs="Times New Roman"/>
          <w:sz w:val="18"/>
          <w:szCs w:val="18"/>
          <w:lang w:eastAsia="lv-LV"/>
        </w:rPr>
        <w:t xml:space="preserve">Avots: </w:t>
      </w:r>
      <w:r w:rsidRPr="0063727B">
        <w:rPr>
          <w:rFonts w:ascii="Times New Roman" w:hAnsi="Times New Roman" w:cs="Times New Roman"/>
          <w:sz w:val="18"/>
          <w:szCs w:val="18"/>
        </w:rPr>
        <w:t>Centrālās statistikas pārvaldes dati.</w:t>
      </w:r>
    </w:p>
    <w:p w:rsidR="00666E80" w:rsidRPr="0063727B" w:rsidRDefault="00666E80" w:rsidP="00666E80">
      <w:pPr>
        <w:spacing w:after="0" w:line="240" w:lineRule="auto"/>
        <w:ind w:firstLine="567"/>
        <w:rPr>
          <w:rFonts w:ascii="Times New Roman" w:hAnsi="Times New Roman" w:cs="Times New Roman"/>
          <w:sz w:val="20"/>
          <w:szCs w:val="20"/>
        </w:rPr>
      </w:pPr>
    </w:p>
    <w:p w:rsidR="00855E91" w:rsidRPr="0063727B" w:rsidRDefault="00855E91" w:rsidP="00666E80">
      <w:pPr>
        <w:spacing w:after="0" w:line="240" w:lineRule="auto"/>
        <w:ind w:firstLine="567"/>
        <w:rPr>
          <w:rFonts w:ascii="Times New Roman" w:hAnsi="Times New Roman" w:cs="Times New Roman"/>
          <w:sz w:val="24"/>
          <w:szCs w:val="24"/>
        </w:rPr>
      </w:pPr>
      <w:r w:rsidRPr="0063727B">
        <w:rPr>
          <w:rFonts w:ascii="Times New Roman" w:hAnsi="Times New Roman" w:cs="Times New Roman"/>
          <w:sz w:val="24"/>
          <w:szCs w:val="24"/>
        </w:rPr>
        <w:t xml:space="preserve">         </w:t>
      </w:r>
    </w:p>
    <w:p w:rsidR="00666E80" w:rsidRPr="0063727B" w:rsidRDefault="00855E91" w:rsidP="00EA1712">
      <w:pPr>
        <w:spacing w:after="0" w:line="240" w:lineRule="auto"/>
        <w:ind w:left="1440"/>
        <w:rPr>
          <w:rFonts w:ascii="Times New Roman" w:hAnsi="Times New Roman" w:cs="Times New Roman"/>
          <w:sz w:val="24"/>
          <w:szCs w:val="24"/>
        </w:rPr>
      </w:pPr>
      <w:r w:rsidRPr="0063727B">
        <w:rPr>
          <w:rFonts w:ascii="Times New Roman" w:hAnsi="Times New Roman" w:cs="Times New Roman"/>
          <w:sz w:val="24"/>
          <w:szCs w:val="24"/>
        </w:rPr>
        <w:t>5</w:t>
      </w:r>
      <w:r w:rsidR="00343AF5" w:rsidRPr="0063727B">
        <w:rPr>
          <w:rFonts w:ascii="Times New Roman" w:hAnsi="Times New Roman" w:cs="Times New Roman"/>
          <w:sz w:val="24"/>
          <w:szCs w:val="24"/>
        </w:rPr>
        <w:t xml:space="preserve">.attēls. </w:t>
      </w:r>
    </w:p>
    <w:p w:rsidR="00343AF5" w:rsidRPr="0063727B" w:rsidRDefault="00AD4BE9" w:rsidP="00DA61A6">
      <w:pPr>
        <w:ind w:left="420"/>
        <w:jc w:val="center"/>
      </w:pPr>
      <w:r w:rsidRPr="0063727B">
        <w:rPr>
          <w:noProof/>
          <w:lang w:eastAsia="lv-LV"/>
        </w:rPr>
        <w:drawing>
          <wp:inline distT="0" distB="0" distL="0" distR="0" wp14:anchorId="23F17F28" wp14:editId="02A7EEA3">
            <wp:extent cx="4397071" cy="2615979"/>
            <wp:effectExtent l="0" t="0" r="22860" b="1333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3AF5" w:rsidRPr="0063727B" w:rsidRDefault="00343AF5" w:rsidP="00DE6559">
      <w:pPr>
        <w:ind w:left="720" w:firstLine="720"/>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343AF5" w:rsidRPr="0063727B" w:rsidRDefault="00343AF5" w:rsidP="001B623A">
      <w:pPr>
        <w:rPr>
          <w:lang w:eastAsia="lv-LV"/>
        </w:rPr>
      </w:pPr>
    </w:p>
    <w:p w:rsidR="00855E91" w:rsidRPr="0063727B" w:rsidRDefault="00855E91" w:rsidP="00ED0D44">
      <w:pPr>
        <w:ind w:left="360"/>
        <w:rPr>
          <w:rFonts w:ascii="Times New Roman" w:hAnsi="Times New Roman" w:cs="Times New Roman"/>
          <w:sz w:val="24"/>
          <w:szCs w:val="24"/>
        </w:rPr>
      </w:pPr>
    </w:p>
    <w:p w:rsidR="00343AF5" w:rsidRPr="0063727B" w:rsidRDefault="00855E91" w:rsidP="00ED0D44">
      <w:pPr>
        <w:ind w:left="360"/>
        <w:rPr>
          <w:rFonts w:ascii="Times New Roman" w:hAnsi="Times New Roman" w:cs="Times New Roman"/>
          <w:sz w:val="24"/>
          <w:szCs w:val="24"/>
        </w:rPr>
      </w:pPr>
      <w:r w:rsidRPr="0063727B">
        <w:rPr>
          <w:rFonts w:ascii="Times New Roman" w:hAnsi="Times New Roman" w:cs="Times New Roman"/>
          <w:sz w:val="24"/>
          <w:szCs w:val="24"/>
        </w:rPr>
        <w:t>6</w:t>
      </w:r>
      <w:r w:rsidR="00343AF5" w:rsidRPr="0063727B">
        <w:rPr>
          <w:rFonts w:ascii="Times New Roman" w:hAnsi="Times New Roman" w:cs="Times New Roman"/>
          <w:sz w:val="24"/>
          <w:szCs w:val="24"/>
        </w:rPr>
        <w:t xml:space="preserve">.attēls. </w:t>
      </w:r>
    </w:p>
    <w:p w:rsidR="00343AF5" w:rsidRPr="0063727B" w:rsidRDefault="001D08F3" w:rsidP="00ED0D44">
      <w:pPr>
        <w:ind w:left="360"/>
        <w:jc w:val="center"/>
      </w:pPr>
      <w:r w:rsidRPr="0063727B">
        <w:rPr>
          <w:noProof/>
          <w:lang w:eastAsia="lv-LV"/>
        </w:rPr>
        <w:drawing>
          <wp:inline distT="0" distB="0" distL="0" distR="0" wp14:anchorId="7F7A932A" wp14:editId="1C6CBC0E">
            <wp:extent cx="5148263" cy="3138488"/>
            <wp:effectExtent l="0" t="0" r="14605" b="2413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3AF5" w:rsidRPr="0063727B" w:rsidRDefault="00343AF5" w:rsidP="00122D31">
      <w:pPr>
        <w:spacing w:after="0" w:line="240" w:lineRule="auto"/>
        <w:ind w:left="720" w:hanging="294"/>
        <w:rPr>
          <w:rFonts w:ascii="Times New Roman" w:hAnsi="Times New Roman" w:cs="Times New Roman"/>
          <w:sz w:val="20"/>
          <w:szCs w:val="20"/>
        </w:rPr>
      </w:pPr>
      <w:r w:rsidRPr="0063727B">
        <w:rPr>
          <w:rFonts w:ascii="Times New Roman" w:hAnsi="Times New Roman" w:cs="Times New Roman"/>
          <w:sz w:val="20"/>
          <w:szCs w:val="20"/>
        </w:rPr>
        <w:t>Avots: Centrālās statistikas pārvaldes dati.</w:t>
      </w:r>
    </w:p>
    <w:p w:rsidR="00343AF5" w:rsidRPr="0063727B" w:rsidRDefault="00343AF5" w:rsidP="00122D31">
      <w:pPr>
        <w:spacing w:after="0" w:line="240" w:lineRule="auto"/>
        <w:rPr>
          <w:lang w:eastAsia="lv-LV"/>
        </w:rPr>
      </w:pPr>
    </w:p>
    <w:p w:rsidR="00666E80" w:rsidRPr="0063727B" w:rsidRDefault="00666E80" w:rsidP="00720378">
      <w:pPr>
        <w:spacing w:after="0" w:line="240" w:lineRule="auto"/>
        <w:rPr>
          <w:rFonts w:ascii="Times New Roman" w:hAnsi="Times New Roman" w:cs="Times New Roman"/>
          <w:sz w:val="24"/>
          <w:szCs w:val="24"/>
        </w:rPr>
      </w:pPr>
    </w:p>
    <w:p w:rsidR="00343AF5" w:rsidRPr="0063727B" w:rsidRDefault="002B7921" w:rsidP="00720378">
      <w:pPr>
        <w:spacing w:after="0" w:line="240" w:lineRule="auto"/>
        <w:rPr>
          <w:rFonts w:ascii="Times New Roman" w:hAnsi="Times New Roman" w:cs="Times New Roman"/>
          <w:sz w:val="24"/>
          <w:szCs w:val="24"/>
        </w:rPr>
      </w:pPr>
      <w:r w:rsidRPr="0063727B">
        <w:rPr>
          <w:rFonts w:ascii="Times New Roman" w:hAnsi="Times New Roman" w:cs="Times New Roman"/>
          <w:sz w:val="24"/>
          <w:szCs w:val="24"/>
        </w:rPr>
        <w:t>7</w:t>
      </w:r>
      <w:r w:rsidR="00343AF5" w:rsidRPr="0063727B">
        <w:rPr>
          <w:rFonts w:ascii="Times New Roman" w:hAnsi="Times New Roman" w:cs="Times New Roman"/>
          <w:sz w:val="24"/>
          <w:szCs w:val="24"/>
        </w:rPr>
        <w:t>.attēls. Gada vidējā bruto alga izlīdzinātajās cenās (PPS) 2010.-2011.gads</w:t>
      </w:r>
      <w:r w:rsidR="00343AF5" w:rsidRPr="0063727B">
        <w:rPr>
          <w:rStyle w:val="FootnoteReference"/>
          <w:rFonts w:ascii="Times New Roman" w:hAnsi="Times New Roman" w:cs="Times New Roman"/>
          <w:sz w:val="24"/>
          <w:szCs w:val="24"/>
        </w:rPr>
        <w:footnoteReference w:id="109"/>
      </w:r>
    </w:p>
    <w:p w:rsidR="00343AF5" w:rsidRPr="0063727B" w:rsidRDefault="00C24738" w:rsidP="00720378">
      <w:pPr>
        <w:spacing w:after="0" w:line="240" w:lineRule="auto"/>
        <w:rPr>
          <w:rFonts w:ascii="Times New Roman" w:hAnsi="Times New Roman" w:cs="Times New Roman"/>
          <w:sz w:val="24"/>
          <w:szCs w:val="24"/>
        </w:rPr>
      </w:pPr>
      <w:r w:rsidRPr="0063727B">
        <w:rPr>
          <w:noProof/>
          <w:lang w:eastAsia="lv-LV"/>
        </w:rPr>
        <w:drawing>
          <wp:inline distT="0" distB="0" distL="0" distR="0" wp14:anchorId="127730FE" wp14:editId="019F33D4">
            <wp:extent cx="5605780" cy="2901950"/>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5780" cy="2901950"/>
                    </a:xfrm>
                    <a:prstGeom prst="rect">
                      <a:avLst/>
                    </a:prstGeom>
                    <a:noFill/>
                    <a:ln>
                      <a:noFill/>
                    </a:ln>
                  </pic:spPr>
                </pic:pic>
              </a:graphicData>
            </a:graphic>
          </wp:inline>
        </w:drawing>
      </w:r>
    </w:p>
    <w:p w:rsidR="00343AF5" w:rsidRPr="0063727B" w:rsidRDefault="00343AF5" w:rsidP="00720378">
      <w:pPr>
        <w:spacing w:after="0" w:line="240" w:lineRule="auto"/>
        <w:rPr>
          <w:rFonts w:ascii="Times New Roman" w:hAnsi="Times New Roman" w:cs="Times New Roman"/>
          <w:sz w:val="18"/>
          <w:szCs w:val="18"/>
          <w:lang w:eastAsia="lv-LV"/>
        </w:rPr>
      </w:pPr>
      <w:r w:rsidRPr="0063727B">
        <w:rPr>
          <w:rFonts w:ascii="Times New Roman" w:hAnsi="Times New Roman" w:cs="Times New Roman"/>
          <w:sz w:val="18"/>
          <w:szCs w:val="18"/>
          <w:lang w:eastAsia="lv-LV"/>
        </w:rPr>
        <w:lastRenderedPageBreak/>
        <w:t>Avots: Eurostat dati.</w:t>
      </w:r>
    </w:p>
    <w:p w:rsidR="00343AF5" w:rsidRPr="0063727B" w:rsidRDefault="00343AF5" w:rsidP="00720378">
      <w:pPr>
        <w:tabs>
          <w:tab w:val="left" w:pos="709"/>
        </w:tabs>
        <w:spacing w:after="120" w:line="240" w:lineRule="auto"/>
        <w:ind w:left="709" w:hanging="709"/>
        <w:rPr>
          <w:rFonts w:ascii="Times New Roman" w:hAnsi="Times New Roman" w:cs="Times New Roman"/>
          <w:sz w:val="24"/>
          <w:szCs w:val="24"/>
        </w:rPr>
      </w:pPr>
    </w:p>
    <w:p w:rsidR="00343AF5" w:rsidRPr="0063727B" w:rsidRDefault="00686029" w:rsidP="00720378">
      <w:pPr>
        <w:tabs>
          <w:tab w:val="left" w:pos="709"/>
        </w:tabs>
        <w:spacing w:after="120" w:line="240" w:lineRule="auto"/>
        <w:ind w:left="709" w:hanging="709"/>
        <w:rPr>
          <w:rFonts w:ascii="Times New Roman" w:hAnsi="Times New Roman" w:cs="Times New Roman"/>
          <w:sz w:val="24"/>
          <w:szCs w:val="24"/>
        </w:rPr>
      </w:pPr>
      <w:r w:rsidRPr="0063727B">
        <w:rPr>
          <w:rFonts w:ascii="Times New Roman" w:hAnsi="Times New Roman" w:cs="Times New Roman"/>
          <w:sz w:val="24"/>
          <w:szCs w:val="24"/>
        </w:rPr>
        <w:t>8</w:t>
      </w:r>
      <w:r w:rsidR="00343AF5" w:rsidRPr="0063727B">
        <w:rPr>
          <w:rFonts w:ascii="Times New Roman" w:hAnsi="Times New Roman" w:cs="Times New Roman"/>
          <w:sz w:val="24"/>
          <w:szCs w:val="24"/>
        </w:rPr>
        <w:t>.attēls. Neapliekamā minimuma un atvieglojuma par apgādībā esošām personām apmērs Baltijas valstīs 2013.gadā.</w:t>
      </w:r>
    </w:p>
    <w:p w:rsidR="00343AF5" w:rsidRPr="0063727B" w:rsidRDefault="00C24738" w:rsidP="00B634A9">
      <w:pPr>
        <w:spacing w:after="120" w:line="240" w:lineRule="auto"/>
        <w:jc w:val="center"/>
        <w:rPr>
          <w:rFonts w:ascii="Times New Roman" w:hAnsi="Times New Roman" w:cs="Times New Roman"/>
          <w:sz w:val="28"/>
          <w:szCs w:val="28"/>
        </w:rPr>
      </w:pPr>
      <w:r w:rsidRPr="0063727B">
        <w:rPr>
          <w:noProof/>
          <w:lang w:eastAsia="lv-LV"/>
        </w:rPr>
        <w:drawing>
          <wp:inline distT="0" distB="0" distL="0" distR="0" wp14:anchorId="5393FE4B" wp14:editId="6F8F5883">
            <wp:extent cx="4572000" cy="3124835"/>
            <wp:effectExtent l="0" t="0" r="0" b="0"/>
            <wp:docPr id="15" name="Char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6"/>
                    <pic:cNvPicPr>
                      <a:picLocks noChangeAspect="1" noChangeArrowheads="1"/>
                    </pic:cNvPicPr>
                  </pic:nvPicPr>
                  <pic:blipFill>
                    <a:blip r:embed="rId29">
                      <a:extLst>
                        <a:ext uri="{28A0092B-C50C-407E-A947-70E740481C1C}">
                          <a14:useLocalDpi xmlns:a14="http://schemas.microsoft.com/office/drawing/2010/main" val="0"/>
                        </a:ext>
                      </a:extLst>
                    </a:blip>
                    <a:srcRect b="-20"/>
                    <a:stretch>
                      <a:fillRect/>
                    </a:stretch>
                  </pic:blipFill>
                  <pic:spPr bwMode="auto">
                    <a:xfrm>
                      <a:off x="0" y="0"/>
                      <a:ext cx="4572000" cy="3124835"/>
                    </a:xfrm>
                    <a:prstGeom prst="rect">
                      <a:avLst/>
                    </a:prstGeom>
                    <a:noFill/>
                    <a:ln>
                      <a:noFill/>
                    </a:ln>
                  </pic:spPr>
                </pic:pic>
              </a:graphicData>
            </a:graphic>
          </wp:inline>
        </w:drawing>
      </w:r>
    </w:p>
    <w:p w:rsidR="00343AF5" w:rsidRPr="0063727B" w:rsidRDefault="00343AF5" w:rsidP="00720378">
      <w:pPr>
        <w:tabs>
          <w:tab w:val="left" w:pos="284"/>
        </w:tabs>
        <w:spacing w:after="120" w:line="240" w:lineRule="auto"/>
        <w:ind w:left="284" w:hanging="284"/>
        <w:jc w:val="both"/>
        <w:rPr>
          <w:rFonts w:ascii="Times New Roman" w:hAnsi="Times New Roman" w:cs="Times New Roman"/>
          <w:sz w:val="20"/>
          <w:szCs w:val="20"/>
        </w:rPr>
      </w:pPr>
      <w:r w:rsidRPr="0063727B">
        <w:rPr>
          <w:rFonts w:ascii="Times New Roman" w:hAnsi="Times New Roman" w:cs="Times New Roman"/>
          <w:sz w:val="20"/>
          <w:szCs w:val="20"/>
          <w:vertAlign w:val="superscript"/>
        </w:rPr>
        <w:t>*</w:t>
      </w:r>
      <w:r w:rsidRPr="0063727B">
        <w:rPr>
          <w:rFonts w:ascii="Times New Roman" w:hAnsi="Times New Roman" w:cs="Times New Roman"/>
          <w:sz w:val="20"/>
          <w:szCs w:val="20"/>
          <w:vertAlign w:val="superscript"/>
        </w:rPr>
        <w:tab/>
      </w:r>
      <w:r w:rsidRPr="0063727B">
        <w:rPr>
          <w:rFonts w:ascii="Times New Roman" w:hAnsi="Times New Roman" w:cs="Times New Roman"/>
          <w:sz w:val="20"/>
          <w:szCs w:val="20"/>
        </w:rPr>
        <w:t>Latvijā – atvieglojums par apgādībā esošām personām no 01.07.2013. paaugstināts uz 80 latiem mēnesī (līdz tam 70 lati mēnesī)</w:t>
      </w:r>
    </w:p>
    <w:p w:rsidR="00343AF5" w:rsidRPr="0063727B" w:rsidRDefault="00343AF5" w:rsidP="00720378">
      <w:pPr>
        <w:tabs>
          <w:tab w:val="left" w:pos="284"/>
        </w:tabs>
        <w:spacing w:after="0" w:line="240" w:lineRule="auto"/>
        <w:ind w:left="284" w:hanging="284"/>
        <w:jc w:val="both"/>
        <w:rPr>
          <w:rFonts w:ascii="Times New Roman" w:hAnsi="Times New Roman" w:cs="Times New Roman"/>
          <w:sz w:val="20"/>
          <w:szCs w:val="20"/>
        </w:rPr>
      </w:pPr>
      <w:r w:rsidRPr="0063727B">
        <w:rPr>
          <w:rFonts w:ascii="Times New Roman" w:hAnsi="Times New Roman" w:cs="Times New Roman"/>
          <w:sz w:val="20"/>
          <w:szCs w:val="20"/>
          <w:vertAlign w:val="superscript"/>
        </w:rPr>
        <w:t>**</w:t>
      </w:r>
      <w:r w:rsidRPr="0063727B">
        <w:rPr>
          <w:rFonts w:ascii="Times New Roman" w:hAnsi="Times New Roman" w:cs="Times New Roman"/>
          <w:sz w:val="20"/>
          <w:szCs w:val="20"/>
        </w:rPr>
        <w:tab/>
        <w:t>Lietuvā – neapliekamais minimums tiek piemērots proporcionāli ienākumu līmenim, t.i.:</w:t>
      </w:r>
    </w:p>
    <w:p w:rsidR="00343AF5" w:rsidRPr="0063727B" w:rsidRDefault="00343AF5" w:rsidP="009A1501">
      <w:pPr>
        <w:pStyle w:val="ListParagraph"/>
        <w:numPr>
          <w:ilvl w:val="0"/>
          <w:numId w:val="6"/>
        </w:numPr>
        <w:spacing w:after="0" w:line="240" w:lineRule="auto"/>
        <w:ind w:left="567" w:hanging="283"/>
        <w:jc w:val="both"/>
        <w:rPr>
          <w:rFonts w:ascii="Times New Roman" w:hAnsi="Times New Roman" w:cs="Times New Roman"/>
          <w:sz w:val="20"/>
          <w:szCs w:val="20"/>
        </w:rPr>
      </w:pPr>
      <w:r w:rsidRPr="0063727B">
        <w:rPr>
          <w:rFonts w:ascii="Times New Roman" w:hAnsi="Times New Roman" w:cs="Times New Roman"/>
          <w:sz w:val="20"/>
          <w:szCs w:val="20"/>
        </w:rPr>
        <w:t>5 640 liti gadā jeb 95,88 lati mēnesī, ja darbinieka ienākumi nepārsniedz 9 600 liti gadā jeb 163 latus mēnesī;</w:t>
      </w:r>
    </w:p>
    <w:p w:rsidR="00343AF5" w:rsidRPr="0063727B" w:rsidRDefault="00343AF5" w:rsidP="009A1501">
      <w:pPr>
        <w:pStyle w:val="ListParagraph"/>
        <w:numPr>
          <w:ilvl w:val="0"/>
          <w:numId w:val="6"/>
        </w:numPr>
        <w:spacing w:after="0" w:line="240" w:lineRule="auto"/>
        <w:ind w:left="567" w:hanging="283"/>
        <w:jc w:val="both"/>
        <w:rPr>
          <w:rFonts w:ascii="Times New Roman" w:hAnsi="Times New Roman" w:cs="Times New Roman"/>
          <w:sz w:val="20"/>
          <w:szCs w:val="20"/>
        </w:rPr>
      </w:pPr>
      <w:r w:rsidRPr="0063727B">
        <w:rPr>
          <w:rFonts w:ascii="Times New Roman" w:hAnsi="Times New Roman" w:cs="Times New Roman"/>
          <w:sz w:val="20"/>
          <w:szCs w:val="20"/>
        </w:rPr>
        <w:t xml:space="preserve"> ja ienākumi ir no 9 600 līdz 37 800 litiem gadā jeb no 163 līdz 643 latiem mēnesī, tad to aprēķina pēc formulas = 5 640 liti/12-0,2*(darbinieka ienākums – 9 600 liti/12); </w:t>
      </w:r>
    </w:p>
    <w:p w:rsidR="00343AF5" w:rsidRPr="0063727B" w:rsidRDefault="00343AF5" w:rsidP="009A1501">
      <w:pPr>
        <w:pStyle w:val="ListParagraph"/>
        <w:numPr>
          <w:ilvl w:val="0"/>
          <w:numId w:val="6"/>
        </w:numPr>
        <w:spacing w:after="80" w:line="240" w:lineRule="auto"/>
        <w:ind w:left="568" w:hanging="284"/>
        <w:jc w:val="both"/>
        <w:rPr>
          <w:rFonts w:ascii="Times New Roman" w:hAnsi="Times New Roman" w:cs="Times New Roman"/>
          <w:sz w:val="20"/>
          <w:szCs w:val="20"/>
        </w:rPr>
      </w:pPr>
      <w:r w:rsidRPr="0063727B">
        <w:rPr>
          <w:rFonts w:ascii="Times New Roman" w:hAnsi="Times New Roman" w:cs="Times New Roman"/>
          <w:sz w:val="20"/>
          <w:szCs w:val="20"/>
        </w:rPr>
        <w:t>netiek piemērots, ja darbinieka ienākumi pārsniedz 37 800 liti gadā jeb 643 latus mēnesī.</w:t>
      </w:r>
    </w:p>
    <w:p w:rsidR="00343AF5" w:rsidRPr="0063727B" w:rsidRDefault="00343AF5" w:rsidP="00720378">
      <w:pPr>
        <w:tabs>
          <w:tab w:val="left" w:pos="284"/>
        </w:tabs>
        <w:spacing w:after="80" w:line="240" w:lineRule="auto"/>
        <w:jc w:val="both"/>
        <w:rPr>
          <w:rFonts w:ascii="Times New Roman" w:hAnsi="Times New Roman" w:cs="Times New Roman"/>
          <w:sz w:val="20"/>
          <w:szCs w:val="20"/>
        </w:rPr>
      </w:pPr>
      <w:r w:rsidRPr="0063727B">
        <w:rPr>
          <w:rFonts w:ascii="Times New Roman" w:hAnsi="Times New Roman" w:cs="Times New Roman"/>
          <w:sz w:val="20"/>
          <w:szCs w:val="20"/>
          <w:vertAlign w:val="superscript"/>
        </w:rPr>
        <w:t>***</w:t>
      </w:r>
      <w:r w:rsidRPr="0063727B">
        <w:rPr>
          <w:rFonts w:ascii="Times New Roman" w:hAnsi="Times New Roman" w:cs="Times New Roman"/>
          <w:sz w:val="20"/>
          <w:szCs w:val="20"/>
        </w:rPr>
        <w:tab/>
        <w:t>Igaunijā – atvieglojumu par bērniem piemēro, sākot no otrā bērna.</w:t>
      </w:r>
    </w:p>
    <w:p w:rsidR="00343AF5" w:rsidRPr="0063727B" w:rsidRDefault="00343AF5" w:rsidP="00720378">
      <w:pPr>
        <w:tabs>
          <w:tab w:val="left" w:pos="709"/>
        </w:tabs>
        <w:spacing w:before="120" w:after="60" w:line="240" w:lineRule="auto"/>
        <w:ind w:left="709" w:hanging="709"/>
        <w:jc w:val="both"/>
        <w:rPr>
          <w:rFonts w:ascii="Times New Roman" w:hAnsi="Times New Roman" w:cs="Times New Roman"/>
          <w:b/>
          <w:bCs/>
          <w:sz w:val="20"/>
          <w:szCs w:val="20"/>
        </w:rPr>
      </w:pPr>
      <w:r w:rsidRPr="0063727B">
        <w:rPr>
          <w:rFonts w:ascii="Times New Roman" w:hAnsi="Times New Roman" w:cs="Times New Roman"/>
          <w:sz w:val="20"/>
          <w:szCs w:val="20"/>
        </w:rPr>
        <w:t>Avots: Latvijas, Lietuvas un Igaunijas Finanšu ministriju dati</w:t>
      </w:r>
      <w:r w:rsidRPr="0063727B">
        <w:rPr>
          <w:rStyle w:val="FootnoteReference"/>
          <w:rFonts w:ascii="Times New Roman" w:hAnsi="Times New Roman" w:cs="Times New Roman"/>
          <w:sz w:val="20"/>
          <w:szCs w:val="20"/>
        </w:rPr>
        <w:footnoteReference w:id="110"/>
      </w:r>
      <w:r w:rsidRPr="0063727B">
        <w:rPr>
          <w:rFonts w:ascii="Times New Roman" w:hAnsi="Times New Roman" w:cs="Times New Roman"/>
          <w:sz w:val="20"/>
          <w:szCs w:val="20"/>
        </w:rPr>
        <w:t>.</w:t>
      </w:r>
    </w:p>
    <w:p w:rsidR="00343AF5" w:rsidRPr="0063727B" w:rsidRDefault="00343AF5" w:rsidP="00720378">
      <w:pPr>
        <w:spacing w:after="0"/>
        <w:ind w:firstLine="360"/>
        <w:jc w:val="both"/>
        <w:rPr>
          <w:rFonts w:ascii="Times New Roman" w:hAnsi="Times New Roman" w:cs="Times New Roman"/>
          <w:sz w:val="24"/>
          <w:szCs w:val="24"/>
        </w:rPr>
      </w:pPr>
    </w:p>
    <w:p w:rsidR="00343AF5" w:rsidRPr="0063727B" w:rsidRDefault="00343AF5">
      <w:pPr>
        <w:spacing w:after="0" w:line="240" w:lineRule="auto"/>
      </w:pPr>
      <w:r w:rsidRPr="0063727B">
        <w:br w:type="page"/>
      </w:r>
    </w:p>
    <w:p w:rsidR="00343AF5" w:rsidRPr="0063727B" w:rsidRDefault="00343AF5" w:rsidP="0007287E">
      <w:pPr>
        <w:pStyle w:val="Heading1"/>
        <w:rPr>
          <w:rFonts w:ascii="Times New Roman" w:hAnsi="Times New Roman" w:cs="Times New Roman"/>
          <w:color w:val="auto"/>
          <w:lang w:val="lv-LV"/>
        </w:rPr>
      </w:pPr>
      <w:bookmarkStart w:id="81" w:name="_Toc372812648"/>
      <w:r w:rsidRPr="0063727B">
        <w:rPr>
          <w:rFonts w:ascii="Times New Roman" w:hAnsi="Times New Roman" w:cs="Times New Roman"/>
          <w:color w:val="auto"/>
          <w:lang w:val="lv-LV"/>
        </w:rPr>
        <w:lastRenderedPageBreak/>
        <w:t>Tabulu pielikums</w:t>
      </w:r>
      <w:bookmarkEnd w:id="81"/>
    </w:p>
    <w:p w:rsidR="00394C42" w:rsidRPr="0063727B" w:rsidRDefault="00394C42" w:rsidP="00CD3B1E">
      <w:pPr>
        <w:rPr>
          <w:rFonts w:ascii="Times New Roman" w:hAnsi="Times New Roman" w:cs="Times New Roman"/>
          <w:sz w:val="24"/>
          <w:szCs w:val="24"/>
        </w:rPr>
      </w:pPr>
    </w:p>
    <w:p w:rsidR="00343AF5" w:rsidRPr="0063727B" w:rsidRDefault="00343AF5" w:rsidP="00CD3B1E">
      <w:pPr>
        <w:rPr>
          <w:rFonts w:ascii="Times New Roman" w:hAnsi="Times New Roman" w:cs="Times New Roman"/>
          <w:sz w:val="24"/>
          <w:szCs w:val="24"/>
        </w:rPr>
      </w:pPr>
      <w:r w:rsidRPr="0063727B">
        <w:rPr>
          <w:rFonts w:ascii="Times New Roman" w:hAnsi="Times New Roman" w:cs="Times New Roman"/>
          <w:sz w:val="24"/>
          <w:szCs w:val="24"/>
        </w:rPr>
        <w:t xml:space="preserve">1.tabula. Izdevumi sociālajai aizsardzībai Latvijā pēc ESSPROSS* klasifikācijas. </w:t>
      </w:r>
    </w:p>
    <w:tbl>
      <w:tblPr>
        <w:tblW w:w="9547" w:type="dxa"/>
        <w:tblInd w:w="2" w:type="dxa"/>
        <w:tblLook w:val="00A0" w:firstRow="1" w:lastRow="0" w:firstColumn="1" w:lastColumn="0" w:noHBand="0" w:noVBand="0"/>
      </w:tblPr>
      <w:tblGrid>
        <w:gridCol w:w="2407"/>
        <w:gridCol w:w="960"/>
        <w:gridCol w:w="880"/>
        <w:gridCol w:w="960"/>
        <w:gridCol w:w="760"/>
        <w:gridCol w:w="960"/>
        <w:gridCol w:w="840"/>
        <w:gridCol w:w="960"/>
        <w:gridCol w:w="820"/>
      </w:tblGrid>
      <w:tr w:rsidR="0063727B" w:rsidRPr="0063727B">
        <w:trPr>
          <w:trHeight w:val="300"/>
        </w:trPr>
        <w:tc>
          <w:tcPr>
            <w:tcW w:w="2407" w:type="dxa"/>
            <w:tcBorders>
              <w:top w:val="single" w:sz="4" w:space="0" w:color="auto"/>
              <w:left w:val="single" w:sz="4" w:space="0" w:color="auto"/>
              <w:bottom w:val="single" w:sz="4" w:space="0" w:color="auto"/>
              <w:right w:val="single" w:sz="4" w:space="0" w:color="auto"/>
            </w:tcBorders>
            <w:noWrap/>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 </w:t>
            </w:r>
          </w:p>
        </w:tc>
        <w:tc>
          <w:tcPr>
            <w:tcW w:w="1840" w:type="dxa"/>
            <w:gridSpan w:val="2"/>
            <w:tcBorders>
              <w:top w:val="single" w:sz="4" w:space="0" w:color="auto"/>
              <w:left w:val="nil"/>
              <w:bottom w:val="single" w:sz="4" w:space="0" w:color="auto"/>
              <w:right w:val="single" w:sz="4" w:space="0" w:color="auto"/>
            </w:tcBorders>
            <w:noWrap/>
            <w:vAlign w:val="bottom"/>
          </w:tcPr>
          <w:p w:rsidR="00343AF5" w:rsidRPr="0063727B" w:rsidRDefault="00343AF5" w:rsidP="00B354C4">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2008</w:t>
            </w:r>
          </w:p>
        </w:tc>
        <w:tc>
          <w:tcPr>
            <w:tcW w:w="1720" w:type="dxa"/>
            <w:gridSpan w:val="2"/>
            <w:tcBorders>
              <w:top w:val="single" w:sz="4" w:space="0" w:color="auto"/>
              <w:left w:val="nil"/>
              <w:bottom w:val="single" w:sz="4" w:space="0" w:color="auto"/>
              <w:right w:val="single" w:sz="4" w:space="0" w:color="auto"/>
            </w:tcBorders>
            <w:noWrap/>
            <w:vAlign w:val="bottom"/>
          </w:tcPr>
          <w:p w:rsidR="00343AF5" w:rsidRPr="0063727B" w:rsidRDefault="00343AF5" w:rsidP="00B354C4">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2009</w:t>
            </w:r>
          </w:p>
        </w:tc>
        <w:tc>
          <w:tcPr>
            <w:tcW w:w="1800" w:type="dxa"/>
            <w:gridSpan w:val="2"/>
            <w:tcBorders>
              <w:top w:val="single" w:sz="4" w:space="0" w:color="auto"/>
              <w:left w:val="nil"/>
              <w:bottom w:val="single" w:sz="4" w:space="0" w:color="auto"/>
              <w:right w:val="single" w:sz="4" w:space="0" w:color="auto"/>
            </w:tcBorders>
            <w:noWrap/>
            <w:vAlign w:val="bottom"/>
          </w:tcPr>
          <w:p w:rsidR="00343AF5" w:rsidRPr="0063727B" w:rsidRDefault="00343AF5" w:rsidP="00B354C4">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2010</w:t>
            </w:r>
          </w:p>
        </w:tc>
        <w:tc>
          <w:tcPr>
            <w:tcW w:w="1780" w:type="dxa"/>
            <w:gridSpan w:val="2"/>
            <w:tcBorders>
              <w:top w:val="single" w:sz="4" w:space="0" w:color="auto"/>
              <w:left w:val="nil"/>
              <w:bottom w:val="single" w:sz="4" w:space="0" w:color="auto"/>
              <w:right w:val="single" w:sz="4" w:space="0" w:color="auto"/>
            </w:tcBorders>
            <w:noWrap/>
            <w:vAlign w:val="bottom"/>
          </w:tcPr>
          <w:p w:rsidR="00343AF5" w:rsidRPr="0063727B" w:rsidRDefault="00343AF5" w:rsidP="00B354C4">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2011**</w:t>
            </w:r>
          </w:p>
        </w:tc>
      </w:tr>
      <w:tr w:rsidR="0063727B" w:rsidRPr="0063727B">
        <w:trPr>
          <w:trHeight w:val="6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 </w:t>
            </w:r>
          </w:p>
        </w:tc>
        <w:tc>
          <w:tcPr>
            <w:tcW w:w="96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milj. </w:t>
            </w:r>
            <w:r w:rsidRPr="0063727B">
              <w:rPr>
                <w:rFonts w:ascii="Times New Roman" w:hAnsi="Times New Roman" w:cs="Times New Roman"/>
                <w:i/>
                <w:iCs/>
                <w:lang w:eastAsia="lv-LV"/>
              </w:rPr>
              <w:br/>
              <w:t>LVL</w:t>
            </w:r>
          </w:p>
        </w:tc>
        <w:tc>
          <w:tcPr>
            <w:tcW w:w="88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 </w:t>
            </w:r>
            <w:r w:rsidRPr="0063727B">
              <w:rPr>
                <w:rFonts w:ascii="Times New Roman" w:hAnsi="Times New Roman" w:cs="Times New Roman"/>
                <w:i/>
                <w:iCs/>
                <w:lang w:eastAsia="lv-LV"/>
              </w:rPr>
              <w:br/>
              <w:t>no IKP</w:t>
            </w:r>
          </w:p>
        </w:tc>
        <w:tc>
          <w:tcPr>
            <w:tcW w:w="96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milj. </w:t>
            </w:r>
            <w:r w:rsidRPr="0063727B">
              <w:rPr>
                <w:rFonts w:ascii="Times New Roman" w:hAnsi="Times New Roman" w:cs="Times New Roman"/>
                <w:i/>
                <w:iCs/>
                <w:lang w:eastAsia="lv-LV"/>
              </w:rPr>
              <w:br/>
              <w:t>LVL</w:t>
            </w:r>
          </w:p>
        </w:tc>
        <w:tc>
          <w:tcPr>
            <w:tcW w:w="76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 </w:t>
            </w:r>
            <w:r w:rsidRPr="0063727B">
              <w:rPr>
                <w:rFonts w:ascii="Times New Roman" w:hAnsi="Times New Roman" w:cs="Times New Roman"/>
                <w:i/>
                <w:iCs/>
                <w:lang w:eastAsia="lv-LV"/>
              </w:rPr>
              <w:br/>
              <w:t>no IKP</w:t>
            </w:r>
          </w:p>
        </w:tc>
        <w:tc>
          <w:tcPr>
            <w:tcW w:w="96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milj. </w:t>
            </w:r>
            <w:r w:rsidRPr="0063727B">
              <w:rPr>
                <w:rFonts w:ascii="Times New Roman" w:hAnsi="Times New Roman" w:cs="Times New Roman"/>
                <w:i/>
                <w:iCs/>
                <w:lang w:eastAsia="lv-LV"/>
              </w:rPr>
              <w:br/>
              <w:t>LVL</w:t>
            </w:r>
          </w:p>
        </w:tc>
        <w:tc>
          <w:tcPr>
            <w:tcW w:w="84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 </w:t>
            </w:r>
            <w:r w:rsidRPr="0063727B">
              <w:rPr>
                <w:rFonts w:ascii="Times New Roman" w:hAnsi="Times New Roman" w:cs="Times New Roman"/>
                <w:i/>
                <w:iCs/>
                <w:lang w:eastAsia="lv-LV"/>
              </w:rPr>
              <w:br/>
              <w:t>no IKP</w:t>
            </w:r>
          </w:p>
        </w:tc>
        <w:tc>
          <w:tcPr>
            <w:tcW w:w="96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milj. </w:t>
            </w:r>
            <w:r w:rsidRPr="0063727B">
              <w:rPr>
                <w:rFonts w:ascii="Times New Roman" w:hAnsi="Times New Roman" w:cs="Times New Roman"/>
                <w:i/>
                <w:iCs/>
                <w:lang w:eastAsia="lv-LV"/>
              </w:rPr>
              <w:br/>
              <w:t>LVL</w:t>
            </w:r>
          </w:p>
        </w:tc>
        <w:tc>
          <w:tcPr>
            <w:tcW w:w="820" w:type="dxa"/>
            <w:tcBorders>
              <w:top w:val="nil"/>
              <w:left w:val="nil"/>
              <w:bottom w:val="single" w:sz="4" w:space="0" w:color="auto"/>
              <w:right w:val="single" w:sz="4" w:space="0" w:color="auto"/>
            </w:tcBorders>
            <w:vAlign w:val="bottom"/>
          </w:tcPr>
          <w:p w:rsidR="00343AF5" w:rsidRPr="0063727B" w:rsidRDefault="00343AF5" w:rsidP="00B354C4">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 xml:space="preserve">% </w:t>
            </w:r>
            <w:r w:rsidRPr="0063727B">
              <w:rPr>
                <w:rFonts w:ascii="Times New Roman" w:hAnsi="Times New Roman" w:cs="Times New Roman"/>
                <w:i/>
                <w:iCs/>
                <w:lang w:eastAsia="lv-LV"/>
              </w:rPr>
              <w:br/>
              <w:t>no IKP</w:t>
            </w:r>
          </w:p>
        </w:tc>
      </w:tr>
      <w:tr w:rsidR="0063727B" w:rsidRPr="0063727B">
        <w:trPr>
          <w:trHeight w:val="6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Kopējie izdevumi sociālajai aizsardzībai</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2043.08</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12.7</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2210.27</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16.9</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2281.29</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17.8</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2150.46</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15.1</w:t>
            </w:r>
          </w:p>
        </w:tc>
      </w:tr>
      <w:tr w:rsidR="0063727B" w:rsidRPr="0063727B">
        <w:trPr>
          <w:trHeight w:val="6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1. Slimība/veselības aprūpe</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591.39</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3.7</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512.59</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3.9</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467.44</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3.7</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450.18</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3.2</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2. Invaliditāte</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147.3</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0.9</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169.76</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1.3</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172.03</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1.3</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183.81</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1.3</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3. Vecums***</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875.7</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5.4</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989.4</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7.6</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1165.55</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9.1</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1124.16</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7.9</w:t>
            </w:r>
          </w:p>
        </w:tc>
      </w:tr>
      <w:tr w:rsidR="0063727B" w:rsidRPr="0063727B">
        <w:trPr>
          <w:trHeight w:val="6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4. Apgādnieka zaudējums</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38.92</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40.4</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38.34</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36.68</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5. Ģimene/bērni</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223.87</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1.4</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226.76</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1.7</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191.07</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1.5</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160.36</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1.1</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6. Bezdarbs</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82.28</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0.5</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207.44</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1.6</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167.54</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1.3</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101.3</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0.7</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7. Mājoklis</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27.65</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16.66</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0.1</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18.16</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0.1</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21.13</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0.1</w:t>
            </w:r>
          </w:p>
        </w:tc>
      </w:tr>
      <w:tr w:rsidR="0063727B" w:rsidRPr="0063727B">
        <w:trPr>
          <w:trHeight w:val="36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8. Sociālā atstumtība</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18.19</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0.1</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18.88</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0.1</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30.36</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36.32</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r>
      <w:tr w:rsidR="0063727B" w:rsidRPr="0063727B">
        <w:trPr>
          <w:trHeight w:val="6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Administratīvās izmaksas****</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37.08</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28.14</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30.5</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36.14</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r>
      <w:tr w:rsidR="0063727B" w:rsidRPr="0063727B">
        <w:trPr>
          <w:trHeight w:val="300"/>
        </w:trPr>
        <w:tc>
          <w:tcPr>
            <w:tcW w:w="2407" w:type="dxa"/>
            <w:tcBorders>
              <w:top w:val="nil"/>
              <w:left w:val="single" w:sz="4" w:space="0" w:color="auto"/>
              <w:bottom w:val="single" w:sz="4" w:space="0" w:color="auto"/>
              <w:right w:val="single" w:sz="4" w:space="0" w:color="auto"/>
            </w:tcBorders>
            <w:vAlign w:val="bottom"/>
          </w:tcPr>
          <w:p w:rsidR="00343AF5" w:rsidRPr="0063727B" w:rsidRDefault="00343AF5" w:rsidP="00B354C4">
            <w:pPr>
              <w:spacing w:after="0" w:line="240" w:lineRule="auto"/>
              <w:rPr>
                <w:rFonts w:ascii="Times New Roman" w:hAnsi="Times New Roman" w:cs="Times New Roman"/>
                <w:lang w:eastAsia="lv-LV"/>
              </w:rPr>
            </w:pPr>
            <w:r w:rsidRPr="0063727B">
              <w:rPr>
                <w:rFonts w:ascii="Times New Roman" w:hAnsi="Times New Roman" w:cs="Times New Roman"/>
                <w:lang w:eastAsia="lv-LV"/>
              </w:rPr>
              <w:t>Citi izdevumi</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0.7</w:t>
            </w:r>
          </w:p>
        </w:tc>
        <w:tc>
          <w:tcPr>
            <w:tcW w:w="88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0.004</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0.24</w:t>
            </w:r>
          </w:p>
        </w:tc>
        <w:tc>
          <w:tcPr>
            <w:tcW w:w="7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0.002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w:t>
            </w:r>
          </w:p>
        </w:tc>
        <w:tc>
          <w:tcPr>
            <w:tcW w:w="84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0.002</w:t>
            </w:r>
          </w:p>
        </w:tc>
        <w:tc>
          <w:tcPr>
            <w:tcW w:w="96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0.38</w:t>
            </w:r>
          </w:p>
        </w:tc>
        <w:tc>
          <w:tcPr>
            <w:tcW w:w="820" w:type="dxa"/>
            <w:tcBorders>
              <w:top w:val="nil"/>
              <w:left w:val="nil"/>
              <w:bottom w:val="single" w:sz="4" w:space="0" w:color="auto"/>
              <w:right w:val="single" w:sz="4" w:space="0" w:color="auto"/>
            </w:tcBorders>
            <w:noWrap/>
            <w:vAlign w:val="bottom"/>
          </w:tcPr>
          <w:p w:rsidR="00343AF5" w:rsidRPr="0063727B" w:rsidRDefault="00343AF5" w:rsidP="00B354C4">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0.003</w:t>
            </w:r>
          </w:p>
        </w:tc>
      </w:tr>
    </w:tbl>
    <w:p w:rsidR="00343AF5" w:rsidRPr="0063727B" w:rsidRDefault="00343AF5" w:rsidP="00C70210">
      <w:pPr>
        <w:spacing w:after="0"/>
        <w:jc w:val="both"/>
        <w:rPr>
          <w:rFonts w:ascii="Times New Roman" w:hAnsi="Times New Roman" w:cs="Times New Roman"/>
          <w:iCs/>
        </w:rPr>
      </w:pPr>
      <w:r w:rsidRPr="0063727B">
        <w:rPr>
          <w:rFonts w:ascii="Times New Roman" w:hAnsi="Times New Roman" w:cs="Times New Roman"/>
          <w:iCs/>
        </w:rPr>
        <w:t>*Eiropas statistikas sistēmā katru gadu tiek apkopoti un publicēti harmonizēti dati par sociālās aizsardzības izdevumiem saskaņā ar Eiropas Savienības Statistikas biroja (Eurostat) izstrādāto ESSPROS (Eiropas Integrētās sociālās aizsardzības statistikas sistēma) metodoloģiju. Sociālie aizsardzības pabalsti tiek klasificēti atbilstoši pamatmērķim vai funkcijai (piemēram, invaliditāte, vecums u.c.). Latvija datu apkopošanu par sociālo aizsardzību atbilstoši ESSPROS uzsāka 2004.gadā. Dati par sociālās aizsardzības izdevumiem atrodami CSP mājaslapā. To apkopošanai tiek izmantota dažādu valsts institūciju sniegtā informācija. ESSPROS izdevumi tiek finansēti no valsts un pašvaldību budžetiem, darba devēju sociālajiem maksājumiem u.c.</w:t>
      </w:r>
    </w:p>
    <w:p w:rsidR="00343AF5" w:rsidRPr="0063727B" w:rsidRDefault="00343AF5" w:rsidP="00C70210">
      <w:pPr>
        <w:spacing w:after="0"/>
        <w:jc w:val="both"/>
        <w:rPr>
          <w:rFonts w:ascii="Times New Roman" w:hAnsi="Times New Roman" w:cs="Times New Roman"/>
          <w:iCs/>
        </w:rPr>
      </w:pPr>
      <w:r w:rsidRPr="0063727B">
        <w:rPr>
          <w:rFonts w:ascii="Times New Roman" w:hAnsi="Times New Roman" w:cs="Times New Roman"/>
          <w:iCs/>
        </w:rPr>
        <w:t>**2011: provizoriskie dati.</w:t>
      </w:r>
    </w:p>
    <w:p w:rsidR="00343AF5" w:rsidRPr="0063727B" w:rsidRDefault="00343AF5" w:rsidP="00C70210">
      <w:pPr>
        <w:spacing w:after="0"/>
        <w:jc w:val="both"/>
        <w:rPr>
          <w:rFonts w:ascii="Times New Roman" w:hAnsi="Times New Roman" w:cs="Times New Roman"/>
          <w:iCs/>
        </w:rPr>
      </w:pPr>
      <w:r w:rsidRPr="0063727B">
        <w:rPr>
          <w:rFonts w:ascii="Times New Roman" w:hAnsi="Times New Roman" w:cs="Times New Roman"/>
          <w:iCs/>
        </w:rPr>
        <w:t>***2010.gadā izdevumu apjoma pieaugums vecuma funkcijā saistīts ar</w:t>
      </w:r>
      <w:proofErr w:type="gramStart"/>
      <w:r w:rsidRPr="0063727B">
        <w:rPr>
          <w:rFonts w:ascii="Times New Roman" w:hAnsi="Times New Roman" w:cs="Times New Roman"/>
          <w:iCs/>
        </w:rPr>
        <w:t xml:space="preserve">  </w:t>
      </w:r>
      <w:proofErr w:type="gramEnd"/>
      <w:r w:rsidRPr="0063727B">
        <w:rPr>
          <w:rFonts w:ascii="Times New Roman" w:hAnsi="Times New Roman" w:cs="Times New Roman"/>
          <w:iCs/>
        </w:rPr>
        <w:t>Satversmes tiesas sprieduma izpildi, jo 2009.gadā ieturētā naudas summa vecuma pensijas saņēmējiem tika atmaksāta 2010.gadā. Saskaņā ar Valsts sociālās apdrošināšanas aģentūras informāciju 2010.gadā vecuma pensiju un izdienas pensiju saņēmējiem tika atmaksāti 68,8 milj. latu.</w:t>
      </w:r>
    </w:p>
    <w:p w:rsidR="00343AF5" w:rsidRPr="0063727B" w:rsidRDefault="00343AF5" w:rsidP="00C70210">
      <w:pPr>
        <w:spacing w:after="0"/>
        <w:jc w:val="both"/>
        <w:rPr>
          <w:rFonts w:ascii="Times New Roman" w:hAnsi="Times New Roman" w:cs="Times New Roman"/>
          <w:iCs/>
        </w:rPr>
      </w:pPr>
      <w:r w:rsidRPr="0063727B">
        <w:rPr>
          <w:rFonts w:ascii="Times New Roman" w:hAnsi="Times New Roman" w:cs="Times New Roman"/>
          <w:iCs/>
        </w:rPr>
        <w:t>****Administratīvās izmaksas: Administratīvās izmaksas iegūtas aprēķinu rezultātā.</w:t>
      </w:r>
    </w:p>
    <w:p w:rsidR="00394C42" w:rsidRPr="0063727B" w:rsidRDefault="00394C42"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B634A9" w:rsidRPr="0063727B" w:rsidRDefault="00B634A9" w:rsidP="00394C42">
      <w:pPr>
        <w:spacing w:after="0" w:line="240" w:lineRule="auto"/>
        <w:jc w:val="both"/>
        <w:rPr>
          <w:rFonts w:ascii="Times New Roman" w:hAnsi="Times New Roman" w:cs="Times New Roman"/>
          <w:sz w:val="24"/>
          <w:szCs w:val="24"/>
        </w:rPr>
      </w:pPr>
    </w:p>
    <w:p w:rsidR="00394C42" w:rsidRPr="0063727B" w:rsidRDefault="00394C42" w:rsidP="00B634A9">
      <w:pPr>
        <w:spacing w:after="120" w:line="240" w:lineRule="auto"/>
        <w:jc w:val="both"/>
        <w:rPr>
          <w:rFonts w:ascii="Times New Roman" w:hAnsi="Times New Roman" w:cs="Times New Roman"/>
          <w:sz w:val="24"/>
          <w:szCs w:val="24"/>
        </w:rPr>
      </w:pPr>
      <w:r w:rsidRPr="0063727B">
        <w:rPr>
          <w:rFonts w:ascii="Times New Roman" w:hAnsi="Times New Roman" w:cs="Times New Roman"/>
          <w:sz w:val="24"/>
          <w:szCs w:val="24"/>
        </w:rPr>
        <w:t xml:space="preserve">2.tabula. </w:t>
      </w:r>
      <w:r w:rsidRPr="0063727B">
        <w:rPr>
          <w:rFonts w:ascii="Times New Roman" w:hAnsi="Times New Roman" w:cs="Times New Roman"/>
          <w:bCs/>
          <w:sz w:val="24"/>
          <w:szCs w:val="24"/>
        </w:rPr>
        <w:t>Mājsaimniecību rīcībā esošo 201</w:t>
      </w:r>
      <w:r w:rsidR="00B634A9" w:rsidRPr="0063727B">
        <w:rPr>
          <w:rFonts w:ascii="Times New Roman" w:hAnsi="Times New Roman" w:cs="Times New Roman"/>
          <w:bCs/>
          <w:sz w:val="24"/>
          <w:szCs w:val="24"/>
        </w:rPr>
        <w:t>1</w:t>
      </w:r>
      <w:r w:rsidRPr="0063727B">
        <w:rPr>
          <w:rFonts w:ascii="Times New Roman" w:hAnsi="Times New Roman" w:cs="Times New Roman"/>
          <w:bCs/>
          <w:sz w:val="24"/>
          <w:szCs w:val="24"/>
        </w:rPr>
        <w:t xml:space="preserve">.gada ienākumu struktūra % pēc </w:t>
      </w:r>
      <w:proofErr w:type="spellStart"/>
      <w:r w:rsidRPr="0063727B">
        <w:rPr>
          <w:rFonts w:ascii="Times New Roman" w:hAnsi="Times New Roman" w:cs="Times New Roman"/>
          <w:bCs/>
          <w:sz w:val="24"/>
          <w:szCs w:val="24"/>
        </w:rPr>
        <w:t>kvintilēm</w:t>
      </w:r>
      <w:proofErr w:type="spellEnd"/>
      <w:r w:rsidR="00885F7F" w:rsidRPr="0063727B">
        <w:rPr>
          <w:rFonts w:ascii="Times New Roman" w:hAnsi="Times New Roman" w:cs="Times New Roman"/>
          <w:bCs/>
          <w:sz w:val="24"/>
          <w:szCs w:val="24"/>
        </w:rPr>
        <w:t xml:space="preserve"> (Ls, vidēji uz vienu mājsaimniecības locekli mēnesī)</w:t>
      </w:r>
    </w:p>
    <w:tbl>
      <w:tblPr>
        <w:tblW w:w="8237" w:type="dxa"/>
        <w:jc w:val="center"/>
        <w:tblInd w:w="93" w:type="dxa"/>
        <w:tblLook w:val="04A0" w:firstRow="1" w:lastRow="0" w:firstColumn="1" w:lastColumn="0" w:noHBand="0" w:noVBand="1"/>
      </w:tblPr>
      <w:tblGrid>
        <w:gridCol w:w="2283"/>
        <w:gridCol w:w="709"/>
        <w:gridCol w:w="851"/>
        <w:gridCol w:w="708"/>
        <w:gridCol w:w="709"/>
        <w:gridCol w:w="709"/>
        <w:gridCol w:w="709"/>
        <w:gridCol w:w="708"/>
        <w:gridCol w:w="851"/>
      </w:tblGrid>
      <w:tr w:rsidR="0063727B" w:rsidRPr="0063727B" w:rsidTr="00885F7F">
        <w:trPr>
          <w:trHeight w:val="1845"/>
          <w:jc w:val="center"/>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885F7F" w:rsidRPr="0063727B" w:rsidRDefault="00885F7F" w:rsidP="00885F7F">
            <w:pPr>
              <w:spacing w:after="0" w:line="240" w:lineRule="auto"/>
              <w:rPr>
                <w:rFonts w:eastAsia="Times New Roman" w:cs="Times New Roman"/>
                <w:lang w:eastAsia="lv-LV"/>
              </w:rPr>
            </w:pPr>
            <w:r w:rsidRPr="0063727B">
              <w:rPr>
                <w:rFonts w:eastAsia="Times New Roman" w:cs="Times New Roman"/>
                <w:lang w:eastAsia="lv-LV"/>
              </w:rPr>
              <w:t> </w:t>
            </w:r>
          </w:p>
        </w:tc>
        <w:tc>
          <w:tcPr>
            <w:tcW w:w="709"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Rīcībā esošais ienākums,</w:t>
            </w:r>
          </w:p>
        </w:tc>
        <w:tc>
          <w:tcPr>
            <w:tcW w:w="851"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Ienākumi no algotā darba</w:t>
            </w:r>
          </w:p>
        </w:tc>
        <w:tc>
          <w:tcPr>
            <w:tcW w:w="708"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Pašnodarbināto ienākumi</w:t>
            </w:r>
          </w:p>
        </w:tc>
        <w:tc>
          <w:tcPr>
            <w:tcW w:w="709"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Ienākumi no īpašuma</w:t>
            </w:r>
          </w:p>
        </w:tc>
        <w:tc>
          <w:tcPr>
            <w:tcW w:w="709"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Saņemtie sociālie transferti</w:t>
            </w:r>
          </w:p>
        </w:tc>
        <w:tc>
          <w:tcPr>
            <w:tcW w:w="709"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Saņemtie privātie transferti</w:t>
            </w:r>
          </w:p>
        </w:tc>
        <w:tc>
          <w:tcPr>
            <w:tcW w:w="708" w:type="dxa"/>
            <w:tcBorders>
              <w:top w:val="single" w:sz="4" w:space="0" w:color="auto"/>
              <w:left w:val="nil"/>
              <w:bottom w:val="single" w:sz="4" w:space="0" w:color="auto"/>
              <w:right w:val="single" w:sz="4" w:space="0" w:color="808080"/>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Citi ienākumi</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885F7F" w:rsidRPr="0063727B" w:rsidRDefault="00885F7F" w:rsidP="00885F7F">
            <w:pPr>
              <w:spacing w:after="0" w:line="240" w:lineRule="auto"/>
              <w:jc w:val="center"/>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Rīcībā esošo ienākumu samazinošie izdevumi</w:t>
            </w:r>
          </w:p>
        </w:tc>
      </w:tr>
      <w:tr w:rsidR="0063727B" w:rsidRPr="0063727B" w:rsidTr="00885F7F">
        <w:trPr>
          <w:trHeight w:val="300"/>
          <w:jc w:val="center"/>
        </w:trPr>
        <w:tc>
          <w:tcPr>
            <w:tcW w:w="2283"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Visas mājsaimniecības</w:t>
            </w:r>
          </w:p>
        </w:tc>
        <w:tc>
          <w:tcPr>
            <w:tcW w:w="709"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100</w:t>
            </w:r>
          </w:p>
        </w:tc>
        <w:tc>
          <w:tcPr>
            <w:tcW w:w="851"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65,8</w:t>
            </w:r>
          </w:p>
        </w:tc>
        <w:tc>
          <w:tcPr>
            <w:tcW w:w="708"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4,5</w:t>
            </w:r>
          </w:p>
        </w:tc>
        <w:tc>
          <w:tcPr>
            <w:tcW w:w="709"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0,7</w:t>
            </w:r>
          </w:p>
        </w:tc>
        <w:tc>
          <w:tcPr>
            <w:tcW w:w="709"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28,9</w:t>
            </w:r>
          </w:p>
        </w:tc>
        <w:tc>
          <w:tcPr>
            <w:tcW w:w="709"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1,5</w:t>
            </w:r>
          </w:p>
        </w:tc>
        <w:tc>
          <w:tcPr>
            <w:tcW w:w="708" w:type="dxa"/>
            <w:tcBorders>
              <w:top w:val="single" w:sz="4" w:space="0" w:color="auto"/>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-1,4</w:t>
            </w:r>
          </w:p>
        </w:tc>
      </w:tr>
      <w:tr w:rsidR="0063727B" w:rsidRPr="0063727B" w:rsidTr="00885F7F">
        <w:trPr>
          <w:trHeight w:val="300"/>
          <w:jc w:val="center"/>
        </w:trPr>
        <w:tc>
          <w:tcPr>
            <w:tcW w:w="2283"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proofErr w:type="spellStart"/>
            <w:r w:rsidRPr="0063727B">
              <w:rPr>
                <w:rFonts w:ascii="Times New Roman" w:eastAsia="Times New Roman" w:hAnsi="Times New Roman" w:cs="Times New Roman"/>
                <w:b/>
                <w:bCs/>
                <w:sz w:val="20"/>
                <w:szCs w:val="20"/>
                <w:lang w:eastAsia="lv-LV"/>
              </w:rPr>
              <w:t>Kvintiles</w:t>
            </w:r>
            <w:proofErr w:type="spellEnd"/>
          </w:p>
        </w:tc>
        <w:tc>
          <w:tcPr>
            <w:tcW w:w="709"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851"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708"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709"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709"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709"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708"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c>
          <w:tcPr>
            <w:tcW w:w="851" w:type="dxa"/>
            <w:tcBorders>
              <w:top w:val="nil"/>
              <w:left w:val="single" w:sz="4" w:space="0" w:color="auto"/>
              <w:bottom w:val="nil"/>
              <w:right w:val="single" w:sz="4" w:space="0" w:color="808080"/>
            </w:tcBorders>
            <w:shd w:val="clear" w:color="auto" w:fill="auto"/>
            <w:vAlign w:val="bottom"/>
            <w:hideMark/>
          </w:tcPr>
          <w:p w:rsidR="00885F7F" w:rsidRPr="0063727B" w:rsidRDefault="00885F7F" w:rsidP="00885F7F">
            <w:pPr>
              <w:spacing w:after="0" w:line="240" w:lineRule="auto"/>
              <w:rPr>
                <w:rFonts w:ascii="Times New Roman" w:eastAsia="Times New Roman" w:hAnsi="Times New Roman" w:cs="Times New Roman"/>
                <w:b/>
                <w:bCs/>
                <w:sz w:val="20"/>
                <w:szCs w:val="20"/>
                <w:lang w:eastAsia="lv-LV"/>
              </w:rPr>
            </w:pPr>
            <w:r w:rsidRPr="0063727B">
              <w:rPr>
                <w:rFonts w:ascii="Times New Roman" w:eastAsia="Times New Roman" w:hAnsi="Times New Roman" w:cs="Times New Roman"/>
                <w:b/>
                <w:bCs/>
                <w:sz w:val="20"/>
                <w:szCs w:val="20"/>
                <w:lang w:eastAsia="lv-LV"/>
              </w:rPr>
              <w:t> </w:t>
            </w:r>
          </w:p>
        </w:tc>
      </w:tr>
      <w:tr w:rsidR="0063727B" w:rsidRPr="0063727B" w:rsidTr="00885F7F">
        <w:trPr>
          <w:trHeight w:val="300"/>
          <w:jc w:val="center"/>
        </w:trPr>
        <w:tc>
          <w:tcPr>
            <w:tcW w:w="2283"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51,6</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5,1</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0,1</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43,7</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2,4</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0,1</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-3,0</w:t>
            </w:r>
          </w:p>
        </w:tc>
      </w:tr>
      <w:tr w:rsidR="0063727B" w:rsidRPr="0063727B" w:rsidTr="00885F7F">
        <w:trPr>
          <w:trHeight w:val="300"/>
          <w:jc w:val="center"/>
        </w:trPr>
        <w:tc>
          <w:tcPr>
            <w:tcW w:w="2283"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2</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52,8</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3,3</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0,1</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43,1</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1,5</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w:t>
            </w:r>
          </w:p>
        </w:tc>
      </w:tr>
      <w:tr w:rsidR="0063727B" w:rsidRPr="0063727B" w:rsidTr="00885F7F">
        <w:trPr>
          <w:trHeight w:val="300"/>
          <w:jc w:val="center"/>
        </w:trPr>
        <w:tc>
          <w:tcPr>
            <w:tcW w:w="2283"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3</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50,9</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3,0</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0,2</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45,4</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1,3</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-0,9</w:t>
            </w:r>
          </w:p>
        </w:tc>
      </w:tr>
      <w:tr w:rsidR="0063727B" w:rsidRPr="0063727B" w:rsidTr="00885F7F">
        <w:trPr>
          <w:trHeight w:val="300"/>
          <w:jc w:val="center"/>
        </w:trPr>
        <w:tc>
          <w:tcPr>
            <w:tcW w:w="2283"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4</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69,0</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4,3</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0,3</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25,6</w:t>
            </w:r>
          </w:p>
        </w:tc>
        <w:tc>
          <w:tcPr>
            <w:tcW w:w="709"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1,8</w:t>
            </w:r>
          </w:p>
        </w:tc>
        <w:tc>
          <w:tcPr>
            <w:tcW w:w="708"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0,0</w:t>
            </w:r>
          </w:p>
        </w:tc>
        <w:tc>
          <w:tcPr>
            <w:tcW w:w="851" w:type="dxa"/>
            <w:tcBorders>
              <w:top w:val="nil"/>
              <w:left w:val="single" w:sz="4" w:space="0" w:color="auto"/>
              <w:bottom w:val="nil"/>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w:t>
            </w:r>
          </w:p>
        </w:tc>
      </w:tr>
      <w:tr w:rsidR="0063727B" w:rsidRPr="0063727B" w:rsidTr="00885F7F">
        <w:trPr>
          <w:trHeight w:val="300"/>
          <w:jc w:val="center"/>
        </w:trPr>
        <w:tc>
          <w:tcPr>
            <w:tcW w:w="2283"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w:t>
            </w:r>
          </w:p>
        </w:tc>
        <w:tc>
          <w:tcPr>
            <w:tcW w:w="709"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100</w:t>
            </w:r>
          </w:p>
        </w:tc>
        <w:tc>
          <w:tcPr>
            <w:tcW w:w="851"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76,5</w:t>
            </w:r>
          </w:p>
        </w:tc>
        <w:tc>
          <w:tcPr>
            <w:tcW w:w="708"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5,4</w:t>
            </w:r>
          </w:p>
        </w:tc>
        <w:tc>
          <w:tcPr>
            <w:tcW w:w="709"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1,4</w:t>
            </w:r>
          </w:p>
        </w:tc>
        <w:tc>
          <w:tcPr>
            <w:tcW w:w="709"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16,9</w:t>
            </w:r>
          </w:p>
        </w:tc>
        <w:tc>
          <w:tcPr>
            <w:tcW w:w="709"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1,3</w:t>
            </w:r>
          </w:p>
        </w:tc>
        <w:tc>
          <w:tcPr>
            <w:tcW w:w="708"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0,0</w:t>
            </w:r>
          </w:p>
        </w:tc>
        <w:tc>
          <w:tcPr>
            <w:tcW w:w="851" w:type="dxa"/>
            <w:tcBorders>
              <w:top w:val="nil"/>
              <w:left w:val="single" w:sz="4" w:space="0" w:color="auto"/>
              <w:bottom w:val="single" w:sz="4" w:space="0" w:color="auto"/>
              <w:right w:val="single" w:sz="4" w:space="0" w:color="808080"/>
            </w:tcBorders>
            <w:shd w:val="clear" w:color="auto" w:fill="auto"/>
            <w:hideMark/>
          </w:tcPr>
          <w:p w:rsidR="00885F7F" w:rsidRPr="0063727B" w:rsidRDefault="00885F7F" w:rsidP="00885F7F">
            <w:pPr>
              <w:spacing w:after="0" w:line="240" w:lineRule="auto"/>
              <w:jc w:val="right"/>
              <w:rPr>
                <w:rFonts w:ascii="Times New Roman" w:eastAsia="Times New Roman" w:hAnsi="Times New Roman" w:cs="Times New Roman"/>
                <w:sz w:val="20"/>
                <w:szCs w:val="20"/>
                <w:lang w:eastAsia="lv-LV"/>
              </w:rPr>
            </w:pPr>
            <w:r w:rsidRPr="0063727B">
              <w:rPr>
                <w:rFonts w:ascii="Times New Roman" w:eastAsia="Times New Roman" w:hAnsi="Times New Roman" w:cs="Times New Roman"/>
                <w:sz w:val="20"/>
                <w:szCs w:val="20"/>
                <w:lang w:eastAsia="lv-LV"/>
              </w:rPr>
              <w:t>-1,6</w:t>
            </w:r>
          </w:p>
        </w:tc>
      </w:tr>
    </w:tbl>
    <w:p w:rsidR="00B634A9" w:rsidRPr="0063727B" w:rsidRDefault="00B634A9" w:rsidP="00B634A9">
      <w:pPr>
        <w:spacing w:after="0" w:line="240" w:lineRule="auto"/>
        <w:ind w:left="720" w:hanging="294"/>
        <w:rPr>
          <w:rFonts w:ascii="Times New Roman" w:hAnsi="Times New Roman" w:cs="Times New Roman"/>
          <w:sz w:val="20"/>
          <w:szCs w:val="20"/>
        </w:rPr>
      </w:pPr>
      <w:r w:rsidRPr="0063727B">
        <w:rPr>
          <w:rFonts w:ascii="Times New Roman" w:hAnsi="Times New Roman" w:cs="Times New Roman"/>
          <w:sz w:val="20"/>
          <w:szCs w:val="20"/>
        </w:rPr>
        <w:t>Avots: Centr</w:t>
      </w:r>
      <w:r w:rsidR="00885F7F" w:rsidRPr="0063727B">
        <w:rPr>
          <w:rFonts w:ascii="Times New Roman" w:hAnsi="Times New Roman" w:cs="Times New Roman"/>
          <w:sz w:val="20"/>
          <w:szCs w:val="20"/>
        </w:rPr>
        <w:t>ālās statistikas pārvaldes dati, EU-SILC2012, pārrēķinātie svari)</w:t>
      </w:r>
    </w:p>
    <w:p w:rsidR="00343AF5" w:rsidRPr="0063727B" w:rsidRDefault="00343AF5" w:rsidP="00CD3B1E">
      <w:pPr>
        <w:autoSpaceDE w:val="0"/>
        <w:autoSpaceDN w:val="0"/>
        <w:adjustRightInd w:val="0"/>
        <w:spacing w:after="120" w:line="240" w:lineRule="auto"/>
        <w:ind w:left="360" w:hanging="360"/>
        <w:jc w:val="both"/>
        <w:rPr>
          <w:rFonts w:ascii="Times New Roman" w:hAnsi="Times New Roman" w:cs="Times New Roman"/>
          <w:sz w:val="24"/>
          <w:szCs w:val="24"/>
        </w:rPr>
      </w:pPr>
    </w:p>
    <w:p w:rsidR="00343AF5" w:rsidRPr="0063727B" w:rsidRDefault="00394C42" w:rsidP="00CD3B1E">
      <w:pPr>
        <w:autoSpaceDE w:val="0"/>
        <w:autoSpaceDN w:val="0"/>
        <w:adjustRightInd w:val="0"/>
        <w:spacing w:after="120" w:line="240" w:lineRule="auto"/>
        <w:ind w:left="360" w:hanging="360"/>
        <w:jc w:val="both"/>
        <w:rPr>
          <w:rFonts w:ascii="Times New Roman" w:hAnsi="Times New Roman" w:cs="Times New Roman"/>
          <w:sz w:val="24"/>
          <w:szCs w:val="24"/>
        </w:rPr>
      </w:pPr>
      <w:r w:rsidRPr="0063727B">
        <w:rPr>
          <w:rFonts w:ascii="Times New Roman" w:hAnsi="Times New Roman" w:cs="Times New Roman"/>
          <w:sz w:val="24"/>
          <w:szCs w:val="24"/>
        </w:rPr>
        <w:t>3</w:t>
      </w:r>
      <w:r w:rsidR="00343AF5" w:rsidRPr="0063727B">
        <w:rPr>
          <w:rFonts w:ascii="Times New Roman" w:hAnsi="Times New Roman" w:cs="Times New Roman"/>
          <w:sz w:val="24"/>
          <w:szCs w:val="24"/>
        </w:rPr>
        <w:t>.tabula. Valsts pensiju vidējo un minimālo apmēru salīdzinājums.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214"/>
        <w:gridCol w:w="3544"/>
        <w:gridCol w:w="1995"/>
      </w:tblGrid>
      <w:tr w:rsidR="0063727B" w:rsidRPr="0063727B">
        <w:trPr>
          <w:jc w:val="center"/>
        </w:trPr>
        <w:tc>
          <w:tcPr>
            <w:tcW w:w="2070" w:type="dxa"/>
            <w:vAlign w:val="center"/>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Pensijas veids</w:t>
            </w:r>
          </w:p>
        </w:tc>
        <w:tc>
          <w:tcPr>
            <w:tcW w:w="1214" w:type="dxa"/>
            <w:vAlign w:val="center"/>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Vidējais apmērs 2013.gada maijā (Ls)</w:t>
            </w:r>
          </w:p>
        </w:tc>
        <w:tc>
          <w:tcPr>
            <w:tcW w:w="3544" w:type="dxa"/>
            <w:vAlign w:val="center"/>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Noteiktie minimālie pensiju apmēri</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(Ls mēnesī)</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Minimālās pensijas apmērs procentuāli pret vidējās pensijas apmēru (%)</w:t>
            </w:r>
          </w:p>
        </w:tc>
      </w:tr>
      <w:tr w:rsidR="0063727B" w:rsidRPr="0063727B">
        <w:trPr>
          <w:jc w:val="center"/>
        </w:trPr>
        <w:tc>
          <w:tcPr>
            <w:tcW w:w="2070"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Vecuma pensija</w:t>
            </w:r>
          </w:p>
        </w:tc>
        <w:tc>
          <w:tcPr>
            <w:tcW w:w="121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b/>
                <w:bCs/>
              </w:rPr>
              <w:t>190,41</w:t>
            </w:r>
          </w:p>
        </w:tc>
        <w:tc>
          <w:tcPr>
            <w:tcW w:w="354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rPr>
              <w:t xml:space="preserve">ar stāžu no 10-20 gadiem- </w:t>
            </w:r>
            <w:r w:rsidRPr="0063727B">
              <w:rPr>
                <w:rFonts w:ascii="Times New Roman" w:hAnsi="Times New Roman" w:cs="Times New Roman"/>
                <w:b/>
                <w:bCs/>
              </w:rPr>
              <w:t>49,50</w:t>
            </w:r>
          </w:p>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rPr>
              <w:t>(invalīdiem kopš bērnības</w:t>
            </w:r>
            <w:r w:rsidRPr="0063727B">
              <w:rPr>
                <w:rFonts w:ascii="Times New Roman" w:hAnsi="Times New Roman" w:cs="Times New Roman"/>
                <w:b/>
                <w:bCs/>
              </w:rPr>
              <w:t xml:space="preserve"> – 82,50</w:t>
            </w:r>
            <w:r w:rsidRPr="0063727B">
              <w:rPr>
                <w:rFonts w:ascii="Times New Roman" w:hAnsi="Times New Roman" w:cs="Times New Roman"/>
              </w:rPr>
              <w:t>)</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25,9</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(43,3)</w:t>
            </w:r>
          </w:p>
        </w:tc>
      </w:tr>
      <w:tr w:rsidR="0063727B" w:rsidRPr="0063727B">
        <w:trPr>
          <w:jc w:val="center"/>
        </w:trPr>
        <w:tc>
          <w:tcPr>
            <w:tcW w:w="3284" w:type="dxa"/>
            <w:gridSpan w:val="2"/>
            <w:vMerge w:val="restart"/>
          </w:tcPr>
          <w:p w:rsidR="00343AF5" w:rsidRPr="0063727B" w:rsidRDefault="00343AF5" w:rsidP="000606B4">
            <w:pPr>
              <w:spacing w:after="0"/>
              <w:jc w:val="center"/>
              <w:rPr>
                <w:rFonts w:ascii="Times New Roman" w:hAnsi="Times New Roman" w:cs="Times New Roman"/>
              </w:rPr>
            </w:pPr>
          </w:p>
        </w:tc>
        <w:tc>
          <w:tcPr>
            <w:tcW w:w="3544"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 xml:space="preserve">ar stāžu no 21-30 gadiem - </w:t>
            </w:r>
            <w:r w:rsidRPr="0063727B">
              <w:rPr>
                <w:rFonts w:ascii="Times New Roman" w:hAnsi="Times New Roman" w:cs="Times New Roman"/>
                <w:b/>
                <w:bCs/>
              </w:rPr>
              <w:t>58,50</w:t>
            </w:r>
            <w:r w:rsidRPr="0063727B">
              <w:rPr>
                <w:rFonts w:ascii="Times New Roman" w:hAnsi="Times New Roman" w:cs="Times New Roman"/>
              </w:rPr>
              <w:t xml:space="preserve"> (invalīdiem kopš bērnības – </w:t>
            </w:r>
            <w:r w:rsidRPr="0063727B">
              <w:rPr>
                <w:rFonts w:ascii="Times New Roman" w:hAnsi="Times New Roman" w:cs="Times New Roman"/>
                <w:b/>
                <w:bCs/>
              </w:rPr>
              <w:t>97,50</w:t>
            </w:r>
            <w:r w:rsidRPr="0063727B">
              <w:rPr>
                <w:rFonts w:ascii="Times New Roman" w:hAnsi="Times New Roman" w:cs="Times New Roman"/>
              </w:rPr>
              <w:t>)</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30,7</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(51,2)</w:t>
            </w:r>
          </w:p>
        </w:tc>
      </w:tr>
      <w:tr w:rsidR="0063727B" w:rsidRPr="0063727B">
        <w:trPr>
          <w:jc w:val="center"/>
        </w:trPr>
        <w:tc>
          <w:tcPr>
            <w:tcW w:w="3284" w:type="dxa"/>
            <w:gridSpan w:val="2"/>
            <w:vMerge/>
          </w:tcPr>
          <w:p w:rsidR="00343AF5" w:rsidRPr="0063727B" w:rsidRDefault="00343AF5" w:rsidP="000606B4">
            <w:pPr>
              <w:spacing w:after="0"/>
              <w:rPr>
                <w:rFonts w:ascii="Times New Roman" w:hAnsi="Times New Roman" w:cs="Times New Roman"/>
              </w:rPr>
            </w:pPr>
          </w:p>
        </w:tc>
        <w:tc>
          <w:tcPr>
            <w:tcW w:w="3544" w:type="dxa"/>
          </w:tcPr>
          <w:p w:rsidR="00343AF5" w:rsidRPr="0063727B" w:rsidRDefault="00343AF5" w:rsidP="000606B4">
            <w:pPr>
              <w:spacing w:after="0"/>
              <w:rPr>
                <w:rFonts w:ascii="Times New Roman" w:hAnsi="Times New Roman" w:cs="Times New Roman"/>
              </w:rPr>
            </w:pPr>
            <w:r w:rsidRPr="0063727B">
              <w:rPr>
                <w:rFonts w:ascii="Times New Roman" w:hAnsi="Times New Roman" w:cs="Times New Roman"/>
              </w:rPr>
              <w:t xml:space="preserve">ar stāžu no 31-40 gadiem - </w:t>
            </w:r>
            <w:r w:rsidRPr="0063727B">
              <w:rPr>
                <w:rFonts w:ascii="Times New Roman" w:hAnsi="Times New Roman" w:cs="Times New Roman"/>
                <w:b/>
                <w:bCs/>
              </w:rPr>
              <w:t>67,50</w:t>
            </w:r>
            <w:r w:rsidRPr="0063727B">
              <w:rPr>
                <w:rFonts w:ascii="Times New Roman" w:hAnsi="Times New Roman" w:cs="Times New Roman"/>
              </w:rPr>
              <w:t xml:space="preserve"> (invalīdiem kopš bērnības – </w:t>
            </w:r>
            <w:r w:rsidRPr="0063727B">
              <w:rPr>
                <w:rFonts w:ascii="Times New Roman" w:hAnsi="Times New Roman" w:cs="Times New Roman"/>
                <w:b/>
                <w:bCs/>
              </w:rPr>
              <w:t>112,50</w:t>
            </w:r>
            <w:r w:rsidRPr="0063727B">
              <w:rPr>
                <w:rFonts w:ascii="Times New Roman" w:hAnsi="Times New Roman" w:cs="Times New Roman"/>
              </w:rPr>
              <w:t>)</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35,4</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(59,1)</w:t>
            </w:r>
          </w:p>
        </w:tc>
      </w:tr>
      <w:tr w:rsidR="0063727B" w:rsidRPr="0063727B">
        <w:trPr>
          <w:trHeight w:val="710"/>
          <w:jc w:val="center"/>
        </w:trPr>
        <w:tc>
          <w:tcPr>
            <w:tcW w:w="3284" w:type="dxa"/>
            <w:gridSpan w:val="2"/>
            <w:vMerge/>
          </w:tcPr>
          <w:p w:rsidR="00343AF5" w:rsidRPr="0063727B" w:rsidRDefault="00343AF5" w:rsidP="000606B4">
            <w:pPr>
              <w:spacing w:after="0"/>
              <w:rPr>
                <w:rFonts w:ascii="Times New Roman" w:hAnsi="Times New Roman" w:cs="Times New Roman"/>
              </w:rPr>
            </w:pPr>
          </w:p>
        </w:tc>
        <w:tc>
          <w:tcPr>
            <w:tcW w:w="3544" w:type="dxa"/>
          </w:tcPr>
          <w:p w:rsidR="00343AF5" w:rsidRPr="0063727B" w:rsidRDefault="00343AF5" w:rsidP="000606B4">
            <w:pPr>
              <w:spacing w:after="0"/>
              <w:rPr>
                <w:rFonts w:ascii="Times New Roman" w:hAnsi="Times New Roman" w:cs="Times New Roman"/>
              </w:rPr>
            </w:pPr>
            <w:r w:rsidRPr="0063727B">
              <w:rPr>
                <w:rFonts w:ascii="Times New Roman" w:hAnsi="Times New Roman" w:cs="Times New Roman"/>
              </w:rPr>
              <w:t xml:space="preserve">ar stāžu 41 gads un vairāk - </w:t>
            </w:r>
            <w:r w:rsidRPr="0063727B">
              <w:rPr>
                <w:rFonts w:ascii="Times New Roman" w:hAnsi="Times New Roman" w:cs="Times New Roman"/>
                <w:b/>
                <w:bCs/>
              </w:rPr>
              <w:t>76,50</w:t>
            </w:r>
            <w:r w:rsidRPr="0063727B">
              <w:rPr>
                <w:rFonts w:ascii="Times New Roman" w:hAnsi="Times New Roman" w:cs="Times New Roman"/>
              </w:rPr>
              <w:t xml:space="preserve"> (invalīdiem kopš bērnības – </w:t>
            </w:r>
            <w:r w:rsidRPr="0063727B">
              <w:rPr>
                <w:rFonts w:ascii="Times New Roman" w:hAnsi="Times New Roman" w:cs="Times New Roman"/>
                <w:b/>
                <w:bCs/>
              </w:rPr>
              <w:t>127,50</w:t>
            </w:r>
            <w:r w:rsidRPr="0063727B">
              <w:rPr>
                <w:rFonts w:ascii="Times New Roman" w:hAnsi="Times New Roman" w:cs="Times New Roman"/>
              </w:rPr>
              <w:t>)</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40,2</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(67,0)</w:t>
            </w:r>
          </w:p>
        </w:tc>
      </w:tr>
      <w:tr w:rsidR="0063727B" w:rsidRPr="0063727B">
        <w:trPr>
          <w:jc w:val="center"/>
        </w:trPr>
        <w:tc>
          <w:tcPr>
            <w:tcW w:w="2070"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Invaliditātes pensija</w:t>
            </w:r>
          </w:p>
        </w:tc>
        <w:tc>
          <w:tcPr>
            <w:tcW w:w="121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b/>
                <w:bCs/>
              </w:rPr>
              <w:t>116,79</w:t>
            </w:r>
          </w:p>
        </w:tc>
        <w:tc>
          <w:tcPr>
            <w:tcW w:w="3544" w:type="dxa"/>
          </w:tcPr>
          <w:p w:rsidR="00343AF5" w:rsidRPr="0063727B" w:rsidRDefault="00343AF5" w:rsidP="000606B4">
            <w:pPr>
              <w:spacing w:after="0"/>
              <w:jc w:val="center"/>
              <w:rPr>
                <w:rFonts w:ascii="Times New Roman" w:hAnsi="Times New Roman" w:cs="Times New Roman"/>
              </w:rPr>
            </w:pPr>
          </w:p>
        </w:tc>
        <w:tc>
          <w:tcPr>
            <w:tcW w:w="1995" w:type="dxa"/>
          </w:tcPr>
          <w:p w:rsidR="00343AF5" w:rsidRPr="0063727B" w:rsidRDefault="00343AF5" w:rsidP="000606B4">
            <w:pPr>
              <w:spacing w:after="0"/>
              <w:jc w:val="center"/>
              <w:rPr>
                <w:rFonts w:ascii="Times New Roman" w:hAnsi="Times New Roman" w:cs="Times New Roman"/>
              </w:rPr>
            </w:pPr>
          </w:p>
        </w:tc>
      </w:tr>
      <w:tr w:rsidR="0063727B" w:rsidRPr="0063727B">
        <w:trPr>
          <w:jc w:val="center"/>
        </w:trPr>
        <w:tc>
          <w:tcPr>
            <w:tcW w:w="3284" w:type="dxa"/>
            <w:gridSpan w:val="2"/>
            <w:vMerge w:val="restart"/>
          </w:tcPr>
          <w:p w:rsidR="00343AF5" w:rsidRPr="0063727B" w:rsidRDefault="00343AF5" w:rsidP="000606B4">
            <w:pPr>
              <w:spacing w:after="0"/>
              <w:jc w:val="center"/>
              <w:rPr>
                <w:rFonts w:ascii="Times New Roman" w:hAnsi="Times New Roman" w:cs="Times New Roman"/>
              </w:rPr>
            </w:pP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 grupai – 151,59</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II grupai – 142,77</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III grupai – 77,05</w:t>
            </w:r>
          </w:p>
        </w:tc>
        <w:tc>
          <w:tcPr>
            <w:tcW w:w="354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rPr>
              <w:t xml:space="preserve">I grupai - </w:t>
            </w:r>
            <w:r w:rsidRPr="0063727B">
              <w:rPr>
                <w:rFonts w:ascii="Times New Roman" w:hAnsi="Times New Roman" w:cs="Times New Roman"/>
                <w:b/>
                <w:bCs/>
              </w:rPr>
              <w:t xml:space="preserve">72 </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(invalīdiem kopš bērnības – 120)</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47,5</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(79,2)</w:t>
            </w:r>
          </w:p>
        </w:tc>
      </w:tr>
      <w:tr w:rsidR="0063727B" w:rsidRPr="0063727B">
        <w:trPr>
          <w:jc w:val="center"/>
        </w:trPr>
        <w:tc>
          <w:tcPr>
            <w:tcW w:w="3284" w:type="dxa"/>
            <w:gridSpan w:val="2"/>
            <w:vMerge/>
          </w:tcPr>
          <w:p w:rsidR="00343AF5" w:rsidRPr="0063727B" w:rsidRDefault="00343AF5" w:rsidP="000606B4">
            <w:pPr>
              <w:autoSpaceDE w:val="0"/>
              <w:autoSpaceDN w:val="0"/>
              <w:adjustRightInd w:val="0"/>
              <w:spacing w:after="0" w:line="240" w:lineRule="auto"/>
              <w:ind w:left="360" w:firstLine="360"/>
              <w:jc w:val="both"/>
              <w:rPr>
                <w:rFonts w:ascii="Times New Roman" w:hAnsi="Times New Roman" w:cs="Times New Roman"/>
                <w:sz w:val="24"/>
                <w:szCs w:val="24"/>
              </w:rPr>
            </w:pPr>
          </w:p>
        </w:tc>
        <w:tc>
          <w:tcPr>
            <w:tcW w:w="3544"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 xml:space="preserve">II grupai - </w:t>
            </w:r>
            <w:r w:rsidRPr="0063727B">
              <w:rPr>
                <w:rFonts w:ascii="Times New Roman" w:hAnsi="Times New Roman" w:cs="Times New Roman"/>
                <w:b/>
                <w:bCs/>
              </w:rPr>
              <w:t xml:space="preserve">63 </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(invalīdiem kopš bērnības – 105)</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44,1</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(73,5)</w:t>
            </w:r>
          </w:p>
        </w:tc>
      </w:tr>
      <w:tr w:rsidR="0063727B" w:rsidRPr="0063727B">
        <w:trPr>
          <w:jc w:val="center"/>
        </w:trPr>
        <w:tc>
          <w:tcPr>
            <w:tcW w:w="3284" w:type="dxa"/>
            <w:gridSpan w:val="2"/>
            <w:vMerge/>
          </w:tcPr>
          <w:p w:rsidR="00343AF5" w:rsidRPr="0063727B" w:rsidRDefault="00343AF5" w:rsidP="000606B4">
            <w:pPr>
              <w:autoSpaceDE w:val="0"/>
              <w:autoSpaceDN w:val="0"/>
              <w:adjustRightInd w:val="0"/>
              <w:spacing w:after="0" w:line="240" w:lineRule="auto"/>
              <w:ind w:left="360" w:firstLine="360"/>
              <w:jc w:val="both"/>
              <w:rPr>
                <w:rFonts w:ascii="Times New Roman" w:hAnsi="Times New Roman" w:cs="Times New Roman"/>
                <w:sz w:val="24"/>
                <w:szCs w:val="24"/>
              </w:rPr>
            </w:pPr>
          </w:p>
        </w:tc>
        <w:tc>
          <w:tcPr>
            <w:tcW w:w="354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rPr>
              <w:t xml:space="preserve">III grupai - </w:t>
            </w:r>
            <w:r w:rsidRPr="0063727B">
              <w:rPr>
                <w:rFonts w:ascii="Times New Roman" w:hAnsi="Times New Roman" w:cs="Times New Roman"/>
                <w:b/>
                <w:bCs/>
              </w:rPr>
              <w:t xml:space="preserve">45 </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 xml:space="preserve">(invalīdiem kopš bērnības – </w:t>
            </w:r>
            <w:r w:rsidRPr="0063727B">
              <w:rPr>
                <w:rFonts w:ascii="Times New Roman" w:hAnsi="Times New Roman" w:cs="Times New Roman"/>
                <w:b/>
                <w:bCs/>
              </w:rPr>
              <w:t>75</w:t>
            </w:r>
            <w:r w:rsidRPr="0063727B">
              <w:rPr>
                <w:rFonts w:ascii="Times New Roman" w:hAnsi="Times New Roman" w:cs="Times New Roman"/>
              </w:rPr>
              <w:t>)</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58,4</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(97,3)</w:t>
            </w:r>
          </w:p>
        </w:tc>
      </w:tr>
      <w:tr w:rsidR="0063727B" w:rsidRPr="0063727B">
        <w:trPr>
          <w:jc w:val="center"/>
        </w:trPr>
        <w:tc>
          <w:tcPr>
            <w:tcW w:w="2070"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Apgādnieka zaudējuma pensija</w:t>
            </w:r>
          </w:p>
        </w:tc>
        <w:tc>
          <w:tcPr>
            <w:tcW w:w="121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b/>
                <w:bCs/>
              </w:rPr>
              <w:t>93,76</w:t>
            </w:r>
          </w:p>
        </w:tc>
        <w:tc>
          <w:tcPr>
            <w:tcW w:w="3544" w:type="dxa"/>
          </w:tcPr>
          <w:p w:rsidR="00343AF5" w:rsidRPr="0063727B" w:rsidRDefault="00343AF5" w:rsidP="000606B4">
            <w:pPr>
              <w:spacing w:after="0"/>
              <w:jc w:val="center"/>
              <w:rPr>
                <w:rFonts w:ascii="Times New Roman" w:hAnsi="Times New Roman" w:cs="Times New Roman"/>
                <w:b/>
                <w:bCs/>
              </w:rPr>
            </w:pPr>
            <w:r w:rsidRPr="0063727B">
              <w:rPr>
                <w:rFonts w:ascii="Times New Roman" w:hAnsi="Times New Roman" w:cs="Times New Roman"/>
                <w:b/>
                <w:bCs/>
              </w:rPr>
              <w:t xml:space="preserve">45 </w:t>
            </w:r>
          </w:p>
          <w:p w:rsidR="00343AF5" w:rsidRPr="0063727B" w:rsidRDefault="00343AF5" w:rsidP="000606B4">
            <w:pPr>
              <w:spacing w:after="0"/>
              <w:jc w:val="center"/>
              <w:rPr>
                <w:rFonts w:ascii="Times New Roman" w:hAnsi="Times New Roman" w:cs="Times New Roman"/>
                <w:sz w:val="20"/>
                <w:szCs w:val="20"/>
              </w:rPr>
            </w:pPr>
            <w:r w:rsidRPr="0063727B">
              <w:rPr>
                <w:rFonts w:ascii="Times New Roman" w:hAnsi="Times New Roman" w:cs="Times New Roman"/>
                <w:sz w:val="20"/>
                <w:szCs w:val="20"/>
              </w:rPr>
              <w:t>(katram bērnam – ne mazāk kā 29,25)</w:t>
            </w: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 xml:space="preserve">invalīdiem kopš bērnības – </w:t>
            </w:r>
            <w:r w:rsidRPr="0063727B">
              <w:rPr>
                <w:rFonts w:ascii="Times New Roman" w:hAnsi="Times New Roman" w:cs="Times New Roman"/>
                <w:b/>
                <w:bCs/>
              </w:rPr>
              <w:t xml:space="preserve">75 </w:t>
            </w:r>
            <w:r w:rsidRPr="0063727B">
              <w:rPr>
                <w:rFonts w:ascii="Times New Roman" w:hAnsi="Times New Roman" w:cs="Times New Roman"/>
                <w:sz w:val="20"/>
                <w:szCs w:val="20"/>
              </w:rPr>
              <w:t>(katram bērnam – ne mazāk kā 48,75)</w:t>
            </w:r>
          </w:p>
        </w:tc>
        <w:tc>
          <w:tcPr>
            <w:tcW w:w="1995" w:type="dxa"/>
          </w:tcPr>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47,9</w:t>
            </w:r>
          </w:p>
          <w:p w:rsidR="00343AF5" w:rsidRPr="0063727B" w:rsidRDefault="00343AF5" w:rsidP="000606B4">
            <w:pPr>
              <w:spacing w:after="0"/>
              <w:jc w:val="center"/>
              <w:rPr>
                <w:rFonts w:ascii="Times New Roman" w:hAnsi="Times New Roman" w:cs="Times New Roman"/>
              </w:rPr>
            </w:pPr>
          </w:p>
          <w:p w:rsidR="00343AF5" w:rsidRPr="0063727B" w:rsidRDefault="00343AF5" w:rsidP="000606B4">
            <w:pPr>
              <w:spacing w:after="0"/>
              <w:jc w:val="center"/>
              <w:rPr>
                <w:rFonts w:ascii="Times New Roman" w:hAnsi="Times New Roman" w:cs="Times New Roman"/>
              </w:rPr>
            </w:pPr>
            <w:r w:rsidRPr="0063727B">
              <w:rPr>
                <w:rFonts w:ascii="Times New Roman" w:hAnsi="Times New Roman" w:cs="Times New Roman"/>
              </w:rPr>
              <w:t>(80,0)</w:t>
            </w:r>
          </w:p>
        </w:tc>
      </w:tr>
    </w:tbl>
    <w:p w:rsidR="00343AF5" w:rsidRPr="0063727B" w:rsidRDefault="00343AF5" w:rsidP="00DE771B">
      <w:pPr>
        <w:autoSpaceDE w:val="0"/>
        <w:autoSpaceDN w:val="0"/>
        <w:adjustRightInd w:val="0"/>
        <w:spacing w:after="120" w:line="240" w:lineRule="auto"/>
        <w:ind w:left="360" w:firstLine="360"/>
        <w:jc w:val="both"/>
        <w:rPr>
          <w:rFonts w:ascii="Times New Roman" w:hAnsi="Times New Roman" w:cs="Times New Roman"/>
          <w:sz w:val="20"/>
          <w:szCs w:val="20"/>
        </w:rPr>
      </w:pPr>
      <w:r w:rsidRPr="0063727B">
        <w:rPr>
          <w:rFonts w:ascii="Times New Roman" w:hAnsi="Times New Roman" w:cs="Times New Roman"/>
          <w:sz w:val="20"/>
          <w:szCs w:val="20"/>
        </w:rPr>
        <w:t xml:space="preserve">Avots: </w:t>
      </w:r>
      <w:r w:rsidR="00B634A9" w:rsidRPr="0063727B">
        <w:rPr>
          <w:rFonts w:ascii="Times New Roman" w:hAnsi="Times New Roman" w:cs="Times New Roman"/>
          <w:sz w:val="20"/>
          <w:szCs w:val="20"/>
        </w:rPr>
        <w:t>Valsts sociālās apdrošināšanas aģentūras</w:t>
      </w:r>
      <w:r w:rsidRPr="0063727B">
        <w:rPr>
          <w:rFonts w:ascii="Times New Roman" w:hAnsi="Times New Roman" w:cs="Times New Roman"/>
          <w:sz w:val="20"/>
          <w:szCs w:val="20"/>
        </w:rPr>
        <w:t xml:space="preserve"> dati.</w:t>
      </w:r>
    </w:p>
    <w:p w:rsidR="00343AF5" w:rsidRPr="0063727B" w:rsidRDefault="00A2208D" w:rsidP="008B456E">
      <w:pPr>
        <w:autoSpaceDE w:val="0"/>
        <w:autoSpaceDN w:val="0"/>
        <w:adjustRightInd w:val="0"/>
        <w:spacing w:after="120" w:line="240" w:lineRule="auto"/>
        <w:ind w:left="360" w:hanging="218"/>
        <w:jc w:val="both"/>
        <w:rPr>
          <w:rFonts w:ascii="Times New Roman" w:hAnsi="Times New Roman" w:cs="Times New Roman"/>
          <w:sz w:val="24"/>
          <w:szCs w:val="24"/>
        </w:rPr>
      </w:pPr>
      <w:r w:rsidRPr="0063727B">
        <w:rPr>
          <w:rFonts w:ascii="Times New Roman" w:hAnsi="Times New Roman" w:cs="Times New Roman"/>
          <w:sz w:val="24"/>
          <w:szCs w:val="24"/>
        </w:rPr>
        <w:lastRenderedPageBreak/>
        <w:t>4</w:t>
      </w:r>
      <w:r w:rsidR="00343AF5" w:rsidRPr="0063727B">
        <w:rPr>
          <w:rFonts w:ascii="Times New Roman" w:hAnsi="Times New Roman" w:cs="Times New Roman"/>
          <w:sz w:val="24"/>
          <w:szCs w:val="24"/>
        </w:rPr>
        <w:t xml:space="preserve">.tabula. </w:t>
      </w:r>
      <w:r w:rsidR="00B634A9" w:rsidRPr="0063727B">
        <w:rPr>
          <w:rFonts w:ascii="Times New Roman" w:hAnsi="Times New Roman" w:cs="Times New Roman"/>
        </w:rPr>
        <w:t>Labklājības ministrija</w:t>
      </w:r>
      <w:r w:rsidR="00B634A9" w:rsidRPr="0063727B">
        <w:rPr>
          <w:rFonts w:ascii="Times New Roman" w:hAnsi="Times New Roman" w:cs="Times New Roman"/>
          <w:sz w:val="24"/>
          <w:szCs w:val="24"/>
        </w:rPr>
        <w:t xml:space="preserve">s </w:t>
      </w:r>
      <w:r w:rsidR="00343AF5" w:rsidRPr="0063727B">
        <w:rPr>
          <w:rFonts w:ascii="Times New Roman" w:hAnsi="Times New Roman" w:cs="Times New Roman"/>
          <w:sz w:val="24"/>
          <w:szCs w:val="24"/>
        </w:rPr>
        <w:t>piemērs.</w:t>
      </w:r>
    </w:p>
    <w:tbl>
      <w:tblPr>
        <w:tblW w:w="9075" w:type="dxa"/>
        <w:tblInd w:w="2" w:type="dxa"/>
        <w:tblCellMar>
          <w:left w:w="0" w:type="dxa"/>
          <w:right w:w="0" w:type="dxa"/>
        </w:tblCellMar>
        <w:tblLook w:val="0020" w:firstRow="1" w:lastRow="0" w:firstColumn="0" w:lastColumn="0" w:noHBand="0" w:noVBand="0"/>
      </w:tblPr>
      <w:tblGrid>
        <w:gridCol w:w="3544"/>
        <w:gridCol w:w="1586"/>
        <w:gridCol w:w="1980"/>
        <w:gridCol w:w="1965"/>
      </w:tblGrid>
      <w:tr w:rsidR="0063727B" w:rsidRPr="0063727B" w:rsidTr="00B441B5">
        <w:trPr>
          <w:trHeight w:val="473"/>
        </w:trPr>
        <w:tc>
          <w:tcPr>
            <w:tcW w:w="9075" w:type="dxa"/>
            <w:gridSpan w:val="4"/>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tcPr>
          <w:p w:rsidR="00343AF5" w:rsidRPr="0063727B" w:rsidRDefault="00343AF5" w:rsidP="00B441B5">
            <w:pPr>
              <w:autoSpaceDE w:val="0"/>
              <w:autoSpaceDN w:val="0"/>
              <w:adjustRightInd w:val="0"/>
              <w:spacing w:after="120" w:line="240" w:lineRule="auto"/>
              <w:ind w:left="360" w:firstLine="360"/>
              <w:jc w:val="center"/>
              <w:rPr>
                <w:rFonts w:ascii="Times New Roman" w:hAnsi="Times New Roman" w:cs="Times New Roman"/>
                <w:sz w:val="24"/>
                <w:szCs w:val="24"/>
              </w:rPr>
            </w:pPr>
            <w:r w:rsidRPr="0063727B">
              <w:rPr>
                <w:rFonts w:ascii="Times New Roman" w:hAnsi="Times New Roman" w:cs="Times New Roman"/>
                <w:b/>
                <w:bCs/>
                <w:sz w:val="24"/>
                <w:szCs w:val="24"/>
              </w:rPr>
              <w:t>Persona dzimusi 1970.gadā, sākusi strādāt no 25 gadu vecuma</w:t>
            </w:r>
          </w:p>
        </w:tc>
      </w:tr>
      <w:tr w:rsidR="0063727B" w:rsidRPr="0063727B" w:rsidTr="00B441B5">
        <w:trPr>
          <w:trHeight w:val="401"/>
        </w:trPr>
        <w:tc>
          <w:tcPr>
            <w:tcW w:w="9075" w:type="dxa"/>
            <w:gridSpan w:val="4"/>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ind w:left="360" w:firstLine="360"/>
              <w:jc w:val="center"/>
              <w:rPr>
                <w:rFonts w:ascii="Times New Roman" w:hAnsi="Times New Roman" w:cs="Times New Roman"/>
                <w:sz w:val="24"/>
                <w:szCs w:val="24"/>
              </w:rPr>
            </w:pPr>
            <w:r w:rsidRPr="0063727B">
              <w:rPr>
                <w:rFonts w:ascii="Times New Roman" w:hAnsi="Times New Roman" w:cs="Times New Roman"/>
                <w:sz w:val="24"/>
                <w:szCs w:val="24"/>
              </w:rPr>
              <w:t>Pensionēšanās vecums 65 gadi</w:t>
            </w:r>
          </w:p>
        </w:tc>
      </w:tr>
      <w:tr w:rsidR="0063727B" w:rsidRPr="0063727B" w:rsidTr="009F3ABD">
        <w:trPr>
          <w:trHeight w:val="584"/>
        </w:trPr>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ind w:left="360"/>
              <w:jc w:val="both"/>
              <w:rPr>
                <w:rFonts w:ascii="Times New Roman" w:hAnsi="Times New Roman" w:cs="Times New Roman"/>
                <w:sz w:val="24"/>
                <w:szCs w:val="24"/>
              </w:rPr>
            </w:pPr>
            <w:r w:rsidRPr="0063727B">
              <w:rPr>
                <w:rFonts w:ascii="Times New Roman" w:hAnsi="Times New Roman" w:cs="Times New Roman"/>
                <w:sz w:val="24"/>
                <w:szCs w:val="24"/>
              </w:rPr>
              <w:t>Alga, no kuras veiktas iemaksas pensiju apdrošināšanai</w:t>
            </w:r>
          </w:p>
        </w:tc>
        <w:tc>
          <w:tcPr>
            <w:tcW w:w="5531"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43AF5" w:rsidRPr="0063727B" w:rsidRDefault="00343AF5" w:rsidP="00F506B5">
            <w:pPr>
              <w:autoSpaceDE w:val="0"/>
              <w:autoSpaceDN w:val="0"/>
              <w:adjustRightInd w:val="0"/>
              <w:spacing w:after="0" w:line="240" w:lineRule="auto"/>
              <w:ind w:left="360" w:firstLine="360"/>
              <w:jc w:val="center"/>
              <w:rPr>
                <w:rFonts w:ascii="Times New Roman" w:hAnsi="Times New Roman" w:cs="Times New Roman"/>
                <w:sz w:val="24"/>
                <w:szCs w:val="24"/>
              </w:rPr>
            </w:pPr>
            <w:r w:rsidRPr="0063727B">
              <w:rPr>
                <w:rFonts w:ascii="Times New Roman" w:hAnsi="Times New Roman" w:cs="Times New Roman"/>
                <w:sz w:val="24"/>
                <w:szCs w:val="24"/>
              </w:rPr>
              <w:t>Piešķirtās pensijas apmērs izteikts 2012.gada cenās, Ls</w:t>
            </w:r>
          </w:p>
        </w:tc>
      </w:tr>
      <w:tr w:rsidR="0063727B" w:rsidRPr="0063727B" w:rsidTr="009F3ABD">
        <w:trPr>
          <w:trHeight w:val="367"/>
        </w:trPr>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991EC6">
            <w:pPr>
              <w:autoSpaceDE w:val="0"/>
              <w:autoSpaceDN w:val="0"/>
              <w:adjustRightInd w:val="0"/>
              <w:spacing w:after="0" w:line="240" w:lineRule="auto"/>
              <w:ind w:left="360" w:firstLine="360"/>
              <w:jc w:val="both"/>
              <w:rPr>
                <w:rFonts w:ascii="Times New Roman" w:hAnsi="Times New Roman" w:cs="Times New Roman"/>
                <w:sz w:val="24"/>
                <w:szCs w:val="24"/>
              </w:rPr>
            </w:pPr>
          </w:p>
        </w:tc>
        <w:tc>
          <w:tcPr>
            <w:tcW w:w="15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9F3ABD">
            <w:pPr>
              <w:autoSpaceDE w:val="0"/>
              <w:autoSpaceDN w:val="0"/>
              <w:adjustRightInd w:val="0"/>
              <w:spacing w:after="0" w:line="240" w:lineRule="auto"/>
              <w:ind w:left="140" w:firstLine="63"/>
              <w:jc w:val="center"/>
              <w:rPr>
                <w:rFonts w:ascii="Times New Roman" w:hAnsi="Times New Roman" w:cs="Times New Roman"/>
                <w:sz w:val="24"/>
                <w:szCs w:val="24"/>
              </w:rPr>
            </w:pPr>
            <w:r w:rsidRPr="0063727B">
              <w:rPr>
                <w:rFonts w:ascii="Times New Roman" w:hAnsi="Times New Roman" w:cs="Times New Roman"/>
                <w:sz w:val="24"/>
                <w:szCs w:val="24"/>
              </w:rPr>
              <w:t>1.līmenis</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ind w:left="360" w:firstLine="360"/>
              <w:jc w:val="center"/>
              <w:rPr>
                <w:rFonts w:ascii="Times New Roman" w:hAnsi="Times New Roman" w:cs="Times New Roman"/>
                <w:sz w:val="24"/>
                <w:szCs w:val="24"/>
              </w:rPr>
            </w:pPr>
            <w:r w:rsidRPr="0063727B">
              <w:rPr>
                <w:rFonts w:ascii="Times New Roman" w:hAnsi="Times New Roman" w:cs="Times New Roman"/>
                <w:sz w:val="24"/>
                <w:szCs w:val="24"/>
              </w:rPr>
              <w:t>2.līmenis</w:t>
            </w:r>
          </w:p>
        </w:tc>
        <w:tc>
          <w:tcPr>
            <w:tcW w:w="19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9F3ABD">
            <w:pPr>
              <w:autoSpaceDE w:val="0"/>
              <w:autoSpaceDN w:val="0"/>
              <w:adjustRightInd w:val="0"/>
              <w:spacing w:after="0" w:line="240" w:lineRule="auto"/>
              <w:ind w:left="118" w:firstLine="360"/>
              <w:jc w:val="center"/>
              <w:rPr>
                <w:rFonts w:ascii="Times New Roman" w:hAnsi="Times New Roman" w:cs="Times New Roman"/>
                <w:sz w:val="24"/>
                <w:szCs w:val="24"/>
              </w:rPr>
            </w:pPr>
            <w:r w:rsidRPr="0063727B">
              <w:rPr>
                <w:rFonts w:ascii="Times New Roman" w:hAnsi="Times New Roman" w:cs="Times New Roman"/>
                <w:sz w:val="24"/>
                <w:szCs w:val="24"/>
              </w:rPr>
              <w:t>kopā</w:t>
            </w:r>
          </w:p>
        </w:tc>
      </w:tr>
      <w:tr w:rsidR="0063727B" w:rsidRPr="0063727B" w:rsidTr="009F3ABD">
        <w:trPr>
          <w:trHeight w:val="584"/>
        </w:trPr>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1) Vidējā apdrošināšanas iemaksu alga valstī</w:t>
            </w:r>
          </w:p>
        </w:tc>
        <w:tc>
          <w:tcPr>
            <w:tcW w:w="15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210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57</w:t>
            </w:r>
          </w:p>
        </w:tc>
        <w:tc>
          <w:tcPr>
            <w:tcW w:w="19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267</w:t>
            </w:r>
          </w:p>
        </w:tc>
      </w:tr>
      <w:tr w:rsidR="0063727B" w:rsidRPr="0063727B" w:rsidTr="009F3ABD">
        <w:trPr>
          <w:trHeight w:val="584"/>
        </w:trPr>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2) Alga, kas ik gadu pieaugusi par 1 procentpunktu (reālais pieaugums) straujāk kā vidējā apdrošināšanas iemaksu alga valstī.</w:t>
            </w:r>
          </w:p>
        </w:tc>
        <w:tc>
          <w:tcPr>
            <w:tcW w:w="15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246</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72</w:t>
            </w:r>
          </w:p>
        </w:tc>
        <w:tc>
          <w:tcPr>
            <w:tcW w:w="19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318</w:t>
            </w:r>
          </w:p>
        </w:tc>
      </w:tr>
      <w:tr w:rsidR="0063727B" w:rsidRPr="0063727B" w:rsidTr="009F3ABD">
        <w:trPr>
          <w:trHeight w:val="584"/>
        </w:trPr>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43AF5" w:rsidRPr="0063727B" w:rsidRDefault="00343AF5" w:rsidP="00B441B5">
            <w:pPr>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3) Minimālā alga valstī</w:t>
            </w:r>
          </w:p>
        </w:tc>
        <w:tc>
          <w:tcPr>
            <w:tcW w:w="15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88</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23</w:t>
            </w:r>
          </w:p>
        </w:tc>
        <w:tc>
          <w:tcPr>
            <w:tcW w:w="19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343AF5" w:rsidRPr="0063727B" w:rsidRDefault="00343AF5" w:rsidP="009F3ABD">
            <w:pPr>
              <w:autoSpaceDE w:val="0"/>
              <w:autoSpaceDN w:val="0"/>
              <w:adjustRightInd w:val="0"/>
              <w:spacing w:after="0" w:line="240" w:lineRule="auto"/>
              <w:ind w:firstLine="360"/>
              <w:jc w:val="center"/>
              <w:rPr>
                <w:rFonts w:ascii="Times New Roman" w:hAnsi="Times New Roman" w:cs="Times New Roman"/>
                <w:sz w:val="24"/>
                <w:szCs w:val="24"/>
              </w:rPr>
            </w:pPr>
            <w:r w:rsidRPr="0063727B">
              <w:rPr>
                <w:rFonts w:ascii="Times New Roman" w:hAnsi="Times New Roman" w:cs="Times New Roman"/>
                <w:sz w:val="24"/>
                <w:szCs w:val="24"/>
              </w:rPr>
              <w:t>111</w:t>
            </w:r>
          </w:p>
        </w:tc>
      </w:tr>
    </w:tbl>
    <w:p w:rsidR="00343AF5" w:rsidRPr="0063727B" w:rsidRDefault="00B634A9" w:rsidP="00B634A9">
      <w:pPr>
        <w:pStyle w:val="NormalWeb"/>
        <w:spacing w:before="0" w:after="0"/>
        <w:rPr>
          <w:sz w:val="20"/>
        </w:rPr>
      </w:pPr>
      <w:r w:rsidRPr="0063727B">
        <w:rPr>
          <w:sz w:val="20"/>
        </w:rPr>
        <w:t>Avots: Labklājības ministrija</w:t>
      </w:r>
    </w:p>
    <w:p w:rsidR="00B441B5" w:rsidRDefault="00B441B5" w:rsidP="00187CF2">
      <w:pPr>
        <w:pStyle w:val="NormalWeb"/>
        <w:spacing w:before="0" w:after="0"/>
        <w:ind w:left="720" w:firstLine="720"/>
      </w:pPr>
    </w:p>
    <w:p w:rsidR="00343AF5" w:rsidRPr="0063727B" w:rsidRDefault="00A2208D" w:rsidP="00A2208D">
      <w:pPr>
        <w:pStyle w:val="NormalWeb"/>
        <w:spacing w:before="0" w:after="0"/>
        <w:ind w:left="720" w:hanging="153"/>
        <w:rPr>
          <w:b/>
        </w:rPr>
      </w:pPr>
      <w:r w:rsidRPr="0063727B">
        <w:t>5</w:t>
      </w:r>
      <w:r w:rsidR="00343AF5" w:rsidRPr="0063727B">
        <w:t>.tabula. Valsts sociālie pabalsti 2012.gadā.</w:t>
      </w:r>
    </w:p>
    <w:tbl>
      <w:tblPr>
        <w:tblW w:w="839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2126"/>
        <w:gridCol w:w="1985"/>
        <w:gridCol w:w="1453"/>
      </w:tblGrid>
      <w:tr w:rsidR="0063727B" w:rsidRPr="0063727B" w:rsidTr="00B441B5">
        <w:trPr>
          <w:jc w:val="center"/>
        </w:trPr>
        <w:tc>
          <w:tcPr>
            <w:tcW w:w="2827" w:type="dxa"/>
          </w:tcPr>
          <w:p w:rsidR="00343AF5" w:rsidRPr="0063727B" w:rsidRDefault="00343AF5" w:rsidP="006A38AF">
            <w:pPr>
              <w:pStyle w:val="NormalWeb"/>
              <w:spacing w:before="0" w:after="0"/>
              <w:jc w:val="center"/>
              <w:rPr>
                <w:b/>
                <w:bCs/>
                <w:sz w:val="20"/>
                <w:szCs w:val="20"/>
              </w:rPr>
            </w:pPr>
            <w:r w:rsidRPr="0063727B">
              <w:rPr>
                <w:b/>
                <w:bCs/>
                <w:sz w:val="20"/>
                <w:szCs w:val="20"/>
              </w:rPr>
              <w:t>Pabalsts</w:t>
            </w:r>
          </w:p>
        </w:tc>
        <w:tc>
          <w:tcPr>
            <w:tcW w:w="2126" w:type="dxa"/>
          </w:tcPr>
          <w:p w:rsidR="00343AF5" w:rsidRPr="0063727B" w:rsidRDefault="00343AF5" w:rsidP="006A38AF">
            <w:pPr>
              <w:pStyle w:val="NormalWeb"/>
              <w:spacing w:before="0" w:after="0"/>
              <w:jc w:val="center"/>
              <w:rPr>
                <w:b/>
                <w:bCs/>
                <w:sz w:val="20"/>
                <w:szCs w:val="20"/>
              </w:rPr>
            </w:pPr>
            <w:r w:rsidRPr="0063727B">
              <w:rPr>
                <w:b/>
                <w:bCs/>
                <w:sz w:val="20"/>
                <w:szCs w:val="20"/>
              </w:rPr>
              <w:t>Apmērs</w:t>
            </w:r>
          </w:p>
        </w:tc>
        <w:tc>
          <w:tcPr>
            <w:tcW w:w="1985" w:type="dxa"/>
          </w:tcPr>
          <w:p w:rsidR="00343AF5" w:rsidRPr="0063727B" w:rsidRDefault="00343AF5" w:rsidP="006A38AF">
            <w:pPr>
              <w:pStyle w:val="NormalWeb"/>
              <w:spacing w:before="0" w:after="0"/>
              <w:jc w:val="center"/>
              <w:rPr>
                <w:b/>
                <w:bCs/>
                <w:sz w:val="20"/>
                <w:szCs w:val="20"/>
              </w:rPr>
            </w:pPr>
            <w:r w:rsidRPr="0063727B">
              <w:rPr>
                <w:b/>
                <w:bCs/>
                <w:sz w:val="20"/>
                <w:szCs w:val="20"/>
              </w:rPr>
              <w:t>Skaits</w:t>
            </w:r>
          </w:p>
        </w:tc>
        <w:tc>
          <w:tcPr>
            <w:tcW w:w="1453" w:type="dxa"/>
          </w:tcPr>
          <w:p w:rsidR="00343AF5" w:rsidRPr="0063727B" w:rsidRDefault="00343AF5" w:rsidP="006A38AF">
            <w:pPr>
              <w:pStyle w:val="NormalWeb"/>
              <w:spacing w:before="0" w:after="0"/>
              <w:jc w:val="center"/>
              <w:rPr>
                <w:b/>
                <w:bCs/>
                <w:sz w:val="20"/>
                <w:szCs w:val="20"/>
              </w:rPr>
            </w:pPr>
            <w:r w:rsidRPr="0063727B">
              <w:rPr>
                <w:b/>
                <w:bCs/>
                <w:sz w:val="20"/>
                <w:szCs w:val="20"/>
              </w:rPr>
              <w:t>Izdevumi, Ls</w:t>
            </w:r>
          </w:p>
        </w:tc>
      </w:tr>
      <w:tr w:rsidR="0063727B" w:rsidRPr="0063727B" w:rsidTr="00B441B5">
        <w:trPr>
          <w:jc w:val="center"/>
        </w:trPr>
        <w:tc>
          <w:tcPr>
            <w:tcW w:w="2827" w:type="dxa"/>
          </w:tcPr>
          <w:p w:rsidR="00343AF5" w:rsidRPr="0063727B" w:rsidRDefault="00343AF5" w:rsidP="00462CEE">
            <w:pPr>
              <w:pStyle w:val="NormalWeb"/>
              <w:spacing w:before="0" w:after="0"/>
              <w:jc w:val="both"/>
              <w:rPr>
                <w:sz w:val="20"/>
                <w:szCs w:val="20"/>
              </w:rPr>
            </w:pPr>
            <w:r w:rsidRPr="0063727B">
              <w:rPr>
                <w:sz w:val="20"/>
                <w:szCs w:val="20"/>
              </w:rPr>
              <w:t>Valsts sociālā nodrošinājuma pabalsts kopā:</w:t>
            </w:r>
          </w:p>
          <w:p w:rsidR="00343AF5" w:rsidRPr="0063727B" w:rsidRDefault="00343AF5" w:rsidP="00462CEE">
            <w:pPr>
              <w:pStyle w:val="NormalWeb"/>
              <w:spacing w:before="0" w:after="0"/>
              <w:jc w:val="both"/>
              <w:rPr>
                <w:i/>
                <w:iCs/>
                <w:sz w:val="20"/>
                <w:szCs w:val="20"/>
              </w:rPr>
            </w:pPr>
            <w:r w:rsidRPr="0063727B">
              <w:rPr>
                <w:i/>
                <w:iCs/>
                <w:sz w:val="20"/>
                <w:szCs w:val="20"/>
              </w:rPr>
              <w:t xml:space="preserve">t.sk. </w:t>
            </w:r>
          </w:p>
          <w:p w:rsidR="00343AF5" w:rsidRPr="0063727B" w:rsidRDefault="00343AF5" w:rsidP="00462CEE">
            <w:pPr>
              <w:pStyle w:val="NormalWeb"/>
              <w:spacing w:before="0" w:after="0"/>
              <w:jc w:val="both"/>
              <w:rPr>
                <w:i/>
                <w:iCs/>
                <w:sz w:val="20"/>
                <w:szCs w:val="20"/>
              </w:rPr>
            </w:pPr>
            <w:r w:rsidRPr="0063727B">
              <w:rPr>
                <w:i/>
                <w:iCs/>
                <w:sz w:val="20"/>
                <w:szCs w:val="20"/>
              </w:rPr>
              <w:t>- personām ar invaliditāti;</w:t>
            </w:r>
          </w:p>
          <w:p w:rsidR="00343AF5" w:rsidRPr="0063727B" w:rsidRDefault="00343AF5" w:rsidP="00462CEE">
            <w:pPr>
              <w:pStyle w:val="NormalWeb"/>
              <w:spacing w:before="0" w:after="0"/>
              <w:jc w:val="both"/>
              <w:rPr>
                <w:i/>
                <w:iCs/>
                <w:sz w:val="20"/>
                <w:szCs w:val="20"/>
              </w:rPr>
            </w:pPr>
          </w:p>
          <w:p w:rsidR="00343AF5" w:rsidRPr="0063727B" w:rsidRDefault="00343AF5" w:rsidP="00462CEE">
            <w:pPr>
              <w:pStyle w:val="NormalWeb"/>
              <w:spacing w:before="0" w:after="0"/>
              <w:jc w:val="both"/>
              <w:rPr>
                <w:i/>
                <w:iCs/>
                <w:sz w:val="20"/>
                <w:szCs w:val="20"/>
              </w:rPr>
            </w:pPr>
            <w:r w:rsidRPr="0063727B">
              <w:rPr>
                <w:i/>
                <w:iCs/>
                <w:sz w:val="20"/>
                <w:szCs w:val="20"/>
              </w:rPr>
              <w:t>- personām pieci gadi pēc pensijas vecuma sasniegšanas;</w:t>
            </w:r>
          </w:p>
          <w:p w:rsidR="00343AF5" w:rsidRPr="0063727B" w:rsidRDefault="00343AF5" w:rsidP="00462CEE">
            <w:pPr>
              <w:pStyle w:val="NormalWeb"/>
              <w:spacing w:before="0" w:after="0"/>
              <w:jc w:val="both"/>
              <w:rPr>
                <w:i/>
                <w:iCs/>
                <w:sz w:val="20"/>
                <w:szCs w:val="20"/>
              </w:rPr>
            </w:pPr>
          </w:p>
          <w:p w:rsidR="00343AF5" w:rsidRPr="0063727B" w:rsidRDefault="00343AF5" w:rsidP="00462CEE">
            <w:pPr>
              <w:pStyle w:val="NormalWeb"/>
              <w:spacing w:before="0" w:after="0"/>
              <w:jc w:val="both"/>
              <w:rPr>
                <w:i/>
                <w:iCs/>
                <w:sz w:val="20"/>
                <w:szCs w:val="20"/>
              </w:rPr>
            </w:pPr>
            <w:r w:rsidRPr="0063727B">
              <w:rPr>
                <w:i/>
                <w:iCs/>
                <w:sz w:val="20"/>
                <w:szCs w:val="20"/>
              </w:rPr>
              <w:t>- bērniem, kuri zaudējuši vienu vai abus vecākus</w:t>
            </w:r>
          </w:p>
          <w:p w:rsidR="00343AF5" w:rsidRPr="0063727B" w:rsidRDefault="00343AF5" w:rsidP="00462CEE">
            <w:pPr>
              <w:pStyle w:val="NormalWeb"/>
              <w:spacing w:before="0" w:after="0"/>
              <w:jc w:val="both"/>
              <w:rPr>
                <w:sz w:val="20"/>
                <w:szCs w:val="20"/>
              </w:rPr>
            </w:pPr>
          </w:p>
        </w:tc>
        <w:tc>
          <w:tcPr>
            <w:tcW w:w="2126" w:type="dxa"/>
          </w:tcPr>
          <w:p w:rsidR="00343AF5" w:rsidRPr="0063727B" w:rsidRDefault="00343AF5" w:rsidP="00462CEE">
            <w:pPr>
              <w:pStyle w:val="NormalWeb"/>
              <w:spacing w:before="0" w:after="0"/>
              <w:jc w:val="center"/>
              <w:rPr>
                <w:sz w:val="20"/>
                <w:szCs w:val="20"/>
              </w:rPr>
            </w:pPr>
            <w:r w:rsidRPr="0063727B">
              <w:rPr>
                <w:sz w:val="20"/>
                <w:szCs w:val="20"/>
              </w:rPr>
              <w:t xml:space="preserve"> 45 lati mēnesī</w:t>
            </w:r>
          </w:p>
          <w:p w:rsidR="00B441B5" w:rsidRPr="0063727B" w:rsidRDefault="00B441B5" w:rsidP="006B1C93">
            <w:pPr>
              <w:pStyle w:val="NormalWeb"/>
              <w:spacing w:before="0" w:after="0"/>
              <w:jc w:val="center"/>
              <w:rPr>
                <w:sz w:val="20"/>
                <w:szCs w:val="20"/>
              </w:rPr>
            </w:pPr>
          </w:p>
          <w:p w:rsidR="00343AF5" w:rsidRPr="0063727B" w:rsidRDefault="00343AF5" w:rsidP="006B1C93">
            <w:pPr>
              <w:pStyle w:val="NormalWeb"/>
              <w:spacing w:before="0" w:after="0"/>
              <w:jc w:val="center"/>
              <w:rPr>
                <w:sz w:val="20"/>
                <w:szCs w:val="20"/>
              </w:rPr>
            </w:pPr>
            <w:r w:rsidRPr="0063727B">
              <w:rPr>
                <w:sz w:val="20"/>
                <w:szCs w:val="20"/>
              </w:rPr>
              <w:t xml:space="preserve"> 75 lati mēnesī invalīdam kopš bērnības</w:t>
            </w:r>
          </w:p>
          <w:p w:rsidR="00343AF5" w:rsidRPr="0063727B" w:rsidRDefault="00343AF5" w:rsidP="00364743">
            <w:pPr>
              <w:pStyle w:val="NormalWeb"/>
              <w:spacing w:before="0" w:after="0"/>
              <w:jc w:val="center"/>
              <w:rPr>
                <w:sz w:val="20"/>
                <w:szCs w:val="20"/>
              </w:rPr>
            </w:pPr>
          </w:p>
          <w:p w:rsidR="00343AF5" w:rsidRPr="0063727B" w:rsidRDefault="00343AF5" w:rsidP="00364743">
            <w:pPr>
              <w:pStyle w:val="NormalWeb"/>
              <w:spacing w:before="0" w:after="0"/>
              <w:jc w:val="center"/>
              <w:rPr>
                <w:sz w:val="20"/>
                <w:szCs w:val="20"/>
              </w:rPr>
            </w:pPr>
            <w:r w:rsidRPr="0063727B">
              <w:rPr>
                <w:sz w:val="20"/>
                <w:szCs w:val="20"/>
              </w:rPr>
              <w:t>45 lati mēnesī</w:t>
            </w:r>
          </w:p>
          <w:p w:rsidR="00343AF5" w:rsidRPr="0063727B" w:rsidRDefault="00343AF5" w:rsidP="00364743">
            <w:pPr>
              <w:pStyle w:val="NormalWeb"/>
              <w:spacing w:before="0" w:after="0"/>
              <w:jc w:val="center"/>
              <w:rPr>
                <w:sz w:val="20"/>
                <w:szCs w:val="20"/>
              </w:rPr>
            </w:pPr>
          </w:p>
          <w:p w:rsidR="00343AF5" w:rsidRPr="0063727B" w:rsidRDefault="00343AF5" w:rsidP="00364743">
            <w:pPr>
              <w:pStyle w:val="NormalWeb"/>
              <w:spacing w:before="0" w:after="0"/>
              <w:jc w:val="center"/>
              <w:rPr>
                <w:sz w:val="20"/>
                <w:szCs w:val="20"/>
              </w:rPr>
            </w:pPr>
            <w:r w:rsidRPr="0063727B">
              <w:rPr>
                <w:sz w:val="20"/>
                <w:szCs w:val="20"/>
              </w:rPr>
              <w:t>Bērniem piešķir kopēju pabalstu, kura apmērs 3 un vairāk bērnu gadījumā nedrīkst būt mazāks par 50% no noteiktā apmēra katram bērnam</w:t>
            </w:r>
          </w:p>
        </w:tc>
        <w:tc>
          <w:tcPr>
            <w:tcW w:w="1985" w:type="dxa"/>
          </w:tcPr>
          <w:p w:rsidR="00343AF5" w:rsidRPr="0063727B" w:rsidRDefault="00343AF5" w:rsidP="00B33DFD">
            <w:pPr>
              <w:rPr>
                <w:rFonts w:ascii="Times New Roman" w:hAnsi="Times New Roman" w:cs="Times New Roman"/>
                <w:sz w:val="20"/>
                <w:szCs w:val="20"/>
              </w:rPr>
            </w:pPr>
            <w:r w:rsidRPr="0063727B">
              <w:rPr>
                <w:rFonts w:ascii="Times New Roman" w:hAnsi="Times New Roman" w:cs="Times New Roman"/>
                <w:sz w:val="20"/>
                <w:szCs w:val="20"/>
              </w:rPr>
              <w:t>16 694 vid. mēnesī</w:t>
            </w:r>
          </w:p>
          <w:p w:rsidR="00343AF5" w:rsidRPr="0063727B" w:rsidRDefault="00343AF5" w:rsidP="00B33DFD">
            <w:pPr>
              <w:pStyle w:val="NormalWeb"/>
              <w:spacing w:before="0" w:after="0"/>
              <w:ind w:left="-57"/>
              <w:rPr>
                <w:sz w:val="20"/>
                <w:szCs w:val="20"/>
              </w:rPr>
            </w:pPr>
            <w:r w:rsidRPr="0063727B">
              <w:rPr>
                <w:sz w:val="20"/>
                <w:szCs w:val="20"/>
              </w:rPr>
              <w:t>t.sk.</w:t>
            </w:r>
          </w:p>
          <w:p w:rsidR="00343AF5" w:rsidRPr="0063727B" w:rsidRDefault="00343AF5" w:rsidP="00CC11E6">
            <w:pPr>
              <w:pStyle w:val="NormalWeb"/>
              <w:spacing w:before="0" w:after="0"/>
              <w:ind w:left="-57"/>
              <w:jc w:val="right"/>
              <w:rPr>
                <w:sz w:val="20"/>
                <w:szCs w:val="20"/>
              </w:rPr>
            </w:pPr>
          </w:p>
          <w:p w:rsidR="00343AF5" w:rsidRPr="0063727B" w:rsidRDefault="00343AF5" w:rsidP="00B33DFD">
            <w:pPr>
              <w:pStyle w:val="NormalWeb"/>
              <w:spacing w:before="0" w:after="0"/>
              <w:ind w:left="-57"/>
              <w:jc w:val="right"/>
              <w:rPr>
                <w:i/>
                <w:iCs/>
                <w:sz w:val="20"/>
                <w:szCs w:val="20"/>
              </w:rPr>
            </w:pPr>
            <w:r w:rsidRPr="0063727B">
              <w:rPr>
                <w:i/>
                <w:iCs/>
                <w:sz w:val="20"/>
                <w:szCs w:val="20"/>
              </w:rPr>
              <w:t>15 614 vid. mēnesī</w:t>
            </w:r>
          </w:p>
          <w:p w:rsidR="00343AF5" w:rsidRPr="0063727B" w:rsidRDefault="00343AF5" w:rsidP="00B33DFD">
            <w:pPr>
              <w:pStyle w:val="NormalWeb"/>
              <w:spacing w:before="0" w:after="0"/>
              <w:ind w:left="-57"/>
              <w:jc w:val="right"/>
              <w:rPr>
                <w:i/>
                <w:iCs/>
                <w:sz w:val="20"/>
                <w:szCs w:val="20"/>
              </w:rPr>
            </w:pPr>
          </w:p>
          <w:p w:rsidR="00343AF5" w:rsidRPr="0063727B" w:rsidRDefault="00343AF5" w:rsidP="00B33DFD">
            <w:pPr>
              <w:pStyle w:val="NormalWeb"/>
              <w:spacing w:before="0" w:after="0"/>
              <w:ind w:left="-57"/>
              <w:jc w:val="right"/>
              <w:rPr>
                <w:i/>
                <w:iCs/>
                <w:sz w:val="20"/>
                <w:szCs w:val="20"/>
              </w:rPr>
            </w:pPr>
          </w:p>
          <w:p w:rsidR="00343AF5" w:rsidRPr="0063727B" w:rsidRDefault="00343AF5" w:rsidP="00B33DFD">
            <w:pPr>
              <w:pStyle w:val="NormalWeb"/>
              <w:spacing w:before="0" w:after="0"/>
              <w:ind w:left="-57"/>
              <w:jc w:val="right"/>
              <w:rPr>
                <w:i/>
                <w:iCs/>
                <w:sz w:val="20"/>
                <w:szCs w:val="20"/>
              </w:rPr>
            </w:pPr>
          </w:p>
          <w:p w:rsidR="00343AF5" w:rsidRPr="0063727B" w:rsidRDefault="00343AF5" w:rsidP="00B33DFD">
            <w:pPr>
              <w:pStyle w:val="NormalWeb"/>
              <w:spacing w:before="0" w:after="0"/>
              <w:ind w:left="-57"/>
              <w:jc w:val="right"/>
              <w:rPr>
                <w:i/>
                <w:iCs/>
                <w:sz w:val="20"/>
                <w:szCs w:val="20"/>
              </w:rPr>
            </w:pPr>
            <w:r w:rsidRPr="0063727B">
              <w:rPr>
                <w:i/>
                <w:iCs/>
                <w:sz w:val="20"/>
                <w:szCs w:val="20"/>
              </w:rPr>
              <w:t>565 vid. mēnesī</w:t>
            </w:r>
          </w:p>
          <w:p w:rsidR="00343AF5" w:rsidRPr="0063727B" w:rsidRDefault="00343AF5" w:rsidP="00CC11E6">
            <w:pPr>
              <w:pStyle w:val="NormalWeb"/>
              <w:spacing w:before="0" w:after="0"/>
              <w:jc w:val="right"/>
              <w:rPr>
                <w:i/>
                <w:iCs/>
                <w:sz w:val="20"/>
                <w:szCs w:val="20"/>
              </w:rPr>
            </w:pPr>
          </w:p>
          <w:p w:rsidR="00343AF5" w:rsidRPr="0063727B" w:rsidRDefault="00343AF5" w:rsidP="00CC11E6">
            <w:pPr>
              <w:pStyle w:val="NormalWeb"/>
              <w:spacing w:before="0" w:after="0"/>
              <w:jc w:val="right"/>
              <w:rPr>
                <w:i/>
                <w:iCs/>
                <w:sz w:val="20"/>
                <w:szCs w:val="20"/>
              </w:rPr>
            </w:pPr>
          </w:p>
          <w:p w:rsidR="00343AF5" w:rsidRPr="0063727B" w:rsidRDefault="00343AF5" w:rsidP="00CC11E6">
            <w:pPr>
              <w:pStyle w:val="NormalWeb"/>
              <w:spacing w:before="0" w:after="0"/>
              <w:jc w:val="right"/>
              <w:rPr>
                <w:sz w:val="20"/>
                <w:szCs w:val="20"/>
              </w:rPr>
            </w:pPr>
            <w:r w:rsidRPr="0063727B">
              <w:rPr>
                <w:i/>
                <w:iCs/>
                <w:sz w:val="20"/>
                <w:szCs w:val="20"/>
              </w:rPr>
              <w:t>515 vid. mēnesī</w:t>
            </w:r>
          </w:p>
        </w:tc>
        <w:tc>
          <w:tcPr>
            <w:tcW w:w="1453" w:type="dxa"/>
          </w:tcPr>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r w:rsidRPr="0063727B">
              <w:rPr>
                <w:sz w:val="20"/>
                <w:szCs w:val="20"/>
              </w:rPr>
              <w:t>13 347 658</w:t>
            </w: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p w:rsidR="00343AF5" w:rsidRPr="0063727B" w:rsidRDefault="00343AF5" w:rsidP="00462CEE">
            <w:pPr>
              <w:pStyle w:val="NormalWeb"/>
              <w:spacing w:before="0" w:after="0"/>
              <w:jc w:val="right"/>
              <w:rPr>
                <w:sz w:val="20"/>
                <w:szCs w:val="20"/>
              </w:rPr>
            </w:pPr>
          </w:p>
        </w:tc>
      </w:tr>
      <w:tr w:rsidR="0063727B" w:rsidRPr="0063727B" w:rsidTr="00B441B5">
        <w:trPr>
          <w:jc w:val="center"/>
        </w:trPr>
        <w:tc>
          <w:tcPr>
            <w:tcW w:w="2827" w:type="dxa"/>
          </w:tcPr>
          <w:p w:rsidR="00343AF5" w:rsidRPr="0063727B" w:rsidRDefault="00343AF5" w:rsidP="00462CEE">
            <w:pPr>
              <w:pStyle w:val="NormalWeb"/>
              <w:spacing w:before="0" w:after="0"/>
              <w:jc w:val="both"/>
              <w:rPr>
                <w:sz w:val="20"/>
                <w:szCs w:val="20"/>
              </w:rPr>
            </w:pPr>
            <w:r w:rsidRPr="0063727B">
              <w:rPr>
                <w:sz w:val="20"/>
                <w:szCs w:val="20"/>
              </w:rPr>
              <w:t>Bērna piedzimšanas pabalsts</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296 lati </w:t>
            </w:r>
          </w:p>
        </w:tc>
        <w:tc>
          <w:tcPr>
            <w:tcW w:w="1985" w:type="dxa"/>
          </w:tcPr>
          <w:p w:rsidR="00343AF5" w:rsidRPr="0063727B" w:rsidRDefault="00343AF5" w:rsidP="00462CEE">
            <w:pPr>
              <w:pStyle w:val="NormalWeb"/>
              <w:spacing w:before="0" w:after="0"/>
              <w:jc w:val="right"/>
              <w:rPr>
                <w:sz w:val="20"/>
                <w:szCs w:val="20"/>
              </w:rPr>
            </w:pPr>
            <w:r w:rsidRPr="0063727B">
              <w:rPr>
                <w:sz w:val="20"/>
                <w:szCs w:val="20"/>
              </w:rPr>
              <w:t>19 823 gadā</w:t>
            </w:r>
          </w:p>
        </w:tc>
        <w:tc>
          <w:tcPr>
            <w:tcW w:w="1453" w:type="dxa"/>
          </w:tcPr>
          <w:p w:rsidR="00343AF5" w:rsidRPr="0063727B" w:rsidRDefault="00343AF5" w:rsidP="00462CEE">
            <w:pPr>
              <w:pStyle w:val="NormalWeb"/>
              <w:spacing w:before="0" w:after="0"/>
              <w:jc w:val="right"/>
              <w:rPr>
                <w:sz w:val="20"/>
                <w:szCs w:val="20"/>
              </w:rPr>
            </w:pPr>
            <w:r w:rsidRPr="0063727B">
              <w:rPr>
                <w:sz w:val="20"/>
                <w:szCs w:val="20"/>
              </w:rPr>
              <w:t>5 936 835</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Bērna kopšanas pabalsts (t.sk. piemaksa par dvīņiem un vairāk bērniem)</w:t>
            </w:r>
          </w:p>
        </w:tc>
        <w:tc>
          <w:tcPr>
            <w:tcW w:w="2126" w:type="dxa"/>
          </w:tcPr>
          <w:p w:rsidR="00343AF5" w:rsidRPr="0063727B" w:rsidRDefault="00343AF5" w:rsidP="006A38AF">
            <w:pPr>
              <w:pStyle w:val="NormalWeb"/>
              <w:spacing w:before="0" w:after="0"/>
              <w:jc w:val="center"/>
              <w:rPr>
                <w:sz w:val="20"/>
                <w:szCs w:val="20"/>
              </w:rPr>
            </w:pPr>
            <w:r w:rsidRPr="0063727B">
              <w:rPr>
                <w:sz w:val="20"/>
                <w:szCs w:val="20"/>
              </w:rPr>
              <w:t>Līdz bērna viena gada vecumam – 50 lati mēnesī</w:t>
            </w:r>
          </w:p>
          <w:p w:rsidR="00343AF5" w:rsidRPr="0063727B" w:rsidRDefault="00343AF5" w:rsidP="00783BDE">
            <w:pPr>
              <w:pStyle w:val="NormalWeb"/>
              <w:spacing w:before="0" w:after="0"/>
              <w:jc w:val="center"/>
              <w:rPr>
                <w:sz w:val="20"/>
                <w:szCs w:val="20"/>
              </w:rPr>
            </w:pPr>
            <w:r w:rsidRPr="0063727B">
              <w:rPr>
                <w:sz w:val="20"/>
                <w:szCs w:val="20"/>
              </w:rPr>
              <w:t>No bērna viena līdz divu gadu vecumam – 30 lati mēnesī</w:t>
            </w:r>
            <w:r w:rsidRPr="0063727B">
              <w:rPr>
                <w:rStyle w:val="FootnoteReference"/>
                <w:sz w:val="20"/>
                <w:szCs w:val="20"/>
              </w:rPr>
              <w:footnoteReference w:id="111"/>
            </w:r>
          </w:p>
        </w:tc>
        <w:tc>
          <w:tcPr>
            <w:tcW w:w="1985" w:type="dxa"/>
          </w:tcPr>
          <w:p w:rsidR="00343AF5" w:rsidRPr="0063727B" w:rsidRDefault="00343AF5" w:rsidP="00295B2F">
            <w:pPr>
              <w:pStyle w:val="NormalWeb"/>
              <w:spacing w:before="0" w:after="0"/>
              <w:jc w:val="right"/>
              <w:rPr>
                <w:sz w:val="20"/>
                <w:szCs w:val="20"/>
              </w:rPr>
            </w:pPr>
            <w:r w:rsidRPr="0063727B">
              <w:rPr>
                <w:sz w:val="20"/>
                <w:szCs w:val="20"/>
              </w:rPr>
              <w:t>25 584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10 515 145</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lastRenderedPageBreak/>
              <w:t xml:space="preserve">Ģimenes valsts pabalsts </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8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314 689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30 632 061</w:t>
            </w:r>
          </w:p>
        </w:tc>
      </w:tr>
      <w:tr w:rsidR="0063727B" w:rsidRPr="0063727B" w:rsidTr="00B441B5">
        <w:trPr>
          <w:jc w:val="center"/>
        </w:trPr>
        <w:tc>
          <w:tcPr>
            <w:tcW w:w="2827" w:type="dxa"/>
          </w:tcPr>
          <w:p w:rsidR="00343AF5" w:rsidRPr="0063727B" w:rsidRDefault="00343AF5" w:rsidP="00462CEE">
            <w:pPr>
              <w:pStyle w:val="NormalWeb"/>
              <w:spacing w:before="0" w:after="0"/>
              <w:jc w:val="both"/>
              <w:rPr>
                <w:sz w:val="20"/>
                <w:szCs w:val="20"/>
              </w:rPr>
            </w:pPr>
            <w:r w:rsidRPr="0063727B">
              <w:rPr>
                <w:sz w:val="20"/>
                <w:szCs w:val="20"/>
              </w:rPr>
              <w:t>Piemaksa pie ģimenes valsts pabalsta par bērnu invalīdu</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75lati mēnesī</w:t>
            </w:r>
          </w:p>
        </w:tc>
        <w:tc>
          <w:tcPr>
            <w:tcW w:w="1985" w:type="dxa"/>
          </w:tcPr>
          <w:p w:rsidR="00343AF5" w:rsidRPr="0063727B" w:rsidRDefault="00343AF5" w:rsidP="00462CEE">
            <w:pPr>
              <w:pStyle w:val="NormalWeb"/>
              <w:spacing w:before="0" w:after="0"/>
              <w:jc w:val="right"/>
              <w:rPr>
                <w:sz w:val="20"/>
                <w:szCs w:val="20"/>
              </w:rPr>
            </w:pPr>
            <w:r w:rsidRPr="0063727B">
              <w:rPr>
                <w:sz w:val="20"/>
                <w:szCs w:val="20"/>
              </w:rPr>
              <w:t>7 300 vid. mēnesī</w:t>
            </w:r>
          </w:p>
        </w:tc>
        <w:tc>
          <w:tcPr>
            <w:tcW w:w="1453" w:type="dxa"/>
          </w:tcPr>
          <w:p w:rsidR="00343AF5" w:rsidRPr="0063727B" w:rsidRDefault="00343AF5" w:rsidP="00462CEE">
            <w:pPr>
              <w:pStyle w:val="NormalWeb"/>
              <w:spacing w:before="0" w:after="0"/>
              <w:jc w:val="right"/>
              <w:rPr>
                <w:sz w:val="20"/>
                <w:szCs w:val="20"/>
              </w:rPr>
            </w:pPr>
            <w:r w:rsidRPr="0063727B">
              <w:rPr>
                <w:sz w:val="20"/>
                <w:szCs w:val="20"/>
              </w:rPr>
              <w:t>6 567 255</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Bērna invalīda kopšanas pabalsts</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150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1 750 vid. mēnesī</w:t>
            </w:r>
          </w:p>
          <w:p w:rsidR="00343AF5" w:rsidRPr="0063727B" w:rsidRDefault="00343AF5" w:rsidP="006A38AF">
            <w:pPr>
              <w:pStyle w:val="NormalWeb"/>
              <w:spacing w:before="0" w:after="0"/>
              <w:jc w:val="right"/>
              <w:rPr>
                <w:sz w:val="20"/>
                <w:szCs w:val="20"/>
              </w:rPr>
            </w:pP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3 157 287</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Pabalsts invalīdam, kuram nepieciešama kopšana</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100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11 011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13 528 482</w:t>
            </w:r>
          </w:p>
        </w:tc>
      </w:tr>
      <w:tr w:rsidR="0063727B" w:rsidRPr="0063727B" w:rsidTr="00B441B5">
        <w:trPr>
          <w:jc w:val="center"/>
        </w:trPr>
        <w:tc>
          <w:tcPr>
            <w:tcW w:w="2827" w:type="dxa"/>
          </w:tcPr>
          <w:p w:rsidR="00343AF5" w:rsidRPr="0063727B" w:rsidRDefault="00343AF5" w:rsidP="00094033">
            <w:pPr>
              <w:pStyle w:val="NormalWeb"/>
              <w:spacing w:before="0" w:after="0"/>
              <w:jc w:val="both"/>
              <w:rPr>
                <w:sz w:val="20"/>
                <w:szCs w:val="20"/>
              </w:rPr>
            </w:pPr>
            <w:r w:rsidRPr="0063727B">
              <w:rPr>
                <w:sz w:val="20"/>
                <w:szCs w:val="20"/>
              </w:rPr>
              <w:t xml:space="preserve">Pabalsts transporta izdevumu kompensēšanai invalīdam, kuram ir apgrūtināta pārvietošanās </w:t>
            </w:r>
          </w:p>
        </w:tc>
        <w:tc>
          <w:tcPr>
            <w:tcW w:w="2126" w:type="dxa"/>
          </w:tcPr>
          <w:p w:rsidR="00343AF5" w:rsidRPr="0063727B" w:rsidRDefault="00343AF5" w:rsidP="006A38AF">
            <w:pPr>
              <w:pStyle w:val="NormalWeb"/>
              <w:spacing w:before="0" w:after="0"/>
              <w:jc w:val="center"/>
              <w:rPr>
                <w:sz w:val="20"/>
                <w:szCs w:val="20"/>
              </w:rPr>
            </w:pPr>
            <w:r w:rsidRPr="0063727B">
              <w:rPr>
                <w:sz w:val="20"/>
                <w:szCs w:val="20"/>
              </w:rPr>
              <w:t xml:space="preserve"> 56 lati</w:t>
            </w:r>
          </w:p>
          <w:p w:rsidR="00343AF5" w:rsidRPr="0063727B" w:rsidRDefault="00343AF5" w:rsidP="00485E37">
            <w:pPr>
              <w:pStyle w:val="NormalWeb"/>
              <w:spacing w:before="0" w:after="0"/>
              <w:jc w:val="center"/>
              <w:rPr>
                <w:sz w:val="20"/>
                <w:szCs w:val="20"/>
              </w:rPr>
            </w:pPr>
            <w:r w:rsidRPr="0063727B">
              <w:rPr>
                <w:sz w:val="20"/>
                <w:szCs w:val="20"/>
              </w:rPr>
              <w:t>divas reizes gadā 6 mēnešu periodā</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16 058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1 875 238</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Atbalsts ar celiakiju slimiem bērniem, kuriem nav noteikta invaliditāte</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75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1 372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1 241 173</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Atlīdzība par adoptējamā bērna aprūpi</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35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18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11 104</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i/>
                <w:iCs/>
                <w:sz w:val="20"/>
                <w:szCs w:val="20"/>
              </w:rPr>
              <w:t>Vienreizēja</w:t>
            </w:r>
            <w:r w:rsidRPr="0063727B">
              <w:rPr>
                <w:sz w:val="20"/>
                <w:szCs w:val="20"/>
              </w:rPr>
              <w:t xml:space="preserve"> atlīdzība par bērna adopciju</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1 000 lati</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9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107 941</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Atlīdzība par aizbildņa pienākumu pildīšanu</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38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3 906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1 786 303</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Pabalsts aizbildnim par bērna uzturēšanu</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32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2 989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904 055</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Atlīdzība par audžuģimenes pienākumu pildīšanu</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80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461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450 384</w:t>
            </w:r>
          </w:p>
        </w:tc>
      </w:tr>
      <w:tr w:rsidR="0063727B" w:rsidRPr="0063727B" w:rsidTr="00B441B5">
        <w:trPr>
          <w:jc w:val="center"/>
        </w:trPr>
        <w:tc>
          <w:tcPr>
            <w:tcW w:w="2827" w:type="dxa"/>
          </w:tcPr>
          <w:p w:rsidR="00343AF5" w:rsidRPr="0063727B" w:rsidRDefault="00343AF5" w:rsidP="007C5AC0">
            <w:pPr>
              <w:pStyle w:val="NormalWeb"/>
              <w:spacing w:before="0" w:after="0"/>
              <w:jc w:val="both"/>
              <w:rPr>
                <w:sz w:val="20"/>
                <w:szCs w:val="20"/>
              </w:rPr>
            </w:pPr>
            <w:r w:rsidRPr="0063727B">
              <w:rPr>
                <w:sz w:val="20"/>
                <w:szCs w:val="20"/>
              </w:rPr>
              <w:t>Apbedīšanas pabalsts (</w:t>
            </w:r>
            <w:r w:rsidRPr="0063727B">
              <w:rPr>
                <w:i/>
                <w:iCs/>
                <w:sz w:val="20"/>
                <w:szCs w:val="20"/>
              </w:rPr>
              <w:t>izmaksā personai, kura uzņēmusies apbedīt valsts sociālā nodrošinājuma pabalsta saņēmēju</w:t>
            </w:r>
            <w:r w:rsidRPr="0063727B">
              <w:rPr>
                <w:sz w:val="20"/>
                <w:szCs w:val="20"/>
              </w:rPr>
              <w:t>)</w:t>
            </w:r>
          </w:p>
        </w:tc>
        <w:tc>
          <w:tcPr>
            <w:tcW w:w="2126" w:type="dxa"/>
          </w:tcPr>
          <w:p w:rsidR="00343AF5" w:rsidRPr="0063727B" w:rsidRDefault="00343AF5" w:rsidP="007C5AC0">
            <w:pPr>
              <w:pStyle w:val="NormalWeb"/>
              <w:spacing w:before="0" w:after="0"/>
              <w:jc w:val="center"/>
              <w:rPr>
                <w:sz w:val="20"/>
                <w:szCs w:val="20"/>
              </w:rPr>
            </w:pPr>
            <w:r w:rsidRPr="0063727B">
              <w:rPr>
                <w:sz w:val="20"/>
                <w:szCs w:val="20"/>
              </w:rPr>
              <w:t>Valsts sociālā nodrošinājuma pabalsta divkāršā apmērā</w:t>
            </w:r>
          </w:p>
        </w:tc>
        <w:tc>
          <w:tcPr>
            <w:tcW w:w="1985" w:type="dxa"/>
          </w:tcPr>
          <w:p w:rsidR="00343AF5" w:rsidRPr="0063727B" w:rsidRDefault="00343AF5" w:rsidP="00B441B5">
            <w:pPr>
              <w:pStyle w:val="NormalWeb"/>
              <w:spacing w:before="0" w:after="0"/>
              <w:jc w:val="center"/>
              <w:rPr>
                <w:sz w:val="20"/>
                <w:szCs w:val="20"/>
              </w:rPr>
            </w:pPr>
          </w:p>
          <w:p w:rsidR="00343AF5" w:rsidRPr="0063727B" w:rsidRDefault="00343AF5" w:rsidP="007C5AC0">
            <w:pPr>
              <w:pStyle w:val="NormalWeb"/>
              <w:spacing w:before="0" w:after="0"/>
              <w:jc w:val="right"/>
              <w:rPr>
                <w:sz w:val="20"/>
                <w:szCs w:val="20"/>
              </w:rPr>
            </w:pPr>
            <w:r w:rsidRPr="0063727B">
              <w:rPr>
                <w:sz w:val="20"/>
                <w:szCs w:val="20"/>
              </w:rPr>
              <w:t xml:space="preserve"> 341 gadā</w:t>
            </w:r>
          </w:p>
        </w:tc>
        <w:tc>
          <w:tcPr>
            <w:tcW w:w="1453" w:type="dxa"/>
          </w:tcPr>
          <w:p w:rsidR="00343AF5" w:rsidRPr="0063727B" w:rsidRDefault="00343AF5" w:rsidP="007C5AC0">
            <w:pPr>
              <w:pStyle w:val="NormalWeb"/>
              <w:spacing w:before="0" w:after="0"/>
              <w:jc w:val="right"/>
              <w:rPr>
                <w:sz w:val="20"/>
                <w:szCs w:val="20"/>
              </w:rPr>
            </w:pPr>
          </w:p>
          <w:p w:rsidR="00343AF5" w:rsidRPr="0063727B" w:rsidRDefault="00343AF5" w:rsidP="007C5AC0">
            <w:pPr>
              <w:pStyle w:val="NormalWeb"/>
              <w:spacing w:before="0" w:after="0"/>
              <w:jc w:val="right"/>
              <w:rPr>
                <w:sz w:val="20"/>
                <w:szCs w:val="20"/>
              </w:rPr>
            </w:pPr>
            <w:r w:rsidRPr="0063727B">
              <w:rPr>
                <w:sz w:val="20"/>
                <w:szCs w:val="20"/>
              </w:rPr>
              <w:t>37 186</w:t>
            </w:r>
          </w:p>
        </w:tc>
      </w:tr>
      <w:tr w:rsidR="0063727B" w:rsidRPr="0063727B" w:rsidTr="00B441B5">
        <w:trPr>
          <w:jc w:val="center"/>
        </w:trPr>
        <w:tc>
          <w:tcPr>
            <w:tcW w:w="2827" w:type="dxa"/>
          </w:tcPr>
          <w:p w:rsidR="00343AF5" w:rsidRPr="0063727B" w:rsidRDefault="00343AF5" w:rsidP="006A38AF">
            <w:pPr>
              <w:pStyle w:val="NormalWeb"/>
              <w:spacing w:before="0" w:after="0"/>
              <w:jc w:val="both"/>
              <w:rPr>
                <w:sz w:val="20"/>
                <w:szCs w:val="20"/>
              </w:rPr>
            </w:pPr>
            <w:r w:rsidRPr="0063727B">
              <w:rPr>
                <w:sz w:val="20"/>
                <w:szCs w:val="20"/>
              </w:rPr>
              <w:t>Valsts speciālais pabalsts Latvijas neatkarības atgūšanas procesā bojā gājušo personu bērniem</w:t>
            </w:r>
          </w:p>
        </w:tc>
        <w:tc>
          <w:tcPr>
            <w:tcW w:w="2126" w:type="dxa"/>
          </w:tcPr>
          <w:p w:rsidR="00343AF5" w:rsidRPr="0063727B" w:rsidRDefault="00343AF5" w:rsidP="006B1C93">
            <w:pPr>
              <w:pStyle w:val="NormalWeb"/>
              <w:spacing w:before="0" w:after="0"/>
              <w:jc w:val="center"/>
              <w:rPr>
                <w:sz w:val="20"/>
                <w:szCs w:val="20"/>
              </w:rPr>
            </w:pPr>
            <w:r w:rsidRPr="0063727B">
              <w:rPr>
                <w:sz w:val="20"/>
                <w:szCs w:val="20"/>
              </w:rPr>
              <w:t xml:space="preserve"> 90 lati mēnesī</w:t>
            </w:r>
          </w:p>
        </w:tc>
        <w:tc>
          <w:tcPr>
            <w:tcW w:w="1985" w:type="dxa"/>
          </w:tcPr>
          <w:p w:rsidR="00343AF5" w:rsidRPr="0063727B" w:rsidRDefault="00343AF5" w:rsidP="006A38AF">
            <w:pPr>
              <w:pStyle w:val="NormalWeb"/>
              <w:spacing w:before="0" w:after="0"/>
              <w:jc w:val="right"/>
              <w:rPr>
                <w:sz w:val="20"/>
                <w:szCs w:val="20"/>
              </w:rPr>
            </w:pPr>
            <w:r w:rsidRPr="0063727B">
              <w:rPr>
                <w:sz w:val="20"/>
                <w:szCs w:val="20"/>
              </w:rPr>
              <w:t>2 vid. mēnesī</w:t>
            </w:r>
          </w:p>
        </w:tc>
        <w:tc>
          <w:tcPr>
            <w:tcW w:w="1453" w:type="dxa"/>
          </w:tcPr>
          <w:p w:rsidR="00343AF5" w:rsidRPr="0063727B" w:rsidRDefault="00343AF5" w:rsidP="006A38AF">
            <w:pPr>
              <w:pStyle w:val="NormalWeb"/>
              <w:spacing w:before="0" w:after="0"/>
              <w:jc w:val="right"/>
              <w:rPr>
                <w:sz w:val="20"/>
                <w:szCs w:val="20"/>
              </w:rPr>
            </w:pPr>
            <w:r w:rsidRPr="0063727B">
              <w:rPr>
                <w:sz w:val="20"/>
                <w:szCs w:val="20"/>
              </w:rPr>
              <w:t>2 160</w:t>
            </w:r>
          </w:p>
        </w:tc>
      </w:tr>
      <w:tr w:rsidR="0063727B" w:rsidRPr="0063727B" w:rsidTr="00B441B5">
        <w:trPr>
          <w:jc w:val="center"/>
        </w:trPr>
        <w:tc>
          <w:tcPr>
            <w:tcW w:w="2827" w:type="dxa"/>
          </w:tcPr>
          <w:p w:rsidR="00343AF5" w:rsidRPr="0063727B" w:rsidRDefault="00343AF5" w:rsidP="009B19D0">
            <w:pPr>
              <w:pStyle w:val="NormalWeb"/>
              <w:spacing w:before="0" w:after="0"/>
              <w:jc w:val="both"/>
              <w:rPr>
                <w:sz w:val="20"/>
                <w:szCs w:val="20"/>
              </w:rPr>
            </w:pPr>
            <w:r w:rsidRPr="0063727B">
              <w:rPr>
                <w:sz w:val="20"/>
                <w:szCs w:val="20"/>
                <w:shd w:val="clear" w:color="auto" w:fill="FFFFFF"/>
              </w:rPr>
              <w:t>Valsts sociālais pabalsts Černobiļas AES avārijas seku likvidēšanas dalībniekiem un mirušo Černobiļas AES avārijas seku likvidēšanas dalībnieku ģimenēm.</w:t>
            </w:r>
          </w:p>
        </w:tc>
        <w:tc>
          <w:tcPr>
            <w:tcW w:w="2126" w:type="dxa"/>
          </w:tcPr>
          <w:p w:rsidR="00343AF5" w:rsidRPr="0063727B" w:rsidRDefault="00343AF5" w:rsidP="00110858">
            <w:pPr>
              <w:pStyle w:val="NormalWeb"/>
              <w:spacing w:before="0" w:after="0"/>
              <w:jc w:val="center"/>
              <w:rPr>
                <w:sz w:val="20"/>
                <w:szCs w:val="20"/>
              </w:rPr>
            </w:pPr>
            <w:r w:rsidRPr="0063727B">
              <w:rPr>
                <w:sz w:val="20"/>
                <w:szCs w:val="20"/>
              </w:rPr>
              <w:t>60 lati mēnesī</w:t>
            </w:r>
          </w:p>
        </w:tc>
        <w:tc>
          <w:tcPr>
            <w:tcW w:w="1985" w:type="dxa"/>
          </w:tcPr>
          <w:p w:rsidR="00343AF5" w:rsidRPr="0063727B" w:rsidRDefault="00343AF5" w:rsidP="00110858">
            <w:pPr>
              <w:pStyle w:val="NormalWeb"/>
              <w:spacing w:before="0" w:after="0"/>
              <w:jc w:val="right"/>
              <w:rPr>
                <w:sz w:val="20"/>
                <w:szCs w:val="20"/>
              </w:rPr>
            </w:pPr>
            <w:r w:rsidRPr="0063727B">
              <w:rPr>
                <w:sz w:val="20"/>
                <w:szCs w:val="20"/>
              </w:rPr>
              <w:t>3 521 vid. mēnesī</w:t>
            </w:r>
          </w:p>
        </w:tc>
        <w:tc>
          <w:tcPr>
            <w:tcW w:w="1453" w:type="dxa"/>
          </w:tcPr>
          <w:p w:rsidR="00343AF5" w:rsidRPr="0063727B" w:rsidRDefault="00343AF5" w:rsidP="00110858">
            <w:pPr>
              <w:pStyle w:val="NormalWeb"/>
              <w:spacing w:before="0" w:after="0"/>
              <w:jc w:val="right"/>
              <w:rPr>
                <w:sz w:val="20"/>
                <w:szCs w:val="20"/>
              </w:rPr>
            </w:pPr>
            <w:r w:rsidRPr="0063727B">
              <w:rPr>
                <w:sz w:val="20"/>
                <w:szCs w:val="20"/>
              </w:rPr>
              <w:t>2 569 718</w:t>
            </w:r>
          </w:p>
        </w:tc>
      </w:tr>
    </w:tbl>
    <w:p w:rsidR="00343AF5" w:rsidRPr="0063727B" w:rsidRDefault="00343AF5" w:rsidP="009F3ABD">
      <w:pPr>
        <w:pStyle w:val="NormalWeb"/>
        <w:shd w:val="clear" w:color="auto" w:fill="FFFFFF"/>
        <w:spacing w:before="0" w:after="0"/>
        <w:ind w:firstLine="567"/>
        <w:jc w:val="both"/>
        <w:rPr>
          <w:sz w:val="20"/>
          <w:szCs w:val="20"/>
        </w:rPr>
      </w:pPr>
      <w:r w:rsidRPr="0063727B">
        <w:rPr>
          <w:sz w:val="20"/>
          <w:szCs w:val="20"/>
        </w:rPr>
        <w:t>Avots: VSAA dati.</w:t>
      </w:r>
    </w:p>
    <w:p w:rsidR="00343AF5" w:rsidRPr="0063727B" w:rsidRDefault="00A2208D" w:rsidP="00B634A9">
      <w:pPr>
        <w:spacing w:before="240" w:after="120"/>
        <w:ind w:left="425" w:right="74"/>
        <w:rPr>
          <w:rFonts w:ascii="Times New Roman" w:hAnsi="Times New Roman" w:cs="Times New Roman"/>
          <w:sz w:val="24"/>
          <w:szCs w:val="24"/>
        </w:rPr>
      </w:pPr>
      <w:r w:rsidRPr="0063727B">
        <w:rPr>
          <w:rFonts w:ascii="Times New Roman" w:hAnsi="Times New Roman" w:cs="Times New Roman"/>
          <w:sz w:val="24"/>
          <w:szCs w:val="24"/>
        </w:rPr>
        <w:t>6</w:t>
      </w:r>
      <w:r w:rsidR="00343AF5" w:rsidRPr="0063727B">
        <w:rPr>
          <w:rFonts w:ascii="Times New Roman" w:hAnsi="Times New Roman" w:cs="Times New Roman"/>
          <w:sz w:val="24"/>
          <w:szCs w:val="24"/>
        </w:rPr>
        <w:t>.tabula. Ģimenes valsts pabalsta saņēmēju skaits un līdzekļi pabalsta izmaksai 2007.-2012.gadā</w:t>
      </w:r>
    </w:p>
    <w:tbl>
      <w:tblPr>
        <w:tblW w:w="8574" w:type="dxa"/>
        <w:jc w:val="center"/>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4"/>
        <w:gridCol w:w="3060"/>
        <w:gridCol w:w="4320"/>
      </w:tblGrid>
      <w:tr w:rsidR="0063727B" w:rsidRPr="0063727B" w:rsidTr="009F3ABD">
        <w:trPr>
          <w:trHeight w:val="574"/>
          <w:jc w:val="center"/>
        </w:trPr>
        <w:tc>
          <w:tcPr>
            <w:tcW w:w="1194" w:type="dxa"/>
          </w:tcPr>
          <w:p w:rsidR="00343AF5" w:rsidRPr="0063727B" w:rsidRDefault="00343AF5" w:rsidP="00C67E3F">
            <w:pPr>
              <w:spacing w:after="0"/>
              <w:jc w:val="center"/>
              <w:rPr>
                <w:rFonts w:ascii="Times New Roman" w:hAnsi="Times New Roman" w:cs="Times New Roman"/>
                <w:b/>
                <w:bCs/>
              </w:rPr>
            </w:pPr>
            <w:r w:rsidRPr="0063727B">
              <w:rPr>
                <w:rFonts w:ascii="Times New Roman" w:hAnsi="Times New Roman" w:cs="Times New Roman"/>
                <w:b/>
                <w:bCs/>
              </w:rPr>
              <w:t>Gads</w:t>
            </w:r>
          </w:p>
        </w:tc>
        <w:tc>
          <w:tcPr>
            <w:tcW w:w="3060" w:type="dxa"/>
          </w:tcPr>
          <w:p w:rsidR="00343AF5" w:rsidRPr="0063727B" w:rsidRDefault="00343AF5" w:rsidP="00C67E3F">
            <w:pPr>
              <w:spacing w:after="0"/>
              <w:jc w:val="center"/>
              <w:rPr>
                <w:rFonts w:ascii="Times New Roman" w:hAnsi="Times New Roman" w:cs="Times New Roman"/>
                <w:b/>
                <w:bCs/>
              </w:rPr>
            </w:pPr>
            <w:r w:rsidRPr="0063727B">
              <w:rPr>
                <w:rFonts w:ascii="Times New Roman" w:hAnsi="Times New Roman" w:cs="Times New Roman"/>
                <w:b/>
                <w:bCs/>
              </w:rPr>
              <w:t>Ģimenes valsts pabalstu skaits vidēji gadā, tūkst.</w:t>
            </w:r>
          </w:p>
        </w:tc>
        <w:tc>
          <w:tcPr>
            <w:tcW w:w="4320" w:type="dxa"/>
          </w:tcPr>
          <w:p w:rsidR="00343AF5" w:rsidRPr="0063727B" w:rsidRDefault="00343AF5" w:rsidP="00C67E3F">
            <w:pPr>
              <w:spacing w:after="0"/>
              <w:jc w:val="center"/>
              <w:rPr>
                <w:rFonts w:ascii="Times New Roman" w:hAnsi="Times New Roman" w:cs="Times New Roman"/>
                <w:b/>
                <w:bCs/>
              </w:rPr>
            </w:pPr>
            <w:r w:rsidRPr="0063727B">
              <w:rPr>
                <w:rFonts w:ascii="Times New Roman" w:hAnsi="Times New Roman" w:cs="Times New Roman"/>
                <w:b/>
                <w:bCs/>
              </w:rPr>
              <w:t>Izdevumi ģimenes valsts pabalsta izmaksai tūkst. Ls</w:t>
            </w:r>
          </w:p>
        </w:tc>
      </w:tr>
      <w:tr w:rsidR="0063727B" w:rsidRPr="0063727B" w:rsidTr="009F3ABD">
        <w:trPr>
          <w:trHeight w:val="311"/>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2007</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391,7</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45 389,2</w:t>
            </w:r>
          </w:p>
        </w:tc>
      </w:tr>
      <w:tr w:rsidR="0063727B" w:rsidRPr="0063727B" w:rsidTr="009F3ABD">
        <w:trPr>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2008</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386,4</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44 514,9</w:t>
            </w:r>
          </w:p>
        </w:tc>
      </w:tr>
      <w:tr w:rsidR="0063727B" w:rsidRPr="0063727B" w:rsidTr="009F3ABD">
        <w:trPr>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2009</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377,4</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40 178,4</w:t>
            </w:r>
          </w:p>
        </w:tc>
      </w:tr>
      <w:tr w:rsidR="0063727B" w:rsidRPr="0063727B" w:rsidTr="009F3ABD">
        <w:trPr>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2010</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357,7</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34 906,5</w:t>
            </w:r>
          </w:p>
        </w:tc>
      </w:tr>
      <w:tr w:rsidR="0063727B" w:rsidRPr="0063727B" w:rsidTr="009F3ABD">
        <w:trPr>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2011</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332,3</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31 969.8</w:t>
            </w:r>
          </w:p>
        </w:tc>
      </w:tr>
      <w:tr w:rsidR="0063727B" w:rsidRPr="0063727B" w:rsidTr="009F3ABD">
        <w:trPr>
          <w:trHeight w:val="55"/>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2012</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314,7</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30 462,3</w:t>
            </w:r>
          </w:p>
        </w:tc>
      </w:tr>
      <w:tr w:rsidR="0063727B" w:rsidRPr="0063727B" w:rsidTr="009F3ABD">
        <w:trPr>
          <w:trHeight w:val="55"/>
          <w:jc w:val="center"/>
        </w:trPr>
        <w:tc>
          <w:tcPr>
            <w:tcW w:w="1194"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2013</w:t>
            </w:r>
          </w:p>
        </w:tc>
        <w:tc>
          <w:tcPr>
            <w:tcW w:w="306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313,1</w:t>
            </w:r>
          </w:p>
        </w:tc>
        <w:tc>
          <w:tcPr>
            <w:tcW w:w="4320" w:type="dxa"/>
          </w:tcPr>
          <w:p w:rsidR="00343AF5" w:rsidRPr="0063727B" w:rsidRDefault="00343AF5" w:rsidP="00C67E3F">
            <w:pPr>
              <w:spacing w:after="0"/>
              <w:jc w:val="center"/>
              <w:rPr>
                <w:rFonts w:ascii="Times New Roman" w:hAnsi="Times New Roman" w:cs="Times New Roman"/>
              </w:rPr>
            </w:pPr>
            <w:r w:rsidRPr="0063727B">
              <w:rPr>
                <w:rFonts w:ascii="Times New Roman" w:hAnsi="Times New Roman" w:cs="Times New Roman"/>
              </w:rPr>
              <w:t>30 050,3</w:t>
            </w:r>
          </w:p>
        </w:tc>
      </w:tr>
    </w:tbl>
    <w:p w:rsidR="00343AF5" w:rsidRDefault="00343AF5" w:rsidP="008502A9">
      <w:pPr>
        <w:ind w:firstLine="720"/>
        <w:jc w:val="both"/>
        <w:rPr>
          <w:rFonts w:ascii="Times New Roman" w:hAnsi="Times New Roman" w:cs="Times New Roman"/>
          <w:sz w:val="20"/>
          <w:szCs w:val="20"/>
        </w:rPr>
      </w:pPr>
      <w:r w:rsidRPr="0063727B">
        <w:rPr>
          <w:rFonts w:ascii="Times New Roman" w:hAnsi="Times New Roman" w:cs="Times New Roman"/>
          <w:sz w:val="20"/>
          <w:szCs w:val="20"/>
        </w:rPr>
        <w:lastRenderedPageBreak/>
        <w:t>Datu avots: VSAA, valsts budžeta 2013.gadam rādītāji.</w:t>
      </w:r>
    </w:p>
    <w:p w:rsidR="00343AF5" w:rsidRPr="0063727B" w:rsidRDefault="00A2208D" w:rsidP="00A2208D">
      <w:pPr>
        <w:spacing w:after="120" w:line="240" w:lineRule="auto"/>
        <w:rPr>
          <w:rFonts w:ascii="Times New Roman" w:hAnsi="Times New Roman" w:cs="Times New Roman"/>
          <w:sz w:val="24"/>
          <w:szCs w:val="24"/>
        </w:rPr>
      </w:pPr>
      <w:r w:rsidRPr="0063727B">
        <w:rPr>
          <w:rFonts w:ascii="Times New Roman" w:hAnsi="Times New Roman" w:cs="Times New Roman"/>
          <w:sz w:val="24"/>
          <w:szCs w:val="24"/>
        </w:rPr>
        <w:t>7</w:t>
      </w:r>
      <w:r w:rsidR="00343AF5" w:rsidRPr="0063727B">
        <w:rPr>
          <w:rFonts w:ascii="Times New Roman" w:hAnsi="Times New Roman" w:cs="Times New Roman"/>
          <w:sz w:val="24"/>
          <w:szCs w:val="24"/>
        </w:rPr>
        <w:t>.tabula. Darbaspēka nodokļu atvieglojumu ietekme uz mājsaimniecību ienākumiem.</w:t>
      </w:r>
      <w:r w:rsidR="00343AF5" w:rsidRPr="0063727B">
        <w:rPr>
          <w:rFonts w:ascii="Times New Roman" w:hAnsi="Times New Roman" w:cs="Times New Roman"/>
          <w:sz w:val="24"/>
          <w:szCs w:val="24"/>
          <w:vertAlign w:val="superscript"/>
        </w:rPr>
        <w:t>.</w:t>
      </w:r>
    </w:p>
    <w:tbl>
      <w:tblPr>
        <w:tblW w:w="9225" w:type="dxa"/>
        <w:tblInd w:w="2" w:type="dxa"/>
        <w:tblLayout w:type="fixed"/>
        <w:tblLook w:val="00A0" w:firstRow="1" w:lastRow="0" w:firstColumn="1" w:lastColumn="0" w:noHBand="0" w:noVBand="0"/>
      </w:tblPr>
      <w:tblGrid>
        <w:gridCol w:w="1414"/>
        <w:gridCol w:w="888"/>
        <w:gridCol w:w="1526"/>
        <w:gridCol w:w="1559"/>
        <w:gridCol w:w="992"/>
        <w:gridCol w:w="993"/>
        <w:gridCol w:w="992"/>
        <w:gridCol w:w="861"/>
      </w:tblGrid>
      <w:tr w:rsidR="0063727B" w:rsidRPr="0063727B" w:rsidTr="00CE3718">
        <w:trPr>
          <w:trHeight w:val="945"/>
        </w:trPr>
        <w:tc>
          <w:tcPr>
            <w:tcW w:w="1414" w:type="dxa"/>
            <w:tcBorders>
              <w:top w:val="single" w:sz="8" w:space="0" w:color="auto"/>
              <w:left w:val="single" w:sz="8" w:space="0" w:color="auto"/>
              <w:bottom w:val="nil"/>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b/>
                <w:bCs/>
                <w:sz w:val="18"/>
                <w:szCs w:val="18"/>
                <w:lang w:eastAsia="lv-LV"/>
              </w:rPr>
            </w:pPr>
            <w:r w:rsidRPr="0063727B">
              <w:rPr>
                <w:rFonts w:ascii="Times New Roman" w:hAnsi="Times New Roman" w:cs="Times New Roman"/>
                <w:b/>
                <w:bCs/>
                <w:sz w:val="18"/>
                <w:szCs w:val="18"/>
                <w:lang w:eastAsia="lv-LV"/>
              </w:rPr>
              <w:t>Apgādājamo skaits</w:t>
            </w:r>
          </w:p>
        </w:tc>
        <w:tc>
          <w:tcPr>
            <w:tcW w:w="888" w:type="dxa"/>
            <w:tcBorders>
              <w:top w:val="single" w:sz="8" w:space="0" w:color="auto"/>
              <w:left w:val="nil"/>
              <w:bottom w:val="single" w:sz="8" w:space="0" w:color="auto"/>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b/>
                <w:bCs/>
                <w:sz w:val="18"/>
                <w:szCs w:val="18"/>
                <w:lang w:eastAsia="lv-LV"/>
              </w:rPr>
            </w:pPr>
            <w:r w:rsidRPr="0063727B">
              <w:rPr>
                <w:rFonts w:ascii="Times New Roman" w:hAnsi="Times New Roman" w:cs="Times New Roman"/>
                <w:b/>
                <w:bCs/>
                <w:sz w:val="18"/>
                <w:szCs w:val="18"/>
                <w:lang w:eastAsia="lv-LV"/>
              </w:rPr>
              <w:t>Alga bruto</w:t>
            </w:r>
          </w:p>
        </w:tc>
        <w:tc>
          <w:tcPr>
            <w:tcW w:w="1526" w:type="dxa"/>
            <w:tcBorders>
              <w:top w:val="single" w:sz="8" w:space="0" w:color="auto"/>
              <w:left w:val="nil"/>
              <w:bottom w:val="nil"/>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sz w:val="18"/>
                <w:szCs w:val="18"/>
                <w:lang w:eastAsia="lv-LV"/>
              </w:rPr>
            </w:pPr>
            <w:r w:rsidRPr="0063727B">
              <w:rPr>
                <w:rFonts w:ascii="Times New Roman" w:hAnsi="Times New Roman" w:cs="Times New Roman"/>
                <w:sz w:val="18"/>
                <w:szCs w:val="18"/>
                <w:lang w:eastAsia="lv-LV"/>
              </w:rPr>
              <w:t>Neapliekamais minimums</w:t>
            </w:r>
          </w:p>
        </w:tc>
        <w:tc>
          <w:tcPr>
            <w:tcW w:w="1559" w:type="dxa"/>
            <w:tcBorders>
              <w:top w:val="single" w:sz="8" w:space="0" w:color="auto"/>
              <w:left w:val="nil"/>
              <w:bottom w:val="nil"/>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b/>
                <w:bCs/>
                <w:sz w:val="18"/>
                <w:szCs w:val="18"/>
                <w:lang w:eastAsia="lv-LV"/>
              </w:rPr>
            </w:pPr>
            <w:r w:rsidRPr="0063727B">
              <w:rPr>
                <w:rFonts w:ascii="Times New Roman" w:hAnsi="Times New Roman" w:cs="Times New Roman"/>
                <w:sz w:val="18"/>
                <w:szCs w:val="18"/>
                <w:lang w:eastAsia="lv-LV"/>
              </w:rPr>
              <w:t>Par apgādājamiem</w:t>
            </w:r>
            <w:proofErr w:type="gramStart"/>
            <w:r w:rsidRPr="0063727B">
              <w:rPr>
                <w:rFonts w:ascii="Times New Roman" w:hAnsi="Times New Roman" w:cs="Times New Roman"/>
                <w:sz w:val="18"/>
                <w:szCs w:val="18"/>
                <w:lang w:eastAsia="lv-LV"/>
              </w:rPr>
              <w:t xml:space="preserve"> </w:t>
            </w:r>
            <w:r w:rsidRPr="0063727B">
              <w:rPr>
                <w:rFonts w:ascii="Times New Roman" w:hAnsi="Times New Roman" w:cs="Times New Roman"/>
                <w:b/>
                <w:bCs/>
                <w:sz w:val="18"/>
                <w:szCs w:val="18"/>
                <w:lang w:eastAsia="lv-LV"/>
              </w:rPr>
              <w:t xml:space="preserve"> </w:t>
            </w:r>
            <w:proofErr w:type="gramEnd"/>
            <w:r w:rsidRPr="0063727B">
              <w:rPr>
                <w:rFonts w:ascii="Times New Roman" w:hAnsi="Times New Roman" w:cs="Times New Roman"/>
                <w:b/>
                <w:bCs/>
                <w:sz w:val="18"/>
                <w:szCs w:val="18"/>
                <w:lang w:eastAsia="lv-LV"/>
              </w:rPr>
              <w:t xml:space="preserve">Ls 80 </w:t>
            </w:r>
            <w:r w:rsidRPr="0063727B">
              <w:rPr>
                <w:rStyle w:val="FootnoteReference"/>
                <w:rFonts w:ascii="Times New Roman" w:hAnsi="Times New Roman" w:cs="Times New Roman"/>
                <w:b/>
                <w:bCs/>
                <w:sz w:val="18"/>
                <w:szCs w:val="18"/>
                <w:lang w:eastAsia="lv-LV"/>
              </w:rPr>
              <w:footnoteReference w:id="112"/>
            </w:r>
          </w:p>
        </w:tc>
        <w:tc>
          <w:tcPr>
            <w:tcW w:w="992" w:type="dxa"/>
            <w:tcBorders>
              <w:top w:val="single" w:sz="8" w:space="0" w:color="auto"/>
              <w:left w:val="nil"/>
              <w:bottom w:val="nil"/>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sz w:val="18"/>
                <w:szCs w:val="18"/>
                <w:lang w:eastAsia="lv-LV"/>
              </w:rPr>
            </w:pPr>
            <w:r w:rsidRPr="0063727B">
              <w:rPr>
                <w:rFonts w:ascii="Times New Roman" w:hAnsi="Times New Roman" w:cs="Times New Roman"/>
                <w:sz w:val="18"/>
                <w:szCs w:val="18"/>
                <w:lang w:eastAsia="lv-LV"/>
              </w:rPr>
              <w:t>Soc.nod.11%</w:t>
            </w:r>
          </w:p>
        </w:tc>
        <w:tc>
          <w:tcPr>
            <w:tcW w:w="993" w:type="dxa"/>
            <w:tcBorders>
              <w:top w:val="single" w:sz="8" w:space="0" w:color="auto"/>
              <w:left w:val="nil"/>
              <w:bottom w:val="nil"/>
              <w:right w:val="single" w:sz="4" w:space="0" w:color="auto"/>
            </w:tcBorders>
            <w:vAlign w:val="bottom"/>
          </w:tcPr>
          <w:p w:rsidR="00343AF5" w:rsidRPr="0063727B" w:rsidRDefault="00343AF5" w:rsidP="00A914CC">
            <w:pPr>
              <w:spacing w:after="0" w:line="240" w:lineRule="auto"/>
              <w:jc w:val="center"/>
              <w:rPr>
                <w:rFonts w:ascii="Times New Roman" w:hAnsi="Times New Roman" w:cs="Times New Roman"/>
                <w:sz w:val="18"/>
                <w:szCs w:val="18"/>
                <w:lang w:eastAsia="lv-LV"/>
              </w:rPr>
            </w:pPr>
            <w:r w:rsidRPr="0063727B">
              <w:rPr>
                <w:rFonts w:ascii="Times New Roman" w:hAnsi="Times New Roman" w:cs="Times New Roman"/>
                <w:sz w:val="18"/>
                <w:szCs w:val="18"/>
                <w:lang w:eastAsia="lv-LV"/>
              </w:rPr>
              <w:t xml:space="preserve">Ienākuma nodoklis </w:t>
            </w:r>
            <w:r w:rsidRPr="0063727B">
              <w:rPr>
                <w:rFonts w:ascii="Times New Roman" w:hAnsi="Times New Roman" w:cs="Times New Roman"/>
                <w:b/>
                <w:bCs/>
                <w:sz w:val="18"/>
                <w:szCs w:val="18"/>
                <w:lang w:eastAsia="lv-LV"/>
              </w:rPr>
              <w:t>24%</w:t>
            </w:r>
          </w:p>
        </w:tc>
        <w:tc>
          <w:tcPr>
            <w:tcW w:w="992" w:type="dxa"/>
            <w:tcBorders>
              <w:top w:val="single" w:sz="8" w:space="0" w:color="auto"/>
              <w:left w:val="nil"/>
              <w:bottom w:val="single" w:sz="8" w:space="0" w:color="auto"/>
              <w:right w:val="single" w:sz="4" w:space="0" w:color="auto"/>
            </w:tcBorders>
            <w:vAlign w:val="center"/>
          </w:tcPr>
          <w:p w:rsidR="00343AF5" w:rsidRPr="0063727B" w:rsidRDefault="00343AF5" w:rsidP="00A914CC">
            <w:pPr>
              <w:spacing w:after="0" w:line="240" w:lineRule="auto"/>
              <w:jc w:val="center"/>
              <w:rPr>
                <w:rFonts w:ascii="Times New Roman" w:hAnsi="Times New Roman" w:cs="Times New Roman"/>
                <w:sz w:val="18"/>
                <w:szCs w:val="18"/>
                <w:lang w:eastAsia="lv-LV"/>
              </w:rPr>
            </w:pPr>
            <w:r w:rsidRPr="0063727B">
              <w:rPr>
                <w:rFonts w:ascii="Times New Roman" w:hAnsi="Times New Roman" w:cs="Times New Roman"/>
                <w:sz w:val="18"/>
                <w:szCs w:val="18"/>
                <w:lang w:eastAsia="lv-LV"/>
              </w:rPr>
              <w:t>Kopā ieturējumi</w:t>
            </w:r>
          </w:p>
        </w:tc>
        <w:tc>
          <w:tcPr>
            <w:tcW w:w="861" w:type="dxa"/>
            <w:tcBorders>
              <w:top w:val="single" w:sz="8" w:space="0" w:color="auto"/>
              <w:left w:val="nil"/>
              <w:bottom w:val="single" w:sz="8" w:space="0" w:color="auto"/>
              <w:right w:val="single" w:sz="8" w:space="0" w:color="auto"/>
            </w:tcBorders>
            <w:vAlign w:val="center"/>
          </w:tcPr>
          <w:p w:rsidR="00343AF5" w:rsidRPr="0063727B" w:rsidRDefault="00343AF5" w:rsidP="00A914CC">
            <w:pPr>
              <w:spacing w:after="0" w:line="240" w:lineRule="auto"/>
              <w:jc w:val="center"/>
              <w:rPr>
                <w:rFonts w:ascii="Times New Roman" w:hAnsi="Times New Roman" w:cs="Times New Roman"/>
                <w:b/>
                <w:bCs/>
                <w:sz w:val="18"/>
                <w:szCs w:val="18"/>
                <w:lang w:eastAsia="lv-LV"/>
              </w:rPr>
            </w:pPr>
            <w:r w:rsidRPr="0063727B">
              <w:rPr>
                <w:rFonts w:ascii="Times New Roman" w:hAnsi="Times New Roman" w:cs="Times New Roman"/>
                <w:b/>
                <w:bCs/>
                <w:sz w:val="18"/>
                <w:szCs w:val="18"/>
                <w:lang w:eastAsia="lv-LV"/>
              </w:rPr>
              <w:t>Alga neto</w:t>
            </w:r>
          </w:p>
        </w:tc>
      </w:tr>
      <w:tr w:rsidR="0063727B" w:rsidRPr="0063727B" w:rsidTr="00CE3718">
        <w:trPr>
          <w:trHeight w:val="300"/>
        </w:trPr>
        <w:tc>
          <w:tcPr>
            <w:tcW w:w="1414" w:type="dxa"/>
            <w:tcBorders>
              <w:top w:val="single" w:sz="8" w:space="0" w:color="auto"/>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0</w:t>
            </w:r>
          </w:p>
        </w:tc>
        <w:tc>
          <w:tcPr>
            <w:tcW w:w="888" w:type="dxa"/>
            <w:tcBorders>
              <w:top w:val="single" w:sz="8" w:space="0" w:color="auto"/>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200</w:t>
            </w:r>
          </w:p>
        </w:tc>
        <w:tc>
          <w:tcPr>
            <w:tcW w:w="1526" w:type="dxa"/>
            <w:tcBorders>
              <w:top w:val="single" w:sz="8" w:space="0" w:color="auto"/>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single" w:sz="8" w:space="0" w:color="auto"/>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0</w:t>
            </w:r>
          </w:p>
        </w:tc>
        <w:tc>
          <w:tcPr>
            <w:tcW w:w="992" w:type="dxa"/>
            <w:tcBorders>
              <w:top w:val="single" w:sz="8" w:space="0" w:color="auto"/>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22.00</w:t>
            </w:r>
          </w:p>
        </w:tc>
        <w:tc>
          <w:tcPr>
            <w:tcW w:w="993" w:type="dxa"/>
            <w:tcBorders>
              <w:top w:val="single" w:sz="8" w:space="0" w:color="auto"/>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31.92</w:t>
            </w:r>
          </w:p>
        </w:tc>
        <w:tc>
          <w:tcPr>
            <w:tcW w:w="992" w:type="dxa"/>
            <w:tcBorders>
              <w:top w:val="single" w:sz="8" w:space="0" w:color="auto"/>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53.92</w:t>
            </w:r>
          </w:p>
        </w:tc>
        <w:tc>
          <w:tcPr>
            <w:tcW w:w="861" w:type="dxa"/>
            <w:tcBorders>
              <w:top w:val="single" w:sz="8" w:space="0" w:color="auto"/>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146.08</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200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80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22.00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12.72</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34.72</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165.28</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200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160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22.00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-6.48</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15.52</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184.48</w:t>
            </w:r>
          </w:p>
        </w:tc>
      </w:tr>
      <w:tr w:rsidR="0063727B" w:rsidRPr="0063727B" w:rsidTr="00CE3718">
        <w:trPr>
          <w:trHeight w:val="315"/>
        </w:trPr>
        <w:tc>
          <w:tcPr>
            <w:tcW w:w="1414" w:type="dxa"/>
            <w:tcBorders>
              <w:top w:val="nil"/>
              <w:left w:val="single" w:sz="8" w:space="0" w:color="auto"/>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w:t>
            </w:r>
          </w:p>
        </w:tc>
        <w:tc>
          <w:tcPr>
            <w:tcW w:w="888"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200</w:t>
            </w:r>
          </w:p>
        </w:tc>
        <w:tc>
          <w:tcPr>
            <w:tcW w:w="1526"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240</w:t>
            </w:r>
          </w:p>
        </w:tc>
        <w:tc>
          <w:tcPr>
            <w:tcW w:w="992"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22.00</w:t>
            </w:r>
          </w:p>
        </w:tc>
        <w:tc>
          <w:tcPr>
            <w:tcW w:w="993"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-25.68</w:t>
            </w:r>
          </w:p>
        </w:tc>
        <w:tc>
          <w:tcPr>
            <w:tcW w:w="992"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-3.68</w:t>
            </w:r>
          </w:p>
        </w:tc>
        <w:tc>
          <w:tcPr>
            <w:tcW w:w="861" w:type="dxa"/>
            <w:tcBorders>
              <w:top w:val="nil"/>
              <w:left w:val="nil"/>
              <w:bottom w:val="single" w:sz="8"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203.68</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0</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250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27.50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42.60</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70.10</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179.90</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250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80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27.50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23.40</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50.90</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199.10</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250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160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27.50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4.20</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31.70</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218.30</w:t>
            </w:r>
          </w:p>
        </w:tc>
      </w:tr>
      <w:tr w:rsidR="0063727B" w:rsidRPr="0063727B" w:rsidTr="00CE3718">
        <w:trPr>
          <w:trHeight w:val="315"/>
        </w:trPr>
        <w:tc>
          <w:tcPr>
            <w:tcW w:w="1414" w:type="dxa"/>
            <w:tcBorders>
              <w:top w:val="nil"/>
              <w:left w:val="single" w:sz="8" w:space="0" w:color="auto"/>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w:t>
            </w:r>
          </w:p>
        </w:tc>
        <w:tc>
          <w:tcPr>
            <w:tcW w:w="888"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250</w:t>
            </w:r>
          </w:p>
        </w:tc>
        <w:tc>
          <w:tcPr>
            <w:tcW w:w="1526"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240</w:t>
            </w:r>
          </w:p>
        </w:tc>
        <w:tc>
          <w:tcPr>
            <w:tcW w:w="992"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27.50</w:t>
            </w:r>
          </w:p>
        </w:tc>
        <w:tc>
          <w:tcPr>
            <w:tcW w:w="993"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-15.00</w:t>
            </w:r>
          </w:p>
        </w:tc>
        <w:tc>
          <w:tcPr>
            <w:tcW w:w="992"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12.50</w:t>
            </w:r>
          </w:p>
        </w:tc>
        <w:tc>
          <w:tcPr>
            <w:tcW w:w="861" w:type="dxa"/>
            <w:tcBorders>
              <w:top w:val="nil"/>
              <w:left w:val="nil"/>
              <w:bottom w:val="single" w:sz="8"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237.50</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0</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300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33.00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53.28</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86.28</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213.72</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1</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300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80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33.00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34.08</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67.08</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232.92</w:t>
            </w:r>
          </w:p>
        </w:tc>
      </w:tr>
      <w:tr w:rsidR="0063727B" w:rsidRPr="0063727B" w:rsidTr="00CE3718">
        <w:trPr>
          <w:trHeight w:val="300"/>
        </w:trPr>
        <w:tc>
          <w:tcPr>
            <w:tcW w:w="1414" w:type="dxa"/>
            <w:tcBorders>
              <w:top w:val="nil"/>
              <w:left w:val="single" w:sz="8" w:space="0" w:color="auto"/>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w:t>
            </w:r>
          </w:p>
        </w:tc>
        <w:tc>
          <w:tcPr>
            <w:tcW w:w="888"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300</w:t>
            </w:r>
          </w:p>
        </w:tc>
        <w:tc>
          <w:tcPr>
            <w:tcW w:w="1526"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160</w:t>
            </w:r>
          </w:p>
        </w:tc>
        <w:tc>
          <w:tcPr>
            <w:tcW w:w="992"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33.00</w:t>
            </w:r>
          </w:p>
        </w:tc>
        <w:tc>
          <w:tcPr>
            <w:tcW w:w="993" w:type="dxa"/>
            <w:tcBorders>
              <w:top w:val="nil"/>
              <w:left w:val="nil"/>
              <w:bottom w:val="single" w:sz="4"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14.88</w:t>
            </w:r>
          </w:p>
        </w:tc>
        <w:tc>
          <w:tcPr>
            <w:tcW w:w="992" w:type="dxa"/>
            <w:tcBorders>
              <w:top w:val="nil"/>
              <w:left w:val="nil"/>
              <w:bottom w:val="single" w:sz="4"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47.88</w:t>
            </w:r>
          </w:p>
        </w:tc>
        <w:tc>
          <w:tcPr>
            <w:tcW w:w="861" w:type="dxa"/>
            <w:tcBorders>
              <w:top w:val="nil"/>
              <w:left w:val="nil"/>
              <w:bottom w:val="single" w:sz="4"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252.12</w:t>
            </w:r>
          </w:p>
        </w:tc>
      </w:tr>
      <w:tr w:rsidR="0063727B" w:rsidRPr="0063727B" w:rsidTr="00CE3718">
        <w:trPr>
          <w:trHeight w:val="315"/>
        </w:trPr>
        <w:tc>
          <w:tcPr>
            <w:tcW w:w="1414" w:type="dxa"/>
            <w:tcBorders>
              <w:top w:val="nil"/>
              <w:left w:val="single" w:sz="8" w:space="0" w:color="auto"/>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w:t>
            </w:r>
          </w:p>
        </w:tc>
        <w:tc>
          <w:tcPr>
            <w:tcW w:w="888"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300</w:t>
            </w:r>
          </w:p>
        </w:tc>
        <w:tc>
          <w:tcPr>
            <w:tcW w:w="1526"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45</w:t>
            </w:r>
          </w:p>
        </w:tc>
        <w:tc>
          <w:tcPr>
            <w:tcW w:w="1559"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240</w:t>
            </w:r>
          </w:p>
        </w:tc>
        <w:tc>
          <w:tcPr>
            <w:tcW w:w="992"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33.00</w:t>
            </w:r>
          </w:p>
        </w:tc>
        <w:tc>
          <w:tcPr>
            <w:tcW w:w="993" w:type="dxa"/>
            <w:tcBorders>
              <w:top w:val="nil"/>
              <w:left w:val="nil"/>
              <w:bottom w:val="single" w:sz="8" w:space="0" w:color="auto"/>
              <w:right w:val="single" w:sz="4" w:space="0" w:color="auto"/>
            </w:tcBorders>
            <w:noWrap/>
            <w:vAlign w:val="bottom"/>
          </w:tcPr>
          <w:p w:rsidR="00343AF5" w:rsidRPr="0063727B" w:rsidRDefault="00343AF5" w:rsidP="00A914CC">
            <w:pPr>
              <w:spacing w:after="0" w:line="240" w:lineRule="auto"/>
              <w:jc w:val="center"/>
              <w:rPr>
                <w:rFonts w:ascii="Times New Roman" w:hAnsi="Times New Roman" w:cs="Times New Roman"/>
                <w:sz w:val="20"/>
                <w:szCs w:val="20"/>
                <w:lang w:eastAsia="lv-LV"/>
              </w:rPr>
            </w:pPr>
            <w:r w:rsidRPr="0063727B">
              <w:rPr>
                <w:rFonts w:ascii="Times New Roman" w:hAnsi="Times New Roman" w:cs="Times New Roman"/>
                <w:sz w:val="20"/>
                <w:szCs w:val="20"/>
                <w:lang w:eastAsia="lv-LV"/>
              </w:rPr>
              <w:t>-4.32</w:t>
            </w:r>
          </w:p>
        </w:tc>
        <w:tc>
          <w:tcPr>
            <w:tcW w:w="992" w:type="dxa"/>
            <w:tcBorders>
              <w:top w:val="nil"/>
              <w:left w:val="nil"/>
              <w:bottom w:val="single" w:sz="8" w:space="0" w:color="auto"/>
              <w:right w:val="single" w:sz="4" w:space="0" w:color="auto"/>
            </w:tcBorders>
            <w:shd w:val="clear" w:color="000000" w:fill="D9D9D9" w:themeFill="background1" w:themeFillShade="D9"/>
            <w:noWrap/>
            <w:vAlign w:val="bottom"/>
          </w:tcPr>
          <w:p w:rsidR="00343AF5" w:rsidRPr="0063727B" w:rsidRDefault="00343AF5" w:rsidP="00A914CC">
            <w:pPr>
              <w:spacing w:after="0" w:line="240" w:lineRule="auto"/>
              <w:jc w:val="right"/>
              <w:rPr>
                <w:rFonts w:ascii="Times New Roman" w:hAnsi="Times New Roman" w:cs="Times New Roman"/>
                <w:sz w:val="20"/>
                <w:szCs w:val="20"/>
                <w:lang w:eastAsia="lv-LV"/>
              </w:rPr>
            </w:pPr>
            <w:r w:rsidRPr="0063727B">
              <w:rPr>
                <w:rFonts w:ascii="Times New Roman" w:hAnsi="Times New Roman" w:cs="Times New Roman"/>
                <w:sz w:val="20"/>
                <w:szCs w:val="20"/>
                <w:lang w:eastAsia="lv-LV"/>
              </w:rPr>
              <w:t>28.68</w:t>
            </w:r>
          </w:p>
        </w:tc>
        <w:tc>
          <w:tcPr>
            <w:tcW w:w="861" w:type="dxa"/>
            <w:tcBorders>
              <w:top w:val="nil"/>
              <w:left w:val="nil"/>
              <w:bottom w:val="single" w:sz="8" w:space="0" w:color="auto"/>
              <w:right w:val="single" w:sz="8" w:space="0" w:color="auto"/>
            </w:tcBorders>
            <w:shd w:val="clear" w:color="000000" w:fill="D9D9D9" w:themeFill="background1" w:themeFillShade="D9"/>
            <w:noWrap/>
            <w:vAlign w:val="bottom"/>
          </w:tcPr>
          <w:p w:rsidR="00343AF5" w:rsidRPr="0063727B" w:rsidRDefault="00343AF5" w:rsidP="00A914CC">
            <w:pPr>
              <w:spacing w:after="0" w:line="240" w:lineRule="auto"/>
              <w:jc w:val="center"/>
              <w:rPr>
                <w:rFonts w:ascii="Times New Roman" w:hAnsi="Times New Roman" w:cs="Times New Roman"/>
                <w:b/>
                <w:bCs/>
                <w:sz w:val="20"/>
                <w:szCs w:val="20"/>
                <w:lang w:eastAsia="lv-LV"/>
              </w:rPr>
            </w:pPr>
            <w:r w:rsidRPr="0063727B">
              <w:rPr>
                <w:rFonts w:ascii="Times New Roman" w:hAnsi="Times New Roman" w:cs="Times New Roman"/>
                <w:b/>
                <w:bCs/>
                <w:sz w:val="20"/>
                <w:szCs w:val="20"/>
                <w:lang w:eastAsia="lv-LV"/>
              </w:rPr>
              <w:t>271.32</w:t>
            </w:r>
          </w:p>
        </w:tc>
      </w:tr>
    </w:tbl>
    <w:p w:rsidR="00343AF5" w:rsidRPr="0063727B" w:rsidRDefault="00343AF5" w:rsidP="00710224">
      <w:pPr>
        <w:tabs>
          <w:tab w:val="left" w:pos="709"/>
        </w:tabs>
        <w:spacing w:after="60" w:line="240" w:lineRule="auto"/>
        <w:ind w:left="709" w:hanging="709"/>
        <w:jc w:val="both"/>
        <w:rPr>
          <w:rFonts w:ascii="Times New Roman" w:hAnsi="Times New Roman" w:cs="Times New Roman"/>
          <w:sz w:val="20"/>
          <w:szCs w:val="20"/>
        </w:rPr>
      </w:pPr>
      <w:r w:rsidRPr="0063727B">
        <w:rPr>
          <w:rFonts w:ascii="Times New Roman" w:hAnsi="Times New Roman" w:cs="Times New Roman"/>
          <w:sz w:val="20"/>
          <w:szCs w:val="20"/>
        </w:rPr>
        <w:t>Avots: Labklājības ministrijas aprēķini.</w:t>
      </w:r>
    </w:p>
    <w:tbl>
      <w:tblPr>
        <w:tblW w:w="14002" w:type="dxa"/>
        <w:tblInd w:w="2" w:type="dxa"/>
        <w:tblLook w:val="00A0" w:firstRow="1" w:lastRow="0" w:firstColumn="1" w:lastColumn="0" w:noHBand="0" w:noVBand="0"/>
      </w:tblPr>
      <w:tblGrid>
        <w:gridCol w:w="2941"/>
        <w:gridCol w:w="1418"/>
        <w:gridCol w:w="1417"/>
        <w:gridCol w:w="1560"/>
        <w:gridCol w:w="1563"/>
        <w:gridCol w:w="236"/>
        <w:gridCol w:w="1465"/>
        <w:gridCol w:w="1701"/>
        <w:gridCol w:w="1701"/>
      </w:tblGrid>
      <w:tr w:rsidR="0063727B" w:rsidRPr="0063727B" w:rsidTr="002D33EA">
        <w:trPr>
          <w:gridAfter w:val="4"/>
          <w:wAfter w:w="5103" w:type="dxa"/>
          <w:trHeight w:val="390"/>
        </w:trPr>
        <w:tc>
          <w:tcPr>
            <w:tcW w:w="7336" w:type="dxa"/>
            <w:gridSpan w:val="4"/>
            <w:tcBorders>
              <w:top w:val="nil"/>
              <w:left w:val="nil"/>
              <w:bottom w:val="nil"/>
              <w:right w:val="nil"/>
            </w:tcBorders>
            <w:vAlign w:val="bottom"/>
          </w:tcPr>
          <w:p w:rsidR="008B3D9F" w:rsidRPr="0063727B" w:rsidRDefault="008B3D9F" w:rsidP="008B3D9F">
            <w:pPr>
              <w:spacing w:after="0" w:line="240" w:lineRule="auto"/>
              <w:rPr>
                <w:rFonts w:ascii="Times New Roman" w:eastAsia="Times New Roman" w:hAnsi="Times New Roman" w:cs="Times New Roman"/>
                <w:bCs/>
                <w:sz w:val="24"/>
                <w:szCs w:val="24"/>
                <w:lang w:eastAsia="lv-LV"/>
              </w:rPr>
            </w:pPr>
          </w:p>
          <w:p w:rsidR="00B500BF" w:rsidRPr="0063727B" w:rsidRDefault="00C95881" w:rsidP="00B634A9">
            <w:pPr>
              <w:spacing w:after="0" w:line="240" w:lineRule="auto"/>
              <w:jc w:val="both"/>
              <w:rPr>
                <w:rFonts w:ascii="Times New Roman" w:hAnsi="Times New Roman" w:cs="Times New Roman"/>
                <w:b/>
                <w:sz w:val="24"/>
                <w:szCs w:val="24"/>
                <w:lang w:eastAsia="lv-LV"/>
              </w:rPr>
            </w:pPr>
            <w:r w:rsidRPr="0063727B">
              <w:rPr>
                <w:rFonts w:ascii="Times New Roman" w:eastAsia="Times New Roman" w:hAnsi="Times New Roman" w:cs="Times New Roman"/>
                <w:bCs/>
                <w:sz w:val="24"/>
                <w:szCs w:val="24"/>
                <w:lang w:eastAsia="lv-LV"/>
              </w:rPr>
              <w:t>8</w:t>
            </w:r>
            <w:r w:rsidR="002D33EA" w:rsidRPr="0063727B">
              <w:rPr>
                <w:rFonts w:ascii="Times New Roman" w:eastAsia="Times New Roman" w:hAnsi="Times New Roman" w:cs="Times New Roman"/>
                <w:bCs/>
                <w:sz w:val="24"/>
                <w:szCs w:val="24"/>
                <w:lang w:eastAsia="lv-LV"/>
              </w:rPr>
              <w:t>.tabula. Informācija par pašvaldību sniegto sociālo palīdzību 2010.,</w:t>
            </w:r>
            <w:r w:rsidR="00B634A9" w:rsidRPr="0063727B">
              <w:rPr>
                <w:rFonts w:ascii="Times New Roman" w:eastAsia="Times New Roman" w:hAnsi="Times New Roman" w:cs="Times New Roman"/>
                <w:bCs/>
                <w:sz w:val="24"/>
                <w:szCs w:val="24"/>
                <w:lang w:eastAsia="lv-LV"/>
              </w:rPr>
              <w:t xml:space="preserve"> </w:t>
            </w:r>
            <w:r w:rsidR="002D33EA" w:rsidRPr="0063727B">
              <w:rPr>
                <w:rFonts w:ascii="Times New Roman" w:eastAsia="Times New Roman" w:hAnsi="Times New Roman" w:cs="Times New Roman"/>
                <w:bCs/>
                <w:sz w:val="24"/>
                <w:szCs w:val="24"/>
                <w:lang w:eastAsia="lv-LV"/>
              </w:rPr>
              <w:t>2011.,</w:t>
            </w:r>
            <w:r w:rsidR="00B634A9" w:rsidRPr="0063727B">
              <w:rPr>
                <w:rFonts w:ascii="Times New Roman" w:eastAsia="Times New Roman" w:hAnsi="Times New Roman" w:cs="Times New Roman"/>
                <w:bCs/>
                <w:sz w:val="24"/>
                <w:szCs w:val="24"/>
                <w:lang w:eastAsia="lv-LV"/>
              </w:rPr>
              <w:t xml:space="preserve"> </w:t>
            </w:r>
            <w:r w:rsidR="002D33EA" w:rsidRPr="0063727B">
              <w:rPr>
                <w:rFonts w:ascii="Times New Roman" w:eastAsia="Times New Roman" w:hAnsi="Times New Roman" w:cs="Times New Roman"/>
                <w:bCs/>
                <w:sz w:val="24"/>
                <w:szCs w:val="24"/>
                <w:lang w:eastAsia="lv-LV"/>
              </w:rPr>
              <w:t>2012.gadā un 2013.gada 8 mēnešos*</w:t>
            </w:r>
          </w:p>
        </w:tc>
        <w:tc>
          <w:tcPr>
            <w:tcW w:w="1563" w:type="dxa"/>
            <w:tcBorders>
              <w:top w:val="nil"/>
              <w:left w:val="nil"/>
              <w:bottom w:val="nil"/>
              <w:right w:val="nil"/>
            </w:tcBorders>
          </w:tcPr>
          <w:p w:rsidR="00B500BF" w:rsidRPr="0063727B" w:rsidRDefault="00B500BF" w:rsidP="00B441B5">
            <w:pPr>
              <w:spacing w:after="0" w:line="240" w:lineRule="auto"/>
              <w:jc w:val="right"/>
              <w:rPr>
                <w:rFonts w:ascii="Times New Roman" w:hAnsi="Times New Roman" w:cs="Times New Roman"/>
                <w:sz w:val="24"/>
                <w:szCs w:val="24"/>
                <w:lang w:eastAsia="lv-LV"/>
              </w:rPr>
            </w:pPr>
          </w:p>
        </w:tc>
      </w:tr>
      <w:tr w:rsidR="0063727B" w:rsidRPr="0063727B" w:rsidTr="002D33EA">
        <w:trPr>
          <w:gridAfter w:val="4"/>
          <w:wAfter w:w="5103" w:type="dxa"/>
          <w:trHeight w:val="360"/>
        </w:trPr>
        <w:tc>
          <w:tcPr>
            <w:tcW w:w="2941" w:type="dxa"/>
            <w:tcBorders>
              <w:top w:val="single" w:sz="8" w:space="0" w:color="auto"/>
              <w:left w:val="single" w:sz="8" w:space="0" w:color="auto"/>
              <w:bottom w:val="single" w:sz="8" w:space="0" w:color="auto"/>
              <w:right w:val="single" w:sz="4" w:space="0" w:color="auto"/>
            </w:tcBorders>
            <w:noWrap/>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lang w:eastAsia="lv-LV"/>
              </w:rPr>
              <w:t> </w:t>
            </w:r>
          </w:p>
        </w:tc>
        <w:tc>
          <w:tcPr>
            <w:tcW w:w="1418" w:type="dxa"/>
            <w:tcBorders>
              <w:top w:val="single" w:sz="8" w:space="0" w:color="auto"/>
              <w:left w:val="nil"/>
              <w:bottom w:val="single" w:sz="8" w:space="0" w:color="auto"/>
              <w:right w:val="single" w:sz="4" w:space="0" w:color="auto"/>
            </w:tcBorders>
            <w:noWrap/>
            <w:vAlign w:val="bottom"/>
          </w:tcPr>
          <w:p w:rsidR="002D33EA" w:rsidRPr="0063727B" w:rsidRDefault="002D33EA" w:rsidP="00FD22FF">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2010.gads</w:t>
            </w:r>
          </w:p>
        </w:tc>
        <w:tc>
          <w:tcPr>
            <w:tcW w:w="1417" w:type="dxa"/>
            <w:tcBorders>
              <w:top w:val="single" w:sz="8" w:space="0" w:color="auto"/>
              <w:left w:val="nil"/>
              <w:bottom w:val="single" w:sz="8" w:space="0" w:color="auto"/>
              <w:right w:val="single" w:sz="4" w:space="0" w:color="auto"/>
            </w:tcBorders>
            <w:noWrap/>
            <w:vAlign w:val="bottom"/>
          </w:tcPr>
          <w:p w:rsidR="002D33EA" w:rsidRPr="0063727B" w:rsidRDefault="002D33EA" w:rsidP="00FD22FF">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2011.gads</w:t>
            </w:r>
          </w:p>
        </w:tc>
        <w:tc>
          <w:tcPr>
            <w:tcW w:w="1560" w:type="dxa"/>
            <w:tcBorders>
              <w:top w:val="single" w:sz="8" w:space="0" w:color="auto"/>
              <w:left w:val="nil"/>
              <w:bottom w:val="single" w:sz="8" w:space="0" w:color="auto"/>
              <w:right w:val="single" w:sz="8" w:space="0" w:color="auto"/>
            </w:tcBorders>
            <w:noWrap/>
            <w:vAlign w:val="bottom"/>
          </w:tcPr>
          <w:p w:rsidR="002D33EA" w:rsidRPr="0063727B" w:rsidRDefault="002D33EA" w:rsidP="00FD22FF">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 xml:space="preserve"> 2012.gads </w:t>
            </w:r>
          </w:p>
        </w:tc>
        <w:tc>
          <w:tcPr>
            <w:tcW w:w="1563" w:type="dxa"/>
            <w:tcBorders>
              <w:top w:val="single" w:sz="8" w:space="0" w:color="auto"/>
              <w:left w:val="nil"/>
              <w:bottom w:val="single" w:sz="8" w:space="0" w:color="auto"/>
              <w:right w:val="single" w:sz="8" w:space="0" w:color="auto"/>
            </w:tcBorders>
          </w:tcPr>
          <w:p w:rsidR="002D33EA" w:rsidRPr="0063727B" w:rsidRDefault="002D33EA" w:rsidP="006F0C22">
            <w:pPr>
              <w:spacing w:before="240" w:after="0" w:line="240" w:lineRule="auto"/>
              <w:jc w:val="center"/>
              <w:rPr>
                <w:rFonts w:ascii="Times New Roman" w:eastAsia="Times New Roman" w:hAnsi="Times New Roman" w:cs="Times New Roman"/>
                <w:b/>
                <w:bCs/>
                <w:sz w:val="24"/>
                <w:szCs w:val="24"/>
                <w:lang w:eastAsia="lv-LV"/>
              </w:rPr>
            </w:pPr>
            <w:r w:rsidRPr="0063727B">
              <w:rPr>
                <w:rFonts w:ascii="Times New Roman" w:eastAsia="Times New Roman" w:hAnsi="Times New Roman" w:cs="Times New Roman"/>
                <w:b/>
                <w:bCs/>
                <w:sz w:val="24"/>
                <w:szCs w:val="24"/>
                <w:lang w:eastAsia="lv-LV"/>
              </w:rPr>
              <w:t>2013.gads (8 mēneši)</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lang w:eastAsia="lv-LV"/>
              </w:rPr>
              <w:t xml:space="preserve">CSP sniegtā informācija par </w:t>
            </w:r>
            <w:r w:rsidRPr="0063727B">
              <w:rPr>
                <w:rFonts w:ascii="Times New Roman" w:hAnsi="Times New Roman" w:cs="Times New Roman"/>
                <w:b/>
                <w:bCs/>
                <w:lang w:eastAsia="lv-LV"/>
              </w:rPr>
              <w:t>iedzīvotāju skaitu</w:t>
            </w:r>
            <w:r w:rsidRPr="0063727B">
              <w:rPr>
                <w:rFonts w:ascii="Times New Roman" w:hAnsi="Times New Roman" w:cs="Times New Roman"/>
                <w:lang w:eastAsia="lv-LV"/>
              </w:rPr>
              <w:t xml:space="preserve"> perioda sākumā**</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2 120 504</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2 074 605</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2 042 391</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2 023 800</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lang w:eastAsia="lv-LV"/>
              </w:rPr>
              <w:t xml:space="preserve">Personu skaits, kurām 2012.gadā bija spēkā trūcīgas personas statuss </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282 107</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265 311</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210 616</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144 190</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i/>
                <w:iCs/>
                <w:lang w:eastAsia="lv-LV"/>
              </w:rPr>
            </w:pPr>
            <w:r w:rsidRPr="0063727B">
              <w:rPr>
                <w:rFonts w:ascii="Times New Roman" w:hAnsi="Times New Roman" w:cs="Times New Roman"/>
                <w:i/>
                <w:iCs/>
                <w:lang w:eastAsia="lv-LV"/>
              </w:rPr>
              <w:t xml:space="preserve">Trūcīgo personu īpatsvars iedzīvotāju skaitā, %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13.30</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12.79</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10.31</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7.12</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b/>
                <w:bCs/>
                <w:lang w:eastAsia="lv-LV"/>
              </w:rPr>
              <w:t>Trūcīgās personas</w:t>
            </w:r>
            <w:r w:rsidRPr="0063727B">
              <w:rPr>
                <w:rFonts w:ascii="Times New Roman" w:hAnsi="Times New Roman" w:cs="Times New Roman"/>
                <w:lang w:eastAsia="lv-LV"/>
              </w:rPr>
              <w:t>, kuras 2012.gadā saņēmušas pašvaldības sociālo palīdzību</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227 811</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212 876</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176 042</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 xml:space="preserve">                 ...</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GMI pabalstiem izlietotie līdzekļi, lati</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18 498 797</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22 007 110</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16 054 869</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6 476 082</w:t>
            </w:r>
          </w:p>
        </w:tc>
      </w:tr>
      <w:tr w:rsidR="0063727B" w:rsidRPr="0063727B" w:rsidTr="002D33EA">
        <w:trPr>
          <w:gridAfter w:val="4"/>
          <w:wAfter w:w="5103" w:type="dxa"/>
          <w:trHeight w:val="51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GMI</w:t>
            </w:r>
            <w:r w:rsidRPr="0063727B">
              <w:rPr>
                <w:rFonts w:ascii="Times New Roman" w:hAnsi="Times New Roman" w:cs="Times New Roman"/>
                <w:i/>
                <w:iCs/>
                <w:lang w:eastAsia="lv-LV"/>
              </w:rPr>
              <w:t xml:space="preserve"> pabalstiem izlietoto līdzekļu īpatsvars no visiem sociālajai palīdzībai izlietotajiem līdzekļiem,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40.71</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41.73</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35.62</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22.53</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GMI pabalstu saņēmušo personu skaits</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120 642</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121 833</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94 528</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59 592</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B441B5">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GMI</w:t>
            </w:r>
            <w:r w:rsidRPr="0063727B">
              <w:rPr>
                <w:rFonts w:ascii="Times New Roman" w:hAnsi="Times New Roman" w:cs="Times New Roman"/>
                <w:i/>
                <w:iCs/>
                <w:lang w:eastAsia="lv-LV"/>
              </w:rPr>
              <w:t xml:space="preserve"> pabalstu saņēmušo personu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starp </w:t>
            </w:r>
            <w:r w:rsidRPr="0063727B">
              <w:rPr>
                <w:rFonts w:ascii="Times New Roman" w:hAnsi="Times New Roman" w:cs="Times New Roman"/>
                <w:i/>
                <w:iCs/>
                <w:lang w:eastAsia="lv-LV"/>
              </w:rPr>
              <w:lastRenderedPageBreak/>
              <w:t>iedzīvotājiem,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lastRenderedPageBreak/>
              <w:t>5.69</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5.87</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4.63</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2.94</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lastRenderedPageBreak/>
              <w:t>GMI</w:t>
            </w:r>
            <w:r w:rsidRPr="0063727B">
              <w:rPr>
                <w:rFonts w:ascii="Times New Roman" w:hAnsi="Times New Roman" w:cs="Times New Roman"/>
                <w:i/>
                <w:iCs/>
                <w:lang w:eastAsia="lv-LV"/>
              </w:rPr>
              <w:t xml:space="preserve"> pabalstu saņēmušo personu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starp </w:t>
            </w:r>
            <w:r w:rsidRPr="0063727B">
              <w:rPr>
                <w:rFonts w:ascii="Times New Roman" w:hAnsi="Times New Roman" w:cs="Times New Roman"/>
                <w:b/>
                <w:bCs/>
                <w:i/>
                <w:iCs/>
                <w:lang w:eastAsia="lv-LV"/>
              </w:rPr>
              <w:t>trūcīgām</w:t>
            </w:r>
            <w:r w:rsidRPr="0063727B">
              <w:rPr>
                <w:rFonts w:ascii="Times New Roman" w:hAnsi="Times New Roman" w:cs="Times New Roman"/>
                <w:i/>
                <w:iCs/>
                <w:lang w:eastAsia="lv-LV"/>
              </w:rPr>
              <w:t xml:space="preserve"> personām,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52.96</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57.23</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53.70</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41.33</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lang w:eastAsia="lv-LV"/>
              </w:rPr>
              <w:t xml:space="preserve">Vidējais </w:t>
            </w:r>
            <w:r w:rsidRPr="0063727B">
              <w:rPr>
                <w:rFonts w:ascii="Times New Roman" w:hAnsi="Times New Roman" w:cs="Times New Roman"/>
                <w:b/>
                <w:bCs/>
                <w:lang w:eastAsia="lv-LV"/>
              </w:rPr>
              <w:t xml:space="preserve">GMI </w:t>
            </w:r>
            <w:r w:rsidRPr="0063727B">
              <w:rPr>
                <w:rFonts w:ascii="Times New Roman" w:hAnsi="Times New Roman" w:cs="Times New Roman"/>
                <w:lang w:eastAsia="lv-LV"/>
              </w:rPr>
              <w:t>pabalsta</w:t>
            </w:r>
            <w:r w:rsidRPr="0063727B">
              <w:rPr>
                <w:rFonts w:ascii="Times New Roman" w:hAnsi="Times New Roman" w:cs="Times New Roman"/>
                <w:b/>
                <w:bCs/>
                <w:lang w:eastAsia="lv-LV"/>
              </w:rPr>
              <w:t xml:space="preserve"> apmērs </w:t>
            </w:r>
            <w:r w:rsidRPr="0063727B">
              <w:rPr>
                <w:rFonts w:ascii="Times New Roman" w:hAnsi="Times New Roman" w:cs="Times New Roman"/>
                <w:lang w:eastAsia="lv-LV"/>
              </w:rPr>
              <w:t>uz 1 saņēmēju mēnesī, lati</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25.22</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26.29</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24.91</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Dzīvokļa pabalstiem izlietotie līdzekļi, lati</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17 258 562</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20 049 558</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18 795 429</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12 577 913</w:t>
            </w:r>
          </w:p>
        </w:tc>
      </w:tr>
      <w:tr w:rsidR="0063727B" w:rsidRPr="0063727B" w:rsidTr="002D33EA">
        <w:trPr>
          <w:gridAfter w:val="4"/>
          <w:wAfter w:w="5103" w:type="dxa"/>
          <w:trHeight w:val="57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Dzīvokļa</w:t>
            </w:r>
            <w:r w:rsidRPr="0063727B">
              <w:rPr>
                <w:rFonts w:ascii="Times New Roman" w:hAnsi="Times New Roman" w:cs="Times New Roman"/>
                <w:i/>
                <w:iCs/>
                <w:lang w:eastAsia="lv-LV"/>
              </w:rPr>
              <w:t xml:space="preserve"> pabalstiem izlietoto līdzekļu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no visiem sociālajai palīdzībai izlietotajiem līdzekļiem,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37.98</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38.01</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41.70</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43.76</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Dzīvokļa pabalstu saņēmušo personu skaits</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209 239</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211 476</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185 146</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140 230</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lang w:eastAsia="lv-LV"/>
              </w:rPr>
            </w:pPr>
            <w:r w:rsidRPr="0063727B">
              <w:rPr>
                <w:rFonts w:ascii="Times New Roman" w:hAnsi="Times New Roman" w:cs="Times New Roman"/>
                <w:lang w:eastAsia="lv-LV"/>
              </w:rPr>
              <w:t>Dzīvokļa pabalstu saņēmušo</w:t>
            </w:r>
            <w:r w:rsidRPr="0063727B">
              <w:rPr>
                <w:rFonts w:ascii="Times New Roman" w:hAnsi="Times New Roman" w:cs="Times New Roman"/>
                <w:b/>
                <w:bCs/>
                <w:lang w:eastAsia="lv-LV"/>
              </w:rPr>
              <w:t xml:space="preserve"> trūcīgo </w:t>
            </w:r>
            <w:r w:rsidRPr="0063727B">
              <w:rPr>
                <w:rFonts w:ascii="Times New Roman" w:hAnsi="Times New Roman" w:cs="Times New Roman"/>
                <w:lang w:eastAsia="lv-LV"/>
              </w:rPr>
              <w:t>personu skaits</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157 919</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157 648</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132 392</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w:t>
            </w:r>
          </w:p>
          <w:p w:rsidR="002D33EA" w:rsidRPr="0063727B" w:rsidRDefault="002D33EA" w:rsidP="006F0C22">
            <w:pPr>
              <w:spacing w:after="0" w:line="240" w:lineRule="auto"/>
              <w:jc w:val="right"/>
              <w:rPr>
                <w:rFonts w:ascii="Times New Roman" w:eastAsia="Times New Roman" w:hAnsi="Times New Roman" w:cs="Times New Roman"/>
                <w:lang w:eastAsia="lv-LV"/>
              </w:rPr>
            </w:pP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Dzīvokļa</w:t>
            </w:r>
            <w:r w:rsidRPr="0063727B">
              <w:rPr>
                <w:rFonts w:ascii="Times New Roman" w:hAnsi="Times New Roman" w:cs="Times New Roman"/>
                <w:i/>
                <w:iCs/>
                <w:lang w:eastAsia="lv-LV"/>
              </w:rPr>
              <w:t xml:space="preserve"> pabalstu saņēmušo personu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iedzīvotāju skaitā,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9.87</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10.19</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9.07</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6.93</w:t>
            </w:r>
          </w:p>
        </w:tc>
      </w:tr>
      <w:tr w:rsidR="0063727B" w:rsidRPr="0063727B" w:rsidTr="002D33EA">
        <w:trPr>
          <w:gridAfter w:val="4"/>
          <w:wAfter w:w="5103" w:type="dxa"/>
          <w:trHeight w:val="525"/>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Dzīvokļa</w:t>
            </w:r>
            <w:r w:rsidRPr="0063727B">
              <w:rPr>
                <w:rFonts w:ascii="Times New Roman" w:hAnsi="Times New Roman" w:cs="Times New Roman"/>
                <w:i/>
                <w:iCs/>
                <w:lang w:eastAsia="lv-LV"/>
              </w:rPr>
              <w:t xml:space="preserve"> pabalstu saņēmušo trūcīgo personu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w:t>
            </w:r>
            <w:r w:rsidRPr="0063727B">
              <w:rPr>
                <w:rFonts w:ascii="Times New Roman" w:hAnsi="Times New Roman" w:cs="Times New Roman"/>
                <w:b/>
                <w:bCs/>
                <w:i/>
                <w:iCs/>
                <w:lang w:eastAsia="lv-LV"/>
              </w:rPr>
              <w:t>trūcīgo</w:t>
            </w:r>
            <w:r w:rsidRPr="0063727B">
              <w:rPr>
                <w:rFonts w:ascii="Times New Roman" w:hAnsi="Times New Roman" w:cs="Times New Roman"/>
                <w:i/>
                <w:iCs/>
                <w:lang w:eastAsia="lv-LV"/>
              </w:rPr>
              <w:t xml:space="preserve"> personu skaitā,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69.32</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74.06</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75.20</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center"/>
              <w:rPr>
                <w:rFonts w:ascii="Times New Roman" w:eastAsia="Times New Roman" w:hAnsi="Times New Roman" w:cs="Times New Roman"/>
                <w:i/>
                <w:iCs/>
                <w:lang w:eastAsia="lv-LV"/>
              </w:rPr>
            </w:pPr>
          </w:p>
          <w:p w:rsidR="002D33EA" w:rsidRPr="0063727B" w:rsidRDefault="002D33EA" w:rsidP="006F0C22">
            <w:pPr>
              <w:spacing w:after="0" w:line="240" w:lineRule="auto"/>
              <w:jc w:val="center"/>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 xml:space="preserve">Pārējiem </w:t>
            </w:r>
            <w:r w:rsidRPr="0063727B">
              <w:rPr>
                <w:rFonts w:ascii="Times New Roman" w:hAnsi="Times New Roman" w:cs="Times New Roman"/>
                <w:lang w:eastAsia="lv-LV"/>
              </w:rPr>
              <w:t>sociālās palīdzības pabalstiem izlietotie līdzekļi, lati</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9 686 857</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10 685 817</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10 218 659</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9 689 609</w:t>
            </w:r>
          </w:p>
        </w:tc>
      </w:tr>
      <w:tr w:rsidR="0063727B" w:rsidRPr="0063727B" w:rsidTr="002D33EA">
        <w:trPr>
          <w:gridAfter w:val="4"/>
          <w:wAfter w:w="5103" w:type="dxa"/>
          <w:trHeight w:val="54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Pārējiem sociālās palīdzības</w:t>
            </w:r>
            <w:proofErr w:type="gramStart"/>
            <w:r w:rsidRPr="0063727B">
              <w:rPr>
                <w:rFonts w:ascii="Times New Roman" w:hAnsi="Times New Roman" w:cs="Times New Roman"/>
                <w:b/>
                <w:bCs/>
                <w:lang w:eastAsia="lv-LV"/>
              </w:rPr>
              <w:t xml:space="preserve"> </w:t>
            </w:r>
            <w:r w:rsidRPr="0063727B">
              <w:rPr>
                <w:rFonts w:ascii="Times New Roman" w:hAnsi="Times New Roman" w:cs="Times New Roman"/>
                <w:lang w:eastAsia="lv-LV"/>
              </w:rPr>
              <w:t xml:space="preserve"> </w:t>
            </w:r>
            <w:proofErr w:type="gramEnd"/>
            <w:r w:rsidRPr="0063727B">
              <w:rPr>
                <w:rFonts w:ascii="Times New Roman" w:hAnsi="Times New Roman" w:cs="Times New Roman"/>
                <w:lang w:eastAsia="lv-LV"/>
              </w:rPr>
              <w:t xml:space="preserve">pabalstiem izlietoto līdzekļu </w:t>
            </w:r>
            <w:r w:rsidRPr="0063727B">
              <w:rPr>
                <w:rFonts w:ascii="Times New Roman" w:hAnsi="Times New Roman" w:cs="Times New Roman"/>
                <w:b/>
                <w:bCs/>
                <w:lang w:eastAsia="lv-LV"/>
              </w:rPr>
              <w:t>īpatsvars</w:t>
            </w:r>
            <w:r w:rsidRPr="0063727B">
              <w:rPr>
                <w:rFonts w:ascii="Times New Roman" w:hAnsi="Times New Roman" w:cs="Times New Roman"/>
                <w:lang w:eastAsia="lv-LV"/>
              </w:rPr>
              <w:t xml:space="preserve"> no visiem sociālajai palīdzībai izlietotajiem līdzekļiem,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21.32</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20.26</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22.67</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33.71</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 xml:space="preserve">    Tajā skaitā: veselības aprūpes </w:t>
            </w:r>
            <w:r w:rsidRPr="0063727B">
              <w:rPr>
                <w:rFonts w:ascii="Times New Roman" w:hAnsi="Times New Roman" w:cs="Times New Roman"/>
                <w:lang w:eastAsia="lv-LV"/>
              </w:rPr>
              <w:t>pabalstiem izlietotie līdzekļi, lati</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1 671 878</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1 612 320</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1 698 081</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1 468 478</w:t>
            </w:r>
          </w:p>
        </w:tc>
      </w:tr>
      <w:tr w:rsidR="0063727B" w:rsidRPr="0063727B" w:rsidTr="002D33EA">
        <w:trPr>
          <w:gridAfter w:val="4"/>
          <w:wAfter w:w="5103" w:type="dxa"/>
          <w:trHeight w:val="54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i/>
                <w:iCs/>
                <w:lang w:eastAsia="lv-LV"/>
              </w:rPr>
            </w:pPr>
            <w:r w:rsidRPr="0063727B">
              <w:rPr>
                <w:rFonts w:ascii="Times New Roman" w:hAnsi="Times New Roman" w:cs="Times New Roman"/>
                <w:b/>
                <w:bCs/>
                <w:i/>
                <w:iCs/>
                <w:lang w:eastAsia="lv-LV"/>
              </w:rPr>
              <w:t>Veselības</w:t>
            </w:r>
            <w:r w:rsidRPr="0063727B">
              <w:rPr>
                <w:rFonts w:ascii="Times New Roman" w:hAnsi="Times New Roman" w:cs="Times New Roman"/>
                <w:i/>
                <w:iCs/>
                <w:lang w:eastAsia="lv-LV"/>
              </w:rPr>
              <w:t xml:space="preserve"> aprūpes pabalstiem izlietoto līdzekļu </w:t>
            </w:r>
            <w:r w:rsidRPr="0063727B">
              <w:rPr>
                <w:rFonts w:ascii="Times New Roman" w:hAnsi="Times New Roman" w:cs="Times New Roman"/>
                <w:b/>
                <w:bCs/>
                <w:i/>
                <w:iCs/>
                <w:lang w:eastAsia="lv-LV"/>
              </w:rPr>
              <w:t>īpatsvars</w:t>
            </w:r>
            <w:r w:rsidRPr="0063727B">
              <w:rPr>
                <w:rFonts w:ascii="Times New Roman" w:hAnsi="Times New Roman" w:cs="Times New Roman"/>
                <w:i/>
                <w:iCs/>
                <w:lang w:eastAsia="lv-LV"/>
              </w:rPr>
              <w:t xml:space="preserve"> no visiem sociālajai palīdzībai izlietotajiem līdzekļiem, %</w:t>
            </w:r>
          </w:p>
        </w:tc>
        <w:tc>
          <w:tcPr>
            <w:tcW w:w="1418"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3.68</w:t>
            </w:r>
          </w:p>
        </w:tc>
        <w:tc>
          <w:tcPr>
            <w:tcW w:w="1417" w:type="dxa"/>
            <w:tcBorders>
              <w:top w:val="nil"/>
              <w:left w:val="nil"/>
              <w:bottom w:val="single" w:sz="4" w:space="0" w:color="auto"/>
              <w:right w:val="single" w:sz="4" w:space="0" w:color="auto"/>
            </w:tcBorders>
            <w:noWrap/>
            <w:vAlign w:val="bottom"/>
          </w:tcPr>
          <w:p w:rsidR="002D33EA" w:rsidRPr="0063727B" w:rsidRDefault="002D33EA" w:rsidP="00FD22FF">
            <w:pPr>
              <w:spacing w:after="0" w:line="240" w:lineRule="auto"/>
              <w:jc w:val="right"/>
              <w:rPr>
                <w:rFonts w:ascii="Times New Roman" w:hAnsi="Times New Roman" w:cs="Times New Roman"/>
                <w:i/>
                <w:iCs/>
                <w:lang w:eastAsia="lv-LV"/>
              </w:rPr>
            </w:pPr>
            <w:r w:rsidRPr="0063727B">
              <w:rPr>
                <w:rFonts w:ascii="Times New Roman" w:hAnsi="Times New Roman" w:cs="Times New Roman"/>
                <w:i/>
                <w:iCs/>
                <w:lang w:eastAsia="lv-LV"/>
              </w:rPr>
              <w:t>3.06</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i/>
                <w:iCs/>
                <w:lang w:eastAsia="lv-LV"/>
              </w:rPr>
            </w:pPr>
            <w:r w:rsidRPr="0063727B">
              <w:rPr>
                <w:rFonts w:ascii="Times New Roman" w:hAnsi="Times New Roman" w:cs="Times New Roman"/>
                <w:i/>
                <w:iCs/>
                <w:lang w:eastAsia="lv-LV"/>
              </w:rPr>
              <w:t>3.77</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p>
          <w:p w:rsidR="002D33EA" w:rsidRPr="0063727B" w:rsidRDefault="002D33EA" w:rsidP="006F0C22">
            <w:pPr>
              <w:spacing w:after="0" w:line="240" w:lineRule="auto"/>
              <w:jc w:val="right"/>
              <w:rPr>
                <w:rFonts w:ascii="Times New Roman" w:eastAsia="Times New Roman" w:hAnsi="Times New Roman" w:cs="Times New Roman"/>
                <w:i/>
                <w:iCs/>
                <w:lang w:eastAsia="lv-LV"/>
              </w:rPr>
            </w:pPr>
            <w:r w:rsidRPr="0063727B">
              <w:rPr>
                <w:rFonts w:ascii="Times New Roman" w:eastAsia="Times New Roman" w:hAnsi="Times New Roman" w:cs="Times New Roman"/>
                <w:i/>
                <w:iCs/>
                <w:lang w:eastAsia="lv-LV"/>
              </w:rPr>
              <w:t>5.11</w:t>
            </w:r>
          </w:p>
        </w:tc>
      </w:tr>
      <w:tr w:rsidR="0063727B" w:rsidRPr="0063727B" w:rsidTr="002D33EA">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Pārējos sociālās palīdzības pabalstus saņēmušo personu skaits</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128 018</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128 455</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117 555</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p>
          <w:p w:rsidR="002D33EA" w:rsidRPr="0063727B" w:rsidRDefault="002D33EA" w:rsidP="006F0C22">
            <w:pPr>
              <w:spacing w:after="0" w:line="240" w:lineRule="auto"/>
              <w:jc w:val="right"/>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109 422</w:t>
            </w:r>
          </w:p>
        </w:tc>
      </w:tr>
      <w:tr w:rsidR="0063727B" w:rsidRPr="0063727B" w:rsidTr="00D86FAC">
        <w:trPr>
          <w:gridAfter w:val="4"/>
          <w:wAfter w:w="5103" w:type="dxa"/>
          <w:trHeight w:val="360"/>
        </w:trPr>
        <w:tc>
          <w:tcPr>
            <w:tcW w:w="2941" w:type="dxa"/>
            <w:tcBorders>
              <w:top w:val="nil"/>
              <w:left w:val="single" w:sz="4" w:space="0" w:color="auto"/>
              <w:bottom w:val="single" w:sz="4" w:space="0" w:color="auto"/>
              <w:right w:val="single" w:sz="4" w:space="0" w:color="auto"/>
            </w:tcBorders>
            <w:vAlign w:val="bottom"/>
          </w:tcPr>
          <w:p w:rsidR="002D33EA" w:rsidRPr="0063727B" w:rsidRDefault="002D33EA"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 xml:space="preserve">    Tajā skaitā: veselības aprūpes </w:t>
            </w:r>
            <w:r w:rsidRPr="0063727B">
              <w:rPr>
                <w:rFonts w:ascii="Times New Roman" w:hAnsi="Times New Roman" w:cs="Times New Roman"/>
                <w:lang w:eastAsia="lv-LV"/>
              </w:rPr>
              <w:t>pabalstu saņēmušo personu skaits</w:t>
            </w:r>
          </w:p>
        </w:tc>
        <w:tc>
          <w:tcPr>
            <w:tcW w:w="1418"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40 572</w:t>
            </w:r>
          </w:p>
        </w:tc>
        <w:tc>
          <w:tcPr>
            <w:tcW w:w="1417" w:type="dxa"/>
            <w:tcBorders>
              <w:top w:val="nil"/>
              <w:left w:val="nil"/>
              <w:bottom w:val="single" w:sz="4" w:space="0" w:color="auto"/>
              <w:right w:val="single" w:sz="4" w:space="0" w:color="auto"/>
            </w:tcBorders>
            <w:vAlign w:val="bottom"/>
          </w:tcPr>
          <w:p w:rsidR="002D33EA" w:rsidRPr="0063727B" w:rsidRDefault="002D33EA" w:rsidP="00FD22FF">
            <w:pPr>
              <w:spacing w:after="0" w:line="240" w:lineRule="auto"/>
              <w:jc w:val="right"/>
              <w:rPr>
                <w:rFonts w:ascii="Times New Roman" w:hAnsi="Times New Roman" w:cs="Times New Roman"/>
                <w:lang w:eastAsia="lv-LV"/>
              </w:rPr>
            </w:pPr>
            <w:r w:rsidRPr="0063727B">
              <w:rPr>
                <w:rFonts w:ascii="Times New Roman" w:hAnsi="Times New Roman" w:cs="Times New Roman"/>
                <w:lang w:eastAsia="lv-LV"/>
              </w:rPr>
              <w:t>37 935</w:t>
            </w:r>
          </w:p>
        </w:tc>
        <w:tc>
          <w:tcPr>
            <w:tcW w:w="1560" w:type="dxa"/>
            <w:tcBorders>
              <w:top w:val="nil"/>
              <w:left w:val="nil"/>
              <w:bottom w:val="single" w:sz="4" w:space="0" w:color="auto"/>
              <w:right w:val="single" w:sz="4" w:space="0" w:color="auto"/>
            </w:tcBorders>
            <w:noWrap/>
            <w:vAlign w:val="bottom"/>
          </w:tcPr>
          <w:p w:rsidR="002D33EA" w:rsidRPr="0063727B" w:rsidRDefault="002D33EA" w:rsidP="001C7390">
            <w:pPr>
              <w:spacing w:after="0" w:line="240" w:lineRule="auto"/>
              <w:jc w:val="center"/>
              <w:rPr>
                <w:rFonts w:ascii="Times New Roman" w:hAnsi="Times New Roman" w:cs="Times New Roman"/>
                <w:lang w:eastAsia="lv-LV"/>
              </w:rPr>
            </w:pPr>
            <w:r w:rsidRPr="0063727B">
              <w:rPr>
                <w:rFonts w:ascii="Times New Roman" w:hAnsi="Times New Roman" w:cs="Times New Roman"/>
                <w:lang w:eastAsia="lv-LV"/>
              </w:rPr>
              <w:t>38 150</w:t>
            </w:r>
          </w:p>
        </w:tc>
        <w:tc>
          <w:tcPr>
            <w:tcW w:w="1563" w:type="dxa"/>
            <w:tcBorders>
              <w:top w:val="nil"/>
              <w:left w:val="nil"/>
              <w:bottom w:val="single" w:sz="4" w:space="0" w:color="auto"/>
              <w:right w:val="single" w:sz="4" w:space="0" w:color="auto"/>
            </w:tcBorders>
          </w:tcPr>
          <w:p w:rsidR="002D33EA" w:rsidRPr="0063727B" w:rsidRDefault="002D33EA" w:rsidP="006F0C22">
            <w:pPr>
              <w:spacing w:after="0" w:line="240" w:lineRule="auto"/>
              <w:jc w:val="center"/>
              <w:rPr>
                <w:rFonts w:ascii="Times New Roman" w:eastAsia="Times New Roman" w:hAnsi="Times New Roman" w:cs="Times New Roman"/>
                <w:lang w:eastAsia="lv-LV"/>
              </w:rPr>
            </w:pPr>
            <w:r w:rsidRPr="0063727B">
              <w:rPr>
                <w:rFonts w:ascii="Times New Roman" w:eastAsia="Times New Roman" w:hAnsi="Times New Roman" w:cs="Times New Roman"/>
                <w:lang w:eastAsia="lv-LV"/>
              </w:rPr>
              <w:t>...</w:t>
            </w:r>
          </w:p>
        </w:tc>
      </w:tr>
      <w:tr w:rsidR="0063727B" w:rsidRPr="0063727B" w:rsidTr="00D86FAC">
        <w:trPr>
          <w:gridAfter w:val="4"/>
          <w:wAfter w:w="5103" w:type="dxa"/>
          <w:trHeight w:val="360"/>
        </w:trPr>
        <w:tc>
          <w:tcPr>
            <w:tcW w:w="2941" w:type="dxa"/>
            <w:tcBorders>
              <w:top w:val="single" w:sz="4" w:space="0" w:color="auto"/>
              <w:left w:val="single" w:sz="4" w:space="0" w:color="auto"/>
              <w:bottom w:val="single" w:sz="4" w:space="0" w:color="auto"/>
              <w:right w:val="single" w:sz="4" w:space="0" w:color="auto"/>
            </w:tcBorders>
            <w:shd w:val="pct10" w:color="auto" w:fill="auto"/>
            <w:vAlign w:val="bottom"/>
          </w:tcPr>
          <w:p w:rsidR="001C7390" w:rsidRPr="0063727B" w:rsidRDefault="001C7390"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Pašvaldību sociālās palīdzības pabalstiem izlietotie līdzekļi KOPĀ, lati</w:t>
            </w:r>
          </w:p>
        </w:tc>
        <w:tc>
          <w:tcPr>
            <w:tcW w:w="1418" w:type="dxa"/>
            <w:tcBorders>
              <w:top w:val="single" w:sz="4" w:space="0" w:color="auto"/>
              <w:left w:val="nil"/>
              <w:bottom w:val="single" w:sz="4" w:space="0" w:color="auto"/>
              <w:right w:val="single" w:sz="4" w:space="0" w:color="auto"/>
            </w:tcBorders>
            <w:shd w:val="pct10" w:color="auto" w:fill="auto"/>
            <w:vAlign w:val="bottom"/>
          </w:tcPr>
          <w:p w:rsidR="001C7390" w:rsidRPr="0063727B" w:rsidRDefault="001C7390"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45 444 215</w:t>
            </w:r>
          </w:p>
        </w:tc>
        <w:tc>
          <w:tcPr>
            <w:tcW w:w="1417" w:type="dxa"/>
            <w:tcBorders>
              <w:top w:val="single" w:sz="4" w:space="0" w:color="auto"/>
              <w:left w:val="nil"/>
              <w:bottom w:val="single" w:sz="4" w:space="0" w:color="auto"/>
              <w:right w:val="single" w:sz="4" w:space="0" w:color="auto"/>
            </w:tcBorders>
            <w:shd w:val="pct10" w:color="auto" w:fill="auto"/>
            <w:vAlign w:val="bottom"/>
          </w:tcPr>
          <w:p w:rsidR="001C7390" w:rsidRPr="0063727B" w:rsidRDefault="001C7390"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52 742 485</w:t>
            </w:r>
          </w:p>
        </w:tc>
        <w:tc>
          <w:tcPr>
            <w:tcW w:w="1560" w:type="dxa"/>
            <w:tcBorders>
              <w:top w:val="single" w:sz="4" w:space="0" w:color="auto"/>
              <w:left w:val="nil"/>
              <w:bottom w:val="single" w:sz="4" w:space="0" w:color="auto"/>
              <w:right w:val="single" w:sz="4" w:space="0" w:color="auto"/>
            </w:tcBorders>
            <w:shd w:val="pct10" w:color="auto" w:fill="auto"/>
            <w:noWrap/>
            <w:vAlign w:val="bottom"/>
          </w:tcPr>
          <w:p w:rsidR="001C7390" w:rsidRPr="0063727B" w:rsidRDefault="001C7390"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45 068 957</w:t>
            </w:r>
          </w:p>
        </w:tc>
        <w:tc>
          <w:tcPr>
            <w:tcW w:w="1563" w:type="dxa"/>
            <w:tcBorders>
              <w:top w:val="single" w:sz="4" w:space="0" w:color="auto"/>
              <w:left w:val="nil"/>
              <w:bottom w:val="single" w:sz="4" w:space="0" w:color="auto"/>
              <w:right w:val="single" w:sz="4" w:space="0" w:color="auto"/>
            </w:tcBorders>
            <w:shd w:val="pct10" w:color="auto" w:fill="auto"/>
          </w:tcPr>
          <w:p w:rsidR="001C7390" w:rsidRPr="0063727B" w:rsidRDefault="001C7390" w:rsidP="006F0C22">
            <w:pPr>
              <w:spacing w:after="0" w:line="240" w:lineRule="auto"/>
              <w:jc w:val="right"/>
              <w:rPr>
                <w:rFonts w:ascii="Times New Roman" w:eastAsia="Times New Roman" w:hAnsi="Times New Roman" w:cs="Times New Roman"/>
                <w:b/>
                <w:bCs/>
                <w:lang w:eastAsia="lv-LV"/>
              </w:rPr>
            </w:pPr>
          </w:p>
          <w:p w:rsidR="001C7390" w:rsidRPr="0063727B" w:rsidRDefault="001C7390" w:rsidP="006F0C22">
            <w:pPr>
              <w:spacing w:after="0" w:line="240" w:lineRule="auto"/>
              <w:jc w:val="right"/>
              <w:rPr>
                <w:rFonts w:ascii="Times New Roman" w:eastAsia="Times New Roman" w:hAnsi="Times New Roman" w:cs="Times New Roman"/>
                <w:b/>
                <w:bCs/>
                <w:lang w:eastAsia="lv-LV"/>
              </w:rPr>
            </w:pPr>
          </w:p>
          <w:p w:rsidR="001C7390" w:rsidRPr="0063727B" w:rsidRDefault="001C7390"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28 743 604</w:t>
            </w:r>
          </w:p>
        </w:tc>
      </w:tr>
      <w:tr w:rsidR="0063727B" w:rsidRPr="0063727B" w:rsidTr="00D86FAC">
        <w:trPr>
          <w:gridAfter w:val="4"/>
          <w:wAfter w:w="5103" w:type="dxa"/>
          <w:trHeight w:val="360"/>
        </w:trPr>
        <w:tc>
          <w:tcPr>
            <w:tcW w:w="2941" w:type="dxa"/>
            <w:tcBorders>
              <w:top w:val="single" w:sz="4" w:space="0" w:color="auto"/>
              <w:left w:val="single" w:sz="4" w:space="0" w:color="auto"/>
              <w:bottom w:val="single" w:sz="4" w:space="0" w:color="auto"/>
              <w:right w:val="single" w:sz="4" w:space="0" w:color="auto"/>
            </w:tcBorders>
            <w:shd w:val="pct10" w:color="auto" w:fill="auto"/>
            <w:vAlign w:val="bottom"/>
          </w:tcPr>
          <w:p w:rsidR="001C7390" w:rsidRPr="0063727B" w:rsidRDefault="001C7390" w:rsidP="00FD22FF">
            <w:pPr>
              <w:spacing w:after="0" w:line="240" w:lineRule="auto"/>
              <w:rPr>
                <w:rFonts w:ascii="Times New Roman" w:hAnsi="Times New Roman" w:cs="Times New Roman"/>
                <w:b/>
                <w:bCs/>
                <w:lang w:eastAsia="lv-LV"/>
              </w:rPr>
            </w:pPr>
            <w:r w:rsidRPr="0063727B">
              <w:rPr>
                <w:rFonts w:ascii="Times New Roman" w:hAnsi="Times New Roman" w:cs="Times New Roman"/>
                <w:b/>
                <w:bCs/>
                <w:lang w:eastAsia="lv-LV"/>
              </w:rPr>
              <w:t>Pabalstus saņēmušo personu skaits ***</w:t>
            </w:r>
          </w:p>
        </w:tc>
        <w:tc>
          <w:tcPr>
            <w:tcW w:w="1418" w:type="dxa"/>
            <w:tcBorders>
              <w:top w:val="single" w:sz="4" w:space="0" w:color="auto"/>
              <w:left w:val="nil"/>
              <w:bottom w:val="single" w:sz="4" w:space="0" w:color="auto"/>
              <w:right w:val="single" w:sz="4" w:space="0" w:color="auto"/>
            </w:tcBorders>
            <w:shd w:val="pct10" w:color="auto" w:fill="auto"/>
            <w:vAlign w:val="bottom"/>
          </w:tcPr>
          <w:p w:rsidR="001C7390" w:rsidRPr="0063727B" w:rsidRDefault="001C7390"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315 199</w:t>
            </w:r>
          </w:p>
        </w:tc>
        <w:tc>
          <w:tcPr>
            <w:tcW w:w="1417" w:type="dxa"/>
            <w:tcBorders>
              <w:top w:val="single" w:sz="4" w:space="0" w:color="auto"/>
              <w:left w:val="nil"/>
              <w:bottom w:val="single" w:sz="4" w:space="0" w:color="auto"/>
              <w:right w:val="single" w:sz="4" w:space="0" w:color="auto"/>
            </w:tcBorders>
            <w:shd w:val="pct10" w:color="auto" w:fill="auto"/>
            <w:vAlign w:val="bottom"/>
          </w:tcPr>
          <w:p w:rsidR="001C7390" w:rsidRPr="0063727B" w:rsidRDefault="001C7390" w:rsidP="00FD22FF">
            <w:pPr>
              <w:spacing w:after="0" w:line="240" w:lineRule="auto"/>
              <w:jc w:val="right"/>
              <w:rPr>
                <w:rFonts w:ascii="Times New Roman" w:hAnsi="Times New Roman" w:cs="Times New Roman"/>
                <w:b/>
                <w:bCs/>
                <w:lang w:eastAsia="lv-LV"/>
              </w:rPr>
            </w:pPr>
            <w:r w:rsidRPr="0063727B">
              <w:rPr>
                <w:rFonts w:ascii="Times New Roman" w:hAnsi="Times New Roman" w:cs="Times New Roman"/>
                <w:b/>
                <w:bCs/>
                <w:lang w:eastAsia="lv-LV"/>
              </w:rPr>
              <w:t>301 170</w:t>
            </w:r>
          </w:p>
        </w:tc>
        <w:tc>
          <w:tcPr>
            <w:tcW w:w="1560" w:type="dxa"/>
            <w:tcBorders>
              <w:top w:val="single" w:sz="4" w:space="0" w:color="auto"/>
              <w:left w:val="nil"/>
              <w:bottom w:val="single" w:sz="4" w:space="0" w:color="auto"/>
              <w:right w:val="single" w:sz="4" w:space="0" w:color="auto"/>
            </w:tcBorders>
            <w:shd w:val="pct10" w:color="auto" w:fill="auto"/>
            <w:noWrap/>
            <w:vAlign w:val="bottom"/>
          </w:tcPr>
          <w:p w:rsidR="001C7390" w:rsidRPr="0063727B" w:rsidRDefault="001C7390" w:rsidP="001C7390">
            <w:pPr>
              <w:spacing w:after="0" w:line="240" w:lineRule="auto"/>
              <w:jc w:val="center"/>
              <w:rPr>
                <w:rFonts w:ascii="Times New Roman" w:hAnsi="Times New Roman" w:cs="Times New Roman"/>
                <w:b/>
                <w:bCs/>
                <w:lang w:eastAsia="lv-LV"/>
              </w:rPr>
            </w:pPr>
            <w:r w:rsidRPr="0063727B">
              <w:rPr>
                <w:rFonts w:ascii="Times New Roman" w:hAnsi="Times New Roman" w:cs="Times New Roman"/>
                <w:b/>
                <w:bCs/>
                <w:lang w:eastAsia="lv-LV"/>
              </w:rPr>
              <w:t>285 011</w:t>
            </w:r>
          </w:p>
        </w:tc>
        <w:tc>
          <w:tcPr>
            <w:tcW w:w="1563" w:type="dxa"/>
            <w:tcBorders>
              <w:top w:val="single" w:sz="4" w:space="0" w:color="auto"/>
              <w:left w:val="nil"/>
              <w:bottom w:val="single" w:sz="4" w:space="0" w:color="auto"/>
              <w:right w:val="single" w:sz="4" w:space="0" w:color="auto"/>
            </w:tcBorders>
            <w:shd w:val="pct10" w:color="auto" w:fill="auto"/>
          </w:tcPr>
          <w:p w:rsidR="001C7390" w:rsidRPr="0063727B" w:rsidRDefault="001C7390" w:rsidP="006F0C22">
            <w:pPr>
              <w:spacing w:after="0" w:line="240" w:lineRule="auto"/>
              <w:jc w:val="right"/>
              <w:rPr>
                <w:rFonts w:ascii="Times New Roman" w:eastAsia="Times New Roman" w:hAnsi="Times New Roman" w:cs="Times New Roman"/>
                <w:b/>
                <w:bCs/>
                <w:lang w:eastAsia="lv-LV"/>
              </w:rPr>
            </w:pPr>
          </w:p>
          <w:p w:rsidR="001C7390" w:rsidRPr="0063727B" w:rsidRDefault="001C7390"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215 084</w:t>
            </w:r>
          </w:p>
        </w:tc>
      </w:tr>
      <w:tr w:rsidR="0063727B" w:rsidRPr="0063727B" w:rsidTr="002D33EA">
        <w:trPr>
          <w:trHeight w:val="375"/>
        </w:trPr>
        <w:tc>
          <w:tcPr>
            <w:tcW w:w="7336" w:type="dxa"/>
            <w:gridSpan w:val="4"/>
            <w:tcBorders>
              <w:top w:val="single" w:sz="4" w:space="0" w:color="auto"/>
              <w:left w:val="nil"/>
              <w:bottom w:val="nil"/>
              <w:right w:val="nil"/>
            </w:tcBorders>
            <w:vAlign w:val="bottom"/>
          </w:tcPr>
          <w:p w:rsidR="002D33EA" w:rsidRPr="0063727B" w:rsidRDefault="002D33EA" w:rsidP="00FD22FF">
            <w:pPr>
              <w:spacing w:after="0" w:line="240" w:lineRule="auto"/>
              <w:rPr>
                <w:rFonts w:ascii="Times New Roman" w:hAnsi="Times New Roman" w:cs="Times New Roman"/>
                <w:sz w:val="20"/>
                <w:szCs w:val="20"/>
                <w:lang w:eastAsia="lv-LV"/>
              </w:rPr>
            </w:pPr>
            <w:r w:rsidRPr="0063727B">
              <w:rPr>
                <w:rFonts w:ascii="Times New Roman" w:hAnsi="Times New Roman" w:cs="Times New Roman"/>
                <w:sz w:val="20"/>
                <w:szCs w:val="20"/>
                <w:lang w:eastAsia="lv-LV"/>
              </w:rPr>
              <w:t>*Datu avots: pašvaldību iesniegtie valsts statistikas pārskati par darbu 2010., 2011. un 2012.gadā un Labklājības ministrijas aprēķini.</w:t>
            </w:r>
          </w:p>
        </w:tc>
        <w:tc>
          <w:tcPr>
            <w:tcW w:w="1563" w:type="dxa"/>
            <w:tcBorders>
              <w:top w:val="single" w:sz="4" w:space="0" w:color="auto"/>
              <w:left w:val="nil"/>
              <w:bottom w:val="nil"/>
              <w:right w:val="nil"/>
            </w:tcBorders>
          </w:tcPr>
          <w:p w:rsidR="002D33EA" w:rsidRPr="0063727B" w:rsidRDefault="002D33EA" w:rsidP="00FD22FF">
            <w:pPr>
              <w:spacing w:after="0" w:line="240" w:lineRule="auto"/>
              <w:rPr>
                <w:rFonts w:ascii="Times New Roman" w:hAnsi="Times New Roman" w:cs="Times New Roman"/>
                <w:sz w:val="20"/>
                <w:szCs w:val="20"/>
                <w:lang w:eastAsia="lv-LV"/>
              </w:rPr>
            </w:pPr>
          </w:p>
        </w:tc>
        <w:tc>
          <w:tcPr>
            <w:tcW w:w="1701" w:type="dxa"/>
            <w:gridSpan w:val="2"/>
          </w:tcPr>
          <w:p w:rsidR="002D33EA" w:rsidRPr="0063727B" w:rsidRDefault="002D33EA">
            <w:pPr>
              <w:spacing w:after="0" w:line="240" w:lineRule="auto"/>
            </w:pPr>
          </w:p>
        </w:tc>
        <w:tc>
          <w:tcPr>
            <w:tcW w:w="1701" w:type="dxa"/>
          </w:tcPr>
          <w:p w:rsidR="002D33EA" w:rsidRPr="0063727B" w:rsidRDefault="002D33EA">
            <w:pPr>
              <w:spacing w:after="0" w:line="240" w:lineRule="auto"/>
            </w:pPr>
          </w:p>
        </w:tc>
        <w:tc>
          <w:tcPr>
            <w:tcW w:w="1701" w:type="dxa"/>
          </w:tcPr>
          <w:p w:rsidR="002D33EA" w:rsidRPr="0063727B" w:rsidRDefault="002D33EA" w:rsidP="006F0C22">
            <w:pPr>
              <w:spacing w:after="0" w:line="240" w:lineRule="auto"/>
              <w:jc w:val="right"/>
              <w:rPr>
                <w:rFonts w:ascii="Times New Roman" w:eastAsia="Times New Roman" w:hAnsi="Times New Roman" w:cs="Times New Roman"/>
                <w:b/>
                <w:bCs/>
                <w:lang w:eastAsia="lv-LV"/>
              </w:rPr>
            </w:pPr>
          </w:p>
          <w:p w:rsidR="002D33EA" w:rsidRPr="0063727B" w:rsidRDefault="002D33EA" w:rsidP="006F0C22">
            <w:pPr>
              <w:spacing w:after="0" w:line="240" w:lineRule="auto"/>
              <w:jc w:val="right"/>
              <w:rPr>
                <w:rFonts w:ascii="Times New Roman" w:eastAsia="Times New Roman" w:hAnsi="Times New Roman" w:cs="Times New Roman"/>
                <w:b/>
                <w:bCs/>
                <w:lang w:eastAsia="lv-LV"/>
              </w:rPr>
            </w:pPr>
            <w:r w:rsidRPr="0063727B">
              <w:rPr>
                <w:rFonts w:ascii="Times New Roman" w:eastAsia="Times New Roman" w:hAnsi="Times New Roman" w:cs="Times New Roman"/>
                <w:b/>
                <w:bCs/>
                <w:lang w:eastAsia="lv-LV"/>
              </w:rPr>
              <w:t>215 084</w:t>
            </w:r>
          </w:p>
        </w:tc>
      </w:tr>
      <w:tr w:rsidR="0063727B" w:rsidRPr="0063727B" w:rsidTr="002D33EA">
        <w:trPr>
          <w:gridAfter w:val="4"/>
          <w:wAfter w:w="5103" w:type="dxa"/>
          <w:trHeight w:val="510"/>
        </w:trPr>
        <w:tc>
          <w:tcPr>
            <w:tcW w:w="7336" w:type="dxa"/>
            <w:gridSpan w:val="4"/>
            <w:tcBorders>
              <w:top w:val="nil"/>
              <w:left w:val="nil"/>
              <w:bottom w:val="nil"/>
              <w:right w:val="nil"/>
            </w:tcBorders>
            <w:vAlign w:val="bottom"/>
          </w:tcPr>
          <w:p w:rsidR="002D33EA" w:rsidRPr="0063727B" w:rsidRDefault="002D33EA" w:rsidP="00FD22FF">
            <w:pPr>
              <w:spacing w:after="0" w:line="240" w:lineRule="auto"/>
              <w:rPr>
                <w:rFonts w:ascii="Times New Roman" w:hAnsi="Times New Roman" w:cs="Times New Roman"/>
                <w:sz w:val="20"/>
                <w:szCs w:val="20"/>
                <w:lang w:eastAsia="lv-LV"/>
              </w:rPr>
            </w:pPr>
            <w:r w:rsidRPr="0063727B">
              <w:rPr>
                <w:rFonts w:ascii="Times New Roman" w:hAnsi="Times New Roman" w:cs="Times New Roman"/>
                <w:sz w:val="20"/>
                <w:szCs w:val="20"/>
                <w:lang w:eastAsia="lv-LV"/>
              </w:rPr>
              <w:t xml:space="preserve">**Datu avots: Centrālās statistikas pārvaldes interneta vietnes datubāze, 04.07.2013. Iedzīvotāju skaits pārrēķināts pēc 2011.gada tautas skaitīšanas rezultātiem; 2012.gada </w:t>
            </w:r>
            <w:r w:rsidRPr="0063727B">
              <w:rPr>
                <w:rFonts w:ascii="Times New Roman" w:hAnsi="Times New Roman" w:cs="Times New Roman"/>
                <w:sz w:val="20"/>
                <w:szCs w:val="20"/>
                <w:lang w:eastAsia="lv-LV"/>
              </w:rPr>
              <w:lastRenderedPageBreak/>
              <w:t>dati provizoriski.</w:t>
            </w:r>
          </w:p>
        </w:tc>
        <w:tc>
          <w:tcPr>
            <w:tcW w:w="1563" w:type="dxa"/>
            <w:tcBorders>
              <w:top w:val="nil"/>
              <w:left w:val="nil"/>
              <w:bottom w:val="nil"/>
              <w:right w:val="nil"/>
            </w:tcBorders>
          </w:tcPr>
          <w:p w:rsidR="002D33EA" w:rsidRPr="0063727B" w:rsidRDefault="002D33EA" w:rsidP="00FD22FF">
            <w:pPr>
              <w:spacing w:after="0" w:line="240" w:lineRule="auto"/>
              <w:rPr>
                <w:rFonts w:ascii="Times New Roman" w:hAnsi="Times New Roman" w:cs="Times New Roman"/>
                <w:sz w:val="20"/>
                <w:szCs w:val="20"/>
                <w:lang w:eastAsia="lv-LV"/>
              </w:rPr>
            </w:pPr>
          </w:p>
        </w:tc>
      </w:tr>
      <w:tr w:rsidR="0063727B" w:rsidRPr="0063727B" w:rsidTr="002D33EA">
        <w:trPr>
          <w:gridAfter w:val="3"/>
          <w:wAfter w:w="4867" w:type="dxa"/>
          <w:trHeight w:val="315"/>
        </w:trPr>
        <w:tc>
          <w:tcPr>
            <w:tcW w:w="7336" w:type="dxa"/>
            <w:gridSpan w:val="4"/>
            <w:tcBorders>
              <w:top w:val="nil"/>
              <w:left w:val="nil"/>
              <w:bottom w:val="nil"/>
              <w:right w:val="nil"/>
            </w:tcBorders>
            <w:noWrap/>
            <w:vAlign w:val="bottom"/>
          </w:tcPr>
          <w:p w:rsidR="002D33EA" w:rsidRPr="0063727B" w:rsidRDefault="002D33EA" w:rsidP="00FD22FF">
            <w:pPr>
              <w:spacing w:after="0" w:line="240" w:lineRule="auto"/>
              <w:rPr>
                <w:rFonts w:ascii="Times New Roman" w:hAnsi="Times New Roman" w:cs="Times New Roman"/>
                <w:sz w:val="20"/>
                <w:szCs w:val="20"/>
                <w:lang w:eastAsia="lv-LV"/>
              </w:rPr>
            </w:pPr>
            <w:r w:rsidRPr="0063727B">
              <w:rPr>
                <w:rFonts w:ascii="Times New Roman" w:hAnsi="Times New Roman" w:cs="Times New Roman"/>
                <w:sz w:val="20"/>
                <w:szCs w:val="20"/>
                <w:lang w:eastAsia="lv-LV"/>
              </w:rPr>
              <w:lastRenderedPageBreak/>
              <w:t>***Individuālo personu skaits, t.i., persona uzskaitīta tikai vienu reizi, pat ja pārskata gadā tā saņēmusi vairākus pabalstus.</w:t>
            </w:r>
          </w:p>
          <w:p w:rsidR="009A3A91" w:rsidRPr="0063727B" w:rsidRDefault="009A3A91" w:rsidP="00FD22FF">
            <w:pPr>
              <w:spacing w:after="0" w:line="240" w:lineRule="auto"/>
              <w:rPr>
                <w:rFonts w:ascii="Times New Roman" w:hAnsi="Times New Roman" w:cs="Times New Roman"/>
                <w:sz w:val="20"/>
                <w:szCs w:val="20"/>
                <w:lang w:eastAsia="lv-LV"/>
              </w:rPr>
            </w:pPr>
          </w:p>
          <w:p w:rsidR="00EF0AEF" w:rsidRPr="0063727B" w:rsidRDefault="00EF0AEF" w:rsidP="00FD22FF">
            <w:pPr>
              <w:spacing w:after="0" w:line="240" w:lineRule="auto"/>
              <w:rPr>
                <w:rFonts w:ascii="Times New Roman" w:hAnsi="Times New Roman" w:cs="Times New Roman"/>
                <w:sz w:val="20"/>
                <w:szCs w:val="20"/>
                <w:lang w:eastAsia="lv-LV"/>
              </w:rPr>
            </w:pPr>
          </w:p>
        </w:tc>
        <w:tc>
          <w:tcPr>
            <w:tcW w:w="1563" w:type="dxa"/>
            <w:tcBorders>
              <w:top w:val="nil"/>
              <w:left w:val="nil"/>
              <w:bottom w:val="nil"/>
              <w:right w:val="nil"/>
            </w:tcBorders>
          </w:tcPr>
          <w:p w:rsidR="002D33EA" w:rsidRPr="0063727B" w:rsidRDefault="002D33EA" w:rsidP="00FD22FF">
            <w:pPr>
              <w:spacing w:after="0" w:line="240" w:lineRule="auto"/>
              <w:rPr>
                <w:rFonts w:ascii="Times New Roman" w:hAnsi="Times New Roman" w:cs="Times New Roman"/>
                <w:sz w:val="20"/>
                <w:szCs w:val="20"/>
                <w:lang w:eastAsia="lv-LV"/>
              </w:rPr>
            </w:pPr>
          </w:p>
        </w:tc>
        <w:tc>
          <w:tcPr>
            <w:tcW w:w="236" w:type="dxa"/>
            <w:tcBorders>
              <w:top w:val="nil"/>
              <w:left w:val="nil"/>
              <w:bottom w:val="nil"/>
              <w:right w:val="nil"/>
            </w:tcBorders>
            <w:noWrap/>
            <w:vAlign w:val="bottom"/>
          </w:tcPr>
          <w:p w:rsidR="002D33EA" w:rsidRPr="0063727B" w:rsidRDefault="002D33EA" w:rsidP="00FD22FF">
            <w:pPr>
              <w:spacing w:after="0" w:line="240" w:lineRule="auto"/>
              <w:rPr>
                <w:rFonts w:ascii="Times New Roman" w:hAnsi="Times New Roman" w:cs="Times New Roman"/>
                <w:sz w:val="20"/>
                <w:szCs w:val="20"/>
                <w:lang w:eastAsia="lv-LV"/>
              </w:rPr>
            </w:pPr>
          </w:p>
        </w:tc>
      </w:tr>
    </w:tbl>
    <w:p w:rsidR="00B441B5" w:rsidRPr="0063727B" w:rsidRDefault="0055031F" w:rsidP="00B634A9">
      <w:pPr>
        <w:spacing w:after="0"/>
        <w:jc w:val="both"/>
        <w:rPr>
          <w:rFonts w:ascii="Times New Roman" w:hAnsi="Times New Roman" w:cs="Times New Roman"/>
        </w:rPr>
      </w:pPr>
      <w:r w:rsidRPr="0063727B">
        <w:rPr>
          <w:rFonts w:ascii="Times New Roman" w:hAnsi="Times New Roman" w:cs="Times New Roman"/>
          <w:sz w:val="24"/>
          <w:szCs w:val="24"/>
        </w:rPr>
        <w:t>9</w:t>
      </w:r>
      <w:r w:rsidR="00343AF5" w:rsidRPr="0063727B">
        <w:rPr>
          <w:rFonts w:ascii="Times New Roman" w:hAnsi="Times New Roman" w:cs="Times New Roman"/>
          <w:sz w:val="24"/>
          <w:szCs w:val="24"/>
        </w:rPr>
        <w:t xml:space="preserve">.tabula. </w:t>
      </w:r>
      <w:r w:rsidR="00343AF5" w:rsidRPr="0063727B">
        <w:rPr>
          <w:rFonts w:ascii="Times New Roman" w:hAnsi="Times New Roman" w:cs="Times New Roman"/>
        </w:rPr>
        <w:t>Minimālā nodrošinājuma shēmas finansējums atsevišķās ES dalībvalstīs</w:t>
      </w:r>
    </w:p>
    <w:p w:rsidR="00343AF5" w:rsidRPr="0063727B" w:rsidRDefault="00343AF5" w:rsidP="00B634A9">
      <w:pPr>
        <w:spacing w:after="120"/>
        <w:jc w:val="both"/>
        <w:rPr>
          <w:rFonts w:ascii="Times New Roman" w:hAnsi="Times New Roman" w:cs="Times New Roman"/>
        </w:rPr>
      </w:pPr>
      <w:r w:rsidRPr="0063727B">
        <w:rPr>
          <w:rFonts w:ascii="Times New Roman" w:hAnsi="Times New Roman" w:cs="Times New Roman"/>
        </w:rPr>
        <w:t>2013.gada februārī</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42"/>
        <w:gridCol w:w="4779"/>
      </w:tblGrid>
      <w:tr w:rsidR="0063727B" w:rsidRPr="0063727B">
        <w:trPr>
          <w:trHeight w:val="850"/>
        </w:trPr>
        <w:tc>
          <w:tcPr>
            <w:tcW w:w="2518"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b/>
                <w:bCs/>
              </w:rPr>
            </w:pPr>
            <w:r w:rsidRPr="0063727B">
              <w:rPr>
                <w:rFonts w:ascii="Times New Roman" w:hAnsi="Times New Roman" w:cs="Times New Roman"/>
                <w:b/>
                <w:bCs/>
              </w:rPr>
              <w:t>Finansēšanas modelis</w:t>
            </w:r>
          </w:p>
        </w:tc>
        <w:tc>
          <w:tcPr>
            <w:tcW w:w="1742" w:type="dxa"/>
          </w:tcPr>
          <w:p w:rsidR="00343AF5" w:rsidRPr="0063727B" w:rsidRDefault="00343AF5" w:rsidP="00680760">
            <w:pPr>
              <w:spacing w:after="0"/>
              <w:jc w:val="center"/>
              <w:rPr>
                <w:rFonts w:ascii="Times New Roman" w:hAnsi="Times New Roman" w:cs="Times New Roman"/>
                <w:b/>
                <w:bCs/>
              </w:rPr>
            </w:pPr>
            <w:r w:rsidRPr="0063727B">
              <w:rPr>
                <w:rFonts w:ascii="Times New Roman" w:hAnsi="Times New Roman" w:cs="Times New Roman"/>
                <w:b/>
                <w:bCs/>
              </w:rPr>
              <w:t xml:space="preserve">Valstu īpatsvars </w:t>
            </w:r>
            <w:r w:rsidRPr="0063727B">
              <w:rPr>
                <w:rFonts w:ascii="Times New Roman" w:hAnsi="Times New Roman" w:cs="Times New Roman"/>
              </w:rPr>
              <w:t>(no 24 dalībvalstīm),</w:t>
            </w:r>
            <w:r w:rsidRPr="0063727B">
              <w:rPr>
                <w:rFonts w:ascii="Times New Roman" w:hAnsi="Times New Roman" w:cs="Times New Roman"/>
                <w:b/>
                <w:bCs/>
              </w:rPr>
              <w:t xml:space="preserve"> %</w:t>
            </w:r>
          </w:p>
        </w:tc>
        <w:tc>
          <w:tcPr>
            <w:tcW w:w="4779"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b/>
                <w:bCs/>
              </w:rPr>
            </w:pPr>
            <w:r w:rsidRPr="0063727B">
              <w:rPr>
                <w:rFonts w:ascii="Times New Roman" w:hAnsi="Times New Roman" w:cs="Times New Roman"/>
                <w:b/>
                <w:bCs/>
              </w:rPr>
              <w:t>Valstis</w:t>
            </w:r>
          </w:p>
        </w:tc>
      </w:tr>
      <w:tr w:rsidR="0063727B" w:rsidRPr="0063727B" w:rsidTr="009F3ABD">
        <w:trPr>
          <w:trHeight w:val="567"/>
        </w:trPr>
        <w:tc>
          <w:tcPr>
            <w:tcW w:w="2518" w:type="dxa"/>
          </w:tcPr>
          <w:p w:rsidR="00343AF5" w:rsidRPr="0063727B" w:rsidRDefault="00343AF5" w:rsidP="009F3ABD">
            <w:pPr>
              <w:spacing w:after="0"/>
              <w:rPr>
                <w:rFonts w:ascii="Times New Roman" w:hAnsi="Times New Roman" w:cs="Times New Roman"/>
              </w:rPr>
            </w:pPr>
            <w:r w:rsidRPr="0063727B">
              <w:rPr>
                <w:rFonts w:ascii="Times New Roman" w:hAnsi="Times New Roman" w:cs="Times New Roman"/>
              </w:rPr>
              <w:t>Vietējo pašvaldību budžets</w:t>
            </w:r>
          </w:p>
        </w:tc>
        <w:tc>
          <w:tcPr>
            <w:tcW w:w="1742" w:type="dxa"/>
          </w:tcPr>
          <w:p w:rsidR="00343AF5" w:rsidRPr="0063727B" w:rsidRDefault="00343AF5" w:rsidP="009F3ABD">
            <w:pPr>
              <w:spacing w:after="0"/>
              <w:jc w:val="center"/>
              <w:rPr>
                <w:rFonts w:ascii="Times New Roman" w:hAnsi="Times New Roman" w:cs="Times New Roman"/>
              </w:rPr>
            </w:pPr>
            <w:r w:rsidRPr="0063727B">
              <w:rPr>
                <w:rFonts w:ascii="Times New Roman" w:hAnsi="Times New Roman" w:cs="Times New Roman"/>
              </w:rPr>
              <w:t>16,7 %</w:t>
            </w:r>
          </w:p>
        </w:tc>
        <w:tc>
          <w:tcPr>
            <w:tcW w:w="4779" w:type="dxa"/>
          </w:tcPr>
          <w:p w:rsidR="00343AF5" w:rsidRPr="0063727B" w:rsidRDefault="00343AF5" w:rsidP="009F3ABD">
            <w:pPr>
              <w:spacing w:after="0"/>
              <w:rPr>
                <w:rFonts w:ascii="Times New Roman" w:hAnsi="Times New Roman" w:cs="Times New Roman"/>
              </w:rPr>
            </w:pPr>
            <w:r w:rsidRPr="0063727B">
              <w:rPr>
                <w:rFonts w:ascii="Times New Roman" w:hAnsi="Times New Roman" w:cs="Times New Roman"/>
                <w:b/>
                <w:bCs/>
              </w:rPr>
              <w:t>Latvija</w:t>
            </w:r>
            <w:r w:rsidR="009F3ABD" w:rsidRPr="0063727B">
              <w:rPr>
                <w:rFonts w:ascii="Times New Roman" w:hAnsi="Times New Roman" w:cs="Times New Roman"/>
              </w:rPr>
              <w:t>, Austrija, Somija, Zviedrija.</w:t>
            </w:r>
          </w:p>
        </w:tc>
      </w:tr>
      <w:tr w:rsidR="0063727B" w:rsidRPr="0063727B">
        <w:tc>
          <w:tcPr>
            <w:tcW w:w="2518" w:type="dxa"/>
          </w:tcPr>
          <w:p w:rsidR="00343AF5" w:rsidRPr="0063727B" w:rsidRDefault="00343AF5" w:rsidP="000B615A">
            <w:pPr>
              <w:rPr>
                <w:rFonts w:ascii="Times New Roman" w:hAnsi="Times New Roman" w:cs="Times New Roman"/>
              </w:rPr>
            </w:pPr>
            <w:r w:rsidRPr="0063727B">
              <w:rPr>
                <w:rFonts w:ascii="Times New Roman" w:hAnsi="Times New Roman" w:cs="Times New Roman"/>
              </w:rPr>
              <w:t>Jaukts finansēšanas modelis</w:t>
            </w:r>
          </w:p>
        </w:tc>
        <w:tc>
          <w:tcPr>
            <w:tcW w:w="1742" w:type="dxa"/>
          </w:tcPr>
          <w:p w:rsidR="00343AF5" w:rsidRPr="0063727B" w:rsidRDefault="00343AF5" w:rsidP="00680760">
            <w:pPr>
              <w:jc w:val="center"/>
              <w:rPr>
                <w:rFonts w:ascii="Times New Roman" w:hAnsi="Times New Roman" w:cs="Times New Roman"/>
              </w:rPr>
            </w:pPr>
            <w:r w:rsidRPr="0063727B">
              <w:rPr>
                <w:rFonts w:ascii="Times New Roman" w:hAnsi="Times New Roman" w:cs="Times New Roman"/>
              </w:rPr>
              <w:t>33,3 %</w:t>
            </w:r>
          </w:p>
        </w:tc>
        <w:tc>
          <w:tcPr>
            <w:tcW w:w="4779" w:type="dxa"/>
          </w:tcPr>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Beļģija,</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Dānija (</w:t>
            </w:r>
            <w:r w:rsidRPr="0063727B">
              <w:rPr>
                <w:rFonts w:ascii="Times New Roman" w:hAnsi="Times New Roman" w:cs="Times New Roman"/>
                <w:i/>
                <w:iCs/>
              </w:rPr>
              <w:t>50 % valsts/ 50% pašvaldības</w:t>
            </w:r>
            <w:r w:rsidRPr="0063727B">
              <w:rPr>
                <w:rFonts w:ascii="Times New Roman" w:hAnsi="Times New Roman" w:cs="Times New Roman"/>
              </w:rPr>
              <w:t>),</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Vācija (</w:t>
            </w:r>
            <w:r w:rsidRPr="0063727B">
              <w:rPr>
                <w:rFonts w:ascii="Times New Roman" w:hAnsi="Times New Roman" w:cs="Times New Roman"/>
                <w:i/>
                <w:iCs/>
              </w:rPr>
              <w:t>no valsts budžeta – darbspējīgajiem</w:t>
            </w:r>
            <w:r w:rsidRPr="0063727B">
              <w:rPr>
                <w:rFonts w:ascii="Times New Roman" w:hAnsi="Times New Roman" w:cs="Times New Roman"/>
              </w:rPr>
              <w:t>),</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Ungārija (</w:t>
            </w:r>
            <w:r w:rsidRPr="0063727B">
              <w:rPr>
                <w:rFonts w:ascii="Times New Roman" w:hAnsi="Times New Roman" w:cs="Times New Roman"/>
                <w:i/>
                <w:iCs/>
              </w:rPr>
              <w:t>80-95% no valsts budžeta, 20-5% no pašvaldības budžeta</w:t>
            </w:r>
            <w:r w:rsidRPr="0063727B">
              <w:rPr>
                <w:rFonts w:ascii="Times New Roman" w:hAnsi="Times New Roman" w:cs="Times New Roman"/>
              </w:rPr>
              <w:t>),</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Itālija,</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b/>
                <w:bCs/>
              </w:rPr>
              <w:t>Lietuva</w:t>
            </w:r>
            <w:r w:rsidRPr="0063727B">
              <w:rPr>
                <w:rFonts w:ascii="Times New Roman" w:hAnsi="Times New Roman" w:cs="Times New Roman"/>
              </w:rPr>
              <w:t xml:space="preserve"> (</w:t>
            </w:r>
            <w:r w:rsidRPr="0063727B">
              <w:rPr>
                <w:rFonts w:ascii="Times New Roman" w:hAnsi="Times New Roman" w:cs="Times New Roman"/>
                <w:i/>
                <w:iCs/>
              </w:rPr>
              <w:t>5 pašvaldības no pašvaldību budžeta</w:t>
            </w:r>
            <w:r w:rsidRPr="0063727B">
              <w:rPr>
                <w:rFonts w:ascii="Times New Roman" w:hAnsi="Times New Roman" w:cs="Times New Roman"/>
              </w:rPr>
              <w:t>),</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Rumānija (</w:t>
            </w:r>
            <w:r w:rsidRPr="0063727B">
              <w:rPr>
                <w:rFonts w:ascii="Times New Roman" w:hAnsi="Times New Roman" w:cs="Times New Roman"/>
                <w:i/>
                <w:iCs/>
              </w:rPr>
              <w:t>pašvaldības daļēji finansē administratīvos izdevumus</w:t>
            </w:r>
            <w:r w:rsidRPr="0063727B">
              <w:rPr>
                <w:rFonts w:ascii="Times New Roman" w:hAnsi="Times New Roman" w:cs="Times New Roman"/>
              </w:rPr>
              <w:t>),</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Spānija</w:t>
            </w:r>
          </w:p>
        </w:tc>
      </w:tr>
      <w:tr w:rsidR="0063727B" w:rsidRPr="0063727B" w:rsidTr="009F3ABD">
        <w:trPr>
          <w:trHeight w:val="834"/>
        </w:trPr>
        <w:tc>
          <w:tcPr>
            <w:tcW w:w="2518" w:type="dxa"/>
          </w:tcPr>
          <w:p w:rsidR="00343AF5" w:rsidRPr="0063727B" w:rsidRDefault="00343AF5" w:rsidP="000B615A">
            <w:pPr>
              <w:rPr>
                <w:rFonts w:ascii="Times New Roman" w:hAnsi="Times New Roman" w:cs="Times New Roman"/>
              </w:rPr>
            </w:pPr>
            <w:r w:rsidRPr="0063727B">
              <w:rPr>
                <w:rFonts w:ascii="Times New Roman" w:hAnsi="Times New Roman" w:cs="Times New Roman"/>
              </w:rPr>
              <w:t>Centrālais budžets</w:t>
            </w:r>
          </w:p>
        </w:tc>
        <w:tc>
          <w:tcPr>
            <w:tcW w:w="1742" w:type="dxa"/>
          </w:tcPr>
          <w:p w:rsidR="00343AF5" w:rsidRPr="0063727B" w:rsidRDefault="00343AF5" w:rsidP="00680760">
            <w:pPr>
              <w:jc w:val="center"/>
              <w:rPr>
                <w:rFonts w:ascii="Times New Roman" w:hAnsi="Times New Roman" w:cs="Times New Roman"/>
              </w:rPr>
            </w:pPr>
            <w:r w:rsidRPr="0063727B">
              <w:rPr>
                <w:rFonts w:ascii="Times New Roman" w:hAnsi="Times New Roman" w:cs="Times New Roman"/>
              </w:rPr>
              <w:t>50 %</w:t>
            </w:r>
          </w:p>
        </w:tc>
        <w:tc>
          <w:tcPr>
            <w:tcW w:w="4779" w:type="dxa"/>
          </w:tcPr>
          <w:p w:rsidR="00343AF5" w:rsidRPr="0063727B" w:rsidRDefault="00343AF5" w:rsidP="009F3ABD">
            <w:pPr>
              <w:spacing w:after="0"/>
              <w:rPr>
                <w:rFonts w:ascii="Times New Roman" w:hAnsi="Times New Roman" w:cs="Times New Roman"/>
              </w:rPr>
            </w:pPr>
            <w:r w:rsidRPr="0063727B">
              <w:rPr>
                <w:rFonts w:ascii="Times New Roman" w:hAnsi="Times New Roman" w:cs="Times New Roman"/>
              </w:rPr>
              <w:t xml:space="preserve">Bulgārija, Kipra, Čehija, </w:t>
            </w:r>
            <w:r w:rsidRPr="0063727B">
              <w:rPr>
                <w:rFonts w:ascii="Times New Roman" w:hAnsi="Times New Roman" w:cs="Times New Roman"/>
                <w:b/>
                <w:bCs/>
              </w:rPr>
              <w:t>Igaunija</w:t>
            </w:r>
            <w:r w:rsidRPr="0063727B">
              <w:rPr>
                <w:rFonts w:ascii="Times New Roman" w:hAnsi="Times New Roman" w:cs="Times New Roman"/>
              </w:rPr>
              <w:t>, Francija, Īrija, Nīderlande, Polija, Portugāle, Slovākija, Slovēnija, Apvienotā Karaliste.</w:t>
            </w:r>
          </w:p>
        </w:tc>
      </w:tr>
    </w:tbl>
    <w:p w:rsidR="00343AF5" w:rsidRPr="0063727B" w:rsidRDefault="00343AF5" w:rsidP="00190939">
      <w:pPr>
        <w:rPr>
          <w:rFonts w:ascii="Times New Roman" w:hAnsi="Times New Roman" w:cs="Times New Roman"/>
          <w:sz w:val="20"/>
          <w:szCs w:val="20"/>
        </w:rPr>
      </w:pPr>
      <w:r w:rsidRPr="0063727B">
        <w:rPr>
          <w:rFonts w:ascii="Times New Roman" w:hAnsi="Times New Roman" w:cs="Times New Roman"/>
          <w:sz w:val="20"/>
          <w:szCs w:val="20"/>
        </w:rPr>
        <w:t>Avots: PB pētījums.</w:t>
      </w:r>
    </w:p>
    <w:p w:rsidR="00343AF5" w:rsidRPr="0063727B" w:rsidRDefault="0055031F" w:rsidP="0055031F">
      <w:pPr>
        <w:spacing w:after="0"/>
        <w:rPr>
          <w:rFonts w:ascii="Times New Roman" w:hAnsi="Times New Roman" w:cs="Times New Roman"/>
          <w:b/>
        </w:rPr>
      </w:pPr>
      <w:r w:rsidRPr="0063727B">
        <w:rPr>
          <w:rFonts w:ascii="Times New Roman" w:hAnsi="Times New Roman" w:cs="Times New Roman"/>
          <w:sz w:val="24"/>
          <w:szCs w:val="24"/>
        </w:rPr>
        <w:t>10</w:t>
      </w:r>
      <w:r w:rsidR="00343AF5" w:rsidRPr="0063727B">
        <w:rPr>
          <w:rFonts w:ascii="Times New Roman" w:hAnsi="Times New Roman" w:cs="Times New Roman"/>
          <w:sz w:val="24"/>
          <w:szCs w:val="24"/>
        </w:rPr>
        <w:t xml:space="preserve">.tabula. </w:t>
      </w:r>
      <w:r w:rsidR="00343AF5" w:rsidRPr="0063727B">
        <w:rPr>
          <w:rFonts w:ascii="Times New Roman" w:hAnsi="Times New Roman" w:cs="Times New Roman"/>
        </w:rPr>
        <w:t>Minimālā nodrošinājuma shēmas bāze atsevišķās ES dalībvalstīs 2013.gada februārī</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701"/>
        <w:gridCol w:w="3969"/>
      </w:tblGrid>
      <w:tr w:rsidR="0063727B" w:rsidRPr="0063727B">
        <w:tc>
          <w:tcPr>
            <w:tcW w:w="3369"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b/>
                <w:bCs/>
              </w:rPr>
            </w:pPr>
            <w:r w:rsidRPr="0063727B">
              <w:rPr>
                <w:rFonts w:ascii="Times New Roman" w:hAnsi="Times New Roman" w:cs="Times New Roman"/>
                <w:b/>
                <w:bCs/>
              </w:rPr>
              <w:t>Minimālā nodrošinājuma bāze</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b/>
                <w:bCs/>
              </w:rPr>
              <w:t xml:space="preserve">Valstu īpatsvars </w:t>
            </w:r>
            <w:r w:rsidRPr="0063727B">
              <w:rPr>
                <w:rFonts w:ascii="Times New Roman" w:hAnsi="Times New Roman" w:cs="Times New Roman"/>
              </w:rPr>
              <w:t>(no 24 dalībvalstīm),</w:t>
            </w:r>
            <w:r w:rsidRPr="0063727B">
              <w:rPr>
                <w:rFonts w:ascii="Times New Roman" w:hAnsi="Times New Roman" w:cs="Times New Roman"/>
                <w:b/>
                <w:bCs/>
              </w:rPr>
              <w:t xml:space="preserve"> %</w:t>
            </w:r>
          </w:p>
        </w:tc>
        <w:tc>
          <w:tcPr>
            <w:tcW w:w="3969"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b/>
                <w:bCs/>
              </w:rPr>
              <w:t>Valstis</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Iztikas minimums </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29,2 %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Austrija, Beļģija, Kipra, </w:t>
            </w:r>
            <w:r w:rsidRPr="0063727B">
              <w:rPr>
                <w:rFonts w:ascii="Times New Roman" w:hAnsi="Times New Roman" w:cs="Times New Roman"/>
                <w:b/>
                <w:bCs/>
              </w:rPr>
              <w:t>Igaunija</w:t>
            </w:r>
            <w:r w:rsidRPr="0063727B">
              <w:rPr>
                <w:rFonts w:ascii="Times New Roman" w:hAnsi="Times New Roman" w:cs="Times New Roman"/>
              </w:rPr>
              <w:t>, Vācija, Rumānija, Slovākija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Diferencēti – iztikas minimums un dzīves minimums</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Čehija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Minimālā darba alga</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Nīderlande</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80% no bezdarbnieka pabalsta</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Dānija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90% no minimālās vecuma pensijas</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Ungārija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Iztikas minimuma indikators</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Spānija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Sociālā atbalsta indikators (%-</w:t>
            </w:r>
            <w:proofErr w:type="spellStart"/>
            <w:r w:rsidRPr="0063727B">
              <w:rPr>
                <w:rFonts w:ascii="Times New Roman" w:hAnsi="Times New Roman" w:cs="Times New Roman"/>
              </w:rPr>
              <w:t>ti</w:t>
            </w:r>
            <w:proofErr w:type="spellEnd"/>
            <w:r w:rsidRPr="0063727B">
              <w:rPr>
                <w:rFonts w:ascii="Times New Roman" w:hAnsi="Times New Roman" w:cs="Times New Roman"/>
              </w:rPr>
              <w:t xml:space="preserve"> no sociālās pensijas)</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Portugāle</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Minimālā ienākuma indikators </w:t>
            </w:r>
            <w:r w:rsidRPr="0063727B">
              <w:rPr>
                <w:rFonts w:ascii="Times New Roman" w:hAnsi="Times New Roman" w:cs="Times New Roman"/>
                <w:i/>
                <w:iCs/>
              </w:rPr>
              <w:t>(koriģē likumdošanā</w:t>
            </w:r>
            <w:r w:rsidRPr="0063727B">
              <w:rPr>
                <w:rFonts w:ascii="Times New Roman" w:hAnsi="Times New Roman" w:cs="Times New Roman"/>
              </w:rPr>
              <w:t>)</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Slovēnija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Nomināla vērtība, noteikta ar likumu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8,3 %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Bulgārija, Somija </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Nomināla vērtība, noteikta ar valdības lēmumu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25,0 %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Francija, Īrija, </w:t>
            </w:r>
            <w:r w:rsidRPr="0063727B">
              <w:rPr>
                <w:rFonts w:ascii="Times New Roman" w:hAnsi="Times New Roman" w:cs="Times New Roman"/>
                <w:b/>
                <w:bCs/>
              </w:rPr>
              <w:t>Lietuva</w:t>
            </w:r>
            <w:r w:rsidRPr="0063727B">
              <w:rPr>
                <w:rFonts w:ascii="Times New Roman" w:hAnsi="Times New Roman" w:cs="Times New Roman"/>
              </w:rPr>
              <w:t xml:space="preserve">, Polija, UK, </w:t>
            </w:r>
            <w:r w:rsidRPr="0063727B">
              <w:rPr>
                <w:rFonts w:ascii="Times New Roman" w:hAnsi="Times New Roman" w:cs="Times New Roman"/>
                <w:b/>
                <w:bCs/>
              </w:rPr>
              <w:t>Latvija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lastRenderedPageBreak/>
              <w:t>Vērtību nosaka ar valdības un vietējo varas iestāžu lēmumu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Zviedrija</w:t>
            </w:r>
          </w:p>
        </w:tc>
      </w:tr>
      <w:tr w:rsidR="0063727B" w:rsidRPr="0063727B">
        <w:tc>
          <w:tcPr>
            <w:tcW w:w="33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Nosacījumi atšķirīgi reģionos un pašvaldībās</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4,2 %</w:t>
            </w:r>
          </w:p>
        </w:tc>
        <w:tc>
          <w:tcPr>
            <w:tcW w:w="3969"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Itālija</w:t>
            </w:r>
          </w:p>
        </w:tc>
      </w:tr>
    </w:tbl>
    <w:p w:rsidR="00343AF5" w:rsidRDefault="00343AF5" w:rsidP="00D322AC">
      <w:pPr>
        <w:rPr>
          <w:rFonts w:ascii="Times New Roman" w:hAnsi="Times New Roman" w:cs="Times New Roman"/>
          <w:sz w:val="20"/>
          <w:szCs w:val="20"/>
        </w:rPr>
      </w:pPr>
      <w:r w:rsidRPr="0063727B">
        <w:rPr>
          <w:rFonts w:ascii="Times New Roman" w:hAnsi="Times New Roman" w:cs="Times New Roman"/>
          <w:sz w:val="20"/>
          <w:szCs w:val="20"/>
        </w:rPr>
        <w:t>Avots: PB pētījums.</w:t>
      </w:r>
    </w:p>
    <w:p w:rsidR="00DB0D18" w:rsidRPr="0063727B" w:rsidRDefault="00DB0D18" w:rsidP="00D322AC">
      <w:pPr>
        <w:rPr>
          <w:rFonts w:ascii="Times New Roman" w:hAnsi="Times New Roman" w:cs="Times New Roman"/>
          <w:sz w:val="20"/>
          <w:szCs w:val="20"/>
        </w:rPr>
      </w:pPr>
    </w:p>
    <w:p w:rsidR="00B441B5" w:rsidRPr="0063727B" w:rsidRDefault="00343AF5" w:rsidP="00B634A9">
      <w:pPr>
        <w:spacing w:after="0"/>
        <w:jc w:val="both"/>
        <w:rPr>
          <w:rFonts w:ascii="Times New Roman" w:hAnsi="Times New Roman" w:cs="Times New Roman"/>
          <w:sz w:val="24"/>
          <w:szCs w:val="24"/>
        </w:rPr>
      </w:pPr>
      <w:r w:rsidRPr="0063727B">
        <w:rPr>
          <w:rFonts w:ascii="Times New Roman" w:hAnsi="Times New Roman" w:cs="Times New Roman"/>
          <w:sz w:val="24"/>
          <w:szCs w:val="24"/>
        </w:rPr>
        <w:t>1</w:t>
      </w:r>
      <w:r w:rsidR="0055031F" w:rsidRPr="0063727B">
        <w:rPr>
          <w:rFonts w:ascii="Times New Roman" w:hAnsi="Times New Roman" w:cs="Times New Roman"/>
          <w:sz w:val="24"/>
          <w:szCs w:val="24"/>
        </w:rPr>
        <w:t>1</w:t>
      </w:r>
      <w:r w:rsidRPr="0063727B">
        <w:rPr>
          <w:rFonts w:ascii="Times New Roman" w:hAnsi="Times New Roman" w:cs="Times New Roman"/>
          <w:sz w:val="24"/>
          <w:szCs w:val="24"/>
        </w:rPr>
        <w:t xml:space="preserve">.tabula. Minimālā nodrošinājuma shēmas bāzes vērtība atsevišķās ES dalībvalstīs </w:t>
      </w:r>
    </w:p>
    <w:p w:rsidR="00343AF5" w:rsidRPr="0063727B" w:rsidRDefault="00343AF5" w:rsidP="00A00E78">
      <w:pPr>
        <w:spacing w:after="0"/>
        <w:rPr>
          <w:rFonts w:ascii="Times New Roman" w:hAnsi="Times New Roman" w:cs="Times New Roman"/>
          <w:sz w:val="24"/>
          <w:szCs w:val="24"/>
        </w:rPr>
      </w:pPr>
      <w:r w:rsidRPr="0063727B">
        <w:rPr>
          <w:rFonts w:ascii="Times New Roman" w:hAnsi="Times New Roman" w:cs="Times New Roman"/>
          <w:sz w:val="24"/>
          <w:szCs w:val="24"/>
        </w:rPr>
        <w:t>2013.gada februārī</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1701"/>
        <w:gridCol w:w="3971"/>
      </w:tblGrid>
      <w:tr w:rsidR="0063727B" w:rsidRPr="0063727B" w:rsidTr="00B441B5">
        <w:tc>
          <w:tcPr>
            <w:tcW w:w="3367"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b/>
                <w:bCs/>
              </w:rPr>
            </w:pPr>
            <w:r w:rsidRPr="0063727B">
              <w:rPr>
                <w:rFonts w:ascii="Times New Roman" w:hAnsi="Times New Roman" w:cs="Times New Roman"/>
                <w:b/>
                <w:bCs/>
              </w:rPr>
              <w:t xml:space="preserve">Minimālā nodrošinājuma bāzes vērtība </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b/>
                <w:bCs/>
              </w:rPr>
              <w:t xml:space="preserve">Valstu īpatsvars </w:t>
            </w:r>
            <w:r w:rsidRPr="0063727B">
              <w:rPr>
                <w:rFonts w:ascii="Times New Roman" w:hAnsi="Times New Roman" w:cs="Times New Roman"/>
              </w:rPr>
              <w:t>(no 24 dalībvalsts),</w:t>
            </w:r>
            <w:r w:rsidRPr="0063727B">
              <w:rPr>
                <w:rFonts w:ascii="Times New Roman" w:hAnsi="Times New Roman" w:cs="Times New Roman"/>
                <w:b/>
                <w:bCs/>
              </w:rPr>
              <w:t xml:space="preserve"> %</w:t>
            </w:r>
          </w:p>
        </w:tc>
        <w:tc>
          <w:tcPr>
            <w:tcW w:w="3971" w:type="dxa"/>
          </w:tcPr>
          <w:p w:rsidR="00343AF5" w:rsidRPr="0063727B" w:rsidRDefault="00343AF5" w:rsidP="00680760">
            <w:pPr>
              <w:spacing w:after="0"/>
              <w:jc w:val="center"/>
              <w:rPr>
                <w:rFonts w:ascii="Times New Roman" w:hAnsi="Times New Roman" w:cs="Times New Roman"/>
                <w:b/>
                <w:bCs/>
              </w:rPr>
            </w:pPr>
          </w:p>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b/>
                <w:bCs/>
              </w:rPr>
              <w:t>Valstis</w:t>
            </w:r>
          </w:p>
        </w:tc>
      </w:tr>
      <w:tr w:rsidR="0063727B" w:rsidRPr="0063727B" w:rsidTr="00B441B5">
        <w:tc>
          <w:tcPr>
            <w:tcW w:w="3367" w:type="dxa"/>
          </w:tcPr>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Virs nabadzības riska sliekšņa –</w:t>
            </w:r>
          </w:p>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&gt; 60% no rīcībā esošo ienākumu mediānas pārrēķinātas uz ekvivalento patērētāju</w:t>
            </w:r>
          </w:p>
        </w:tc>
        <w:tc>
          <w:tcPr>
            <w:tcW w:w="1701" w:type="dxa"/>
          </w:tcPr>
          <w:p w:rsidR="00343AF5" w:rsidRPr="0063727B" w:rsidRDefault="00343AF5" w:rsidP="00680760">
            <w:pPr>
              <w:spacing w:after="0" w:line="240" w:lineRule="auto"/>
              <w:jc w:val="center"/>
              <w:rPr>
                <w:rFonts w:ascii="Times New Roman" w:hAnsi="Times New Roman" w:cs="Times New Roman"/>
              </w:rPr>
            </w:pPr>
            <w:r w:rsidRPr="0063727B">
              <w:rPr>
                <w:rFonts w:ascii="Times New Roman" w:hAnsi="Times New Roman" w:cs="Times New Roman"/>
              </w:rPr>
              <w:t>8,3 %</w:t>
            </w:r>
          </w:p>
        </w:tc>
        <w:tc>
          <w:tcPr>
            <w:tcW w:w="3971" w:type="dxa"/>
          </w:tcPr>
          <w:p w:rsidR="00343AF5" w:rsidRPr="0063727B" w:rsidRDefault="00343AF5" w:rsidP="00680760">
            <w:pPr>
              <w:spacing w:after="0" w:line="240" w:lineRule="auto"/>
              <w:rPr>
                <w:rFonts w:ascii="Times New Roman" w:hAnsi="Times New Roman" w:cs="Times New Roman"/>
              </w:rPr>
            </w:pPr>
            <w:r w:rsidRPr="0063727B">
              <w:rPr>
                <w:rFonts w:ascii="Times New Roman" w:hAnsi="Times New Roman" w:cs="Times New Roman"/>
              </w:rPr>
              <w:t xml:space="preserve">Rumānija, Dānija </w:t>
            </w:r>
          </w:p>
        </w:tc>
      </w:tr>
      <w:tr w:rsidR="0063727B" w:rsidRPr="0063727B" w:rsidTr="00B441B5">
        <w:tc>
          <w:tcPr>
            <w:tcW w:w="3367"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40 % līdz 60 % no rīcībā esošo ienākumu mediānas pārrēķinātas uz ekvivalento patērētāju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29,2 %</w:t>
            </w:r>
          </w:p>
        </w:tc>
        <w:tc>
          <w:tcPr>
            <w:tcW w:w="3971"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Spānija, Īrija, Luksemburga, Beļģija, Malta, Austrija, Slovēnija </w:t>
            </w:r>
          </w:p>
        </w:tc>
      </w:tr>
      <w:tr w:rsidR="0063727B" w:rsidRPr="0063727B" w:rsidTr="00B441B5">
        <w:tc>
          <w:tcPr>
            <w:tcW w:w="3367"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30 % līdz 40 % no rīcībā esošo ienākumu mediānas pārrēķinātas uz ekvivalento patērētāju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12,5 %</w:t>
            </w:r>
          </w:p>
        </w:tc>
        <w:tc>
          <w:tcPr>
            <w:tcW w:w="3971"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Nīderlande, Kipra,</w:t>
            </w:r>
            <w:r w:rsidRPr="0063727B">
              <w:rPr>
                <w:rFonts w:ascii="Times New Roman" w:hAnsi="Times New Roman" w:cs="Times New Roman"/>
                <w:b/>
                <w:bCs/>
              </w:rPr>
              <w:t xml:space="preserve"> Lietuva</w:t>
            </w:r>
          </w:p>
          <w:p w:rsidR="00343AF5" w:rsidRPr="0063727B" w:rsidRDefault="00343AF5" w:rsidP="00680760">
            <w:pPr>
              <w:spacing w:after="0"/>
              <w:rPr>
                <w:rFonts w:ascii="Times New Roman" w:hAnsi="Times New Roman" w:cs="Times New Roman"/>
              </w:rPr>
            </w:pPr>
          </w:p>
        </w:tc>
      </w:tr>
      <w:tr w:rsidR="0063727B" w:rsidRPr="0063727B" w:rsidTr="00B441B5">
        <w:tc>
          <w:tcPr>
            <w:tcW w:w="3367"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&lt; 30 % no rīcībā esošo ienākumu mediānas pārrēķinātas uz ekvivalento patērētāju</w:t>
            </w:r>
          </w:p>
        </w:tc>
        <w:tc>
          <w:tcPr>
            <w:tcW w:w="1701" w:type="dxa"/>
          </w:tcPr>
          <w:p w:rsidR="00343AF5" w:rsidRPr="0063727B" w:rsidRDefault="00343AF5" w:rsidP="00680760">
            <w:pPr>
              <w:spacing w:after="0"/>
              <w:jc w:val="center"/>
              <w:rPr>
                <w:rFonts w:ascii="Times New Roman" w:hAnsi="Times New Roman" w:cs="Times New Roman"/>
              </w:rPr>
            </w:pPr>
            <w:r w:rsidRPr="0063727B">
              <w:rPr>
                <w:rFonts w:ascii="Times New Roman" w:hAnsi="Times New Roman" w:cs="Times New Roman"/>
              </w:rPr>
              <w:t>50 %</w:t>
            </w:r>
          </w:p>
        </w:tc>
        <w:tc>
          <w:tcPr>
            <w:tcW w:w="3971" w:type="dxa"/>
          </w:tcPr>
          <w:p w:rsidR="00343AF5" w:rsidRPr="0063727B" w:rsidRDefault="00343AF5" w:rsidP="00680760">
            <w:pPr>
              <w:spacing w:after="0"/>
              <w:rPr>
                <w:rFonts w:ascii="Times New Roman" w:hAnsi="Times New Roman" w:cs="Times New Roman"/>
              </w:rPr>
            </w:pPr>
            <w:r w:rsidRPr="0063727B">
              <w:rPr>
                <w:rFonts w:ascii="Times New Roman" w:hAnsi="Times New Roman" w:cs="Times New Roman"/>
              </w:rPr>
              <w:t xml:space="preserve">Francija, Portugāle, Somija, Apvienotā Karaliste, Polija, Vācija, Čehija, Zviedrija, </w:t>
            </w:r>
            <w:r w:rsidRPr="0063727B">
              <w:rPr>
                <w:rFonts w:ascii="Times New Roman" w:hAnsi="Times New Roman" w:cs="Times New Roman"/>
                <w:b/>
                <w:bCs/>
              </w:rPr>
              <w:t>Igaunija, Latvija</w:t>
            </w:r>
            <w:r w:rsidRPr="0063727B">
              <w:rPr>
                <w:rFonts w:ascii="Times New Roman" w:hAnsi="Times New Roman" w:cs="Times New Roman"/>
              </w:rPr>
              <w:t>, Bulgārija, Slovākija</w:t>
            </w:r>
          </w:p>
        </w:tc>
      </w:tr>
    </w:tbl>
    <w:p w:rsidR="00343AF5" w:rsidRDefault="00343AF5" w:rsidP="008B03D2">
      <w:pPr>
        <w:rPr>
          <w:rFonts w:ascii="Times New Roman" w:hAnsi="Times New Roman" w:cs="Times New Roman"/>
          <w:sz w:val="20"/>
          <w:szCs w:val="20"/>
        </w:rPr>
      </w:pPr>
      <w:r w:rsidRPr="0063727B">
        <w:rPr>
          <w:rFonts w:ascii="Times New Roman" w:hAnsi="Times New Roman" w:cs="Times New Roman"/>
          <w:sz w:val="20"/>
          <w:szCs w:val="20"/>
        </w:rPr>
        <w:t>Avots: Eurostat, MISSOC.</w:t>
      </w:r>
    </w:p>
    <w:p w:rsidR="003739E6" w:rsidRPr="0063727B" w:rsidRDefault="003739E6" w:rsidP="008B03D2">
      <w:pPr>
        <w:rPr>
          <w:rFonts w:ascii="Times New Roman" w:hAnsi="Times New Roman" w:cs="Times New Roman"/>
          <w:sz w:val="20"/>
          <w:szCs w:val="20"/>
        </w:rPr>
      </w:pPr>
    </w:p>
    <w:p w:rsidR="00B441B5" w:rsidRPr="0063727B" w:rsidRDefault="00B441B5" w:rsidP="00A00E78">
      <w:pPr>
        <w:spacing w:after="0" w:line="240" w:lineRule="auto"/>
        <w:rPr>
          <w:rFonts w:ascii="Times New Roman" w:hAnsi="Times New Roman" w:cs="Times New Roman"/>
          <w:sz w:val="24"/>
          <w:szCs w:val="24"/>
        </w:rPr>
      </w:pPr>
      <w:r w:rsidRPr="0063727B">
        <w:rPr>
          <w:rFonts w:ascii="Times New Roman" w:hAnsi="Times New Roman" w:cs="Times New Roman"/>
          <w:sz w:val="24"/>
          <w:szCs w:val="24"/>
        </w:rPr>
        <w:t>1</w:t>
      </w:r>
      <w:r w:rsidR="00A00E78" w:rsidRPr="0063727B">
        <w:rPr>
          <w:rFonts w:ascii="Times New Roman" w:hAnsi="Times New Roman" w:cs="Times New Roman"/>
          <w:sz w:val="24"/>
          <w:szCs w:val="24"/>
        </w:rPr>
        <w:t>2</w:t>
      </w:r>
      <w:r w:rsidRPr="0063727B">
        <w:rPr>
          <w:rFonts w:ascii="Times New Roman" w:hAnsi="Times New Roman" w:cs="Times New Roman"/>
          <w:sz w:val="24"/>
          <w:szCs w:val="24"/>
        </w:rPr>
        <w:t>.tabula</w:t>
      </w:r>
      <w:r w:rsidR="00A00E78" w:rsidRPr="0063727B">
        <w:rPr>
          <w:rFonts w:ascii="Times New Roman" w:hAnsi="Times New Roman" w:cs="Times New Roman"/>
          <w:sz w:val="24"/>
          <w:szCs w:val="24"/>
        </w:rPr>
        <w:t xml:space="preserve">. </w:t>
      </w:r>
      <w:r w:rsidRPr="0063727B">
        <w:rPr>
          <w:rFonts w:ascii="Times New Roman" w:hAnsi="Times New Roman" w:cs="Times New Roman"/>
          <w:sz w:val="24"/>
          <w:szCs w:val="24"/>
        </w:rPr>
        <w:t>Atsevišķi darba tirgus tendences raksturojoši rādītāji</w:t>
      </w:r>
      <w:r w:rsidR="00A00E78" w:rsidRPr="0063727B">
        <w:rPr>
          <w:rFonts w:ascii="Times New Roman" w:hAnsi="Times New Roman" w:cs="Times New Roman"/>
          <w:sz w:val="24"/>
          <w:szCs w:val="24"/>
        </w:rPr>
        <w:t>.</w:t>
      </w:r>
    </w:p>
    <w:tbl>
      <w:tblPr>
        <w:tblW w:w="9116"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992"/>
        <w:gridCol w:w="850"/>
        <w:gridCol w:w="1276"/>
        <w:gridCol w:w="846"/>
        <w:gridCol w:w="914"/>
        <w:gridCol w:w="906"/>
      </w:tblGrid>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Rādītāji/gads/ceturksnis</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2009</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2010</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2011</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2012</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2013-1.cet.</w:t>
            </w:r>
          </w:p>
        </w:tc>
        <w:tc>
          <w:tcPr>
            <w:tcW w:w="906" w:type="dxa"/>
          </w:tcPr>
          <w:p w:rsidR="00461F31" w:rsidRPr="0063727B" w:rsidRDefault="00461F31" w:rsidP="006B0E73">
            <w:pPr>
              <w:spacing w:after="0" w:line="240" w:lineRule="auto"/>
              <w:jc w:val="center"/>
              <w:rPr>
                <w:rFonts w:ascii="Times New Roman" w:hAnsi="Times New Roman" w:cs="Times New Roman"/>
                <w:b/>
              </w:rPr>
            </w:pPr>
            <w:r w:rsidRPr="0063727B">
              <w:rPr>
                <w:rFonts w:ascii="Times New Roman" w:hAnsi="Times New Roman" w:cs="Times New Roman"/>
                <w:b/>
              </w:rPr>
              <w:t>2013-2.cet.</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Nodarbinātības līmenis(15-64)</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60,9%</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59,3%</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60,8(b)%</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63,0%</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64,1%</w:t>
            </w:r>
          </w:p>
        </w:tc>
        <w:tc>
          <w:tcPr>
            <w:tcW w:w="906" w:type="dxa"/>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64,8%</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Ekonomiskās aktivitātes līmenis (15-64)</w:t>
            </w:r>
          </w:p>
        </w:tc>
        <w:tc>
          <w:tcPr>
            <w:tcW w:w="992" w:type="dxa"/>
            <w:shd w:val="clear" w:color="auto" w:fill="auto"/>
            <w:vAlign w:val="center"/>
          </w:tcPr>
          <w:p w:rsidR="00461F31" w:rsidRPr="0063727B" w:rsidRDefault="00461F31" w:rsidP="006B0E73">
            <w:pPr>
              <w:spacing w:after="0" w:line="360" w:lineRule="auto"/>
              <w:jc w:val="center"/>
              <w:rPr>
                <w:rFonts w:ascii="Times New Roman" w:eastAsia="Times New Roman" w:hAnsi="Times New Roman" w:cs="Times New Roman"/>
                <w:sz w:val="24"/>
                <w:szCs w:val="24"/>
              </w:rPr>
            </w:pPr>
            <w:r w:rsidRPr="0063727B">
              <w:rPr>
                <w:rFonts w:ascii="Times New Roman" w:hAnsi="Times New Roman" w:cs="Times New Roman"/>
              </w:rPr>
              <w:t>73,9%</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73,2%</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72,8(b)%</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74,4%</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74,0%</w:t>
            </w:r>
          </w:p>
        </w:tc>
        <w:tc>
          <w:tcPr>
            <w:tcW w:w="906" w:type="dxa"/>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73,3%</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Darba meklētāju īpatsvars (25-74)</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15,9%</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17,7%</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14,6%</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13,6%</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12,0%</w:t>
            </w:r>
          </w:p>
        </w:tc>
        <w:tc>
          <w:tcPr>
            <w:tcW w:w="906" w:type="dxa"/>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10,6%</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Jauniešu darba meklētāju īpatsvars (15-24)</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36,2%</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37,2%</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31,0%</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28,5%</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22,9%</w:t>
            </w:r>
          </w:p>
        </w:tc>
        <w:tc>
          <w:tcPr>
            <w:tcW w:w="906" w:type="dxa"/>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20,1%</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Ilgstošais darba meklētāju īpatsvars (% no ekonomiski aktīvajiem iedzīvotājiem)</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4,9%</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8,9%</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8,8%</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7,8%</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 7,0%</w:t>
            </w:r>
          </w:p>
        </w:tc>
        <w:tc>
          <w:tcPr>
            <w:tcW w:w="906" w:type="dxa"/>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5,6%</w:t>
            </w: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Cilvēki, kas dzīvo mājsaimniecībās ar ļoti zemu darba intensitāti (&lt;60)</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6,7%</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12,2%</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12,6(b)%</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11,5%</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p>
        </w:tc>
        <w:tc>
          <w:tcPr>
            <w:tcW w:w="906" w:type="dxa"/>
          </w:tcPr>
          <w:p w:rsidR="00461F31" w:rsidRPr="0063727B" w:rsidRDefault="00461F31" w:rsidP="006B0E73">
            <w:pPr>
              <w:spacing w:after="0" w:line="240" w:lineRule="auto"/>
              <w:jc w:val="center"/>
              <w:rPr>
                <w:rFonts w:ascii="Times New Roman" w:hAnsi="Times New Roman" w:cs="Times New Roman"/>
              </w:rPr>
            </w:pP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Strādājošo nabadzība – nepilna laika darbs</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25,6%</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22,7%</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25,3(b)%</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23%</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p>
        </w:tc>
        <w:tc>
          <w:tcPr>
            <w:tcW w:w="906" w:type="dxa"/>
          </w:tcPr>
          <w:p w:rsidR="00461F31" w:rsidRPr="0063727B" w:rsidRDefault="00461F31" w:rsidP="006B0E73">
            <w:pPr>
              <w:spacing w:after="0" w:line="240" w:lineRule="auto"/>
              <w:jc w:val="center"/>
              <w:rPr>
                <w:rFonts w:ascii="Times New Roman" w:hAnsi="Times New Roman" w:cs="Times New Roman"/>
              </w:rPr>
            </w:pPr>
          </w:p>
        </w:tc>
      </w:tr>
      <w:tr w:rsidR="0063727B" w:rsidRPr="0063727B" w:rsidTr="009A3A91">
        <w:trPr>
          <w:jc w:val="center"/>
        </w:trPr>
        <w:tc>
          <w:tcPr>
            <w:tcW w:w="333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Strādājošo nabadzība – pilna laika darbs</w:t>
            </w:r>
          </w:p>
        </w:tc>
        <w:tc>
          <w:tcPr>
            <w:tcW w:w="992"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9,8%</w:t>
            </w:r>
          </w:p>
        </w:tc>
        <w:tc>
          <w:tcPr>
            <w:tcW w:w="850"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8,2%</w:t>
            </w:r>
          </w:p>
        </w:tc>
        <w:tc>
          <w:tcPr>
            <w:tcW w:w="127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7,9(b)%</w:t>
            </w:r>
          </w:p>
        </w:tc>
        <w:tc>
          <w:tcPr>
            <w:tcW w:w="846"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7,3%</w:t>
            </w:r>
          </w:p>
        </w:tc>
        <w:tc>
          <w:tcPr>
            <w:tcW w:w="914" w:type="dxa"/>
            <w:shd w:val="clear" w:color="auto" w:fill="auto"/>
            <w:vAlign w:val="center"/>
          </w:tcPr>
          <w:p w:rsidR="00461F31" w:rsidRPr="0063727B" w:rsidRDefault="00461F31" w:rsidP="006B0E73">
            <w:pPr>
              <w:spacing w:after="0" w:line="240" w:lineRule="auto"/>
              <w:jc w:val="center"/>
              <w:rPr>
                <w:rFonts w:ascii="Times New Roman" w:hAnsi="Times New Roman" w:cs="Times New Roman"/>
              </w:rPr>
            </w:pPr>
          </w:p>
        </w:tc>
        <w:tc>
          <w:tcPr>
            <w:tcW w:w="906" w:type="dxa"/>
          </w:tcPr>
          <w:p w:rsidR="00461F31" w:rsidRPr="0063727B" w:rsidRDefault="00461F31" w:rsidP="006B0E73">
            <w:pPr>
              <w:spacing w:after="0" w:line="240" w:lineRule="auto"/>
              <w:jc w:val="center"/>
              <w:rPr>
                <w:rFonts w:ascii="Times New Roman" w:hAnsi="Times New Roman" w:cs="Times New Roman"/>
              </w:rPr>
            </w:pPr>
          </w:p>
        </w:tc>
      </w:tr>
      <w:tr w:rsidR="0063727B" w:rsidRPr="0063727B" w:rsidTr="00461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8210" w:type="dxa"/>
            <w:gridSpan w:val="6"/>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spacing w:before="120" w:after="120"/>
              <w:jc w:val="center"/>
              <w:rPr>
                <w:rFonts w:ascii="Times New Roman" w:hAnsi="Times New Roman" w:cs="Times New Roman"/>
              </w:rPr>
            </w:pPr>
            <w:r w:rsidRPr="0063727B">
              <w:rPr>
                <w:rFonts w:ascii="Times New Roman" w:hAnsi="Times New Roman" w:cs="Times New Roman"/>
                <w:i/>
              </w:rPr>
              <w:t>Nodarbinātības līmenis pēc iegūtā izglītības līmeņa (15-64):</w:t>
            </w:r>
          </w:p>
        </w:tc>
        <w:tc>
          <w:tcPr>
            <w:tcW w:w="906" w:type="dxa"/>
            <w:tcBorders>
              <w:top w:val="single" w:sz="6" w:space="0" w:color="000000"/>
              <w:left w:val="single" w:sz="6" w:space="0" w:color="000000"/>
              <w:bottom w:val="single" w:sz="6" w:space="0" w:color="000000"/>
              <w:right w:val="single" w:sz="6" w:space="0" w:color="000000"/>
            </w:tcBorders>
          </w:tcPr>
          <w:p w:rsidR="00461F31" w:rsidRPr="0063727B" w:rsidRDefault="00461F31" w:rsidP="006B0E73">
            <w:pPr>
              <w:autoSpaceDE w:val="0"/>
              <w:autoSpaceDN w:val="0"/>
              <w:adjustRightInd w:val="0"/>
              <w:spacing w:before="120" w:after="120"/>
              <w:jc w:val="center"/>
              <w:rPr>
                <w:rFonts w:ascii="Times New Roman" w:hAnsi="Times New Roman" w:cs="Times New Roman"/>
                <w:i/>
              </w:rPr>
            </w:pPr>
          </w:p>
        </w:tc>
      </w:tr>
      <w:tr w:rsidR="0063727B" w:rsidRPr="0063727B" w:rsidTr="009A3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333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 xml:space="preserve">ar zemu izglītības līmeni (pamatizglītība, vispārējā vidējā </w:t>
            </w:r>
            <w:r w:rsidRPr="0063727B">
              <w:rPr>
                <w:rFonts w:ascii="Times New Roman" w:hAnsi="Times New Roman" w:cs="Times New Roman"/>
              </w:rPr>
              <w:lastRenderedPageBreak/>
              <w:t>izglītība vai zemākā)</w:t>
            </w:r>
          </w:p>
        </w:tc>
        <w:tc>
          <w:tcPr>
            <w:tcW w:w="99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lastRenderedPageBreak/>
              <w:t>29,4%</w:t>
            </w:r>
          </w:p>
        </w:tc>
        <w:tc>
          <w:tcPr>
            <w:tcW w:w="850"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28,4%</w:t>
            </w:r>
          </w:p>
        </w:tc>
        <w:tc>
          <w:tcPr>
            <w:tcW w:w="127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29,0(b)%</w:t>
            </w:r>
          </w:p>
        </w:tc>
        <w:tc>
          <w:tcPr>
            <w:tcW w:w="84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 xml:space="preserve"> 31,5%</w:t>
            </w:r>
          </w:p>
        </w:tc>
        <w:tc>
          <w:tcPr>
            <w:tcW w:w="914"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 xml:space="preserve"> 29,6%</w:t>
            </w:r>
          </w:p>
        </w:tc>
        <w:tc>
          <w:tcPr>
            <w:tcW w:w="906" w:type="dxa"/>
            <w:tcBorders>
              <w:top w:val="single" w:sz="6" w:space="0" w:color="000000"/>
              <w:left w:val="single" w:sz="6" w:space="0" w:color="000000"/>
              <w:bottom w:val="single" w:sz="6" w:space="0" w:color="000000"/>
              <w:right w:val="single" w:sz="6" w:space="0" w:color="000000"/>
            </w:tcBorders>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31,8%</w:t>
            </w:r>
          </w:p>
        </w:tc>
      </w:tr>
      <w:tr w:rsidR="0063727B" w:rsidRPr="0063727B" w:rsidTr="009A3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333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lastRenderedPageBreak/>
              <w:t>ar arodizglītību vai profesionālo vidējo izglītību</w:t>
            </w:r>
          </w:p>
        </w:tc>
        <w:tc>
          <w:tcPr>
            <w:tcW w:w="99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64,6%</w:t>
            </w:r>
          </w:p>
        </w:tc>
        <w:tc>
          <w:tcPr>
            <w:tcW w:w="850"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61,5%</w:t>
            </w:r>
          </w:p>
        </w:tc>
        <w:tc>
          <w:tcPr>
            <w:tcW w:w="127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62,4(b)%</w:t>
            </w:r>
          </w:p>
        </w:tc>
        <w:tc>
          <w:tcPr>
            <w:tcW w:w="84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62,8%</w:t>
            </w:r>
          </w:p>
        </w:tc>
        <w:tc>
          <w:tcPr>
            <w:tcW w:w="914"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65,1%</w:t>
            </w:r>
          </w:p>
        </w:tc>
        <w:tc>
          <w:tcPr>
            <w:tcW w:w="906" w:type="dxa"/>
            <w:tcBorders>
              <w:top w:val="single" w:sz="6" w:space="0" w:color="000000"/>
              <w:left w:val="single" w:sz="6" w:space="0" w:color="000000"/>
              <w:bottom w:val="single" w:sz="6" w:space="0" w:color="000000"/>
              <w:right w:val="single" w:sz="6" w:space="0" w:color="000000"/>
            </w:tcBorders>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64,9%</w:t>
            </w:r>
          </w:p>
        </w:tc>
      </w:tr>
      <w:tr w:rsidR="0063727B" w:rsidRPr="0063727B" w:rsidTr="009A3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9"/>
          <w:jc w:val="center"/>
        </w:trPr>
        <w:tc>
          <w:tcPr>
            <w:tcW w:w="333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spacing w:after="0" w:line="240" w:lineRule="auto"/>
              <w:jc w:val="center"/>
              <w:rPr>
                <w:rFonts w:ascii="Times New Roman" w:hAnsi="Times New Roman" w:cs="Times New Roman"/>
              </w:rPr>
            </w:pPr>
            <w:r w:rsidRPr="0063727B">
              <w:rPr>
                <w:rFonts w:ascii="Times New Roman" w:hAnsi="Times New Roman" w:cs="Times New Roman"/>
              </w:rPr>
              <w:t>ar augstāko izglītību</w:t>
            </w:r>
          </w:p>
        </w:tc>
        <w:tc>
          <w:tcPr>
            <w:tcW w:w="992"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82,3%</w:t>
            </w:r>
          </w:p>
        </w:tc>
        <w:tc>
          <w:tcPr>
            <w:tcW w:w="850"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80,6%</w:t>
            </w:r>
          </w:p>
        </w:tc>
        <w:tc>
          <w:tcPr>
            <w:tcW w:w="127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83,4(b)%</w:t>
            </w:r>
          </w:p>
        </w:tc>
        <w:tc>
          <w:tcPr>
            <w:tcW w:w="846"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 xml:space="preserve"> 85,3%</w:t>
            </w:r>
          </w:p>
        </w:tc>
        <w:tc>
          <w:tcPr>
            <w:tcW w:w="914" w:type="dxa"/>
            <w:tcBorders>
              <w:top w:val="single" w:sz="6" w:space="0" w:color="000000"/>
              <w:left w:val="single" w:sz="6" w:space="0" w:color="000000"/>
              <w:bottom w:val="single" w:sz="6" w:space="0" w:color="000000"/>
              <w:right w:val="single" w:sz="6" w:space="0" w:color="000000"/>
            </w:tcBorders>
            <w:vAlign w:val="center"/>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 xml:space="preserve"> 83,8%</w:t>
            </w:r>
          </w:p>
        </w:tc>
        <w:tc>
          <w:tcPr>
            <w:tcW w:w="906" w:type="dxa"/>
            <w:tcBorders>
              <w:top w:val="single" w:sz="6" w:space="0" w:color="000000"/>
              <w:left w:val="single" w:sz="6" w:space="0" w:color="000000"/>
              <w:bottom w:val="single" w:sz="6" w:space="0" w:color="000000"/>
              <w:right w:val="single" w:sz="6" w:space="0" w:color="000000"/>
            </w:tcBorders>
          </w:tcPr>
          <w:p w:rsidR="00461F31" w:rsidRPr="0063727B" w:rsidRDefault="00461F31" w:rsidP="006B0E73">
            <w:pPr>
              <w:autoSpaceDE w:val="0"/>
              <w:autoSpaceDN w:val="0"/>
              <w:adjustRightInd w:val="0"/>
              <w:jc w:val="center"/>
              <w:rPr>
                <w:rFonts w:ascii="Times New Roman" w:hAnsi="Times New Roman" w:cs="Times New Roman"/>
              </w:rPr>
            </w:pPr>
            <w:r w:rsidRPr="0063727B">
              <w:rPr>
                <w:rFonts w:ascii="Times New Roman" w:hAnsi="Times New Roman" w:cs="Times New Roman"/>
              </w:rPr>
              <w:t>84,8%</w:t>
            </w:r>
          </w:p>
        </w:tc>
      </w:tr>
    </w:tbl>
    <w:p w:rsidR="00461F31" w:rsidRPr="0063727B" w:rsidRDefault="00461F31" w:rsidP="00A00E78">
      <w:pPr>
        <w:spacing w:after="0" w:line="240" w:lineRule="auto"/>
        <w:rPr>
          <w:rFonts w:ascii="Times New Roman" w:hAnsi="Times New Roman" w:cs="Times New Roman"/>
          <w:b/>
          <w:i/>
          <w:sz w:val="24"/>
          <w:szCs w:val="24"/>
        </w:rPr>
      </w:pPr>
    </w:p>
    <w:p w:rsidR="00B441B5" w:rsidRPr="0063727B" w:rsidRDefault="00461F31" w:rsidP="00B441B5">
      <w:pPr>
        <w:spacing w:after="0"/>
        <w:rPr>
          <w:rFonts w:ascii="Times New Roman" w:hAnsi="Times New Roman" w:cs="Times New Roman"/>
          <w:sz w:val="20"/>
          <w:szCs w:val="20"/>
        </w:rPr>
      </w:pPr>
      <w:r w:rsidRPr="0063727B">
        <w:rPr>
          <w:rFonts w:ascii="Times New Roman" w:hAnsi="Times New Roman" w:cs="Times New Roman"/>
          <w:sz w:val="24"/>
          <w:szCs w:val="24"/>
        </w:rPr>
        <w:t xml:space="preserve"> </w:t>
      </w:r>
      <w:r w:rsidR="00B441B5" w:rsidRPr="0063727B">
        <w:rPr>
          <w:rFonts w:ascii="Times New Roman" w:hAnsi="Times New Roman" w:cs="Times New Roman"/>
          <w:sz w:val="24"/>
          <w:szCs w:val="24"/>
        </w:rPr>
        <w:t>(</w:t>
      </w:r>
      <w:r w:rsidR="00B441B5" w:rsidRPr="0063727B">
        <w:rPr>
          <w:rFonts w:ascii="Times New Roman" w:hAnsi="Times New Roman" w:cs="Times New Roman"/>
          <w:sz w:val="20"/>
          <w:szCs w:val="20"/>
        </w:rPr>
        <w:t>b) – pārtraukums laikrindās (2011.gada Tautas skaitīšanas rezultāti)</w:t>
      </w:r>
    </w:p>
    <w:p w:rsidR="00B441B5" w:rsidRPr="0063727B" w:rsidRDefault="00B441B5" w:rsidP="00B441B5">
      <w:pPr>
        <w:spacing w:after="0" w:line="240" w:lineRule="auto"/>
        <w:rPr>
          <w:rFonts w:ascii="Times New Roman" w:hAnsi="Times New Roman" w:cs="Times New Roman"/>
          <w:sz w:val="20"/>
          <w:szCs w:val="20"/>
        </w:rPr>
      </w:pPr>
      <w:r w:rsidRPr="0063727B">
        <w:rPr>
          <w:rFonts w:ascii="Times New Roman" w:hAnsi="Times New Roman" w:cs="Times New Roman"/>
          <w:sz w:val="20"/>
          <w:szCs w:val="20"/>
        </w:rPr>
        <w:t>Avots: Eurostat dati.</w:t>
      </w:r>
    </w:p>
    <w:p w:rsidR="00343AF5" w:rsidRPr="0063727B" w:rsidRDefault="00343AF5" w:rsidP="0023436A">
      <w:pPr>
        <w:pStyle w:val="Heading1"/>
        <w:rPr>
          <w:rFonts w:ascii="Times New Roman" w:hAnsi="Times New Roman" w:cs="Times New Roman"/>
          <w:color w:val="auto"/>
          <w:lang w:val="lv-LV"/>
        </w:rPr>
      </w:pPr>
      <w:r w:rsidRPr="0063727B">
        <w:rPr>
          <w:color w:val="auto"/>
          <w:lang w:val="lv-LV"/>
        </w:rPr>
        <w:br w:type="page"/>
      </w:r>
      <w:bookmarkStart w:id="82" w:name="_Toc372812649"/>
      <w:r w:rsidRPr="0063727B">
        <w:rPr>
          <w:rFonts w:ascii="Times New Roman" w:hAnsi="Times New Roman" w:cs="Times New Roman"/>
          <w:color w:val="auto"/>
          <w:lang w:val="lv-LV"/>
        </w:rPr>
        <w:lastRenderedPageBreak/>
        <w:t>IZMANTOTO TERMINU DEFINĪCIJAS</w:t>
      </w:r>
      <w:bookmarkEnd w:id="82"/>
    </w:p>
    <w:p w:rsidR="00343AF5" w:rsidRPr="0063727B" w:rsidRDefault="00343AF5" w:rsidP="001B623A">
      <w:pPr>
        <w:spacing w:after="120"/>
        <w:jc w:val="both"/>
        <w:rPr>
          <w:rFonts w:ascii="Times New Roman" w:hAnsi="Times New Roman" w:cs="Times New Roman"/>
          <w:sz w:val="24"/>
          <w:szCs w:val="24"/>
        </w:rPr>
      </w:pP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Džini koeficients</w:t>
      </w:r>
      <w:r w:rsidRPr="0063727B">
        <w:rPr>
          <w:rFonts w:ascii="Times New Roman" w:hAnsi="Times New Roman" w:cs="Times New Roman"/>
          <w:b/>
          <w:bCs/>
          <w:sz w:val="24"/>
          <w:szCs w:val="24"/>
        </w:rPr>
        <w:t xml:space="preserve"> - </w:t>
      </w:r>
      <w:r w:rsidRPr="0063727B">
        <w:rPr>
          <w:rFonts w:ascii="Times New Roman" w:hAnsi="Times New Roman" w:cs="Times New Roman"/>
          <w:sz w:val="24"/>
          <w:szCs w:val="24"/>
        </w:rPr>
        <w:t>raksturo ienākumu nevienlīdzību. Tas variē no 0 līdz 100. Džini koeficients ir 0, ja pastāv absolūta ienākumu vienlīdzība (t.i., visiem iedzīvotājiem ir vienādi ienākumi), bet, jo vairāk tas tuvojas 100, jo lielāka ir ienākumu nevienlīdzība.</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 xml:space="preserve">Ekvivalentais rīcībā esošais ienākums - </w:t>
      </w:r>
      <w:r w:rsidRPr="0063727B">
        <w:rPr>
          <w:rFonts w:ascii="Times New Roman" w:hAnsi="Times New Roman" w:cs="Times New Roman"/>
          <w:sz w:val="24"/>
          <w:szCs w:val="24"/>
        </w:rPr>
        <w:t>mājsaimniecības rīcībā esošais ienākums, kas tiek aprēķināts uz ekvivalento patērētāju. To iegūst dalot mājsaimniecības ienākumu ar ekvivalento mājsaimniecības lielumu, kuru veido izmantojot modificēto OECD skalu – pirmajam pieaugušajam tiek pielīdzināts svars 1.0, katram nākamajam mājsaimniecības loceklim vecumā no 14 gadiem un vecākam – 0.5, bet katram bērnam jaunākam par 14 gadiem – 0.3.</w:t>
      </w:r>
    </w:p>
    <w:p w:rsidR="00343AF5" w:rsidRPr="0063727B" w:rsidRDefault="00343AF5" w:rsidP="00C93691">
      <w:pPr>
        <w:pStyle w:val="FootnoteText"/>
        <w:spacing w:before="240" w:after="240"/>
        <w:jc w:val="both"/>
        <w:rPr>
          <w:rFonts w:ascii="Times New Roman" w:hAnsi="Times New Roman" w:cs="Times New Roman"/>
          <w:sz w:val="24"/>
          <w:szCs w:val="24"/>
          <w:lang w:val="lv-LV"/>
        </w:rPr>
      </w:pPr>
      <w:r w:rsidRPr="0063727B">
        <w:rPr>
          <w:rFonts w:ascii="Times New Roman" w:hAnsi="Times New Roman" w:cs="Times New Roman"/>
          <w:b/>
          <w:bCs/>
          <w:sz w:val="24"/>
          <w:szCs w:val="24"/>
          <w:lang w:val="lv-LV"/>
        </w:rPr>
        <w:t>Kvintile</w:t>
      </w:r>
      <w:r w:rsidRPr="0063727B">
        <w:rPr>
          <w:rFonts w:ascii="Times New Roman" w:hAnsi="Times New Roman" w:cs="Times New Roman"/>
          <w:sz w:val="24"/>
          <w:szCs w:val="24"/>
          <w:lang w:val="lv-LV"/>
        </w:rPr>
        <w:t xml:space="preserve"> - viena piektā daļa (20%) no apsekoto mājsaimniecību skaita, kuras sagrupētas pieaugošā kārtībā pēc to rīcībā esošā ienākuma uz vienu mājsaimniecības locekli (1.kvintile – nabadzīgākā).</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Fonts w:ascii="Times New Roman" w:hAnsi="Times New Roman" w:cs="Times New Roman"/>
          <w:b/>
          <w:bCs/>
          <w:sz w:val="24"/>
          <w:szCs w:val="24"/>
        </w:rPr>
        <w:t>Materiālā nenodrošinātība</w:t>
      </w:r>
      <w:r w:rsidRPr="0063727B">
        <w:rPr>
          <w:rFonts w:ascii="Times New Roman" w:hAnsi="Times New Roman" w:cs="Times New Roman"/>
          <w:sz w:val="24"/>
          <w:szCs w:val="24"/>
        </w:rPr>
        <w:t xml:space="preserve"> </w:t>
      </w:r>
      <w:r w:rsidR="00C93691" w:rsidRPr="0063727B">
        <w:rPr>
          <w:rFonts w:ascii="Times New Roman" w:hAnsi="Times New Roman" w:cs="Times New Roman"/>
          <w:sz w:val="24"/>
          <w:szCs w:val="24"/>
        </w:rPr>
        <w:t xml:space="preserve">– </w:t>
      </w:r>
      <w:r w:rsidRPr="0063727B">
        <w:rPr>
          <w:rFonts w:ascii="Times New Roman" w:hAnsi="Times New Roman" w:cs="Times New Roman"/>
          <w:sz w:val="24"/>
          <w:szCs w:val="24"/>
        </w:rPr>
        <w:t>EU-SILC</w:t>
      </w:r>
      <w:r w:rsidR="00C93691" w:rsidRPr="0063727B">
        <w:rPr>
          <w:rStyle w:val="FootnoteReference"/>
          <w:rFonts w:ascii="Times New Roman" w:hAnsi="Times New Roman" w:cs="Times New Roman"/>
          <w:sz w:val="24"/>
          <w:szCs w:val="24"/>
        </w:rPr>
        <w:footnoteReference w:id="113"/>
      </w:r>
      <w:r w:rsidRPr="0063727B">
        <w:rPr>
          <w:rFonts w:ascii="Times New Roman" w:hAnsi="Times New Roman" w:cs="Times New Roman"/>
          <w:sz w:val="24"/>
          <w:szCs w:val="24"/>
        </w:rPr>
        <w:t xml:space="preserve"> apsekojumā tiek definēta kā iemeslu kopums, kas mājsaimniecībai liedz pieeju noteiktiem materiāliem labumiem. Materiālās nenodrošinātības rādītājus var aplūkot kā mājsaimniecību, tā arī tajās dzīvojošo personu līmenī. Dati tiek vākti, lai papildus monetārajiem un ienākumu nevienlīdzības indikatoriem, varētu vispusīgāk un plašāk novērtēt nabadzību un sociālo atstumtību</w:t>
      </w:r>
      <w:r w:rsidRPr="0063727B">
        <w:rPr>
          <w:rStyle w:val="FootnoteReference"/>
          <w:rFonts w:ascii="Times New Roman" w:hAnsi="Times New Roman" w:cs="Times New Roman"/>
          <w:sz w:val="24"/>
          <w:szCs w:val="24"/>
        </w:rPr>
        <w:footnoteReference w:id="114"/>
      </w:r>
      <w:r w:rsidRPr="0063727B">
        <w:rPr>
          <w:rFonts w:ascii="Times New Roman" w:hAnsi="Times New Roman" w:cs="Times New Roman"/>
          <w:sz w:val="24"/>
          <w:szCs w:val="24"/>
        </w:rPr>
        <w:t xml:space="preserve">.  </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Fonts w:ascii="Times New Roman" w:hAnsi="Times New Roman" w:cs="Times New Roman"/>
          <w:b/>
          <w:bCs/>
          <w:sz w:val="24"/>
          <w:szCs w:val="24"/>
          <w:shd w:val="clear" w:color="auto" w:fill="FFFFFF"/>
        </w:rPr>
        <w:t>Mediāna</w:t>
      </w:r>
      <w:r w:rsidRPr="0063727B">
        <w:rPr>
          <w:rFonts w:ascii="Times New Roman" w:hAnsi="Times New Roman" w:cs="Times New Roman"/>
          <w:sz w:val="24"/>
          <w:szCs w:val="24"/>
          <w:shd w:val="clear" w:color="auto" w:fill="FFFFFF"/>
        </w:rPr>
        <w:t xml:space="preserve"> ir statistiskais rādītājs, kas raksturo novērojumu, kas sagrupēti no zemākās vērtības līdz augstākajai, centra vērtību (sadalījuma viduspunktu)</w:t>
      </w:r>
      <w:r w:rsidRPr="0063727B">
        <w:rPr>
          <w:rStyle w:val="FootnoteReference"/>
          <w:rFonts w:ascii="Times New Roman" w:hAnsi="Times New Roman" w:cs="Times New Roman"/>
          <w:sz w:val="24"/>
          <w:szCs w:val="24"/>
          <w:shd w:val="clear" w:color="auto" w:fill="FFFFFF"/>
        </w:rPr>
        <w:footnoteReference w:id="115"/>
      </w:r>
      <w:r w:rsidRPr="0063727B">
        <w:rPr>
          <w:rFonts w:ascii="Times New Roman" w:hAnsi="Times New Roman" w:cs="Times New Roman"/>
          <w:sz w:val="24"/>
          <w:szCs w:val="24"/>
          <w:shd w:val="clear" w:color="auto" w:fill="FFFFFF"/>
        </w:rPr>
        <w:t>.</w:t>
      </w:r>
    </w:p>
    <w:p w:rsidR="00343AF5" w:rsidRPr="0063727B" w:rsidRDefault="00343AF5" w:rsidP="00C93691">
      <w:pPr>
        <w:spacing w:before="240" w:after="240" w:line="240" w:lineRule="auto"/>
        <w:jc w:val="both"/>
        <w:rPr>
          <w:rStyle w:val="field-content"/>
          <w:rFonts w:ascii="Times New Roman" w:hAnsi="Times New Roman" w:cs="Times New Roman"/>
          <w:b/>
          <w:bCs/>
          <w:sz w:val="24"/>
          <w:szCs w:val="24"/>
        </w:rPr>
      </w:pPr>
      <w:r w:rsidRPr="0063727B">
        <w:rPr>
          <w:rStyle w:val="field-content"/>
          <w:rFonts w:ascii="Times New Roman" w:hAnsi="Times New Roman" w:cs="Times New Roman"/>
          <w:b/>
          <w:bCs/>
          <w:sz w:val="24"/>
          <w:szCs w:val="24"/>
        </w:rPr>
        <w:t>Nabadzība</w:t>
      </w:r>
      <w:r w:rsidRPr="0063727B">
        <w:rPr>
          <w:rFonts w:ascii="Times New Roman" w:hAnsi="Times New Roman" w:cs="Times New Roman"/>
          <w:sz w:val="24"/>
          <w:szCs w:val="24"/>
        </w:rPr>
        <w:t xml:space="preserve"> nozīmē materiālo resursu trūkumu, kā rezultātā cilvēks nevar nodrošināt dzīvei nepieciešamās pamatvajadzības (pārtika, mājoklis, veselība, izglītība, kultūra u.c.).</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 xml:space="preserve">Nabadzības riska indekss - </w:t>
      </w:r>
      <w:r w:rsidRPr="0063727B">
        <w:rPr>
          <w:rFonts w:ascii="Times New Roman" w:hAnsi="Times New Roman" w:cs="Times New Roman"/>
          <w:sz w:val="24"/>
          <w:szCs w:val="24"/>
        </w:rPr>
        <w:t>iedzīvotāju īpatsvars (procentos) zem izraudzītā nabadzības riska sliekšņa.</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Nabadzības riska slieksnis</w:t>
      </w:r>
      <w:r w:rsidRPr="0063727B">
        <w:rPr>
          <w:rFonts w:ascii="Times New Roman" w:hAnsi="Times New Roman" w:cs="Times New Roman"/>
          <w:b/>
          <w:bCs/>
          <w:sz w:val="24"/>
          <w:szCs w:val="24"/>
        </w:rPr>
        <w:t xml:space="preserve"> - </w:t>
      </w:r>
      <w:r w:rsidRPr="0063727B">
        <w:rPr>
          <w:rFonts w:ascii="Times New Roman" w:hAnsi="Times New Roman" w:cs="Times New Roman"/>
          <w:sz w:val="24"/>
          <w:szCs w:val="24"/>
        </w:rPr>
        <w:t>60% no rīcībā esošo ienākumu mediānas pārrēķinātas uz ekvivalento patērētāju.</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 xml:space="preserve">Nabadzības vai sociālās atstumtības risks - </w:t>
      </w:r>
      <w:r w:rsidRPr="0063727B">
        <w:rPr>
          <w:rFonts w:ascii="Times New Roman" w:hAnsi="Times New Roman" w:cs="Times New Roman"/>
          <w:sz w:val="24"/>
          <w:szCs w:val="24"/>
        </w:rPr>
        <w:t>personas, kuru ienākumi ir mazāki par nabadzības riska slieksni vai ir izteikti materiāli nenodrošinātas vai arī nodarbinātas darbā ar zemu intensitāti.</w:t>
      </w:r>
    </w:p>
    <w:p w:rsidR="00C93691" w:rsidRPr="0063727B" w:rsidRDefault="00C93691" w:rsidP="00C93691">
      <w:pPr>
        <w:spacing w:before="240" w:after="240" w:line="240" w:lineRule="auto"/>
        <w:jc w:val="both"/>
        <w:rPr>
          <w:rFonts w:ascii="Times New Roman" w:hAnsi="Times New Roman" w:cs="Times New Roman"/>
          <w:sz w:val="24"/>
          <w:szCs w:val="24"/>
        </w:rPr>
      </w:pPr>
      <w:r w:rsidRPr="0063727B">
        <w:rPr>
          <w:rFonts w:ascii="Times New Roman" w:hAnsi="Times New Roman" w:cs="Times New Roman"/>
          <w:b/>
          <w:sz w:val="24"/>
          <w:szCs w:val="24"/>
        </w:rPr>
        <w:t>Relatīvā mediānas nabadzības riska plaisa</w:t>
      </w:r>
      <w:r w:rsidRPr="0063727B">
        <w:rPr>
          <w:rFonts w:ascii="Times New Roman" w:hAnsi="Times New Roman" w:cs="Times New Roman"/>
          <w:sz w:val="24"/>
          <w:szCs w:val="24"/>
        </w:rPr>
        <w:t xml:space="preserve"> - procentuāla starpība starp zem nabadzības riska sliekšņa esošo iedzīvotāju ienākumu mediānu un pašu nabadzības riska slieksni.</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lastRenderedPageBreak/>
        <w:t>S80/S20 kvintiļu attiecības indekss</w:t>
      </w:r>
      <w:r w:rsidR="00C93691" w:rsidRPr="0063727B">
        <w:rPr>
          <w:rStyle w:val="field-content"/>
          <w:rFonts w:ascii="Times New Roman" w:hAnsi="Times New Roman" w:cs="Times New Roman"/>
          <w:b/>
          <w:bCs/>
          <w:sz w:val="24"/>
          <w:szCs w:val="24"/>
        </w:rPr>
        <w:t xml:space="preserve"> </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attiecība starp rīcībā esošo ienākumu summu, ko saņem 20% valsts iedzīvotāju ar augstākajiem ienākumiem (augstākā kvintile) pret ienākumu summu, ko saņem 20% valsts iedzīvotāju ar zemākajiem ienākumiem (zemākā kvintile).</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Sociālā atstumtība -</w:t>
      </w:r>
      <w:r w:rsidRPr="0063727B">
        <w:rPr>
          <w:rFonts w:ascii="Times New Roman" w:hAnsi="Times New Roman" w:cs="Times New Roman"/>
          <w:sz w:val="24"/>
          <w:szCs w:val="24"/>
        </w:rPr>
        <w:t xml:space="preserve"> plašāks jēdziens nekā nabadzība. Sociāli atstumts cilvēks nespēj piekļūt pakalpojumiem un precēm, nespēj īstenot savas tiesības un izmantot iespējas, jo pastāv šķēršļi, kas to liedz, piemēram, vides nepieejamība, sabiedrības aizspriedumi, emocionālā un fiziskā vardarbība u.c. Būt nabadzīgam un sociāli atstumtam nozīmē justies atšķirīgi un neiederīgi apkārtējā sabiedrībā. Sociālā atstumtība var būt gan nabadzības cēlonis, gan arī nabadzības sekas. </w:t>
      </w:r>
    </w:p>
    <w:p w:rsidR="00343AF5" w:rsidRPr="0063727B" w:rsidRDefault="00343AF5" w:rsidP="00C93691">
      <w:pPr>
        <w:spacing w:before="240" w:after="240" w:line="240" w:lineRule="auto"/>
        <w:jc w:val="both"/>
        <w:rPr>
          <w:rFonts w:ascii="Times New Roman" w:hAnsi="Times New Roman" w:cs="Times New Roman"/>
          <w:sz w:val="24"/>
          <w:szCs w:val="24"/>
        </w:rPr>
      </w:pPr>
      <w:r w:rsidRPr="0063727B">
        <w:rPr>
          <w:rStyle w:val="field-content"/>
          <w:rFonts w:ascii="Times New Roman" w:hAnsi="Times New Roman" w:cs="Times New Roman"/>
          <w:b/>
          <w:bCs/>
          <w:sz w:val="24"/>
          <w:szCs w:val="24"/>
        </w:rPr>
        <w:t xml:space="preserve">Sociālie transferti </w:t>
      </w:r>
      <w:r w:rsidRPr="0063727B">
        <w:rPr>
          <w:rFonts w:ascii="Times New Roman" w:hAnsi="Times New Roman" w:cs="Times New Roman"/>
          <w:b/>
          <w:bCs/>
          <w:sz w:val="24"/>
          <w:szCs w:val="24"/>
        </w:rPr>
        <w:t xml:space="preserve">- </w:t>
      </w:r>
      <w:r w:rsidRPr="0063727B">
        <w:rPr>
          <w:rFonts w:ascii="Times New Roman" w:hAnsi="Times New Roman" w:cs="Times New Roman"/>
          <w:sz w:val="24"/>
          <w:szCs w:val="24"/>
        </w:rPr>
        <w:t>valsts, pašvaldības piešķirtās pensijas un pabalsti, izmaksātie uzturlīdzekļi bērniem, stipendijas, sociālās apdrošināšanas pabalsti un kompensācijas, tai skaitā arī citu valstu.</w:t>
      </w:r>
    </w:p>
    <w:p w:rsidR="00343AF5" w:rsidRPr="0063727B" w:rsidRDefault="00343AF5" w:rsidP="00C93691">
      <w:pPr>
        <w:spacing w:before="240" w:after="240"/>
        <w:jc w:val="both"/>
      </w:pPr>
    </w:p>
    <w:p w:rsidR="00DB2E20" w:rsidRPr="0063727B" w:rsidRDefault="00DB2E20" w:rsidP="00C93691">
      <w:pPr>
        <w:spacing w:before="240" w:after="240"/>
        <w:jc w:val="both"/>
      </w:pPr>
    </w:p>
    <w:p w:rsidR="00DB2E20" w:rsidRPr="0063727B" w:rsidRDefault="00DB2E20" w:rsidP="00C93691">
      <w:pPr>
        <w:spacing w:before="240" w:after="240"/>
        <w:jc w:val="both"/>
      </w:pPr>
    </w:p>
    <w:p w:rsidR="00DB2E20" w:rsidRPr="0063727B" w:rsidRDefault="00DB2E20" w:rsidP="00DB2E20">
      <w:pPr>
        <w:widowControl w:val="0"/>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63727B">
        <w:rPr>
          <w:rFonts w:ascii="Times New Roman" w:hAnsi="Times New Roman" w:cs="Times New Roman"/>
          <w:sz w:val="24"/>
          <w:szCs w:val="24"/>
        </w:rPr>
        <w:t>Labklājības ministre</w:t>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r w:rsidRPr="0063727B">
        <w:rPr>
          <w:rFonts w:ascii="Times New Roman" w:hAnsi="Times New Roman" w:cs="Times New Roman"/>
          <w:sz w:val="24"/>
          <w:szCs w:val="24"/>
        </w:rPr>
        <w:tab/>
      </w:r>
      <w:proofErr w:type="spellStart"/>
      <w:r w:rsidRPr="0063727B">
        <w:rPr>
          <w:rFonts w:ascii="Times New Roman" w:hAnsi="Times New Roman" w:cs="Times New Roman"/>
          <w:sz w:val="24"/>
          <w:szCs w:val="24"/>
        </w:rPr>
        <w:t>I.Viņķele</w:t>
      </w:r>
      <w:proofErr w:type="spellEnd"/>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Default="00DB2E20" w:rsidP="00DB2E20">
      <w:pPr>
        <w:spacing w:after="0" w:line="240" w:lineRule="auto"/>
        <w:rPr>
          <w:rFonts w:ascii="Times New Roman" w:hAnsi="Times New Roman" w:cs="Times New Roman"/>
          <w:sz w:val="24"/>
          <w:szCs w:val="24"/>
        </w:rPr>
      </w:pPr>
    </w:p>
    <w:p w:rsidR="00920C0F" w:rsidRDefault="00920C0F" w:rsidP="00DB2E20">
      <w:pPr>
        <w:spacing w:after="0" w:line="240" w:lineRule="auto"/>
        <w:rPr>
          <w:rFonts w:ascii="Times New Roman" w:hAnsi="Times New Roman" w:cs="Times New Roman"/>
          <w:sz w:val="24"/>
          <w:szCs w:val="24"/>
        </w:rPr>
      </w:pPr>
    </w:p>
    <w:p w:rsidR="00920C0F" w:rsidRDefault="00920C0F" w:rsidP="00DB2E20">
      <w:pPr>
        <w:spacing w:after="0" w:line="240" w:lineRule="auto"/>
        <w:rPr>
          <w:rFonts w:ascii="Times New Roman" w:hAnsi="Times New Roman" w:cs="Times New Roman"/>
          <w:sz w:val="24"/>
          <w:szCs w:val="24"/>
        </w:rPr>
      </w:pPr>
    </w:p>
    <w:p w:rsidR="00920C0F" w:rsidRDefault="00920C0F" w:rsidP="00DB2E20">
      <w:pPr>
        <w:spacing w:after="0" w:line="240" w:lineRule="auto"/>
        <w:rPr>
          <w:rFonts w:ascii="Times New Roman" w:hAnsi="Times New Roman" w:cs="Times New Roman"/>
          <w:sz w:val="24"/>
          <w:szCs w:val="24"/>
        </w:rPr>
      </w:pPr>
    </w:p>
    <w:p w:rsidR="00920C0F" w:rsidRPr="0063727B" w:rsidRDefault="00920C0F"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24"/>
          <w:szCs w:val="24"/>
        </w:rPr>
      </w:pPr>
    </w:p>
    <w:p w:rsidR="00DB2E20" w:rsidRPr="0063727B" w:rsidRDefault="00DB2E20" w:rsidP="00DB2E20">
      <w:pPr>
        <w:spacing w:after="0" w:line="240" w:lineRule="auto"/>
        <w:rPr>
          <w:rFonts w:ascii="Times New Roman" w:hAnsi="Times New Roman" w:cs="Times New Roman"/>
          <w:sz w:val="18"/>
          <w:szCs w:val="18"/>
        </w:rPr>
      </w:pPr>
      <w:r w:rsidRPr="007B7256">
        <w:rPr>
          <w:rFonts w:ascii="Times New Roman" w:hAnsi="Times New Roman" w:cs="Times New Roman"/>
          <w:sz w:val="18"/>
          <w:szCs w:val="18"/>
        </w:rPr>
        <w:t>2</w:t>
      </w:r>
      <w:r w:rsidR="00920C0F" w:rsidRPr="007B7256">
        <w:rPr>
          <w:rFonts w:ascii="Times New Roman" w:hAnsi="Times New Roman" w:cs="Times New Roman"/>
          <w:sz w:val="18"/>
          <w:szCs w:val="18"/>
        </w:rPr>
        <w:t>1</w:t>
      </w:r>
      <w:r w:rsidRPr="007B7256">
        <w:rPr>
          <w:rFonts w:ascii="Times New Roman" w:hAnsi="Times New Roman" w:cs="Times New Roman"/>
          <w:sz w:val="18"/>
          <w:szCs w:val="18"/>
        </w:rPr>
        <w:t xml:space="preserve">.11.2013. </w:t>
      </w:r>
      <w:r w:rsidR="00532E07" w:rsidRPr="007B7256">
        <w:rPr>
          <w:rFonts w:ascii="Times New Roman" w:hAnsi="Times New Roman" w:cs="Times New Roman"/>
          <w:sz w:val="18"/>
          <w:szCs w:val="18"/>
        </w:rPr>
        <w:t>1</w:t>
      </w:r>
      <w:r w:rsidR="004C4989">
        <w:rPr>
          <w:rFonts w:ascii="Times New Roman" w:hAnsi="Times New Roman" w:cs="Times New Roman"/>
          <w:sz w:val="18"/>
          <w:szCs w:val="18"/>
        </w:rPr>
        <w:t>6</w:t>
      </w:r>
      <w:r w:rsidRPr="007B7256">
        <w:rPr>
          <w:rFonts w:ascii="Times New Roman" w:hAnsi="Times New Roman" w:cs="Times New Roman"/>
          <w:sz w:val="18"/>
          <w:szCs w:val="18"/>
        </w:rPr>
        <w:t>:</w:t>
      </w:r>
      <w:r w:rsidR="004C4989">
        <w:rPr>
          <w:rFonts w:ascii="Times New Roman" w:hAnsi="Times New Roman" w:cs="Times New Roman"/>
          <w:sz w:val="18"/>
          <w:szCs w:val="18"/>
        </w:rPr>
        <w:t>00</w:t>
      </w:r>
    </w:p>
    <w:p w:rsidR="00DB2E20" w:rsidRPr="0063727B" w:rsidRDefault="00DB2E20" w:rsidP="00DB2E20">
      <w:pPr>
        <w:spacing w:after="0" w:line="240" w:lineRule="auto"/>
        <w:rPr>
          <w:rFonts w:ascii="Times New Roman" w:hAnsi="Times New Roman" w:cs="Times New Roman"/>
          <w:sz w:val="18"/>
          <w:szCs w:val="18"/>
        </w:rPr>
      </w:pPr>
      <w:r w:rsidRPr="007B7256">
        <w:rPr>
          <w:rFonts w:ascii="Times New Roman" w:hAnsi="Times New Roman" w:cs="Times New Roman"/>
          <w:sz w:val="18"/>
          <w:szCs w:val="18"/>
        </w:rPr>
        <w:t>19 </w:t>
      </w:r>
      <w:r w:rsidR="00532E07" w:rsidRPr="007B7256">
        <w:rPr>
          <w:rFonts w:ascii="Times New Roman" w:hAnsi="Times New Roman" w:cs="Times New Roman"/>
          <w:sz w:val="18"/>
          <w:szCs w:val="18"/>
        </w:rPr>
        <w:t>87</w:t>
      </w:r>
      <w:r w:rsidR="00920C0F" w:rsidRPr="007B7256">
        <w:rPr>
          <w:rFonts w:ascii="Times New Roman" w:hAnsi="Times New Roman" w:cs="Times New Roman"/>
          <w:sz w:val="18"/>
          <w:szCs w:val="18"/>
        </w:rPr>
        <w:t>7</w:t>
      </w:r>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 xml:space="preserve">Maruta </w:t>
      </w:r>
      <w:proofErr w:type="spellStart"/>
      <w:r w:rsidRPr="0063727B">
        <w:rPr>
          <w:rFonts w:ascii="Times New Roman" w:hAnsi="Times New Roman" w:cs="Times New Roman"/>
          <w:sz w:val="18"/>
          <w:szCs w:val="18"/>
        </w:rPr>
        <w:t>Pavasare</w:t>
      </w:r>
      <w:proofErr w:type="spellEnd"/>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 xml:space="preserve">Sociālās iekļaušanas un sociālā darba politikas departamenta </w:t>
      </w:r>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vecākā referente, tālr. 67021661; fakss 67021607</w:t>
      </w:r>
    </w:p>
    <w:p w:rsidR="00DB2E20" w:rsidRPr="0063727B" w:rsidRDefault="008117FC" w:rsidP="00DB2E20">
      <w:pPr>
        <w:spacing w:after="0" w:line="240" w:lineRule="auto"/>
        <w:rPr>
          <w:rFonts w:ascii="Times New Roman" w:hAnsi="Times New Roman" w:cs="Times New Roman"/>
          <w:sz w:val="18"/>
          <w:szCs w:val="18"/>
        </w:rPr>
      </w:pPr>
      <w:hyperlink r:id="rId30" w:history="1">
        <w:r w:rsidR="00DB2E20" w:rsidRPr="0063727B">
          <w:rPr>
            <w:rStyle w:val="Hyperlink"/>
            <w:rFonts w:ascii="Times New Roman" w:hAnsi="Times New Roman" w:cs="Times New Roman"/>
            <w:color w:val="auto"/>
            <w:sz w:val="18"/>
            <w:szCs w:val="18"/>
          </w:rPr>
          <w:t>maruta.pavasare@lm.gov.lv</w:t>
        </w:r>
      </w:hyperlink>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Evija Kūla</w:t>
      </w:r>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 xml:space="preserve">Sociālās iekļaušanas un sociālā darba politikas departamenta </w:t>
      </w:r>
    </w:p>
    <w:p w:rsidR="00DB2E20" w:rsidRPr="0063727B" w:rsidRDefault="00DB2E20" w:rsidP="00DB2E20">
      <w:pPr>
        <w:spacing w:after="0" w:line="240" w:lineRule="auto"/>
        <w:rPr>
          <w:rFonts w:ascii="Times New Roman" w:hAnsi="Times New Roman" w:cs="Times New Roman"/>
          <w:sz w:val="18"/>
          <w:szCs w:val="18"/>
        </w:rPr>
      </w:pPr>
      <w:r w:rsidRPr="0063727B">
        <w:rPr>
          <w:rFonts w:ascii="Times New Roman" w:hAnsi="Times New Roman" w:cs="Times New Roman"/>
          <w:sz w:val="18"/>
          <w:szCs w:val="18"/>
        </w:rPr>
        <w:t>vecākā eksperte, tālr. 67021692</w:t>
      </w:r>
    </w:p>
    <w:p w:rsidR="00DB2E20" w:rsidRPr="0063727B" w:rsidRDefault="008117FC" w:rsidP="00DB2E20">
      <w:pPr>
        <w:spacing w:after="0" w:line="240" w:lineRule="auto"/>
        <w:rPr>
          <w:rFonts w:ascii="Times New Roman" w:hAnsi="Times New Roman" w:cs="Times New Roman"/>
          <w:sz w:val="18"/>
          <w:szCs w:val="18"/>
        </w:rPr>
      </w:pPr>
      <w:hyperlink r:id="rId31" w:history="1">
        <w:r w:rsidR="00DB2E20" w:rsidRPr="0063727B">
          <w:rPr>
            <w:rStyle w:val="Hyperlink"/>
            <w:rFonts w:ascii="Times New Roman" w:hAnsi="Times New Roman" w:cs="Times New Roman"/>
            <w:color w:val="auto"/>
            <w:sz w:val="18"/>
            <w:szCs w:val="18"/>
          </w:rPr>
          <w:t>evija.kula@lm.gov.lv</w:t>
        </w:r>
      </w:hyperlink>
    </w:p>
    <w:p w:rsidR="00343AF5" w:rsidRPr="0063727B" w:rsidRDefault="00343AF5" w:rsidP="00DB2E20">
      <w:pPr>
        <w:spacing w:after="0" w:line="240" w:lineRule="auto"/>
      </w:pPr>
    </w:p>
    <w:sectPr w:rsidR="00343AF5" w:rsidRPr="0063727B" w:rsidSect="008A78DA">
      <w:pgSz w:w="11906" w:h="16838"/>
      <w:pgMar w:top="1134" w:right="1797"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FC" w:rsidRDefault="008117FC" w:rsidP="00215670">
      <w:pPr>
        <w:spacing w:after="0" w:line="240" w:lineRule="auto"/>
      </w:pPr>
      <w:r>
        <w:separator/>
      </w:r>
    </w:p>
  </w:endnote>
  <w:endnote w:type="continuationSeparator" w:id="0">
    <w:p w:rsidR="008117FC" w:rsidRDefault="008117FC"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26301"/>
      <w:docPartObj>
        <w:docPartGallery w:val="Page Numbers (Bottom of Page)"/>
        <w:docPartUnique/>
      </w:docPartObj>
    </w:sdtPr>
    <w:sdtEndPr>
      <w:rPr>
        <w:noProof/>
      </w:rPr>
    </w:sdtEndPr>
    <w:sdtContent>
      <w:p w:rsidR="008117FC" w:rsidRDefault="008117FC">
        <w:pPr>
          <w:pStyle w:val="Footer"/>
          <w:jc w:val="center"/>
          <w:rPr>
            <w:noProof/>
          </w:rPr>
        </w:pPr>
      </w:p>
      <w:p w:rsidR="008117FC" w:rsidRPr="00634012" w:rsidRDefault="008117FC" w:rsidP="008117FC">
        <w:pPr>
          <w:pStyle w:val="Footer"/>
          <w:ind w:right="360"/>
          <w:jc w:val="both"/>
          <w:rPr>
            <w:rFonts w:ascii="Times New Roman" w:hAnsi="Times New Roman" w:cs="Times New Roman"/>
            <w:sz w:val="20"/>
            <w:szCs w:val="20"/>
          </w:rPr>
        </w:pPr>
        <w:r w:rsidRPr="00634012">
          <w:rPr>
            <w:rFonts w:ascii="Times New Roman" w:hAnsi="Times New Roman" w:cs="Times New Roman"/>
            <w:sz w:val="20"/>
            <w:szCs w:val="20"/>
          </w:rPr>
          <w:fldChar w:fldCharType="begin"/>
        </w:r>
        <w:r w:rsidRPr="00634012">
          <w:rPr>
            <w:rFonts w:ascii="Times New Roman" w:hAnsi="Times New Roman" w:cs="Times New Roman"/>
            <w:sz w:val="20"/>
            <w:szCs w:val="20"/>
          </w:rPr>
          <w:instrText xml:space="preserve"> FILENAME </w:instrText>
        </w:r>
        <w:r w:rsidRPr="00634012">
          <w:rPr>
            <w:rFonts w:ascii="Times New Roman" w:hAnsi="Times New Roman" w:cs="Times New Roman"/>
            <w:sz w:val="20"/>
            <w:szCs w:val="20"/>
          </w:rPr>
          <w:fldChar w:fldCharType="separate"/>
        </w:r>
        <w:r>
          <w:rPr>
            <w:rFonts w:ascii="Times New Roman" w:hAnsi="Times New Roman" w:cs="Times New Roman"/>
            <w:noProof/>
            <w:sz w:val="20"/>
            <w:szCs w:val="20"/>
          </w:rPr>
          <w:t>LMZino_211113</w:t>
        </w:r>
        <w:r w:rsidRPr="00634012">
          <w:rPr>
            <w:rFonts w:ascii="Times New Roman" w:hAnsi="Times New Roman" w:cs="Times New Roman"/>
            <w:sz w:val="20"/>
            <w:szCs w:val="20"/>
          </w:rPr>
          <w:fldChar w:fldCharType="end"/>
        </w:r>
        <w:r w:rsidRPr="00634012">
          <w:rPr>
            <w:rFonts w:ascii="Times New Roman" w:hAnsi="Times New Roman" w:cs="Times New Roman"/>
            <w:sz w:val="20"/>
            <w:szCs w:val="20"/>
          </w:rPr>
          <w:t>; Informatīvais ziņojums „Priekšlikumi sociālās drošības sistēmas pilnveidošanai”</w:t>
        </w:r>
      </w:p>
      <w:p w:rsidR="008117FC" w:rsidRDefault="008117FC">
        <w:pPr>
          <w:pStyle w:val="Footer"/>
          <w:jc w:val="center"/>
        </w:pPr>
      </w:p>
    </w:sdtContent>
  </w:sdt>
  <w:p w:rsidR="008117FC" w:rsidRDefault="0081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2D" w:rsidRDefault="0068392D" w:rsidP="0068392D">
    <w:pPr>
      <w:pStyle w:val="Footer"/>
      <w:ind w:right="360"/>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D" w:rsidRDefault="007E4ADD" w:rsidP="007E4ADD">
    <w:pPr>
      <w:pStyle w:val="Footer"/>
      <w:ind w:right="360"/>
      <w:jc w:val="both"/>
      <w:rPr>
        <w:rFonts w:ascii="Times New Roman" w:hAnsi="Times New Roman" w:cs="Times New Roman"/>
        <w:sz w:val="20"/>
        <w:szCs w:val="20"/>
      </w:rPr>
    </w:pPr>
  </w:p>
  <w:p w:rsidR="007E4ADD" w:rsidRPr="00634012" w:rsidRDefault="007E4ADD" w:rsidP="007E4ADD">
    <w:pPr>
      <w:pStyle w:val="Footer"/>
      <w:ind w:right="360"/>
      <w:jc w:val="both"/>
      <w:rPr>
        <w:rFonts w:ascii="Times New Roman" w:hAnsi="Times New Roman" w:cs="Times New Roman"/>
        <w:sz w:val="20"/>
        <w:szCs w:val="20"/>
      </w:rPr>
    </w:pPr>
    <w:r w:rsidRPr="00634012">
      <w:rPr>
        <w:rFonts w:ascii="Times New Roman" w:hAnsi="Times New Roman" w:cs="Times New Roman"/>
        <w:sz w:val="20"/>
        <w:szCs w:val="20"/>
      </w:rPr>
      <w:fldChar w:fldCharType="begin"/>
    </w:r>
    <w:r w:rsidRPr="00634012">
      <w:rPr>
        <w:rFonts w:ascii="Times New Roman" w:hAnsi="Times New Roman" w:cs="Times New Roman"/>
        <w:sz w:val="20"/>
        <w:szCs w:val="20"/>
      </w:rPr>
      <w:instrText xml:space="preserve"> FILENAME </w:instrText>
    </w:r>
    <w:r w:rsidRPr="00634012">
      <w:rPr>
        <w:rFonts w:ascii="Times New Roman" w:hAnsi="Times New Roman" w:cs="Times New Roman"/>
        <w:sz w:val="20"/>
        <w:szCs w:val="20"/>
      </w:rPr>
      <w:fldChar w:fldCharType="separate"/>
    </w:r>
    <w:r>
      <w:rPr>
        <w:rFonts w:ascii="Times New Roman" w:hAnsi="Times New Roman" w:cs="Times New Roman"/>
        <w:noProof/>
        <w:sz w:val="20"/>
        <w:szCs w:val="20"/>
      </w:rPr>
      <w:t>LMZino_211113</w:t>
    </w:r>
    <w:r w:rsidRPr="00634012">
      <w:rPr>
        <w:rFonts w:ascii="Times New Roman" w:hAnsi="Times New Roman" w:cs="Times New Roman"/>
        <w:sz w:val="20"/>
        <w:szCs w:val="20"/>
      </w:rPr>
      <w:fldChar w:fldCharType="end"/>
    </w:r>
    <w:r w:rsidRPr="00634012">
      <w:rPr>
        <w:rFonts w:ascii="Times New Roman" w:hAnsi="Times New Roman" w:cs="Times New Roman"/>
        <w:sz w:val="20"/>
        <w:szCs w:val="20"/>
      </w:rPr>
      <w:t>; Informatīvais ziņojums „Priekšlikumi sociālās drošības sistēmas pilnveidošanai”</w:t>
    </w:r>
  </w:p>
  <w:p w:rsidR="007E4ADD" w:rsidRDefault="007E4ADD" w:rsidP="0068392D">
    <w:pPr>
      <w:pStyle w:val="Footer"/>
      <w:ind w:right="360"/>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FC" w:rsidRDefault="008117FC" w:rsidP="00215670">
      <w:pPr>
        <w:spacing w:after="0" w:line="240" w:lineRule="auto"/>
      </w:pPr>
      <w:r>
        <w:separator/>
      </w:r>
    </w:p>
  </w:footnote>
  <w:footnote w:type="continuationSeparator" w:id="0">
    <w:p w:rsidR="008117FC" w:rsidRDefault="008117FC" w:rsidP="00215670">
      <w:pPr>
        <w:spacing w:after="0" w:line="240" w:lineRule="auto"/>
      </w:pPr>
      <w:r>
        <w:continuationSeparator/>
      </w:r>
    </w:p>
  </w:footnote>
  <w:footnote w:id="1">
    <w:p w:rsidR="008117FC" w:rsidRDefault="008117FC" w:rsidP="002E6BE2">
      <w:pPr>
        <w:pStyle w:val="FootnoteText"/>
        <w:jc w:val="both"/>
      </w:pPr>
      <w:r w:rsidRPr="002E6BE2">
        <w:rPr>
          <w:rStyle w:val="FootnoteReference"/>
          <w:rFonts w:ascii="Times New Roman" w:hAnsi="Times New Roman" w:cs="Times New Roman"/>
        </w:rPr>
        <w:footnoteRef/>
      </w:r>
      <w:r w:rsidRPr="002E6BE2">
        <w:rPr>
          <w:rFonts w:ascii="Times New Roman" w:hAnsi="Times New Roman" w:cs="Times New Roman"/>
        </w:rPr>
        <w:t xml:space="preserve">  Latvijā Eiropas Sociālā harta ir spēkā no 2002.gada 02.marta. Saskaņā ar tās 13.pantu ikvienai personai, kurai trūkst attiecīgu līdzekļu, ir tiesības uz sociālo un medicīnisko palīdzību, paredzot Latvijas valstij kā līgumslēdzējai pusei pienākumu nodrošināt to, ka ikvienai personai, kam trūkst attiecīgu līdzekļu un kas nespēj nodrošināt šos līdzekļus vai nu pašas spēkiem vai no citiem avotiem, it īpaši no sociālās apdrošināšanas sistēmas pabalstiem, tiek sniegta atbilstoša palīdzība un slimības gadījumā - attiecīgās personas stāvoklim atbilstoša apkope.</w:t>
      </w:r>
    </w:p>
  </w:footnote>
  <w:footnote w:id="2">
    <w:p w:rsidR="008117FC" w:rsidRDefault="008117FC" w:rsidP="00D467C1">
      <w:pPr>
        <w:spacing w:after="0" w:line="240" w:lineRule="auto"/>
        <w:jc w:val="both"/>
      </w:pPr>
      <w:r w:rsidRPr="00D467C1">
        <w:rPr>
          <w:rStyle w:val="FootnoteReference"/>
          <w:rFonts w:ascii="Times New Roman" w:hAnsi="Times New Roman" w:cs="Times New Roman"/>
          <w:sz w:val="20"/>
          <w:szCs w:val="20"/>
        </w:rPr>
        <w:footnoteRef/>
      </w:r>
      <w:r w:rsidRPr="00D467C1">
        <w:rPr>
          <w:rFonts w:ascii="Times New Roman" w:hAnsi="Times New Roman" w:cs="Times New Roman"/>
          <w:sz w:val="20"/>
          <w:szCs w:val="20"/>
        </w:rPr>
        <w:t xml:space="preserve"> </w:t>
      </w:r>
      <w:r w:rsidRPr="00D467C1">
        <w:rPr>
          <w:rStyle w:val="hps"/>
          <w:rFonts w:ascii="Times New Roman" w:hAnsi="Times New Roman" w:cs="Times New Roman"/>
          <w:sz w:val="20"/>
          <w:szCs w:val="20"/>
        </w:rPr>
        <w:t>Profesionāla sociālā darba attīstības pamatnostādnes 2014.-2020.gadam (</w:t>
      </w:r>
      <w:r w:rsidRPr="00D467C1">
        <w:rPr>
          <w:rFonts w:ascii="Times New Roman" w:hAnsi="Times New Roman" w:cs="Times New Roman"/>
          <w:sz w:val="20"/>
          <w:szCs w:val="20"/>
        </w:rPr>
        <w:t>VSS izsludināts 20.06.2013.</w:t>
      </w:r>
      <w:r>
        <w:rPr>
          <w:rFonts w:ascii="Times New Roman" w:hAnsi="Times New Roman" w:cs="Times New Roman"/>
          <w:sz w:val="20"/>
          <w:szCs w:val="20"/>
        </w:rPr>
        <w:t>; VSS-1030</w:t>
      </w:r>
      <w:r w:rsidRPr="00D467C1">
        <w:rPr>
          <w:rStyle w:val="hps"/>
          <w:rFonts w:ascii="Times New Roman" w:hAnsi="Times New Roman" w:cs="Times New Roman"/>
          <w:sz w:val="20"/>
          <w:szCs w:val="20"/>
        </w:rPr>
        <w:t xml:space="preserve">), Pamatnostādnes ANO Konvencijas par personu ar invaliditāti tiesībām īstenošanai 2014.-2020.gadam </w:t>
      </w:r>
      <w:r w:rsidRPr="00D467C1">
        <w:rPr>
          <w:rFonts w:ascii="Times New Roman" w:hAnsi="Times New Roman" w:cs="Times New Roman"/>
          <w:sz w:val="20"/>
          <w:szCs w:val="20"/>
        </w:rPr>
        <w:t>VSS izsludināts 06.06.2013.</w:t>
      </w:r>
      <w:r>
        <w:rPr>
          <w:rFonts w:ascii="Times New Roman" w:hAnsi="Times New Roman" w:cs="Times New Roman"/>
          <w:sz w:val="20"/>
          <w:szCs w:val="20"/>
        </w:rPr>
        <w:t>; VSS-598</w:t>
      </w:r>
      <w:r w:rsidRPr="00D467C1">
        <w:rPr>
          <w:rFonts w:ascii="Times New Roman" w:hAnsi="Times New Roman" w:cs="Times New Roman"/>
          <w:sz w:val="20"/>
          <w:szCs w:val="20"/>
        </w:rPr>
        <w:t>)</w:t>
      </w:r>
      <w:r w:rsidRPr="00D467C1">
        <w:rPr>
          <w:rStyle w:val="hps"/>
          <w:rFonts w:ascii="Times New Roman" w:hAnsi="Times New Roman" w:cs="Times New Roman"/>
          <w:sz w:val="20"/>
          <w:szCs w:val="20"/>
        </w:rPr>
        <w:t xml:space="preserve">, </w:t>
      </w:r>
      <w:r>
        <w:rPr>
          <w:rStyle w:val="hps"/>
          <w:rFonts w:ascii="Times New Roman" w:hAnsi="Times New Roman" w:cs="Times New Roman"/>
          <w:sz w:val="20"/>
          <w:szCs w:val="20"/>
        </w:rPr>
        <w:t>P</w:t>
      </w:r>
      <w:r w:rsidRPr="00D467C1">
        <w:rPr>
          <w:rStyle w:val="hps"/>
          <w:rFonts w:ascii="Times New Roman" w:hAnsi="Times New Roman" w:cs="Times New Roman"/>
          <w:sz w:val="20"/>
          <w:szCs w:val="20"/>
        </w:rPr>
        <w:t xml:space="preserve">amatnostādnes </w:t>
      </w:r>
      <w:r>
        <w:rPr>
          <w:rStyle w:val="hps"/>
          <w:rFonts w:ascii="Times New Roman" w:hAnsi="Times New Roman" w:cs="Times New Roman"/>
          <w:sz w:val="20"/>
          <w:szCs w:val="20"/>
        </w:rPr>
        <w:t>s</w:t>
      </w:r>
      <w:r w:rsidRPr="00D467C1">
        <w:rPr>
          <w:rStyle w:val="hps"/>
          <w:rFonts w:ascii="Times New Roman" w:hAnsi="Times New Roman" w:cs="Times New Roman"/>
          <w:sz w:val="20"/>
          <w:szCs w:val="20"/>
        </w:rPr>
        <w:t xml:space="preserve">ociālo pakalpojumu </w:t>
      </w:r>
      <w:r>
        <w:rPr>
          <w:rStyle w:val="hps"/>
          <w:rFonts w:ascii="Times New Roman" w:hAnsi="Times New Roman" w:cs="Times New Roman"/>
          <w:sz w:val="20"/>
          <w:szCs w:val="20"/>
        </w:rPr>
        <w:t xml:space="preserve">attīstībai </w:t>
      </w:r>
      <w:r w:rsidRPr="00D467C1">
        <w:rPr>
          <w:rStyle w:val="hps"/>
          <w:rFonts w:ascii="Times New Roman" w:hAnsi="Times New Roman" w:cs="Times New Roman"/>
          <w:sz w:val="20"/>
          <w:szCs w:val="20"/>
        </w:rPr>
        <w:t>2014.-2020.gadam (</w:t>
      </w:r>
      <w:r w:rsidRPr="00D467C1">
        <w:rPr>
          <w:rFonts w:ascii="Times New Roman" w:hAnsi="Times New Roman" w:cs="Times New Roman"/>
          <w:sz w:val="20"/>
          <w:szCs w:val="20"/>
        </w:rPr>
        <w:t xml:space="preserve">VSS izsludināts </w:t>
      </w:r>
      <w:r>
        <w:rPr>
          <w:rFonts w:ascii="Times New Roman" w:hAnsi="Times New Roman" w:cs="Times New Roman"/>
          <w:sz w:val="20"/>
          <w:szCs w:val="20"/>
        </w:rPr>
        <w:t>01</w:t>
      </w:r>
      <w:r w:rsidRPr="00D467C1">
        <w:rPr>
          <w:rFonts w:ascii="Times New Roman" w:hAnsi="Times New Roman" w:cs="Times New Roman"/>
          <w:sz w:val="20"/>
          <w:szCs w:val="20"/>
        </w:rPr>
        <w:t>.0</w:t>
      </w:r>
      <w:r>
        <w:rPr>
          <w:rFonts w:ascii="Times New Roman" w:hAnsi="Times New Roman" w:cs="Times New Roman"/>
          <w:sz w:val="20"/>
          <w:szCs w:val="20"/>
        </w:rPr>
        <w:t>8</w:t>
      </w:r>
      <w:r w:rsidRPr="00D467C1">
        <w:rPr>
          <w:rFonts w:ascii="Times New Roman" w:hAnsi="Times New Roman" w:cs="Times New Roman"/>
          <w:sz w:val="20"/>
          <w:szCs w:val="20"/>
        </w:rPr>
        <w:t>.2013.</w:t>
      </w:r>
      <w:r>
        <w:rPr>
          <w:rFonts w:ascii="Times New Roman" w:hAnsi="Times New Roman" w:cs="Times New Roman"/>
          <w:sz w:val="20"/>
          <w:szCs w:val="20"/>
        </w:rPr>
        <w:t>; VSS-1509</w:t>
      </w:r>
      <w:r w:rsidRPr="00D467C1">
        <w:rPr>
          <w:rStyle w:val="hps"/>
          <w:rFonts w:ascii="Times New Roman" w:hAnsi="Times New Roman" w:cs="Times New Roman"/>
          <w:sz w:val="20"/>
          <w:szCs w:val="20"/>
        </w:rPr>
        <w:t>), Nodarbinātības un iekļaujošas izaugsmes pamatnostādnes 2014.-2020.gadam (projekts izstrādes stadijā)</w:t>
      </w:r>
      <w:r>
        <w:rPr>
          <w:rStyle w:val="hps"/>
          <w:rFonts w:ascii="Times New Roman" w:hAnsi="Times New Roman" w:cs="Times New Roman"/>
          <w:sz w:val="20"/>
          <w:szCs w:val="20"/>
        </w:rPr>
        <w:t>.</w:t>
      </w:r>
    </w:p>
  </w:footnote>
  <w:footnote w:id="3">
    <w:p w:rsidR="008117FC" w:rsidRPr="00F64A5C" w:rsidRDefault="008117FC" w:rsidP="009905CB">
      <w:pPr>
        <w:pStyle w:val="FootnoteText"/>
        <w:jc w:val="both"/>
        <w:rPr>
          <w:lang w:val="en-US"/>
        </w:rPr>
      </w:pPr>
      <w:r w:rsidRPr="00F64A5C">
        <w:rPr>
          <w:rStyle w:val="FootnoteReference"/>
          <w:lang w:val="en-US"/>
        </w:rPr>
        <w:footnoteRef/>
      </w:r>
      <w:r w:rsidRPr="00F64A5C">
        <w:rPr>
          <w:rFonts w:ascii="Times New Roman" w:hAnsi="Times New Roman" w:cs="Times New Roman"/>
          <w:lang w:val="en-US" w:eastAsia="lv-LV"/>
        </w:rPr>
        <w:t xml:space="preserve">European </w:t>
      </w:r>
      <w:proofErr w:type="spellStart"/>
      <w:r w:rsidRPr="00F64A5C">
        <w:rPr>
          <w:rFonts w:ascii="Times New Roman" w:hAnsi="Times New Roman" w:cs="Times New Roman"/>
          <w:lang w:val="en-US" w:eastAsia="lv-LV"/>
        </w:rPr>
        <w:t>Commision</w:t>
      </w:r>
      <w:proofErr w:type="spellEnd"/>
      <w:r w:rsidRPr="00F64A5C">
        <w:rPr>
          <w:rFonts w:ascii="Times New Roman" w:hAnsi="Times New Roman" w:cs="Times New Roman"/>
          <w:lang w:val="en-US" w:eastAsia="lv-LV"/>
        </w:rPr>
        <w:t xml:space="preserve">, Social protection budgets in the crisis in the EU, Working Paper 1/2013, Olivier </w:t>
      </w:r>
      <w:proofErr w:type="spellStart"/>
      <w:r w:rsidRPr="00F64A5C">
        <w:rPr>
          <w:rFonts w:ascii="Times New Roman" w:hAnsi="Times New Roman" w:cs="Times New Roman"/>
          <w:lang w:val="en-US" w:eastAsia="lv-LV"/>
        </w:rPr>
        <w:t>Bontout</w:t>
      </w:r>
      <w:proofErr w:type="spellEnd"/>
      <w:r w:rsidRPr="00F64A5C">
        <w:rPr>
          <w:rFonts w:ascii="Times New Roman" w:hAnsi="Times New Roman" w:cs="Times New Roman"/>
          <w:lang w:val="en-US" w:eastAsia="lv-LV"/>
        </w:rPr>
        <w:t xml:space="preserve"> &amp; </w:t>
      </w:r>
      <w:proofErr w:type="spellStart"/>
      <w:r w:rsidRPr="00F64A5C">
        <w:rPr>
          <w:rFonts w:ascii="Times New Roman" w:hAnsi="Times New Roman" w:cs="Times New Roman"/>
          <w:lang w:val="en-US" w:eastAsia="lv-LV"/>
        </w:rPr>
        <w:t>Terezie</w:t>
      </w:r>
      <w:proofErr w:type="spellEnd"/>
      <w:r w:rsidRPr="00F64A5C">
        <w:rPr>
          <w:rFonts w:ascii="Times New Roman" w:hAnsi="Times New Roman" w:cs="Times New Roman"/>
          <w:lang w:val="en-US" w:eastAsia="lv-LV"/>
        </w:rPr>
        <w:t xml:space="preserve"> </w:t>
      </w:r>
      <w:proofErr w:type="spellStart"/>
      <w:r w:rsidRPr="00F64A5C">
        <w:rPr>
          <w:rFonts w:ascii="Times New Roman" w:hAnsi="Times New Roman" w:cs="Times New Roman"/>
          <w:lang w:val="en-US" w:eastAsia="lv-LV"/>
        </w:rPr>
        <w:t>Lokajickova</w:t>
      </w:r>
      <w:proofErr w:type="spellEnd"/>
      <w:r w:rsidRPr="00F64A5C">
        <w:rPr>
          <w:rFonts w:ascii="Times New Roman" w:hAnsi="Times New Roman" w:cs="Times New Roman"/>
          <w:lang w:val="en-US" w:eastAsia="lv-LV"/>
        </w:rPr>
        <w:t>, 5.lpp.</w:t>
      </w:r>
    </w:p>
  </w:footnote>
  <w:footnote w:id="4">
    <w:p w:rsidR="008117FC" w:rsidRPr="00930BC6" w:rsidRDefault="008117FC" w:rsidP="009905CB">
      <w:pPr>
        <w:pStyle w:val="FootnoteText"/>
        <w:jc w:val="both"/>
        <w:rPr>
          <w:lang w:val="en-US"/>
        </w:rPr>
      </w:pPr>
      <w:r>
        <w:rPr>
          <w:rStyle w:val="FootnoteReference"/>
        </w:rPr>
        <w:footnoteRef/>
      </w:r>
      <w:r w:rsidRPr="00F64A5C">
        <w:rPr>
          <w:rFonts w:ascii="Times New Roman" w:hAnsi="Times New Roman" w:cs="Times New Roman"/>
          <w:lang w:val="lv-LV" w:eastAsia="lv-LV"/>
        </w:rPr>
        <w:t>Turpat</w:t>
      </w:r>
      <w:r w:rsidRPr="00930BC6">
        <w:rPr>
          <w:rFonts w:ascii="Times New Roman" w:hAnsi="Times New Roman" w:cs="Times New Roman"/>
          <w:lang w:val="en-US" w:eastAsia="lv-LV"/>
        </w:rPr>
        <w:t>, 17.lpp.</w:t>
      </w:r>
    </w:p>
  </w:footnote>
  <w:footnote w:id="5">
    <w:p w:rsidR="008117FC" w:rsidRPr="00930BC6" w:rsidRDefault="008117FC" w:rsidP="009905CB">
      <w:pPr>
        <w:pStyle w:val="FootnoteText"/>
        <w:jc w:val="both"/>
        <w:rPr>
          <w:lang w:val="en-US"/>
        </w:rPr>
      </w:pPr>
      <w:r>
        <w:rPr>
          <w:rStyle w:val="FootnoteReference"/>
        </w:rPr>
        <w:footnoteRef/>
      </w:r>
      <w:r w:rsidRPr="00FA5939">
        <w:rPr>
          <w:rStyle w:val="hps"/>
          <w:rFonts w:ascii="Times New Roman" w:hAnsi="Times New Roman" w:cs="Times New Roman"/>
          <w:lang w:val="en-US"/>
        </w:rPr>
        <w:t xml:space="preserve">PB </w:t>
      </w:r>
      <w:r w:rsidRPr="000F6E73">
        <w:rPr>
          <w:rStyle w:val="hps"/>
          <w:rFonts w:ascii="Times New Roman" w:hAnsi="Times New Roman" w:cs="Times New Roman"/>
          <w:lang w:val="lv-LV"/>
        </w:rPr>
        <w:t xml:space="preserve">pētījums </w:t>
      </w:r>
      <w:r w:rsidRPr="000F6E73">
        <w:rPr>
          <w:rFonts w:ascii="Times New Roman" w:hAnsi="Times New Roman" w:cs="Times New Roman"/>
          <w:lang w:val="lv-LV"/>
        </w:rPr>
        <w:t>„Latvija: kurš ir bezdarbnieks,</w:t>
      </w:r>
      <w:r>
        <w:rPr>
          <w:rFonts w:ascii="Times New Roman" w:hAnsi="Times New Roman" w:cs="Times New Roman"/>
          <w:lang w:val="lv-LV"/>
        </w:rPr>
        <w:t xml:space="preserve"> </w:t>
      </w:r>
      <w:r w:rsidRPr="000F6E73">
        <w:rPr>
          <w:rFonts w:ascii="Times New Roman" w:hAnsi="Times New Roman" w:cs="Times New Roman"/>
          <w:lang w:val="lv-LV"/>
        </w:rPr>
        <w:t>ekonomiski neaktīvais vai trūcīgais?</w:t>
      </w:r>
      <w:proofErr w:type="gramStart"/>
      <w:r w:rsidRPr="000F6E73">
        <w:rPr>
          <w:rFonts w:ascii="Times New Roman" w:hAnsi="Times New Roman" w:cs="Times New Roman"/>
          <w:lang w:val="lv-LV"/>
        </w:rPr>
        <w:t>”,</w:t>
      </w:r>
      <w:proofErr w:type="gramEnd"/>
      <w:r w:rsidRPr="00FA5939">
        <w:rPr>
          <w:rFonts w:ascii="Times New Roman" w:hAnsi="Times New Roman" w:cs="Times New Roman"/>
          <w:lang w:val="en-US"/>
        </w:rPr>
        <w:t xml:space="preserve"> Expenditure and performance benchmarking country level, Expenditure and performance of welfare benefits and employment programs in Latvia, 18.lpp.</w:t>
      </w:r>
    </w:p>
  </w:footnote>
  <w:footnote w:id="6">
    <w:p w:rsidR="008117FC" w:rsidRPr="00930BC6" w:rsidRDefault="008117FC" w:rsidP="009905CB">
      <w:pPr>
        <w:pStyle w:val="FootnoteText"/>
        <w:jc w:val="both"/>
        <w:rPr>
          <w:lang w:val="en-US"/>
        </w:rPr>
      </w:pPr>
      <w:r>
        <w:rPr>
          <w:rStyle w:val="FootnoteReference"/>
        </w:rPr>
        <w:footnoteRef/>
      </w:r>
      <w:r w:rsidRPr="00F64A5C">
        <w:rPr>
          <w:rStyle w:val="hps"/>
          <w:rFonts w:ascii="Times New Roman" w:hAnsi="Times New Roman" w:cs="Times New Roman"/>
          <w:lang w:val="lv-LV"/>
        </w:rPr>
        <w:t>Turpat</w:t>
      </w:r>
      <w:r w:rsidRPr="00F64A5C">
        <w:rPr>
          <w:rFonts w:ascii="Times New Roman" w:hAnsi="Times New Roman" w:cs="Times New Roman"/>
          <w:lang w:val="lv-LV"/>
        </w:rPr>
        <w:t>,</w:t>
      </w:r>
      <w:r w:rsidRPr="00FA5939">
        <w:rPr>
          <w:rFonts w:ascii="Times New Roman" w:hAnsi="Times New Roman" w:cs="Times New Roman"/>
          <w:lang w:val="en-US"/>
        </w:rPr>
        <w:t xml:space="preserve"> 10.lpp.</w:t>
      </w:r>
    </w:p>
  </w:footnote>
  <w:footnote w:id="7">
    <w:p w:rsidR="008117FC" w:rsidRDefault="008117FC" w:rsidP="00241B47">
      <w:pPr>
        <w:spacing w:after="0" w:line="240" w:lineRule="auto"/>
      </w:pPr>
      <w:r w:rsidRPr="003365DB">
        <w:rPr>
          <w:rStyle w:val="FootnoteReference"/>
          <w:rFonts w:ascii="Times New Roman" w:hAnsi="Times New Roman" w:cs="Times New Roman"/>
          <w:sz w:val="20"/>
          <w:szCs w:val="20"/>
        </w:rPr>
        <w:footnoteRef/>
      </w:r>
      <w:r w:rsidRPr="003365DB">
        <w:rPr>
          <w:rFonts w:ascii="Times New Roman" w:hAnsi="Times New Roman" w:cs="Times New Roman"/>
          <w:sz w:val="20"/>
          <w:szCs w:val="20"/>
        </w:rPr>
        <w:t xml:space="preserve"> </w:t>
      </w:r>
      <w:r>
        <w:rPr>
          <w:rFonts w:ascii="Times New Roman" w:hAnsi="Times New Roman" w:cs="Times New Roman"/>
          <w:sz w:val="20"/>
          <w:szCs w:val="20"/>
        </w:rPr>
        <w:t xml:space="preserve">Saskaņā ar </w:t>
      </w:r>
      <w:r>
        <w:rPr>
          <w:rFonts w:ascii="Times New Roman" w:hAnsi="Times New Roman" w:cs="Times New Roman"/>
          <w:sz w:val="20"/>
          <w:szCs w:val="20"/>
          <w:lang w:eastAsia="zh-CN"/>
        </w:rPr>
        <w:t>Latvijas Nacionālajā</w:t>
      </w:r>
      <w:r w:rsidRPr="003365DB">
        <w:rPr>
          <w:rFonts w:ascii="Times New Roman" w:hAnsi="Times New Roman" w:cs="Times New Roman"/>
          <w:sz w:val="20"/>
          <w:szCs w:val="20"/>
          <w:lang w:eastAsia="zh-CN"/>
        </w:rPr>
        <w:t xml:space="preserve"> attīstības plān</w:t>
      </w:r>
      <w:r>
        <w:rPr>
          <w:rFonts w:ascii="Times New Roman" w:hAnsi="Times New Roman" w:cs="Times New Roman"/>
          <w:sz w:val="20"/>
          <w:szCs w:val="20"/>
          <w:lang w:eastAsia="zh-CN"/>
        </w:rPr>
        <w:t>ā</w:t>
      </w:r>
      <w:r w:rsidRPr="003365DB">
        <w:rPr>
          <w:rFonts w:ascii="Times New Roman" w:hAnsi="Times New Roman" w:cs="Times New Roman"/>
          <w:sz w:val="20"/>
          <w:szCs w:val="20"/>
          <w:lang w:eastAsia="zh-CN"/>
        </w:rPr>
        <w:t xml:space="preserve"> 2014.–2020.gadam</w:t>
      </w:r>
      <w:r>
        <w:rPr>
          <w:rFonts w:ascii="Times New Roman" w:hAnsi="Times New Roman" w:cs="Times New Roman"/>
          <w:sz w:val="20"/>
          <w:szCs w:val="20"/>
          <w:lang w:eastAsia="zh-CN"/>
        </w:rPr>
        <w:t xml:space="preserve"> noteikto cilvēka </w:t>
      </w:r>
      <w:proofErr w:type="spellStart"/>
      <w:r>
        <w:rPr>
          <w:rFonts w:ascii="Times New Roman" w:hAnsi="Times New Roman" w:cs="Times New Roman"/>
          <w:sz w:val="20"/>
          <w:szCs w:val="20"/>
          <w:lang w:eastAsia="zh-CN"/>
        </w:rPr>
        <w:t>drošumspējas</w:t>
      </w:r>
      <w:proofErr w:type="spellEnd"/>
      <w:r>
        <w:rPr>
          <w:rFonts w:ascii="Times New Roman" w:hAnsi="Times New Roman" w:cs="Times New Roman"/>
          <w:sz w:val="20"/>
          <w:szCs w:val="20"/>
          <w:lang w:eastAsia="zh-CN"/>
        </w:rPr>
        <w:t xml:space="preserve"> prioritāti.  </w:t>
      </w:r>
    </w:p>
  </w:footnote>
  <w:footnote w:id="8">
    <w:p w:rsidR="008117FC" w:rsidRPr="00930BC6" w:rsidRDefault="008117FC" w:rsidP="007515E5">
      <w:pPr>
        <w:pStyle w:val="FootnoteText"/>
        <w:jc w:val="both"/>
        <w:rPr>
          <w:lang w:val="lv-LV"/>
        </w:rPr>
      </w:pPr>
      <w:r w:rsidRPr="007515E5">
        <w:rPr>
          <w:rStyle w:val="FootnoteReference"/>
          <w:rFonts w:ascii="Times New Roman" w:hAnsi="Times New Roman" w:cs="Times New Roman"/>
        </w:rPr>
        <w:footnoteRef/>
      </w:r>
      <w:r w:rsidRPr="00FA5939">
        <w:rPr>
          <w:rFonts w:ascii="Times New Roman" w:hAnsi="Times New Roman" w:cs="Times New Roman"/>
          <w:lang w:val="lv-LV"/>
        </w:rPr>
        <w:t xml:space="preserve"> Nabadzības situācija Latvijā šajā sadaļā tiek analizēta, pamatojoties uz ES nabadzības mērīšanas metodoloģiju. </w:t>
      </w:r>
    </w:p>
  </w:footnote>
  <w:footnote w:id="9">
    <w:p w:rsidR="008117FC" w:rsidRPr="00930BC6" w:rsidRDefault="008117FC" w:rsidP="007515E5">
      <w:pPr>
        <w:pStyle w:val="FootnoteText"/>
        <w:jc w:val="both"/>
        <w:rPr>
          <w:lang w:val="lv-LV"/>
        </w:rPr>
      </w:pPr>
      <w:r w:rsidRPr="007515E5">
        <w:rPr>
          <w:rStyle w:val="FootnoteReference"/>
          <w:rFonts w:ascii="Times New Roman" w:hAnsi="Times New Roman" w:cs="Times New Roman"/>
        </w:rPr>
        <w:footnoteRef/>
      </w:r>
      <w:r w:rsidRPr="00FA5939">
        <w:rPr>
          <w:rStyle w:val="field-content"/>
          <w:rFonts w:ascii="Times New Roman" w:hAnsi="Times New Roman" w:cs="Times New Roman"/>
          <w:lang w:val="lv-LV"/>
        </w:rPr>
        <w:t xml:space="preserve">Kvintile (EU-SILC apsekojums) - </w:t>
      </w:r>
      <w:r w:rsidRPr="00FA5939">
        <w:rPr>
          <w:rFonts w:ascii="Times New Roman" w:hAnsi="Times New Roman" w:cs="Times New Roman"/>
          <w:lang w:val="lv-LV"/>
        </w:rPr>
        <w:t>viena piektā daļa (20%) no apsekoto mājsaimniecību skaita, kuras sagrupētas pieaugošā secībā pēc to rīcībā esošā ienākuma uz vienu mājsaimniecības locekli.</w:t>
      </w:r>
    </w:p>
  </w:footnote>
  <w:footnote w:id="10">
    <w:p w:rsidR="008117FC" w:rsidRPr="00930BC6" w:rsidRDefault="008117FC" w:rsidP="007515E5">
      <w:pPr>
        <w:pStyle w:val="FootnoteText"/>
        <w:jc w:val="both"/>
        <w:rPr>
          <w:lang w:val="lv-LV"/>
        </w:rPr>
      </w:pPr>
      <w:r w:rsidRPr="007515E5">
        <w:rPr>
          <w:rStyle w:val="FootnoteReference"/>
          <w:rFonts w:ascii="Times New Roman" w:hAnsi="Times New Roman" w:cs="Times New Roman"/>
        </w:rPr>
        <w:footnoteRef/>
      </w:r>
      <w:r w:rsidRPr="00FA5939">
        <w:rPr>
          <w:rFonts w:ascii="Times New Roman" w:hAnsi="Times New Roman" w:cs="Times New Roman"/>
          <w:lang w:val="lv-LV"/>
        </w:rPr>
        <w:t xml:space="preserve"> Ministru kabineta rīkojums Nr.490 „Par Sociālās drošības tīkla stratēģiju” </w:t>
      </w:r>
      <w:proofErr w:type="gramStart"/>
      <w:r w:rsidRPr="00FA5939">
        <w:rPr>
          <w:rFonts w:ascii="Times New Roman" w:hAnsi="Times New Roman" w:cs="Times New Roman"/>
          <w:lang w:val="lv-LV"/>
        </w:rPr>
        <w:t>(</w:t>
      </w:r>
      <w:proofErr w:type="gramEnd"/>
      <w:r w:rsidRPr="00FA5939">
        <w:rPr>
          <w:rFonts w:ascii="Times New Roman" w:hAnsi="Times New Roman" w:cs="Times New Roman"/>
          <w:lang w:val="lv-LV"/>
        </w:rPr>
        <w:t xml:space="preserve">pieņemts 2010.gada 18.augustā (prot. Nr.41 82.§). Pieejams </w:t>
      </w:r>
      <w:hyperlink r:id="rId1" w:history="1">
        <w:r w:rsidRPr="00FA5939">
          <w:rPr>
            <w:rStyle w:val="Hyperlink"/>
            <w:rFonts w:ascii="Times New Roman" w:hAnsi="Times New Roman" w:cs="Times New Roman"/>
            <w:lang w:val="lv-LV"/>
          </w:rPr>
          <w:t>www.likumi.lv</w:t>
        </w:r>
      </w:hyperlink>
      <w:r w:rsidRPr="00FA5939">
        <w:rPr>
          <w:rFonts w:ascii="Times New Roman" w:hAnsi="Times New Roman" w:cs="Times New Roman"/>
          <w:lang w:val="lv-LV"/>
        </w:rPr>
        <w:t xml:space="preserve">. </w:t>
      </w:r>
    </w:p>
  </w:footnote>
  <w:footnote w:id="11">
    <w:p w:rsidR="008117FC" w:rsidRPr="00930BC6" w:rsidRDefault="008117FC" w:rsidP="007515E5">
      <w:pPr>
        <w:pStyle w:val="FootnoteText"/>
        <w:jc w:val="both"/>
        <w:rPr>
          <w:lang w:val="lv-LV"/>
        </w:rPr>
      </w:pPr>
      <w:r w:rsidRPr="007515E5">
        <w:rPr>
          <w:rStyle w:val="FootnoteReference"/>
          <w:rFonts w:ascii="Times New Roman" w:hAnsi="Times New Roman" w:cs="Times New Roman"/>
        </w:rPr>
        <w:footnoteRef/>
      </w:r>
      <w:r w:rsidRPr="00FA5939">
        <w:rPr>
          <w:rFonts w:ascii="Times New Roman" w:hAnsi="Times New Roman" w:cs="Times New Roman"/>
          <w:lang w:val="lv-LV"/>
        </w:rPr>
        <w:t xml:space="preserve"> Sociālie transferti ir valsts, pašvaldības piešķirtās pensijas un pabalsti, izmaksātie uzturlīdzekļi bērniem, stipendijas, sociālās apdrošināšanas pabalsti un kompensācijas, tai skaitā arī citu valstu.</w:t>
      </w:r>
    </w:p>
  </w:footnote>
  <w:footnote w:id="12">
    <w:p w:rsidR="008117FC" w:rsidRPr="00930BC6" w:rsidRDefault="008117FC" w:rsidP="00D747F6">
      <w:pPr>
        <w:pStyle w:val="FootnoteText"/>
        <w:jc w:val="both"/>
        <w:rPr>
          <w:lang w:val="lv-LV"/>
        </w:rPr>
      </w:pPr>
      <w:r w:rsidRPr="00D5516F">
        <w:rPr>
          <w:rStyle w:val="FootnoteReference"/>
          <w:rFonts w:ascii="Times New Roman" w:hAnsi="Times New Roman" w:cs="Times New Roman"/>
        </w:rPr>
        <w:footnoteRef/>
      </w:r>
      <w:r w:rsidRPr="00FA5939">
        <w:rPr>
          <w:rFonts w:ascii="Times New Roman" w:hAnsi="Times New Roman" w:cs="Times New Roman"/>
          <w:lang w:val="lv-LV"/>
        </w:rPr>
        <w:t xml:space="preserve"> Centrālā statistikas pārvaldes statistisko datu krājums „Ienākumi un dzīves apstākļi Latvijā 2012.gadā”, Rīga, 2013.</w:t>
      </w:r>
    </w:p>
  </w:footnote>
  <w:footnote w:id="13">
    <w:p w:rsidR="008117FC" w:rsidRPr="00930BC6" w:rsidRDefault="008117FC" w:rsidP="00D747F6">
      <w:pPr>
        <w:pStyle w:val="FootnoteText"/>
        <w:jc w:val="both"/>
        <w:rPr>
          <w:lang w:val="en-US"/>
        </w:rPr>
      </w:pPr>
      <w:r w:rsidRPr="00D5516F">
        <w:rPr>
          <w:rStyle w:val="FootnoteReference"/>
          <w:rFonts w:ascii="Times New Roman" w:hAnsi="Times New Roman" w:cs="Times New Roman"/>
        </w:rPr>
        <w:footnoteRef/>
      </w:r>
      <w:r w:rsidRPr="00FA5939">
        <w:rPr>
          <w:rStyle w:val="hps"/>
          <w:rFonts w:ascii="Times New Roman" w:hAnsi="Times New Roman" w:cs="Times New Roman"/>
          <w:lang w:val="en-US"/>
        </w:rPr>
        <w:t xml:space="preserve"> PB </w:t>
      </w:r>
      <w:r w:rsidRPr="001551F6">
        <w:rPr>
          <w:rStyle w:val="hps"/>
          <w:rFonts w:ascii="Times New Roman" w:hAnsi="Times New Roman" w:cs="Times New Roman"/>
          <w:lang w:val="lv-LV"/>
        </w:rPr>
        <w:t xml:space="preserve">pētījums </w:t>
      </w:r>
      <w:r w:rsidRPr="001551F6">
        <w:rPr>
          <w:rFonts w:ascii="Times New Roman" w:hAnsi="Times New Roman" w:cs="Times New Roman"/>
          <w:lang w:val="lv-LV"/>
        </w:rPr>
        <w:t>„Latvija: kurš ir bezdarbnieks,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Analysis of the incentive structure created be the tax and benefit system, Financial incentives of the tax and benefit system in Latvia, 5 </w:t>
      </w:r>
      <w:proofErr w:type="spellStart"/>
      <w:r w:rsidRPr="00FA5939">
        <w:rPr>
          <w:rFonts w:ascii="Times New Roman" w:hAnsi="Times New Roman" w:cs="Times New Roman"/>
          <w:lang w:val="en-US"/>
        </w:rPr>
        <w:t>lpp</w:t>
      </w:r>
      <w:proofErr w:type="spellEnd"/>
      <w:r w:rsidRPr="00FA5939">
        <w:rPr>
          <w:rFonts w:ascii="Times New Roman" w:hAnsi="Times New Roman" w:cs="Times New Roman"/>
          <w:lang w:val="en-US"/>
        </w:rPr>
        <w:t>.</w:t>
      </w:r>
    </w:p>
  </w:footnote>
  <w:footnote w:id="14">
    <w:p w:rsidR="008117FC" w:rsidRPr="00930BC6" w:rsidRDefault="008117FC" w:rsidP="007515E5">
      <w:pPr>
        <w:pStyle w:val="FootnoteText"/>
        <w:jc w:val="both"/>
        <w:rPr>
          <w:lang w:val="en-US"/>
        </w:rPr>
      </w:pPr>
      <w:r w:rsidRPr="007515E5">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1551F6">
        <w:rPr>
          <w:rFonts w:ascii="Times New Roman" w:hAnsi="Times New Roman" w:cs="Times New Roman"/>
          <w:lang w:val="lv-LV"/>
        </w:rPr>
        <w:t>Ekonomiskās sadarbības un attīstības organizācija jeb</w:t>
      </w:r>
      <w:r w:rsidRPr="00FA5939">
        <w:rPr>
          <w:rFonts w:ascii="Times New Roman" w:hAnsi="Times New Roman" w:cs="Times New Roman"/>
          <w:lang w:val="en-US"/>
        </w:rPr>
        <w:t xml:space="preserve"> ESAO </w:t>
      </w:r>
      <w:r w:rsidRPr="00F64A5C">
        <w:rPr>
          <w:rFonts w:ascii="Times New Roman" w:hAnsi="Times New Roman" w:cs="Times New Roman"/>
          <w:lang w:val="lv-LV"/>
        </w:rPr>
        <w:t>(tulk</w:t>
      </w:r>
      <w:r w:rsidRPr="00FA5939">
        <w:rPr>
          <w:rFonts w:ascii="Times New Roman" w:hAnsi="Times New Roman" w:cs="Times New Roman"/>
          <w:lang w:val="en-US"/>
        </w:rPr>
        <w:t xml:space="preserve">. - Organization for Economic Co-operation and Development, </w:t>
      </w:r>
      <w:r w:rsidRPr="001551F6">
        <w:rPr>
          <w:rFonts w:ascii="Times New Roman" w:hAnsi="Times New Roman" w:cs="Times New Roman"/>
          <w:lang w:val="lv-LV"/>
        </w:rPr>
        <w:t>turpmāk tekstā</w:t>
      </w:r>
      <w:r w:rsidRPr="00FA5939">
        <w:rPr>
          <w:rFonts w:ascii="Times New Roman" w:hAnsi="Times New Roman" w:cs="Times New Roman"/>
          <w:lang w:val="en-US"/>
        </w:rPr>
        <w:t xml:space="preserve"> - OECD).</w:t>
      </w:r>
    </w:p>
  </w:footnote>
  <w:footnote w:id="15">
    <w:p w:rsidR="008117FC" w:rsidRPr="00930BC6" w:rsidRDefault="008117FC" w:rsidP="009905CB">
      <w:pPr>
        <w:pStyle w:val="FootnoteText"/>
        <w:jc w:val="both"/>
        <w:rPr>
          <w:lang w:val="en-US"/>
        </w:rPr>
      </w:pPr>
      <w:r w:rsidRPr="007515E5">
        <w:rPr>
          <w:rStyle w:val="FootnoteReference"/>
          <w:rFonts w:ascii="Times New Roman" w:hAnsi="Times New Roman" w:cs="Times New Roman"/>
        </w:rPr>
        <w:footnoteRef/>
      </w:r>
      <w:r w:rsidRPr="00FA5939">
        <w:rPr>
          <w:rStyle w:val="hps"/>
          <w:rFonts w:ascii="Times New Roman" w:hAnsi="Times New Roman" w:cs="Times New Roman"/>
          <w:lang w:val="en-US"/>
        </w:rPr>
        <w:t xml:space="preserve">PB </w:t>
      </w:r>
      <w:r w:rsidRPr="001551F6">
        <w:rPr>
          <w:rStyle w:val="hps"/>
          <w:rFonts w:ascii="Times New Roman" w:hAnsi="Times New Roman" w:cs="Times New Roman"/>
          <w:lang w:val="lv-LV"/>
        </w:rPr>
        <w:t xml:space="preserve">pētījums </w:t>
      </w:r>
      <w:r w:rsidRPr="001551F6">
        <w:rPr>
          <w:rFonts w:ascii="Times New Roman" w:hAnsi="Times New Roman" w:cs="Times New Roman"/>
          <w:lang w:val="lv-LV"/>
        </w:rPr>
        <w:t>„Latvija: kurš ir bezdarbnieks -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Expenditure and performance benchmarking country level, Expenditure and performance of welfare benefits and employment programs in Latvia, 29.lpp.</w:t>
      </w:r>
    </w:p>
  </w:footnote>
  <w:footnote w:id="16">
    <w:p w:rsidR="008117FC" w:rsidRPr="001551F6" w:rsidRDefault="008117FC" w:rsidP="00BA4FE9">
      <w:pPr>
        <w:pStyle w:val="FootnoteText"/>
        <w:jc w:val="both"/>
        <w:rPr>
          <w:lang w:val="lv-LV"/>
        </w:rPr>
      </w:pPr>
      <w:r w:rsidRPr="00BA4FE9">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1551F6">
        <w:rPr>
          <w:rFonts w:ascii="Times New Roman" w:hAnsi="Times New Roman" w:cs="Times New Roman"/>
          <w:lang w:val="lv-LV"/>
        </w:rPr>
        <w:t xml:space="preserve">Attiecība starp rīcībā esošo ienākumu summu, ko saņem 20% valsts iedzīvotāju ar augstākajiem ienākumiem (augstākā kvintile), pret ienākumu summu, ko saņem 20% valsts iedzīvotāju ar zemākajiem ienākumiem (zemākā kvintile), LR Centrālā statistikas pārvalde. </w:t>
      </w:r>
    </w:p>
  </w:footnote>
  <w:footnote w:id="17">
    <w:p w:rsidR="008117FC" w:rsidRPr="00930BC6" w:rsidRDefault="008117FC" w:rsidP="009905CB">
      <w:pPr>
        <w:pStyle w:val="FootnoteText"/>
        <w:jc w:val="both"/>
        <w:rPr>
          <w:lang w:val="en-US"/>
        </w:rPr>
      </w:pPr>
      <w:r w:rsidRPr="00D5516F">
        <w:rPr>
          <w:rStyle w:val="FootnoteReference"/>
          <w:rFonts w:ascii="Times New Roman" w:hAnsi="Times New Roman" w:cs="Times New Roman"/>
        </w:rPr>
        <w:footnoteRef/>
      </w:r>
      <w:r w:rsidRPr="00FA5939">
        <w:rPr>
          <w:rStyle w:val="hps"/>
          <w:rFonts w:ascii="Times New Roman" w:hAnsi="Times New Roman" w:cs="Times New Roman"/>
          <w:lang w:val="en-US"/>
        </w:rPr>
        <w:t xml:space="preserve">PB </w:t>
      </w:r>
      <w:r w:rsidRPr="001551F6">
        <w:rPr>
          <w:rStyle w:val="hps"/>
          <w:rFonts w:ascii="Times New Roman" w:hAnsi="Times New Roman" w:cs="Times New Roman"/>
          <w:lang w:val="lv-LV"/>
        </w:rPr>
        <w:t xml:space="preserve">pētījums </w:t>
      </w:r>
      <w:r w:rsidRPr="001551F6">
        <w:rPr>
          <w:rFonts w:ascii="Times New Roman" w:hAnsi="Times New Roman" w:cs="Times New Roman"/>
          <w:lang w:val="lv-LV"/>
        </w:rPr>
        <w:t>„Latvija: kurš ir bezdarbnieks,</w:t>
      </w:r>
      <w:r>
        <w:rPr>
          <w:rFonts w:ascii="Times New Roman" w:hAnsi="Times New Roman" w:cs="Times New Roman"/>
          <w:lang w:val="lv-LV"/>
        </w:rPr>
        <w:t xml:space="preserve"> </w:t>
      </w:r>
      <w:r w:rsidRPr="001551F6">
        <w:rPr>
          <w:rFonts w:ascii="Times New Roman" w:hAnsi="Times New Roman" w:cs="Times New Roman"/>
          <w:lang w:val="lv-LV"/>
        </w:rPr>
        <w:t>ekonomiski neaktīvais vai trūcīgais</w:t>
      </w:r>
      <w:r w:rsidRPr="00FA5939">
        <w:rPr>
          <w:rFonts w:ascii="Times New Roman" w:hAnsi="Times New Roman" w:cs="Times New Roman"/>
          <w:lang w:val="en-US"/>
        </w:rPr>
        <w:t>?”, Labor market and social conditions diagnostic, Poverty, inequality and the social impact of the financial crisis in Latvia, 9., 10.lpp.</w:t>
      </w:r>
    </w:p>
  </w:footnote>
  <w:footnote w:id="18">
    <w:p w:rsidR="008117FC" w:rsidRDefault="008117FC" w:rsidP="00CE7DC6">
      <w:pPr>
        <w:spacing w:after="0" w:line="240" w:lineRule="auto"/>
        <w:jc w:val="both"/>
      </w:pPr>
      <w:r w:rsidRPr="00CE7DC6">
        <w:rPr>
          <w:rStyle w:val="FootnoteReference"/>
          <w:rFonts w:ascii="Times New Roman" w:hAnsi="Times New Roman" w:cs="Times New Roman"/>
          <w:sz w:val="20"/>
          <w:szCs w:val="20"/>
        </w:rPr>
        <w:footnoteRef/>
      </w:r>
      <w:r w:rsidRPr="00CE7DC6">
        <w:rPr>
          <w:rFonts w:ascii="Times New Roman" w:hAnsi="Times New Roman" w:cs="Times New Roman"/>
          <w:sz w:val="20"/>
          <w:szCs w:val="20"/>
        </w:rPr>
        <w:t xml:space="preserve"> </w:t>
      </w:r>
      <w:proofErr w:type="spellStart"/>
      <w:r w:rsidRPr="00CE7DC6">
        <w:rPr>
          <w:rFonts w:ascii="Times New Roman" w:hAnsi="Times New Roman" w:cs="Times New Roman"/>
          <w:sz w:val="20"/>
          <w:szCs w:val="20"/>
        </w:rPr>
        <w:t>Gasmane</w:t>
      </w:r>
      <w:proofErr w:type="spellEnd"/>
      <w:r w:rsidRPr="00CE7DC6">
        <w:rPr>
          <w:rFonts w:ascii="Times New Roman" w:hAnsi="Times New Roman" w:cs="Times New Roman"/>
          <w:sz w:val="20"/>
          <w:szCs w:val="20"/>
        </w:rPr>
        <w:t>, F. (2002). Pārejas periodu 10 gadu sociālā realitāte. Sociālās politikas pētījumu sērija „Labklājības sistēmas reforma – šodien un nākotnē”. 55-65 lpp. Latvijas Republikas Labklājības ministrija un Apvienoto Nāciju attīstības programma, Rīga.</w:t>
      </w:r>
    </w:p>
  </w:footnote>
  <w:footnote w:id="19">
    <w:p w:rsidR="008117FC" w:rsidRPr="00930BC6" w:rsidRDefault="008117FC" w:rsidP="00495AE8">
      <w:pPr>
        <w:pStyle w:val="FootnoteText"/>
        <w:jc w:val="both"/>
        <w:rPr>
          <w:lang w:val="lv-LV"/>
        </w:rPr>
      </w:pPr>
      <w:r>
        <w:rPr>
          <w:rStyle w:val="FootnoteReference"/>
        </w:rPr>
        <w:footnoteRef/>
      </w:r>
      <w:r w:rsidRPr="00FA5939">
        <w:rPr>
          <w:lang w:val="lv-LV"/>
        </w:rPr>
        <w:t xml:space="preserve"> </w:t>
      </w:r>
      <w:r w:rsidRPr="00FA5939">
        <w:rPr>
          <w:rFonts w:ascii="Times New Roman" w:hAnsi="Times New Roman" w:cs="Times New Roman"/>
          <w:lang w:val="lv-LV"/>
        </w:rPr>
        <w:t>Nabadzības riska slieksnis ir 60% no rīcībā esošo ienākumu mediānas pārrēķinātas uz ekvivalento patērētāju</w:t>
      </w:r>
      <w:r>
        <w:rPr>
          <w:rFonts w:ascii="Times New Roman" w:hAnsi="Times New Roman" w:cs="Times New Roman"/>
          <w:lang w:val="lv-LV"/>
        </w:rPr>
        <w:t xml:space="preserve"> (pamatojoties uz ES nabadzības mērīšanas metodoloģiju)</w:t>
      </w:r>
      <w:r w:rsidRPr="00FA5939">
        <w:rPr>
          <w:rFonts w:ascii="Times New Roman" w:hAnsi="Times New Roman" w:cs="Times New Roman"/>
          <w:lang w:val="lv-LV"/>
        </w:rPr>
        <w:t>.</w:t>
      </w:r>
    </w:p>
  </w:footnote>
  <w:footnote w:id="20">
    <w:p w:rsidR="008117FC" w:rsidRPr="00930BC6" w:rsidRDefault="008117FC" w:rsidP="002D7295">
      <w:pPr>
        <w:pStyle w:val="FootnoteText"/>
        <w:jc w:val="both"/>
        <w:rPr>
          <w:lang w:val="en-US"/>
        </w:rPr>
      </w:pPr>
      <w:r>
        <w:rPr>
          <w:rStyle w:val="FootnoteReference"/>
        </w:rPr>
        <w:footnoteRef/>
      </w:r>
      <w:r w:rsidRPr="00FA5939">
        <w:rPr>
          <w:rStyle w:val="hps"/>
          <w:rFonts w:ascii="Times New Roman" w:hAnsi="Times New Roman" w:cs="Times New Roman"/>
          <w:lang w:val="en-US"/>
        </w:rPr>
        <w:t xml:space="preserve">PB </w:t>
      </w:r>
      <w:r w:rsidRPr="001551F6">
        <w:rPr>
          <w:rStyle w:val="hps"/>
          <w:rFonts w:ascii="Times New Roman" w:hAnsi="Times New Roman" w:cs="Times New Roman"/>
          <w:lang w:val="lv-LV"/>
        </w:rPr>
        <w:t xml:space="preserve">pētījums </w:t>
      </w:r>
      <w:r w:rsidRPr="001551F6">
        <w:rPr>
          <w:rFonts w:ascii="Times New Roman" w:hAnsi="Times New Roman" w:cs="Times New Roman"/>
          <w:lang w:val="lv-LV"/>
        </w:rPr>
        <w:t>„Latvija: kurš ir bezdarbnieks,</w:t>
      </w:r>
      <w:r>
        <w:rPr>
          <w:rFonts w:ascii="Times New Roman" w:hAnsi="Times New Roman" w:cs="Times New Roman"/>
          <w:lang w:val="lv-LV"/>
        </w:rPr>
        <w:t xml:space="preserve"> </w:t>
      </w:r>
      <w:r w:rsidRPr="001551F6">
        <w:rPr>
          <w:rFonts w:ascii="Times New Roman" w:hAnsi="Times New Roman" w:cs="Times New Roman"/>
          <w:lang w:val="lv-LV"/>
        </w:rPr>
        <w:t>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Labor market and social conditions diagnostic, Poverty, inequality and the social impact of the financial crisis in Latvia, 25.lpp.</w:t>
      </w:r>
    </w:p>
  </w:footnote>
  <w:footnote w:id="21">
    <w:p w:rsidR="008117FC" w:rsidRPr="00930BC6" w:rsidRDefault="008117FC" w:rsidP="009905CB">
      <w:pPr>
        <w:pStyle w:val="FootnoteText"/>
        <w:jc w:val="both"/>
        <w:rPr>
          <w:lang w:val="en-US"/>
        </w:rPr>
      </w:pPr>
      <w:r w:rsidRPr="00D71690">
        <w:rPr>
          <w:rStyle w:val="FootnoteReference"/>
          <w:rFonts w:ascii="Times New Roman" w:hAnsi="Times New Roman" w:cs="Times New Roman"/>
        </w:rPr>
        <w:footnoteRef/>
      </w:r>
      <w:proofErr w:type="gramStart"/>
      <w:r w:rsidRPr="00FA5939">
        <w:rPr>
          <w:rFonts w:ascii="Times New Roman" w:hAnsi="Times New Roman" w:cs="Times New Roman"/>
          <w:color w:val="000000"/>
          <w:lang w:val="en-US"/>
        </w:rPr>
        <w:t>Eurostat, Statistics in Focus, Population and social conditions, 52/2011</w:t>
      </w:r>
      <w:r>
        <w:rPr>
          <w:rFonts w:ascii="Times New Roman" w:hAnsi="Times New Roman" w:cs="Times New Roman"/>
          <w:color w:val="000000"/>
          <w:lang w:val="en-US"/>
        </w:rPr>
        <w:t>.</w:t>
      </w:r>
      <w:proofErr w:type="gramEnd"/>
    </w:p>
  </w:footnote>
  <w:footnote w:id="22">
    <w:p w:rsidR="008117FC" w:rsidRDefault="008117FC" w:rsidP="009905C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r w:rsidRPr="00D71690">
        <w:rPr>
          <w:rStyle w:val="FootnoteReference"/>
          <w:rFonts w:ascii="Times New Roman" w:hAnsi="Times New Roman" w:cs="Times New Roman"/>
          <w:sz w:val="20"/>
          <w:szCs w:val="20"/>
        </w:rPr>
        <w:footnoteRef/>
      </w:r>
      <w:r w:rsidRPr="00D71690">
        <w:rPr>
          <w:rFonts w:ascii="Times New Roman" w:hAnsi="Times New Roman" w:cs="Times New Roman"/>
          <w:color w:val="000000"/>
          <w:sz w:val="20"/>
          <w:szCs w:val="20"/>
        </w:rPr>
        <w:t>Informatīvais ziņojums par bērnu stāvokli Latvijā 2010.gadā</w:t>
      </w:r>
      <w:r>
        <w:rPr>
          <w:rFonts w:ascii="Times New Roman" w:hAnsi="Times New Roman" w:cs="Times New Roman"/>
          <w:color w:val="000000"/>
          <w:sz w:val="20"/>
          <w:szCs w:val="20"/>
        </w:rPr>
        <w:t>. Pieejams</w:t>
      </w:r>
      <w:r w:rsidRPr="00D71690">
        <w:rPr>
          <w:rFonts w:ascii="Times New Roman" w:hAnsi="Times New Roman" w:cs="Times New Roman"/>
          <w:color w:val="000000"/>
          <w:sz w:val="20"/>
          <w:szCs w:val="20"/>
        </w:rPr>
        <w:t xml:space="preserve"> </w:t>
      </w:r>
      <w:hyperlink r:id="rId2" w:history="1">
        <w:r w:rsidRPr="00A73255">
          <w:rPr>
            <w:rStyle w:val="Hyperlink"/>
            <w:rFonts w:ascii="Times New Roman" w:hAnsi="Times New Roman" w:cs="Times New Roman"/>
            <w:sz w:val="20"/>
            <w:szCs w:val="20"/>
          </w:rPr>
          <w:t>http://polsis.mk.gov.lv/view.do?id=3883</w:t>
        </w:r>
      </w:hyperlink>
      <w:r>
        <w:rPr>
          <w:rFonts w:ascii="Times New Roman" w:hAnsi="Times New Roman" w:cs="Times New Roman"/>
          <w:color w:val="000000"/>
          <w:sz w:val="20"/>
          <w:szCs w:val="20"/>
        </w:rPr>
        <w:t xml:space="preserve">. </w:t>
      </w:r>
    </w:p>
  </w:footnote>
  <w:footnote w:id="23">
    <w:p w:rsidR="008117FC" w:rsidRPr="001551F6" w:rsidRDefault="008117FC" w:rsidP="009905CB">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w:t>
      </w:r>
      <w:r w:rsidRPr="001551F6">
        <w:rPr>
          <w:rStyle w:val="hps"/>
          <w:rFonts w:ascii="Times New Roman" w:hAnsi="Times New Roman" w:cs="Times New Roman"/>
          <w:lang w:val="lv-LV"/>
        </w:rPr>
        <w:t xml:space="preserve">PB pētījums </w:t>
      </w:r>
      <w:r w:rsidRPr="001551F6">
        <w:rPr>
          <w:rFonts w:ascii="Times New Roman" w:hAnsi="Times New Roman" w:cs="Times New Roman"/>
          <w:lang w:val="lv-LV"/>
        </w:rPr>
        <w:t>„Latvija: kurš ir bezdarbnieks,</w:t>
      </w:r>
      <w:r>
        <w:rPr>
          <w:rFonts w:ascii="Times New Roman" w:hAnsi="Times New Roman" w:cs="Times New Roman"/>
          <w:lang w:val="lv-LV"/>
        </w:rPr>
        <w:t xml:space="preserve"> </w:t>
      </w:r>
      <w:r w:rsidRPr="001551F6">
        <w:rPr>
          <w:rFonts w:ascii="Times New Roman" w:hAnsi="Times New Roman" w:cs="Times New Roman"/>
          <w:lang w:val="lv-LV"/>
        </w:rPr>
        <w:t>ekonomiski neaktīvais vai trūcīgais</w:t>
      </w:r>
      <w:r w:rsidRPr="001551F6">
        <w:rPr>
          <w:rFonts w:ascii="Times New Roman" w:hAnsi="Times New Roman" w:cs="Times New Roman"/>
          <w:lang w:val="en-US"/>
        </w:rPr>
        <w:t>?”, Labor market and social conditions diagnostic, Poverty, inequality and the social impact of the financial crisis in Latvia</w:t>
      </w:r>
      <w:r w:rsidRPr="001551F6">
        <w:rPr>
          <w:rFonts w:ascii="Times New Roman" w:hAnsi="Times New Roman" w:cs="Times New Roman"/>
          <w:lang w:val="lv-LV"/>
        </w:rPr>
        <w:t>, 29.lpp.</w:t>
      </w:r>
    </w:p>
  </w:footnote>
  <w:footnote w:id="24">
    <w:p w:rsidR="008117FC" w:rsidRPr="001551F6" w:rsidRDefault="008117FC" w:rsidP="00D2542A">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Turpat 25.lpp.</w:t>
      </w:r>
    </w:p>
  </w:footnote>
  <w:footnote w:id="25">
    <w:p w:rsidR="008117FC" w:rsidRPr="001551F6" w:rsidRDefault="008117FC" w:rsidP="009905CB">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Turpat, 25., 26., 29.lpp.</w:t>
      </w:r>
    </w:p>
  </w:footnote>
  <w:footnote w:id="26">
    <w:p w:rsidR="008117FC" w:rsidRPr="001551F6" w:rsidRDefault="008117FC" w:rsidP="001F293B">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Pētījums „Iedzīvotāju apmierinātība ar veselības aprūpes pakalpojumiem un to saņemšanas iespējām” (2008), Nacionālais veselības dienests. Pieejams </w:t>
      </w:r>
      <w:hyperlink r:id="rId3" w:history="1">
        <w:r w:rsidRPr="001551F6">
          <w:rPr>
            <w:rStyle w:val="Hyperlink"/>
            <w:rFonts w:ascii="Times New Roman" w:hAnsi="Times New Roman" w:cs="Times New Roman"/>
            <w:lang w:val="lv-LV"/>
          </w:rPr>
          <w:t>http://www.vmnvd.gov.lv/lv/petijumi-un-zinojumi/iedzvotju-apmierintba-ar-veselbas-aprpes-pakalpojumiem-un-to-saemanas-iespjm</w:t>
        </w:r>
      </w:hyperlink>
      <w:r w:rsidRPr="001551F6">
        <w:rPr>
          <w:rFonts w:ascii="Times New Roman" w:hAnsi="Times New Roman" w:cs="Times New Roman"/>
          <w:lang w:val="lv-LV"/>
        </w:rPr>
        <w:t xml:space="preserve">. Skatīts 05.10.2013. </w:t>
      </w:r>
    </w:p>
  </w:footnote>
  <w:footnote w:id="27">
    <w:p w:rsidR="008117FC" w:rsidRPr="001551F6" w:rsidRDefault="008117FC" w:rsidP="001F293B">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Materiālās nenodrošinātības indekss raksturo personu īpatsvaru, kurām piemīt </w:t>
      </w:r>
      <w:r w:rsidRPr="001551F6">
        <w:rPr>
          <w:rFonts w:ascii="Times New Roman" w:hAnsi="Times New Roman" w:cs="Times New Roman"/>
          <w:u w:val="single"/>
          <w:lang w:val="lv-LV"/>
        </w:rPr>
        <w:t>vismaz trīs</w:t>
      </w:r>
      <w:r w:rsidRPr="001551F6">
        <w:rPr>
          <w:rFonts w:ascii="Times New Roman" w:hAnsi="Times New Roman" w:cs="Times New Roman"/>
          <w:lang w:val="lv-LV"/>
        </w:rPr>
        <w:t xml:space="preserve"> no šādām materiālās nenodrošinātības pazīmēm: finansiālu iespēju trūkums 1) segt komunālos maksājumus, īri vai atmaksāt kredītu, 2) finansiāli atļauties uzturēt mājokli siltu, 3) segt pēkšņus, neparedzētus izdevumus no pašu līdzekļiem, 4) ēst gaļu, putnu gaļu vai zivis katru otro dienu, 5) katru gadu vienu nedēļu doties brīvdienās ārpus mājām, 6) lietot savām vajadzībām vieglo auto, 7) veļas mazgājamo mašīnu, 8) krāsu televizoru, 9) telefonu.</w:t>
      </w:r>
    </w:p>
  </w:footnote>
  <w:footnote w:id="28">
    <w:p w:rsidR="008117FC" w:rsidRPr="001551F6" w:rsidRDefault="008117FC" w:rsidP="00D71690">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Dziļa materiālā nenodrošinātība raksturo personas, kurām piemīt </w:t>
      </w:r>
      <w:r w:rsidRPr="001551F6">
        <w:rPr>
          <w:rFonts w:ascii="Times New Roman" w:hAnsi="Times New Roman" w:cs="Times New Roman"/>
          <w:u w:val="single"/>
          <w:lang w:val="lv-LV"/>
        </w:rPr>
        <w:t>vismaz četras</w:t>
      </w:r>
      <w:r w:rsidRPr="001551F6">
        <w:rPr>
          <w:rFonts w:ascii="Times New Roman" w:hAnsi="Times New Roman" w:cs="Times New Roman"/>
          <w:lang w:val="lv-LV"/>
        </w:rPr>
        <w:t xml:space="preserve"> no materiālās nenodrošinātības pazīmēm (skat. 2</w:t>
      </w:r>
      <w:r>
        <w:rPr>
          <w:rFonts w:ascii="Times New Roman" w:hAnsi="Times New Roman" w:cs="Times New Roman"/>
          <w:lang w:val="lv-LV"/>
        </w:rPr>
        <w:t>7</w:t>
      </w:r>
      <w:r w:rsidRPr="001551F6">
        <w:rPr>
          <w:rFonts w:ascii="Times New Roman" w:hAnsi="Times New Roman" w:cs="Times New Roman"/>
          <w:lang w:val="lv-LV"/>
        </w:rPr>
        <w:t>.zemsvītras atsaucē definētās materiālās nenodrošinātības pazīmes).</w:t>
      </w:r>
    </w:p>
  </w:footnote>
  <w:footnote w:id="29">
    <w:p w:rsidR="008117FC" w:rsidRPr="001551F6" w:rsidRDefault="008117FC" w:rsidP="009B7632">
      <w:pPr>
        <w:pStyle w:val="FootnoteText"/>
        <w:rPr>
          <w:lang w:val="lv-LV"/>
        </w:rPr>
      </w:pPr>
      <w:r w:rsidRPr="001551F6">
        <w:rPr>
          <w:rStyle w:val="FootnoteReference"/>
          <w:lang w:val="lv-LV"/>
        </w:rPr>
        <w:footnoteRef/>
      </w:r>
      <w:r w:rsidRPr="001551F6">
        <w:rPr>
          <w:rFonts w:ascii="Times New Roman" w:hAnsi="Times New Roman" w:cs="Times New Roman"/>
          <w:lang w:val="lv-LV"/>
        </w:rPr>
        <w:t xml:space="preserve"> CSP, Statistisko datu krājums „Ienākumi un dzīves apstākļi Latvijā 2012.gadā”, Rīga, 2013.</w:t>
      </w:r>
    </w:p>
  </w:footnote>
  <w:footnote w:id="30">
    <w:p w:rsidR="008117FC" w:rsidRPr="00983F80" w:rsidRDefault="008117FC" w:rsidP="00C87AE3">
      <w:pPr>
        <w:pStyle w:val="FootnoteText"/>
        <w:jc w:val="both"/>
        <w:rPr>
          <w:lang w:val="lv-LV"/>
        </w:rPr>
      </w:pPr>
      <w:r w:rsidRPr="001551F6">
        <w:rPr>
          <w:rStyle w:val="FootnoteReference"/>
          <w:rFonts w:ascii="Times New Roman" w:hAnsi="Times New Roman" w:cs="Times New Roman"/>
          <w:lang w:val="lv-LV"/>
        </w:rPr>
        <w:footnoteRef/>
      </w:r>
      <w:r w:rsidRPr="001551F6">
        <w:rPr>
          <w:rFonts w:ascii="Times New Roman" w:hAnsi="Times New Roman" w:cs="Times New Roman"/>
          <w:lang w:val="lv-LV"/>
        </w:rPr>
        <w:t xml:space="preserve"> Latvijā „ES2020” stratēģijā noteiktais nabadzības samazināšanas mērķis līdz 2020.gadam: novērst nabadzības un sociālās atstumtības risku 121 tūkst. Latvijas iedzīvotāju. Mērķa rādītājs sastāv no diviem indikatoriem - nabadzības riskam pakļauto personu īpatsvars un/vai personu īpatsvars zemas darba intensitātes mājsaimniecībās (%). Savukārt ES izvirzītais nabadzības samazināšanas mērķis līdz 2020.gadam: novērst nabadzības risku vismaz 20 miljoniem ES iedzīvotāju. Šis mērķis tiek mērīts ar trīs rādītājiem: nabadzības riskam pakļauto personu īpatsvars, dziļas materiālās nenodrošinātības indekss un/vai personu īpatsvars zemas darba intensitātes mājsaimniecībās (%).</w:t>
      </w:r>
      <w:r w:rsidRPr="00983F80">
        <w:rPr>
          <w:rFonts w:ascii="Times New Roman" w:hAnsi="Times New Roman" w:cs="Times New Roman"/>
          <w:lang w:val="lv-LV"/>
        </w:rPr>
        <w:t xml:space="preserve"> </w:t>
      </w:r>
    </w:p>
  </w:footnote>
  <w:footnote w:id="31">
    <w:p w:rsidR="008117FC" w:rsidRPr="00930BC6" w:rsidRDefault="008117FC" w:rsidP="00360173">
      <w:pPr>
        <w:pStyle w:val="FootnoteText"/>
        <w:jc w:val="both"/>
        <w:rPr>
          <w:lang w:val="en-US"/>
        </w:rPr>
      </w:pPr>
      <w:r w:rsidRPr="00360173">
        <w:rPr>
          <w:rStyle w:val="FootnoteReference"/>
          <w:rFonts w:ascii="Times New Roman" w:hAnsi="Times New Roman" w:cs="Times New Roman"/>
        </w:rPr>
        <w:footnoteRef/>
      </w:r>
      <w:r w:rsidRPr="00504385">
        <w:rPr>
          <w:rFonts w:ascii="Times New Roman" w:hAnsi="Times New Roman" w:cs="Times New Roman"/>
          <w:lang w:val="lv-LV"/>
        </w:rPr>
        <w:t xml:space="preserve"> LR Centrālās statistikas pārvaldes mājas lapā: datubāzes </w:t>
      </w:r>
      <w:r w:rsidRPr="00360173">
        <w:rPr>
          <w:rFonts w:ascii="Times New Roman" w:hAnsi="Times New Roman" w:cs="Times New Roman"/>
          <w:sz w:val="14"/>
          <w:szCs w:val="14"/>
        </w:rPr>
        <w:sym w:font="Wingdings" w:char="F0E0"/>
      </w:r>
      <w:r w:rsidRPr="00504385">
        <w:rPr>
          <w:rFonts w:ascii="Times New Roman" w:hAnsi="Times New Roman" w:cs="Times New Roman"/>
          <w:lang w:val="lv-LV"/>
        </w:rPr>
        <w:t xml:space="preserve"> iedzīvotāji un sociālie procesi </w:t>
      </w:r>
      <w:r w:rsidRPr="00360173">
        <w:rPr>
          <w:rFonts w:ascii="Times New Roman" w:hAnsi="Times New Roman" w:cs="Times New Roman"/>
          <w:sz w:val="14"/>
          <w:szCs w:val="14"/>
        </w:rPr>
        <w:sym w:font="Wingdings" w:char="F0E0"/>
      </w:r>
      <w:r w:rsidRPr="00504385">
        <w:rPr>
          <w:rFonts w:ascii="Times New Roman" w:hAnsi="Times New Roman" w:cs="Times New Roman"/>
          <w:lang w:val="lv-LV"/>
        </w:rPr>
        <w:t xml:space="preserve"> monetārā nabadzība un ienākumu nevienlīdzība. </w:t>
      </w:r>
      <w:r w:rsidRPr="00FA5939">
        <w:rPr>
          <w:rFonts w:ascii="Times New Roman" w:hAnsi="Times New Roman" w:cs="Times New Roman"/>
          <w:lang w:val="de-DE"/>
        </w:rPr>
        <w:t xml:space="preserve">ES Statistikas biroja Euroststat mājas lapā: </w:t>
      </w:r>
      <w:hyperlink r:id="rId4" w:history="1">
        <w:r w:rsidRPr="00FA5939">
          <w:rPr>
            <w:rStyle w:val="Hyperlink"/>
            <w:rFonts w:ascii="Times New Roman" w:hAnsi="Times New Roman" w:cs="Times New Roman"/>
            <w:lang w:val="de-DE"/>
          </w:rPr>
          <w:t>http://epp.eurostat.ec.europa.eu/portal/page/portal/income_social_inclusion_living_conditions/data/database</w:t>
        </w:r>
      </w:hyperlink>
      <w:r w:rsidRPr="00FA5939">
        <w:rPr>
          <w:rFonts w:ascii="Times New Roman" w:hAnsi="Times New Roman" w:cs="Times New Roman"/>
          <w:lang w:val="de-DE"/>
        </w:rPr>
        <w:t xml:space="preserve">. </w:t>
      </w:r>
    </w:p>
  </w:footnote>
  <w:footnote w:id="32">
    <w:p w:rsidR="008117FC" w:rsidRPr="00930BC6" w:rsidRDefault="008117FC">
      <w:pPr>
        <w:pStyle w:val="FootnoteText"/>
        <w:rPr>
          <w:lang w:val="de-DE"/>
        </w:rPr>
      </w:pPr>
      <w:r w:rsidRPr="0000353F">
        <w:rPr>
          <w:rStyle w:val="FootnoteReference"/>
          <w:rFonts w:ascii="Times New Roman" w:hAnsi="Times New Roman" w:cs="Times New Roman"/>
        </w:rPr>
        <w:footnoteRef/>
      </w:r>
      <w:r w:rsidRPr="00FA5939">
        <w:rPr>
          <w:rFonts w:ascii="Times New Roman" w:hAnsi="Times New Roman" w:cs="Times New Roman"/>
          <w:lang w:val="de-DE"/>
        </w:rPr>
        <w:t xml:space="preserve"> </w:t>
      </w:r>
      <w:r w:rsidRPr="00FA5939">
        <w:rPr>
          <w:rFonts w:ascii="Times New Roman" w:hAnsi="Times New Roman" w:cs="Times New Roman"/>
          <w:lang w:val="de-DE"/>
        </w:rPr>
        <w:t xml:space="preserve">LR Centrālās statistikas pārvaldes mājas lapā: </w:t>
      </w:r>
      <w:hyperlink r:id="rId5" w:history="1">
        <w:r w:rsidRPr="00FA5939">
          <w:rPr>
            <w:rStyle w:val="Hyperlink"/>
            <w:rFonts w:ascii="Times New Roman" w:hAnsi="Times New Roman" w:cs="Times New Roman"/>
            <w:lang w:val="de-DE"/>
          </w:rPr>
          <w:t>http://www.csb.gov.lv/statistikas-temas/metodologija/nabadzibas-ienakumu-nevienlidziba-36833.html</w:t>
        </w:r>
      </w:hyperlink>
      <w:r w:rsidRPr="00FA5939">
        <w:rPr>
          <w:rFonts w:ascii="Times New Roman" w:hAnsi="Times New Roman" w:cs="Times New Roman"/>
          <w:lang w:val="de-DE"/>
        </w:rPr>
        <w:t>. Skatīts 14.01.2013.</w:t>
      </w:r>
    </w:p>
  </w:footnote>
  <w:footnote w:id="33">
    <w:p w:rsidR="008117FC" w:rsidRPr="00930BC6" w:rsidRDefault="008117FC" w:rsidP="0054486D">
      <w:pPr>
        <w:pStyle w:val="FootnoteText"/>
        <w:rPr>
          <w:lang w:val="de-DE"/>
        </w:rPr>
      </w:pPr>
      <w:r w:rsidRPr="00745A5B">
        <w:rPr>
          <w:rStyle w:val="FootnoteReference"/>
          <w:rFonts w:ascii="Times New Roman" w:hAnsi="Times New Roman" w:cs="Times New Roman"/>
        </w:rPr>
        <w:footnoteRef/>
      </w:r>
      <w:r w:rsidRPr="00FA5939">
        <w:rPr>
          <w:rFonts w:ascii="Times New Roman" w:hAnsi="Times New Roman" w:cs="Times New Roman"/>
          <w:lang w:val="de-DE"/>
        </w:rPr>
        <w:t xml:space="preserve"> MK noteikumi Nr.</w:t>
      </w:r>
      <w:r>
        <w:rPr>
          <w:rFonts w:ascii="Times New Roman" w:hAnsi="Times New Roman" w:cs="Times New Roman"/>
          <w:lang w:val="de-DE"/>
        </w:rPr>
        <w:t xml:space="preserve"> </w:t>
      </w:r>
      <w:r w:rsidRPr="00FA5939">
        <w:rPr>
          <w:rFonts w:ascii="Times New Roman" w:hAnsi="Times New Roman" w:cs="Times New Roman"/>
          <w:lang w:val="de-DE"/>
        </w:rPr>
        <w:t>299, 30.03.2010.</w:t>
      </w:r>
    </w:p>
  </w:footnote>
  <w:footnote w:id="34">
    <w:p w:rsidR="008117FC" w:rsidRPr="00930BC6" w:rsidRDefault="008117FC" w:rsidP="00B07959">
      <w:pPr>
        <w:pStyle w:val="FootnoteText"/>
        <w:rPr>
          <w:lang w:val="de-DE"/>
        </w:rPr>
      </w:pPr>
      <w:r w:rsidRPr="004B0CB8">
        <w:rPr>
          <w:rStyle w:val="FootnoteReference"/>
          <w:rFonts w:ascii="Times New Roman" w:hAnsi="Times New Roman" w:cs="Times New Roman"/>
        </w:rPr>
        <w:footnoteRef/>
      </w:r>
      <w:r w:rsidRPr="00FA5939">
        <w:rPr>
          <w:rFonts w:ascii="Times New Roman" w:hAnsi="Times New Roman" w:cs="Times New Roman"/>
          <w:lang w:val="de-DE"/>
        </w:rPr>
        <w:t xml:space="preserve"> </w:t>
      </w:r>
      <w:r w:rsidRPr="00FA5939">
        <w:rPr>
          <w:rFonts w:ascii="Times New Roman" w:hAnsi="Times New Roman" w:cs="Times New Roman"/>
          <w:lang w:val="de-DE"/>
        </w:rPr>
        <w:t xml:space="preserve">LM aptaujas rezultāti pieejami LM mājas lapā, </w:t>
      </w:r>
      <w:r w:rsidRPr="00FA5939">
        <w:rPr>
          <w:rFonts w:ascii="Times New Roman" w:hAnsi="Times New Roman" w:cs="Times New Roman"/>
          <w:lang w:val="de-DE"/>
        </w:rPr>
        <w:t xml:space="preserve">sekojot šai vietnei </w:t>
      </w:r>
      <w:r>
        <w:fldChar w:fldCharType="begin"/>
      </w:r>
      <w:r w:rsidRPr="006B2A2C">
        <w:rPr>
          <w:lang w:val="de-DE"/>
        </w:rPr>
        <w:instrText xml:space="preserve"> HYPERLINK "http://www.lm.gov.lv/text/2225" </w:instrText>
      </w:r>
      <w:r>
        <w:fldChar w:fldCharType="separate"/>
      </w:r>
      <w:r w:rsidRPr="00FA5939">
        <w:rPr>
          <w:rStyle w:val="Hyperlink"/>
          <w:rFonts w:ascii="Times New Roman" w:hAnsi="Times New Roman" w:cs="Times New Roman"/>
          <w:lang w:val="de-DE"/>
        </w:rPr>
        <w:t>http://www.lm.gov.lv/text/2225</w:t>
      </w:r>
      <w:r>
        <w:rPr>
          <w:rStyle w:val="Hyperlink"/>
          <w:rFonts w:ascii="Times New Roman" w:hAnsi="Times New Roman" w:cs="Times New Roman"/>
          <w:lang w:val="de-DE"/>
        </w:rPr>
        <w:fldChar w:fldCharType="end"/>
      </w:r>
      <w:r w:rsidRPr="00FA5939">
        <w:rPr>
          <w:rFonts w:ascii="Times New Roman" w:hAnsi="Times New Roman" w:cs="Times New Roman"/>
          <w:lang w:val="de-DE"/>
        </w:rPr>
        <w:t xml:space="preserve">. </w:t>
      </w:r>
    </w:p>
  </w:footnote>
  <w:footnote w:id="35">
    <w:p w:rsidR="008117FC" w:rsidRPr="00930BC6" w:rsidRDefault="008117FC">
      <w:pPr>
        <w:pStyle w:val="FootnoteText"/>
        <w:rPr>
          <w:lang w:val="en-US"/>
        </w:rPr>
      </w:pPr>
      <w:r w:rsidRPr="004B0CB8">
        <w:rPr>
          <w:rStyle w:val="FootnoteReference"/>
          <w:rFonts w:ascii="Times New Roman" w:hAnsi="Times New Roman" w:cs="Times New Roman"/>
        </w:rPr>
        <w:footnoteRef/>
      </w:r>
      <w:r w:rsidRPr="00FA5939">
        <w:rPr>
          <w:rFonts w:ascii="Times New Roman" w:hAnsi="Times New Roman" w:cs="Times New Roman"/>
          <w:lang w:val="de-DE"/>
        </w:rPr>
        <w:t xml:space="preserve"> MK noteikumi Nr.</w:t>
      </w:r>
      <w:r>
        <w:rPr>
          <w:rFonts w:ascii="Times New Roman" w:hAnsi="Times New Roman" w:cs="Times New Roman"/>
          <w:lang w:val="de-DE"/>
        </w:rPr>
        <w:t xml:space="preserve"> </w:t>
      </w:r>
      <w:r w:rsidRPr="00FA5939">
        <w:rPr>
          <w:rFonts w:ascii="Times New Roman" w:hAnsi="Times New Roman" w:cs="Times New Roman"/>
          <w:lang w:val="de-DE"/>
        </w:rPr>
        <w:t>550, 17.06.2009.</w:t>
      </w:r>
    </w:p>
  </w:footnote>
  <w:footnote w:id="36">
    <w:p w:rsidR="008117FC" w:rsidRPr="00930BC6" w:rsidRDefault="008117FC">
      <w:pPr>
        <w:pStyle w:val="FootnoteText"/>
        <w:rPr>
          <w:lang w:val="en-US"/>
        </w:rPr>
      </w:pPr>
      <w:r w:rsidRPr="004B0CB8">
        <w:rPr>
          <w:rStyle w:val="FootnoteReference"/>
          <w:rFonts w:ascii="Times New Roman" w:hAnsi="Times New Roman" w:cs="Times New Roman"/>
        </w:rPr>
        <w:footnoteRef/>
      </w:r>
      <w:r w:rsidRPr="00FA5939">
        <w:rPr>
          <w:rFonts w:ascii="Times New Roman" w:hAnsi="Times New Roman" w:cs="Times New Roman"/>
          <w:lang w:val="de-DE"/>
        </w:rPr>
        <w:t xml:space="preserve"> MK noteikumi Nr. 97, 25.02.2003.</w:t>
      </w:r>
    </w:p>
  </w:footnote>
  <w:footnote w:id="37">
    <w:p w:rsidR="008117FC" w:rsidRDefault="008117FC" w:rsidP="008F1A4B">
      <w:pPr>
        <w:spacing w:after="0" w:line="240" w:lineRule="auto"/>
        <w:jc w:val="both"/>
      </w:pPr>
      <w:r w:rsidRPr="004B0CB8">
        <w:rPr>
          <w:rStyle w:val="FootnoteReference"/>
          <w:rFonts w:ascii="Times New Roman" w:hAnsi="Times New Roman" w:cs="Times New Roman"/>
          <w:sz w:val="20"/>
          <w:szCs w:val="20"/>
        </w:rPr>
        <w:footnoteRef/>
      </w:r>
      <w:r w:rsidRPr="004B0CB8">
        <w:rPr>
          <w:rFonts w:ascii="Times New Roman" w:hAnsi="Times New Roman" w:cs="Times New Roman"/>
          <w:sz w:val="20"/>
          <w:szCs w:val="20"/>
        </w:rPr>
        <w:t xml:space="preserve"> Kūla E. Iztikas minimums kā cilvēkdrošības faktors // Krājums Sociālā </w:t>
      </w:r>
      <w:proofErr w:type="spellStart"/>
      <w:r w:rsidRPr="004B0CB8">
        <w:rPr>
          <w:rFonts w:ascii="Times New Roman" w:hAnsi="Times New Roman" w:cs="Times New Roman"/>
          <w:sz w:val="20"/>
          <w:szCs w:val="20"/>
        </w:rPr>
        <w:t>cilvēkdrošība</w:t>
      </w:r>
      <w:proofErr w:type="spellEnd"/>
      <w:r w:rsidRPr="004B0CB8">
        <w:rPr>
          <w:rFonts w:ascii="Times New Roman" w:hAnsi="Times New Roman" w:cs="Times New Roman"/>
          <w:sz w:val="20"/>
          <w:szCs w:val="20"/>
        </w:rPr>
        <w:t>:  spēju attīstība, sadarbība, iekļaušana. - LU akadēmiskais apgāds, 2013., 122-140 lpp. </w:t>
      </w:r>
    </w:p>
  </w:footnote>
  <w:footnote w:id="38">
    <w:p w:rsidR="008117FC" w:rsidRPr="00930BC6" w:rsidRDefault="008117FC" w:rsidP="00386C3B">
      <w:pPr>
        <w:pStyle w:val="FootnoteText"/>
        <w:jc w:val="both"/>
        <w:rPr>
          <w:lang w:val="lv-LV"/>
        </w:rPr>
      </w:pPr>
      <w:r w:rsidRPr="00745A5B">
        <w:rPr>
          <w:rStyle w:val="FootnoteReference"/>
          <w:rFonts w:ascii="Times New Roman" w:hAnsi="Times New Roman" w:cs="Times New Roman"/>
        </w:rPr>
        <w:footnoteRef/>
      </w:r>
      <w:r w:rsidRPr="00FA5939">
        <w:rPr>
          <w:rFonts w:ascii="Times New Roman" w:hAnsi="Times New Roman" w:cs="Times New Roman"/>
          <w:lang w:val="lv-LV"/>
        </w:rPr>
        <w:t xml:space="preserve"> Mediāna ir statistiskais rādītājs, kas raksturo novērojumu, kas sagrupēti no zemākās vērtības līdz augstākajai, centra vērtību (sadalījuma viduspunktu).</w:t>
      </w:r>
    </w:p>
  </w:footnote>
  <w:footnote w:id="39">
    <w:p w:rsidR="008117FC" w:rsidRPr="00930BC6" w:rsidRDefault="008117FC" w:rsidP="001C75AB">
      <w:pPr>
        <w:pStyle w:val="FootnoteText"/>
        <w:jc w:val="both"/>
        <w:rPr>
          <w:lang w:val="lv-LV"/>
        </w:rPr>
      </w:pPr>
      <w:r w:rsidRPr="00745A5B">
        <w:rPr>
          <w:rStyle w:val="FootnoteReference"/>
          <w:rFonts w:ascii="Times New Roman" w:hAnsi="Times New Roman" w:cs="Times New Roman"/>
        </w:rPr>
        <w:footnoteRef/>
      </w:r>
      <w:r w:rsidRPr="00FA5939">
        <w:rPr>
          <w:rFonts w:ascii="Times New Roman" w:hAnsi="Times New Roman" w:cs="Times New Roman"/>
          <w:lang w:val="lv-LV"/>
        </w:rPr>
        <w:t xml:space="preserve"> Dati par nabadzības riska slieksni atspoguļoti līdz 2011.gadam, jo aktuālāki dati vēl nav pieejami. </w:t>
      </w:r>
    </w:p>
  </w:footnote>
  <w:footnote w:id="40">
    <w:p w:rsidR="008117FC" w:rsidRPr="00930BC6" w:rsidRDefault="008117FC" w:rsidP="00386C3B">
      <w:pPr>
        <w:pStyle w:val="FootnoteText"/>
        <w:jc w:val="both"/>
        <w:rPr>
          <w:lang w:val="en-US"/>
        </w:rPr>
      </w:pPr>
      <w:r w:rsidRPr="00E338BB">
        <w:rPr>
          <w:rStyle w:val="FootnoteReference"/>
          <w:lang w:val="lv-LV"/>
        </w:rPr>
        <w:footnoteRef/>
      </w:r>
      <w:r w:rsidRPr="00E338BB">
        <w:rPr>
          <w:rStyle w:val="hps"/>
          <w:rFonts w:ascii="Times New Roman" w:hAnsi="Times New Roman" w:cs="Times New Roman"/>
          <w:lang w:val="lv-LV"/>
        </w:rPr>
        <w:t xml:space="preserve"> PB pētījums </w:t>
      </w:r>
      <w:r w:rsidRPr="00E338BB">
        <w:rPr>
          <w:rFonts w:ascii="Times New Roman" w:hAnsi="Times New Roman" w:cs="Times New Roman"/>
          <w:lang w:val="lv-LV"/>
        </w:rPr>
        <w:t>„Latvija: kurš ir bezdarbnieks, ekonomiski neaktīvais vai trūcīgais</w:t>
      </w:r>
      <w:r w:rsidRPr="00FA5939">
        <w:rPr>
          <w:rFonts w:ascii="Times New Roman" w:hAnsi="Times New Roman" w:cs="Times New Roman"/>
          <w:lang w:val="en-US"/>
        </w:rPr>
        <w:t>?”, Review of key design parameters and legislation for social assistance programs in Latvia, Latvia GMI Program: main design characteristics and comparison with minimum income schemes in other EU Member States, 5., 6.lpp.</w:t>
      </w:r>
    </w:p>
  </w:footnote>
  <w:footnote w:id="41">
    <w:p w:rsidR="008117FC" w:rsidRDefault="008117FC" w:rsidP="00B50C83">
      <w:pPr>
        <w:spacing w:after="0" w:line="240" w:lineRule="auto"/>
        <w:jc w:val="both"/>
      </w:pPr>
      <w:r w:rsidRPr="00D95DED">
        <w:rPr>
          <w:rStyle w:val="FootnoteReference"/>
          <w:rFonts w:ascii="Times New Roman" w:hAnsi="Times New Roman" w:cs="Times New Roman"/>
          <w:sz w:val="20"/>
          <w:szCs w:val="20"/>
        </w:rPr>
        <w:footnoteRef/>
      </w:r>
      <w:r w:rsidRPr="00D95DED">
        <w:rPr>
          <w:rFonts w:ascii="Times New Roman" w:hAnsi="Times New Roman" w:cs="Times New Roman"/>
          <w:sz w:val="20"/>
          <w:szCs w:val="20"/>
        </w:rPr>
        <w:t xml:space="preserve"> Atbilstoši vispārīgajai klasifikācijai nabadzības definīcijas var iedalīt trīs grupās: absolūtā nabadzība, relatīvā nabadzība un subjektīvā nabadzība </w:t>
      </w:r>
      <w:proofErr w:type="gramStart"/>
      <w:r w:rsidRPr="00D95DED">
        <w:rPr>
          <w:rFonts w:ascii="Times New Roman" w:hAnsi="Times New Roman" w:cs="Times New Roman"/>
          <w:sz w:val="20"/>
          <w:szCs w:val="20"/>
        </w:rPr>
        <w:t>(</w:t>
      </w:r>
      <w:proofErr w:type="gramEnd"/>
      <w:r w:rsidRPr="00D95DED">
        <w:rPr>
          <w:rFonts w:ascii="Times New Roman" w:hAnsi="Times New Roman" w:cs="Times New Roman"/>
          <w:sz w:val="20"/>
          <w:szCs w:val="20"/>
        </w:rPr>
        <w:t xml:space="preserve">Sociālā darba terminoloģijas vārdnīca/ </w:t>
      </w:r>
      <w:proofErr w:type="spellStart"/>
      <w:r w:rsidRPr="00D95DED">
        <w:rPr>
          <w:rFonts w:ascii="Times New Roman" w:hAnsi="Times New Roman" w:cs="Times New Roman"/>
          <w:sz w:val="20"/>
          <w:szCs w:val="20"/>
        </w:rPr>
        <w:t>Zin</w:t>
      </w:r>
      <w:proofErr w:type="spellEnd"/>
      <w:r w:rsidRPr="00D95DED">
        <w:rPr>
          <w:rFonts w:ascii="Times New Roman" w:hAnsi="Times New Roman" w:cs="Times New Roman"/>
          <w:sz w:val="20"/>
          <w:szCs w:val="20"/>
        </w:rPr>
        <w:t xml:space="preserve">. red. </w:t>
      </w:r>
      <w:proofErr w:type="spellStart"/>
      <w:r w:rsidRPr="00D95DED">
        <w:rPr>
          <w:rFonts w:ascii="Times New Roman" w:hAnsi="Times New Roman" w:cs="Times New Roman"/>
          <w:sz w:val="20"/>
          <w:szCs w:val="20"/>
        </w:rPr>
        <w:t>L.Šiļņeva</w:t>
      </w:r>
      <w:proofErr w:type="spellEnd"/>
      <w:r w:rsidRPr="00D95DED">
        <w:rPr>
          <w:rFonts w:ascii="Times New Roman" w:hAnsi="Times New Roman" w:cs="Times New Roman"/>
          <w:sz w:val="20"/>
          <w:szCs w:val="20"/>
        </w:rPr>
        <w:t xml:space="preserve">, prof., Dr.paed. – Rīga: Attīstība, 2000. 18 lpp.). Šajā tabulā atspoguļotas absolūtās un relatīvās nabadzības stiprās un vājās puses. </w:t>
      </w:r>
    </w:p>
  </w:footnote>
  <w:footnote w:id="42">
    <w:p w:rsidR="008117FC" w:rsidRPr="00930BC6" w:rsidRDefault="008117FC" w:rsidP="00B50C83">
      <w:pPr>
        <w:pStyle w:val="FootnoteText"/>
        <w:jc w:val="both"/>
        <w:rPr>
          <w:lang w:val="en-US"/>
        </w:rPr>
      </w:pPr>
      <w:r w:rsidRPr="00B50C83">
        <w:rPr>
          <w:rStyle w:val="FootnoteReference"/>
          <w:rFonts w:ascii="Times New Roman" w:hAnsi="Times New Roman" w:cs="Times New Roman"/>
        </w:rPr>
        <w:footnoteRef/>
      </w:r>
      <w:r w:rsidRPr="00FA5939">
        <w:rPr>
          <w:rFonts w:ascii="Times New Roman" w:hAnsi="Times New Roman" w:cs="Times New Roman"/>
          <w:lang w:val="en-US"/>
        </w:rPr>
        <w:t xml:space="preserve"> </w:t>
      </w:r>
      <w:proofErr w:type="spellStart"/>
      <w:proofErr w:type="gramStart"/>
      <w:r w:rsidRPr="00FA5939">
        <w:rPr>
          <w:rFonts w:ascii="Times New Roman" w:hAnsi="Times New Roman" w:cs="Times New Roman"/>
          <w:lang w:val="en-US"/>
        </w:rPr>
        <w:t>Ravallion</w:t>
      </w:r>
      <w:proofErr w:type="spellEnd"/>
      <w:r w:rsidRPr="00FA5939">
        <w:rPr>
          <w:rFonts w:ascii="Times New Roman" w:hAnsi="Times New Roman" w:cs="Times New Roman"/>
          <w:lang w:val="en-US"/>
        </w:rPr>
        <w:t>, M. (2010).</w:t>
      </w:r>
      <w:proofErr w:type="gramEnd"/>
      <w:r w:rsidRPr="00FA5939">
        <w:rPr>
          <w:rFonts w:ascii="Times New Roman" w:hAnsi="Times New Roman" w:cs="Times New Roman"/>
          <w:lang w:val="en-US"/>
        </w:rPr>
        <w:t xml:space="preserve"> Poverty Lines </w:t>
      </w:r>
      <w:proofErr w:type="gramStart"/>
      <w:r w:rsidRPr="00FA5939">
        <w:rPr>
          <w:rFonts w:ascii="Times New Roman" w:hAnsi="Times New Roman" w:cs="Times New Roman"/>
          <w:lang w:val="en-US"/>
        </w:rPr>
        <w:t>Across</w:t>
      </w:r>
      <w:proofErr w:type="gramEnd"/>
      <w:r w:rsidRPr="00FA5939">
        <w:rPr>
          <w:rFonts w:ascii="Times New Roman" w:hAnsi="Times New Roman" w:cs="Times New Roman"/>
          <w:lang w:val="en-US"/>
        </w:rPr>
        <w:t xml:space="preserve"> the World. World Bank, Policy Research Working Paper No.5284. Washington DC</w:t>
      </w:r>
      <w:r w:rsidRPr="00FA5939">
        <w:rPr>
          <w:rFonts w:ascii="Times New Roman" w:hAnsi="Times New Roman" w:cs="Times New Roman"/>
          <w:i/>
          <w:iCs/>
          <w:lang w:val="en-US"/>
        </w:rPr>
        <w:t xml:space="preserve">. </w:t>
      </w:r>
      <w:r w:rsidRPr="00615D52">
        <w:rPr>
          <w:rFonts w:ascii="Times New Roman" w:hAnsi="Times New Roman" w:cs="Times New Roman"/>
          <w:lang w:val="lv-LV"/>
        </w:rPr>
        <w:t>Pieejams</w:t>
      </w:r>
      <w:r w:rsidRPr="00FA5939">
        <w:rPr>
          <w:rFonts w:ascii="Times New Roman" w:hAnsi="Times New Roman" w:cs="Times New Roman"/>
          <w:lang w:val="en-US"/>
        </w:rPr>
        <w:t xml:space="preserve"> </w:t>
      </w:r>
      <w:hyperlink r:id="rId6" w:history="1">
        <w:r w:rsidRPr="00464BB5">
          <w:rPr>
            <w:rStyle w:val="Hyperlink"/>
            <w:rFonts w:ascii="Times New Roman" w:hAnsi="Times New Roman" w:cs="Times New Roman"/>
            <w:lang w:val="en-US"/>
          </w:rPr>
          <w:t>http://www-wds.worldbank.org/servlet/WDSContentServer/WDSP/IB/2010/04/27/000158349_20100427143536/Rendered/PDF/WPS5284.pdf.</w:t>
        </w:r>
        <w:r w:rsidRPr="00464BB5">
          <w:rPr>
            <w:rStyle w:val="Hyperlink"/>
            <w:rFonts w:ascii="Times New Roman" w:hAnsi="Times New Roman" w:cs="Times New Roman"/>
            <w:i/>
            <w:iCs/>
            <w:lang w:val="en-US"/>
          </w:rPr>
          <w:t xml:space="preserve"> </w:t>
        </w:r>
        <w:r w:rsidRPr="006742C1">
          <w:rPr>
            <w:rStyle w:val="Hyperlink"/>
            <w:rFonts w:ascii="Times New Roman" w:hAnsi="Times New Roman" w:cs="Times New Roman"/>
            <w:color w:val="auto"/>
            <w:u w:val="none"/>
            <w:lang w:val="lv-LV"/>
          </w:rPr>
          <w:t>Skatīts</w:t>
        </w:r>
        <w:r w:rsidRPr="006742C1">
          <w:rPr>
            <w:rStyle w:val="Hyperlink"/>
            <w:rFonts w:ascii="Times New Roman" w:hAnsi="Times New Roman" w:cs="Times New Roman"/>
            <w:color w:val="auto"/>
            <w:u w:val="none"/>
            <w:lang w:val="en-US"/>
          </w:rPr>
          <w:t xml:space="preserve"> 24.05.2013</w:t>
        </w:r>
      </w:hyperlink>
      <w:r>
        <w:rPr>
          <w:rFonts w:ascii="Times New Roman" w:hAnsi="Times New Roman" w:cs="Times New Roman"/>
          <w:lang w:val="en-US"/>
        </w:rPr>
        <w:t>.</w:t>
      </w:r>
    </w:p>
  </w:footnote>
  <w:footnote w:id="43">
    <w:p w:rsidR="008117FC" w:rsidRPr="00747D30" w:rsidRDefault="008117FC" w:rsidP="00D95DED">
      <w:pPr>
        <w:pStyle w:val="FootnoteText"/>
        <w:jc w:val="both"/>
        <w:rPr>
          <w:lang w:val="lv-LV"/>
        </w:rPr>
      </w:pPr>
      <w:r w:rsidRPr="00D95DED">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747D30">
        <w:rPr>
          <w:rFonts w:ascii="Times New Roman" w:hAnsi="Times New Roman" w:cs="Times New Roman"/>
          <w:lang w:val="lv-LV"/>
        </w:rPr>
        <w:t xml:space="preserve">Tiek veidotas uz uztura bāzes, praksē piemērojot divas metodes: (1) Uztura-enerģijas uzņemšanas metode (fokusējās uz vienu funkciju – uzturu) un (2) Pamatvajadzību izmaksu metode (pārtikas un nepārtikas preču kopums).  Latvijā šim iedalījumam atbilst iztikas minimums un daļēji GMI līmenis. </w:t>
      </w:r>
    </w:p>
  </w:footnote>
  <w:footnote w:id="44">
    <w:p w:rsidR="008117FC" w:rsidRPr="00747D30" w:rsidRDefault="008117FC" w:rsidP="00D95DED">
      <w:pPr>
        <w:pStyle w:val="FootnoteText"/>
        <w:jc w:val="both"/>
        <w:rPr>
          <w:rFonts w:ascii="Times New Roman" w:hAnsi="Times New Roman" w:cs="Times New Roman"/>
          <w:lang w:val="lv-LV"/>
        </w:rPr>
      </w:pPr>
      <w:r w:rsidRPr="00747D30">
        <w:rPr>
          <w:rStyle w:val="FootnoteReference"/>
          <w:rFonts w:ascii="Times New Roman" w:hAnsi="Times New Roman" w:cs="Times New Roman"/>
          <w:lang w:val="lv-LV"/>
        </w:rPr>
        <w:footnoteRef/>
      </w:r>
      <w:r w:rsidRPr="00747D30">
        <w:rPr>
          <w:rFonts w:ascii="Times New Roman" w:hAnsi="Times New Roman" w:cs="Times New Roman"/>
          <w:lang w:val="lv-LV"/>
        </w:rPr>
        <w:t xml:space="preserve"> Nosaka kā konstantu proporciju, parasti 40%-60% no mediānas vai vidējiem mājsaimniecību ienākumiem vai ekvivalentajiem ienākumiem. Tas atbilst ES noteiktajam nabadzības riska slieksnim, un daļēji Latvijā noteiktajam trūcīgas personas ienākumu līmenim</w:t>
      </w:r>
      <w:r>
        <w:rPr>
          <w:rFonts w:ascii="Times New Roman" w:hAnsi="Times New Roman" w:cs="Times New Roman"/>
          <w:lang w:val="lv-LV"/>
        </w:rPr>
        <w:t>, kamēr tas bija piesaistīts valstī noteiktās minimālās darba algas apmēram</w:t>
      </w:r>
      <w:r w:rsidRPr="00747D30">
        <w:rPr>
          <w:rFonts w:ascii="Times New Roman" w:hAnsi="Times New Roman" w:cs="Times New Roman"/>
          <w:lang w:val="lv-LV"/>
        </w:rPr>
        <w:t xml:space="preserve">. </w:t>
      </w:r>
    </w:p>
    <w:p w:rsidR="008117FC" w:rsidRPr="00983F80" w:rsidRDefault="008117FC" w:rsidP="00D95DED">
      <w:pPr>
        <w:pStyle w:val="FootnoteText"/>
        <w:jc w:val="both"/>
        <w:rPr>
          <w:lang w:val="lv-LV"/>
        </w:rPr>
      </w:pPr>
    </w:p>
  </w:footnote>
  <w:footnote w:id="45">
    <w:p w:rsidR="008117FC" w:rsidRPr="00747D30" w:rsidRDefault="008117FC" w:rsidP="00F2086A">
      <w:pPr>
        <w:pStyle w:val="FootnoteText"/>
        <w:rPr>
          <w:lang w:val="lv-LV"/>
        </w:rPr>
      </w:pPr>
      <w:r w:rsidRPr="00970979">
        <w:rPr>
          <w:rStyle w:val="FootnoteReference"/>
          <w:rFonts w:ascii="Times New Roman" w:hAnsi="Times New Roman" w:cs="Times New Roman"/>
        </w:rPr>
        <w:footnoteRef/>
      </w:r>
      <w:r w:rsidRPr="00FA5939">
        <w:rPr>
          <w:rFonts w:ascii="Times New Roman" w:hAnsi="Times New Roman" w:cs="Times New Roman"/>
          <w:lang w:val="fr-FR"/>
        </w:rPr>
        <w:t xml:space="preserve"> </w:t>
      </w:r>
      <w:r w:rsidRPr="00747D30">
        <w:rPr>
          <w:rFonts w:ascii="Times New Roman" w:hAnsi="Times New Roman" w:cs="Times New Roman"/>
          <w:lang w:val="lv-LV"/>
        </w:rPr>
        <w:t>ES Pamattiesību hartas 33.panta pirmā daļa.</w:t>
      </w:r>
    </w:p>
  </w:footnote>
  <w:footnote w:id="46">
    <w:p w:rsidR="008117FC" w:rsidRPr="00747D30" w:rsidRDefault="008117FC" w:rsidP="00654359">
      <w:pPr>
        <w:pStyle w:val="FootnoteText"/>
        <w:rPr>
          <w:lang w:val="lv-LV"/>
        </w:rPr>
      </w:pPr>
      <w:r w:rsidRPr="00747D30">
        <w:rPr>
          <w:rStyle w:val="FootnoteReference"/>
          <w:rFonts w:ascii="Times New Roman" w:hAnsi="Times New Roman" w:cs="Times New Roman"/>
          <w:lang w:val="lv-LV"/>
        </w:rPr>
        <w:footnoteRef/>
      </w:r>
      <w:r w:rsidRPr="00747D30">
        <w:rPr>
          <w:rFonts w:ascii="Times New Roman" w:hAnsi="Times New Roman" w:cs="Times New Roman"/>
          <w:lang w:val="lv-LV"/>
        </w:rPr>
        <w:t xml:space="preserve">  ES pamattiesību hartas 34.panta pirmā daļa.</w:t>
      </w:r>
    </w:p>
  </w:footnote>
  <w:footnote w:id="47">
    <w:p w:rsidR="008117FC" w:rsidRPr="00747D30" w:rsidRDefault="008117FC" w:rsidP="007070AB">
      <w:pPr>
        <w:pStyle w:val="FootnoteText"/>
        <w:rPr>
          <w:lang w:val="lv-LV"/>
        </w:rPr>
      </w:pPr>
      <w:r w:rsidRPr="00747D30">
        <w:rPr>
          <w:rStyle w:val="FootnoteReference"/>
          <w:rFonts w:ascii="Times New Roman" w:hAnsi="Times New Roman" w:cs="Times New Roman"/>
          <w:lang w:val="lv-LV"/>
        </w:rPr>
        <w:footnoteRef/>
      </w:r>
      <w:r w:rsidRPr="00747D30">
        <w:rPr>
          <w:rFonts w:ascii="Times New Roman" w:hAnsi="Times New Roman" w:cs="Times New Roman"/>
          <w:lang w:val="lv-LV"/>
        </w:rPr>
        <w:t xml:space="preserve"> ES Pamattiesību hartas 34.panta trešā daļa.</w:t>
      </w:r>
    </w:p>
  </w:footnote>
  <w:footnote w:id="48">
    <w:p w:rsidR="008117FC" w:rsidRPr="00747D30" w:rsidRDefault="008117FC" w:rsidP="00FC1877">
      <w:pPr>
        <w:pStyle w:val="FootnoteText"/>
        <w:jc w:val="both"/>
        <w:rPr>
          <w:lang w:val="lv-LV"/>
        </w:rPr>
      </w:pPr>
      <w:r w:rsidRPr="00747D30">
        <w:rPr>
          <w:rStyle w:val="FootnoteReference"/>
          <w:lang w:val="lv-LV"/>
        </w:rPr>
        <w:footnoteRef/>
      </w:r>
      <w:r w:rsidRPr="00747D30">
        <w:rPr>
          <w:lang w:val="lv-LV"/>
        </w:rPr>
        <w:t xml:space="preserve"> </w:t>
      </w:r>
      <w:r w:rsidRPr="00747D30">
        <w:rPr>
          <w:rFonts w:ascii="Times New Roman" w:hAnsi="Times New Roman" w:cs="Times New Roman"/>
          <w:lang w:val="lv-LV"/>
        </w:rPr>
        <w:t xml:space="preserve">PB pētījums „Latvija: kurš ir bezdarbnieks, ekonomiski neaktīvais vai trūcīgais?”, </w:t>
      </w:r>
      <w:r w:rsidRPr="00D61D7C">
        <w:rPr>
          <w:rFonts w:ascii="Times New Roman" w:hAnsi="Times New Roman" w:cs="Times New Roman"/>
          <w:lang w:val="en-US"/>
        </w:rPr>
        <w:t>Expenditure and performance benchmarking country level, Expenditure and performance of welfare benefits and employment programs in Latvia</w:t>
      </w:r>
      <w:r w:rsidRPr="00747D30">
        <w:rPr>
          <w:rFonts w:ascii="Times New Roman" w:hAnsi="Times New Roman" w:cs="Times New Roman"/>
          <w:lang w:val="lv-LV"/>
        </w:rPr>
        <w:t>, 5.lpp.</w:t>
      </w:r>
    </w:p>
  </w:footnote>
  <w:footnote w:id="49">
    <w:p w:rsidR="008117FC" w:rsidRDefault="008117FC" w:rsidP="0079164F">
      <w:pPr>
        <w:spacing w:after="0" w:line="240" w:lineRule="auto"/>
        <w:jc w:val="both"/>
      </w:pPr>
      <w:r w:rsidRPr="001F225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F2258">
        <w:rPr>
          <w:rFonts w:ascii="Times New Roman" w:hAnsi="Times New Roman" w:cs="Times New Roman"/>
          <w:sz w:val="20"/>
          <w:szCs w:val="20"/>
        </w:rPr>
        <w:t>2012.gadā valsts pensijas (izņemot izdienas pensijas militārpersonām un Satversmes aizsardzības biroja amatpersonām) un pabalsti no sociālās apdrošināšanas budžeta tika izmaksāti 812,7 tūkst. personām par kopējo summu 1 386,2 milj. lati.</w:t>
      </w:r>
    </w:p>
  </w:footnote>
  <w:footnote w:id="50">
    <w:p w:rsidR="008117FC" w:rsidRPr="00930BC6" w:rsidRDefault="008117FC" w:rsidP="001F4E37">
      <w:pPr>
        <w:pStyle w:val="FootnoteText"/>
        <w:jc w:val="both"/>
        <w:rPr>
          <w:lang w:val="lv-LV"/>
        </w:rPr>
      </w:pPr>
      <w:r>
        <w:rPr>
          <w:rStyle w:val="FootnoteReference"/>
        </w:rPr>
        <w:footnoteRef/>
      </w:r>
      <w:r w:rsidRPr="00FA5939">
        <w:rPr>
          <w:lang w:val="lv-LV"/>
        </w:rPr>
        <w:t xml:space="preserve"> </w:t>
      </w:r>
      <w:r w:rsidRPr="00FA5939">
        <w:rPr>
          <w:rFonts w:ascii="Times New Roman" w:hAnsi="Times New Roman" w:cs="Times New Roman"/>
          <w:lang w:val="lv-LV"/>
        </w:rPr>
        <w:t>2012.gadā pabalsti no valsts pamatbudžeta tika izmaksāti 413,4 tūkst. personām par kopējo summu – 112 milj. lati.</w:t>
      </w:r>
    </w:p>
  </w:footnote>
  <w:footnote w:id="51">
    <w:p w:rsidR="008117FC" w:rsidRPr="00930BC6" w:rsidRDefault="008117FC" w:rsidP="001F4E37">
      <w:pPr>
        <w:pStyle w:val="FootnoteText"/>
        <w:jc w:val="both"/>
        <w:rPr>
          <w:lang w:val="lv-LV"/>
        </w:rPr>
      </w:pPr>
      <w:r>
        <w:rPr>
          <w:rStyle w:val="FootnoteReference"/>
        </w:rPr>
        <w:footnoteRef/>
      </w:r>
      <w:r w:rsidRPr="00FA5939">
        <w:rPr>
          <w:lang w:val="lv-LV"/>
        </w:rPr>
        <w:t xml:space="preserve"> </w:t>
      </w:r>
      <w:r w:rsidRPr="00FA5939">
        <w:rPr>
          <w:rFonts w:ascii="Times New Roman" w:hAnsi="Times New Roman" w:cs="Times New Roman"/>
          <w:lang w:val="lv-LV"/>
        </w:rPr>
        <w:t>2012.gadā 264,8 tūkst. personām ar zemiem ienākumiem tika izmaksāti pašvaldību sociālās palīdzības pabalsti (ienākumu testētie) par kopējo summu – 41 028,7 tūkst. lati.</w:t>
      </w:r>
    </w:p>
  </w:footnote>
  <w:footnote w:id="52">
    <w:p w:rsidR="008117FC" w:rsidRPr="00930BC6" w:rsidRDefault="008117FC" w:rsidP="0079164F">
      <w:pPr>
        <w:pStyle w:val="FootnoteText"/>
        <w:jc w:val="both"/>
        <w:rPr>
          <w:lang w:val="en-US"/>
        </w:rPr>
      </w:pPr>
      <w:r>
        <w:rPr>
          <w:rStyle w:val="FootnoteReference"/>
        </w:rPr>
        <w:footnoteRef/>
      </w:r>
      <w:r w:rsidRPr="00FA5939">
        <w:rPr>
          <w:lang w:val="en-US"/>
        </w:rPr>
        <w:t xml:space="preserve"> </w:t>
      </w:r>
      <w:r w:rsidRPr="00FA5939">
        <w:rPr>
          <w:rStyle w:val="hps"/>
          <w:rFonts w:ascii="Times New Roman" w:hAnsi="Times New Roman" w:cs="Times New Roman"/>
          <w:lang w:val="en-US"/>
        </w:rPr>
        <w:t xml:space="preserve">PB </w:t>
      </w:r>
      <w:r w:rsidRPr="0065092E">
        <w:rPr>
          <w:rStyle w:val="hps"/>
          <w:rFonts w:ascii="Times New Roman" w:hAnsi="Times New Roman" w:cs="Times New Roman"/>
          <w:lang w:val="lv-LV"/>
        </w:rPr>
        <w:t xml:space="preserve">pētījums </w:t>
      </w:r>
      <w:r w:rsidRPr="0065092E">
        <w:rPr>
          <w:rFonts w:ascii="Times New Roman" w:hAnsi="Times New Roman" w:cs="Times New Roman"/>
          <w:lang w:val="lv-LV"/>
        </w:rPr>
        <w:t>„Latvija: kurš ir bezdarbnieks,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Expenditure and performance benchmarking country level, Expenditure and performance of welfare benefits and employment programs in Latvia, 66.lpp.</w:t>
      </w:r>
    </w:p>
  </w:footnote>
  <w:footnote w:id="53">
    <w:p w:rsidR="008117FC" w:rsidRPr="00930BC6" w:rsidRDefault="008117FC" w:rsidP="00EA07C2">
      <w:pPr>
        <w:pStyle w:val="FootnoteText"/>
        <w:jc w:val="both"/>
        <w:rPr>
          <w:lang w:val="en-US"/>
        </w:rPr>
      </w:pPr>
      <w:r>
        <w:rPr>
          <w:rStyle w:val="FootnoteReference"/>
        </w:rPr>
        <w:footnoteRef/>
      </w:r>
      <w:r w:rsidRPr="00FA5939">
        <w:rPr>
          <w:lang w:val="en-US"/>
        </w:rPr>
        <w:t xml:space="preserve"> </w:t>
      </w:r>
      <w:r w:rsidRPr="00FA5939">
        <w:rPr>
          <w:rStyle w:val="hps"/>
          <w:rFonts w:ascii="Times New Roman" w:hAnsi="Times New Roman" w:cs="Times New Roman"/>
          <w:lang w:val="en-US"/>
        </w:rPr>
        <w:t xml:space="preserve">PB </w:t>
      </w:r>
      <w:r w:rsidRPr="004F1012">
        <w:rPr>
          <w:rStyle w:val="hps"/>
          <w:rFonts w:ascii="Times New Roman" w:hAnsi="Times New Roman" w:cs="Times New Roman"/>
          <w:lang w:val="lv-LV"/>
        </w:rPr>
        <w:t xml:space="preserve">pētījums </w:t>
      </w:r>
      <w:r w:rsidRPr="004F1012">
        <w:rPr>
          <w:rFonts w:ascii="Times New Roman" w:hAnsi="Times New Roman" w:cs="Times New Roman"/>
          <w:lang w:val="lv-LV"/>
        </w:rPr>
        <w:t>„Latvija: kurš ir bezdarbnieks,</w:t>
      </w:r>
      <w:r>
        <w:rPr>
          <w:rFonts w:ascii="Times New Roman" w:hAnsi="Times New Roman" w:cs="Times New Roman"/>
          <w:lang w:val="lv-LV"/>
        </w:rPr>
        <w:t xml:space="preserve"> </w:t>
      </w:r>
      <w:r w:rsidRPr="004F1012">
        <w:rPr>
          <w:rFonts w:ascii="Times New Roman" w:hAnsi="Times New Roman" w:cs="Times New Roman"/>
          <w:lang w:val="lv-LV"/>
        </w:rPr>
        <w:t>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Analysis of the incentive structure created be the tax and benefit system, Financial incentives of the tax and benefit system in Latvia, 7.lpp.</w:t>
      </w:r>
    </w:p>
  </w:footnote>
  <w:footnote w:id="54">
    <w:p w:rsidR="008117FC" w:rsidRPr="001E4FB5" w:rsidRDefault="008117FC">
      <w:pPr>
        <w:pStyle w:val="FootnoteText"/>
        <w:rPr>
          <w:rFonts w:ascii="Times New Roman" w:hAnsi="Times New Roman" w:cs="Times New Roman"/>
          <w:lang w:val="en-US"/>
        </w:rPr>
      </w:pPr>
      <w:r w:rsidRPr="001E4FB5">
        <w:rPr>
          <w:rStyle w:val="FootnoteReference"/>
          <w:rFonts w:ascii="Times New Roman" w:hAnsi="Times New Roman" w:cs="Times New Roman"/>
        </w:rPr>
        <w:footnoteRef/>
      </w:r>
      <w:r w:rsidRPr="001E4FB5">
        <w:rPr>
          <w:rFonts w:ascii="Times New Roman" w:hAnsi="Times New Roman" w:cs="Times New Roman"/>
          <w:lang w:val="lv-LV"/>
        </w:rPr>
        <w:t xml:space="preserve"> Pieejams </w:t>
      </w:r>
      <w:hyperlink r:id="rId7" w:history="1">
        <w:r w:rsidRPr="001E4FB5">
          <w:rPr>
            <w:rStyle w:val="Hyperlink"/>
            <w:rFonts w:ascii="Times New Roman" w:hAnsi="Times New Roman" w:cs="Times New Roman"/>
            <w:lang w:val="en-US"/>
          </w:rPr>
          <w:t>http://polsis.mk.gov.lv/view.do?id=3518</w:t>
        </w:r>
      </w:hyperlink>
      <w:proofErr w:type="gramStart"/>
      <w:r w:rsidRPr="001E4FB5">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w:t>
      </w:r>
      <w:r w:rsidRPr="00D476ED">
        <w:rPr>
          <w:rFonts w:ascii="Times New Roman" w:hAnsi="Times New Roman" w:cs="Times New Roman"/>
          <w:lang w:val="lv-LV"/>
        </w:rPr>
        <w:t xml:space="preserve">Skatīts </w:t>
      </w:r>
      <w:r>
        <w:rPr>
          <w:rFonts w:ascii="Times New Roman" w:hAnsi="Times New Roman" w:cs="Times New Roman"/>
          <w:lang w:val="en-US"/>
        </w:rPr>
        <w:t xml:space="preserve">11.10.2013. </w:t>
      </w:r>
    </w:p>
  </w:footnote>
  <w:footnote w:id="55">
    <w:p w:rsidR="008117FC" w:rsidRPr="00983F80" w:rsidRDefault="008117FC">
      <w:pPr>
        <w:pStyle w:val="FootnoteText"/>
        <w:rPr>
          <w:lang w:val="lv-LV"/>
        </w:rPr>
      </w:pPr>
      <w:r w:rsidRPr="00983C08">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957052">
        <w:rPr>
          <w:rFonts w:ascii="Times New Roman" w:hAnsi="Times New Roman" w:cs="Times New Roman"/>
          <w:lang w:val="lv-LV"/>
        </w:rPr>
        <w:t>Valsts sociālā nodrošinājuma pabalsta apmērs vispārējā gadījumā no 2006.gada 1.janvāra ir Ls 45. Savukārt personām ar invaliditāti kopš bērnības valsts sociālā nodrošinājuma pabalsta apmērs no 2009.gada 1.janvāra ir Ls 75.</w:t>
      </w:r>
    </w:p>
  </w:footnote>
  <w:footnote w:id="56">
    <w:p w:rsidR="008117FC" w:rsidRPr="00930BC6" w:rsidRDefault="008117FC" w:rsidP="005A19EF">
      <w:pPr>
        <w:pStyle w:val="FootnoteText"/>
        <w:rPr>
          <w:lang w:val="en-US"/>
        </w:rPr>
      </w:pPr>
      <w:r w:rsidRPr="00952920">
        <w:rPr>
          <w:rStyle w:val="FootnoteReference"/>
          <w:rFonts w:ascii="Times New Roman" w:hAnsi="Times New Roman" w:cs="Times New Roman"/>
        </w:rPr>
        <w:footnoteRef/>
      </w:r>
      <w:r w:rsidRPr="005A19EF">
        <w:rPr>
          <w:rFonts w:ascii="Times New Roman" w:hAnsi="Times New Roman" w:cs="Times New Roman"/>
          <w:lang w:val="lv-LV"/>
        </w:rPr>
        <w:t xml:space="preserve">  Valsts sociālo pabalstu likums 13.pants.</w:t>
      </w:r>
    </w:p>
  </w:footnote>
  <w:footnote w:id="57">
    <w:p w:rsidR="008117FC" w:rsidRPr="00A2149C" w:rsidRDefault="008117FC" w:rsidP="00A2149C">
      <w:pPr>
        <w:pStyle w:val="FootnoteText"/>
        <w:jc w:val="both"/>
        <w:rPr>
          <w:rFonts w:ascii="Times New Roman" w:hAnsi="Times New Roman" w:cs="Times New Roman"/>
          <w:lang w:val="lv-LV"/>
        </w:rPr>
      </w:pPr>
      <w:r w:rsidRPr="00A2149C">
        <w:rPr>
          <w:rStyle w:val="FootnoteReference"/>
          <w:rFonts w:ascii="Times New Roman" w:hAnsi="Times New Roman" w:cs="Times New Roman"/>
          <w:lang w:val="lv-LV"/>
        </w:rPr>
        <w:footnoteRef/>
      </w:r>
      <w:r w:rsidRPr="00A2149C">
        <w:rPr>
          <w:rFonts w:ascii="Times New Roman" w:hAnsi="Times New Roman" w:cs="Times New Roman"/>
          <w:lang w:val="lv-LV"/>
        </w:rPr>
        <w:t xml:space="preserve"> Valsts sociālā nodrošinājuma pabalsts tiek ņemts vērā, nosakot vecuma, invaliditātes, apgādnieka zaudējuma un izdienas pensiju minimālos apmērus, apdrošināšanas atlīdzības sakarā ar nelaimes gadījumu darbā vai konstatēto arodslimību, kaitējuma atlīdzības, valsts speciālo pabalstu Latvijas neatkarības atgūšanas procesā bojā gājušo personu bērniem, </w:t>
      </w:r>
      <w:r>
        <w:rPr>
          <w:rFonts w:ascii="Times New Roman" w:hAnsi="Times New Roman" w:cs="Times New Roman"/>
          <w:lang w:val="lv-LV"/>
        </w:rPr>
        <w:t>apbedīšanas pabalstu</w:t>
      </w:r>
      <w:r w:rsidRPr="00A2149C">
        <w:rPr>
          <w:rFonts w:ascii="Times New Roman" w:hAnsi="Times New Roman" w:cs="Times New Roman"/>
          <w:lang w:val="lv-LV"/>
        </w:rPr>
        <w:t xml:space="preserve"> bezdarbnieka nāves gadījumā un sociāli apdrošinātas personas apgādībā bijuša ģimenes locekļa nāves gadījumā</w:t>
      </w:r>
      <w:r>
        <w:rPr>
          <w:rFonts w:ascii="Times New Roman" w:hAnsi="Times New Roman" w:cs="Times New Roman"/>
          <w:lang w:val="lv-LV"/>
        </w:rPr>
        <w:t>.</w:t>
      </w:r>
    </w:p>
  </w:footnote>
  <w:footnote w:id="58">
    <w:p w:rsidR="008117FC" w:rsidRPr="00930BC6" w:rsidRDefault="008117FC" w:rsidP="00BC107E">
      <w:pPr>
        <w:pStyle w:val="FootnoteText"/>
        <w:jc w:val="both"/>
        <w:rPr>
          <w:lang w:val="lv-LV"/>
        </w:rPr>
      </w:pPr>
      <w:r w:rsidRPr="00A2149C">
        <w:rPr>
          <w:rStyle w:val="FootnoteReference"/>
          <w:rFonts w:ascii="Times New Roman" w:hAnsi="Times New Roman" w:cs="Times New Roman"/>
          <w:lang w:val="lv-LV"/>
        </w:rPr>
        <w:footnoteRef/>
      </w:r>
      <w:r w:rsidRPr="00A2149C">
        <w:rPr>
          <w:rFonts w:ascii="Times New Roman" w:hAnsi="Times New Roman" w:cs="Times New Roman"/>
          <w:lang w:val="lv-LV"/>
        </w:rPr>
        <w:t xml:space="preserve"> Laika periodā no 01.07.2009. līdz 31.12.2014. ģimenes valsts pabalsta apmērs par katru bērnu ģimenē ir Ls 8</w:t>
      </w:r>
      <w:r w:rsidRPr="00FA5939">
        <w:rPr>
          <w:rFonts w:ascii="Times New Roman" w:hAnsi="Times New Roman" w:cs="Times New Roman"/>
          <w:lang w:val="lv-LV"/>
        </w:rPr>
        <w:t xml:space="preserve"> mēnesī. Līdz 30.06.2009. ģimenes valsts pabalsta apmērs par pirmo bērnu ģimenē bija Ls 8 mēnesī (kopš 01.01.2007.), par otro bērnu ģimenē pabalsts bija 1,2 reizes lielāks (Ls 9,60 mēnesī), par trešo bērnu 1,6 reizes lielāks (Ls 12,80 mēnesī), par ceturto un katru nākamo bērnu 1,8 reizes lielāks nekā par pirmo bērnu ģimenē (Ls 14,40 mēnesī).</w:t>
      </w:r>
    </w:p>
  </w:footnote>
  <w:footnote w:id="59">
    <w:p w:rsidR="008117FC" w:rsidRPr="00747D30" w:rsidRDefault="008117FC" w:rsidP="0001699B">
      <w:pPr>
        <w:pStyle w:val="FootnoteText"/>
        <w:jc w:val="both"/>
        <w:rPr>
          <w:lang w:val="lv-LV"/>
        </w:rPr>
      </w:pPr>
      <w:r w:rsidRPr="0001699B">
        <w:rPr>
          <w:rStyle w:val="FootnoteReference"/>
          <w:rFonts w:ascii="Times New Roman" w:hAnsi="Times New Roman" w:cs="Times New Roman"/>
        </w:rPr>
        <w:footnoteRef/>
      </w:r>
      <w:r w:rsidRPr="00FA5939">
        <w:rPr>
          <w:rFonts w:ascii="Times New Roman" w:hAnsi="Times New Roman" w:cs="Times New Roman"/>
          <w:lang w:val="lv-LV"/>
        </w:rPr>
        <w:t xml:space="preserve">  N</w:t>
      </w:r>
      <w:r w:rsidRPr="00930BC6">
        <w:rPr>
          <w:rFonts w:ascii="Times New Roman" w:hAnsi="Times New Roman" w:cs="Times New Roman"/>
          <w:lang w:val="en-US" w:eastAsia="lv-LV"/>
        </w:rPr>
        <w:t xml:space="preserve">o 05.04.2010. </w:t>
      </w:r>
      <w:r w:rsidRPr="00747D30">
        <w:rPr>
          <w:rFonts w:ascii="Times New Roman" w:hAnsi="Times New Roman" w:cs="Times New Roman"/>
          <w:lang w:val="lv-LV" w:eastAsia="lv-LV"/>
        </w:rPr>
        <w:t xml:space="preserve">tika pārtraukta piemaksas izmaksa pie bērna piedzimšanas pabalsta. Bērna piedzimšanas pabalsta apmērs ir 296 lati par katru piedzimušo bērnu. Līdz 04.04.2010. piemaksa par pirmā bērna piedzimšanu bija 100 lati, par otrā </w:t>
      </w:r>
      <w:r w:rsidRPr="00747D30">
        <w:rPr>
          <w:rFonts w:ascii="Times New Roman" w:hAnsi="Times New Roman" w:cs="Times New Roman"/>
          <w:lang w:val="lv-LV"/>
        </w:rPr>
        <w:t>–</w:t>
      </w:r>
      <w:r w:rsidRPr="00747D30">
        <w:rPr>
          <w:rFonts w:ascii="Times New Roman" w:hAnsi="Times New Roman" w:cs="Times New Roman"/>
          <w:lang w:val="lv-LV" w:eastAsia="lv-LV"/>
        </w:rPr>
        <w:t xml:space="preserve"> 150 lati, par trešā un katra nākamā bē</w:t>
      </w:r>
      <w:r w:rsidRPr="00747D30">
        <w:rPr>
          <w:rFonts w:ascii="Times New Roman" w:hAnsi="Times New Roman" w:cs="Times New Roman"/>
          <w:lang w:val="lv-LV"/>
        </w:rPr>
        <w:t>rna piedzimšanu – 200 latu apmērā</w:t>
      </w:r>
    </w:p>
  </w:footnote>
  <w:footnote w:id="60">
    <w:p w:rsidR="008117FC" w:rsidRPr="00930BC6" w:rsidRDefault="008117FC" w:rsidP="00D32C0F">
      <w:pPr>
        <w:pStyle w:val="Heading2"/>
        <w:spacing w:before="0" w:line="240" w:lineRule="auto"/>
        <w:jc w:val="both"/>
        <w:rPr>
          <w:lang w:val="en-US"/>
        </w:rPr>
      </w:pPr>
      <w:r w:rsidRPr="00747D30">
        <w:rPr>
          <w:rStyle w:val="FootnoteReference"/>
          <w:rFonts w:ascii="Times New Roman" w:hAnsi="Times New Roman" w:cs="Times New Roman"/>
          <w:b w:val="0"/>
          <w:bCs w:val="0"/>
          <w:color w:val="auto"/>
          <w:sz w:val="20"/>
          <w:szCs w:val="20"/>
          <w:lang w:val="lv-LV"/>
        </w:rPr>
        <w:footnoteRef/>
      </w:r>
      <w:r w:rsidRPr="00747D30">
        <w:rPr>
          <w:rFonts w:ascii="Times New Roman" w:hAnsi="Times New Roman" w:cs="Times New Roman"/>
          <w:b w:val="0"/>
          <w:bCs w:val="0"/>
          <w:color w:val="auto"/>
          <w:sz w:val="20"/>
          <w:szCs w:val="20"/>
          <w:lang w:val="lv-LV"/>
        </w:rPr>
        <w:t xml:space="preserve"> Eiropas Savienības un Eiropas Ekonomikas zonas (EEZ) dalībvalstis</w:t>
      </w:r>
      <w:r>
        <w:rPr>
          <w:rFonts w:ascii="Times New Roman" w:hAnsi="Times New Roman" w:cs="Times New Roman"/>
          <w:b w:val="0"/>
          <w:bCs w:val="0"/>
          <w:color w:val="auto"/>
          <w:sz w:val="20"/>
          <w:szCs w:val="20"/>
          <w:lang w:val="lv-LV"/>
        </w:rPr>
        <w:t>.</w:t>
      </w:r>
      <w:r w:rsidRPr="00747D30">
        <w:rPr>
          <w:rFonts w:ascii="Times New Roman" w:hAnsi="Times New Roman" w:cs="Times New Roman"/>
          <w:b w:val="0"/>
          <w:bCs w:val="0"/>
          <w:color w:val="auto"/>
          <w:sz w:val="20"/>
          <w:szCs w:val="20"/>
          <w:lang w:val="lv-LV"/>
        </w:rPr>
        <w:t xml:space="preserve"> EEZ dalībvalstis ir visas ES dalībvalstis un Islande, Lihtenšteina un Norvēģija</w:t>
      </w:r>
      <w:r w:rsidRPr="00930BC6">
        <w:rPr>
          <w:rFonts w:ascii="Times New Roman" w:hAnsi="Times New Roman" w:cs="Times New Roman"/>
          <w:b w:val="0"/>
          <w:bCs w:val="0"/>
          <w:color w:val="auto"/>
          <w:sz w:val="20"/>
          <w:szCs w:val="20"/>
          <w:lang w:val="en-US"/>
        </w:rPr>
        <w:t>.</w:t>
      </w:r>
    </w:p>
  </w:footnote>
  <w:footnote w:id="61">
    <w:p w:rsidR="008117FC" w:rsidRPr="00F348BC" w:rsidRDefault="008117FC" w:rsidP="00A723E0">
      <w:pPr>
        <w:pStyle w:val="FootnoteText"/>
        <w:jc w:val="both"/>
        <w:rPr>
          <w:lang w:val="lv-LV"/>
        </w:rPr>
      </w:pPr>
      <w:r w:rsidRPr="00A723E0">
        <w:rPr>
          <w:rStyle w:val="FootnoteReference"/>
          <w:rFonts w:ascii="Times New Roman" w:hAnsi="Times New Roman" w:cs="Times New Roman"/>
        </w:rPr>
        <w:footnoteRef/>
      </w:r>
      <w:r w:rsidRPr="00A723E0">
        <w:rPr>
          <w:rFonts w:ascii="Times New Roman" w:hAnsi="Times New Roman" w:cs="Times New Roman"/>
          <w:lang w:val="en-US"/>
        </w:rPr>
        <w:t xml:space="preserve"> </w:t>
      </w:r>
      <w:r w:rsidRPr="00A723E0">
        <w:rPr>
          <w:rFonts w:ascii="Times New Roman" w:hAnsi="Times New Roman"/>
          <w:lang w:val="lv-LV"/>
        </w:rPr>
        <w:t>Igaunijā pabalsta vidējais apmērs ir norādīts tikai par pirmo un otro bērnu ģimenē. Lietuvā ģimenes valsts pabalsts tiek maksāts līdz bērna 18 gadiem tikai daudzbērnu ģimenēm, kā arī tā apmērs variējas atkarībā no bērna vecuma un ģimenes ienākumiem (vidējais apmērs ir 22 eiro mēnesī).</w:t>
      </w:r>
    </w:p>
  </w:footnote>
  <w:footnote w:id="62">
    <w:p w:rsidR="008117FC" w:rsidRPr="00F348BC" w:rsidRDefault="008117FC" w:rsidP="002134C8">
      <w:pPr>
        <w:pStyle w:val="NormalWeb"/>
        <w:shd w:val="clear" w:color="auto" w:fill="FFFFFF"/>
        <w:spacing w:before="0" w:after="0"/>
        <w:jc w:val="both"/>
        <w:rPr>
          <w:sz w:val="20"/>
          <w:szCs w:val="20"/>
        </w:rPr>
      </w:pPr>
      <w:r w:rsidRPr="00F348BC">
        <w:rPr>
          <w:rStyle w:val="FootnoteReference"/>
          <w:sz w:val="20"/>
          <w:szCs w:val="20"/>
        </w:rPr>
        <w:footnoteRef/>
      </w:r>
      <w:r w:rsidRPr="00F348BC">
        <w:rPr>
          <w:sz w:val="20"/>
          <w:szCs w:val="20"/>
        </w:rPr>
        <w:t xml:space="preserve"> Eiropas Sociālo tiesību komitej</w:t>
      </w:r>
      <w:r>
        <w:rPr>
          <w:sz w:val="20"/>
          <w:szCs w:val="20"/>
        </w:rPr>
        <w:t xml:space="preserve">as secinājumi (2012). Pieejams </w:t>
      </w:r>
    </w:p>
    <w:p w:rsidR="008117FC" w:rsidRDefault="008117FC" w:rsidP="002134C8">
      <w:pPr>
        <w:pStyle w:val="NormalWeb"/>
        <w:shd w:val="clear" w:color="auto" w:fill="FFFFFF"/>
        <w:spacing w:before="0" w:after="0"/>
        <w:jc w:val="both"/>
      </w:pPr>
      <w:hyperlink r:id="rId8" w:history="1">
        <w:r w:rsidRPr="00102748">
          <w:rPr>
            <w:rStyle w:val="Hyperlink"/>
            <w:sz w:val="20"/>
            <w:szCs w:val="20"/>
          </w:rPr>
          <w:t>http://www.coe.int/t/dghl/monitoring/socialcharter/conclusions/State/LatviaXIX4_en.pdf</w:t>
        </w:r>
      </w:hyperlink>
    </w:p>
  </w:footnote>
  <w:footnote w:id="63">
    <w:p w:rsidR="008117FC" w:rsidRDefault="008117FC" w:rsidP="00E31219">
      <w:pPr>
        <w:spacing w:after="0" w:line="240" w:lineRule="auto"/>
        <w:jc w:val="both"/>
      </w:pPr>
      <w:r w:rsidRPr="002134C8">
        <w:rPr>
          <w:rStyle w:val="FootnoteReference"/>
          <w:sz w:val="20"/>
          <w:szCs w:val="20"/>
        </w:rPr>
        <w:footnoteRef/>
      </w:r>
      <w:r>
        <w:rPr>
          <w:rFonts w:ascii="Times New Roman" w:hAnsi="Times New Roman" w:cs="Times New Roman"/>
          <w:sz w:val="20"/>
          <w:szCs w:val="20"/>
        </w:rPr>
        <w:t xml:space="preserve"> Eiropas Sociālās hartas</w:t>
      </w:r>
      <w:r w:rsidRPr="002134C8">
        <w:rPr>
          <w:rFonts w:ascii="Times New Roman" w:hAnsi="Times New Roman" w:cs="Times New Roman"/>
          <w:sz w:val="20"/>
          <w:szCs w:val="20"/>
        </w:rPr>
        <w:t xml:space="preserve">16.pants </w:t>
      </w:r>
      <w:r>
        <w:rPr>
          <w:rFonts w:ascii="Times New Roman" w:hAnsi="Times New Roman" w:cs="Times New Roman"/>
          <w:sz w:val="20"/>
          <w:szCs w:val="20"/>
        </w:rPr>
        <w:t>„</w:t>
      </w:r>
      <w:r w:rsidRPr="002134C8">
        <w:rPr>
          <w:rFonts w:ascii="Times New Roman" w:hAnsi="Times New Roman" w:cs="Times New Roman"/>
          <w:sz w:val="20"/>
          <w:szCs w:val="20"/>
        </w:rPr>
        <w:t>Ģimenes tiesības uz sociālo, juridisko un ekonomisko aizsardzību</w:t>
      </w:r>
      <w:r>
        <w:rPr>
          <w:rFonts w:ascii="Times New Roman" w:hAnsi="Times New Roman" w:cs="Times New Roman"/>
          <w:sz w:val="20"/>
          <w:szCs w:val="20"/>
        </w:rPr>
        <w:t xml:space="preserve">”: </w:t>
      </w:r>
      <w:r w:rsidRPr="004E79E5">
        <w:rPr>
          <w:rFonts w:ascii="Times New Roman" w:hAnsi="Times New Roman" w:cs="Times New Roman"/>
          <w:sz w:val="20"/>
          <w:szCs w:val="20"/>
        </w:rPr>
        <w:t>„Lai nodrošinātu apstākļus, kas nepieciešami pilnīgai ģimenes kā sabiedrības pamatvienības attīstībai, Līgumslēdzējas puses apņemas veicināt ģimenes dzīves ekonomisko, juridisko un sociālo aizsardzību ar tādiem līdzekļiem kā ģimeņu pabalsti, nodokļu atvieglojumi, dzīvojamā fonda nodrošināšana ģimenēm, pabalsti jaunlaulātajiem un citiem piemērotiem līdzekļiem.</w:t>
      </w:r>
      <w:r>
        <w:rPr>
          <w:rFonts w:ascii="Times New Roman" w:hAnsi="Times New Roman" w:cs="Times New Roman"/>
          <w:sz w:val="20"/>
          <w:szCs w:val="20"/>
        </w:rPr>
        <w:t>”</w:t>
      </w:r>
    </w:p>
  </w:footnote>
  <w:footnote w:id="64">
    <w:p w:rsidR="008117FC" w:rsidRPr="00D47A27" w:rsidRDefault="008117FC">
      <w:pPr>
        <w:pStyle w:val="FootnoteText"/>
        <w:rPr>
          <w:lang w:val="lv-LV"/>
        </w:rPr>
      </w:pPr>
      <w:r w:rsidRPr="00D47A27">
        <w:rPr>
          <w:rStyle w:val="FootnoteReference"/>
          <w:rFonts w:ascii="Times New Roman" w:hAnsi="Times New Roman" w:cs="Times New Roman"/>
          <w:lang w:val="lv-LV"/>
        </w:rPr>
        <w:footnoteRef/>
      </w:r>
      <w:r w:rsidRPr="00D47A27">
        <w:rPr>
          <w:rFonts w:ascii="Times New Roman" w:hAnsi="Times New Roman" w:cs="Times New Roman"/>
          <w:lang w:val="lv-LV"/>
        </w:rPr>
        <w:t xml:space="preserve"> 15.panta otrā un trešā daļa un Pārejas noteikumu 16.punkts.</w:t>
      </w:r>
    </w:p>
  </w:footnote>
  <w:footnote w:id="65">
    <w:p w:rsidR="008117FC" w:rsidRPr="00D47A27" w:rsidRDefault="008117FC">
      <w:pPr>
        <w:pStyle w:val="FootnoteText"/>
        <w:rPr>
          <w:lang w:val="lv-LV"/>
        </w:rPr>
      </w:pPr>
      <w:r w:rsidRPr="00E701C7">
        <w:rPr>
          <w:rStyle w:val="FootnoteReference"/>
          <w:rFonts w:ascii="Times New Roman" w:hAnsi="Times New Roman" w:cs="Times New Roman"/>
        </w:rPr>
        <w:footnoteRef/>
      </w:r>
      <w:r w:rsidRPr="00FA5939">
        <w:rPr>
          <w:rFonts w:ascii="Times New Roman" w:hAnsi="Times New Roman" w:cs="Times New Roman"/>
          <w:lang w:val="fr-FR"/>
        </w:rPr>
        <w:t xml:space="preserve">  </w:t>
      </w:r>
      <w:r w:rsidRPr="00D47A27">
        <w:rPr>
          <w:rFonts w:ascii="Times New Roman" w:hAnsi="Times New Roman" w:cs="Times New Roman"/>
          <w:lang w:val="lv-LV"/>
        </w:rPr>
        <w:t>Valsts sociālo pabalstu likums 6.panta trešā daļa. Pabalsta apmērs 75 lati mēnesī.</w:t>
      </w:r>
    </w:p>
  </w:footnote>
  <w:footnote w:id="66">
    <w:p w:rsidR="008117FC" w:rsidRPr="00930BC6" w:rsidRDefault="008117FC" w:rsidP="00721350">
      <w:pPr>
        <w:pStyle w:val="FootnoteText"/>
        <w:jc w:val="both"/>
        <w:rPr>
          <w:lang w:val="en-US"/>
        </w:rPr>
      </w:pPr>
      <w:r w:rsidRPr="00D47A27">
        <w:rPr>
          <w:rStyle w:val="FootnoteReference"/>
          <w:rFonts w:ascii="Times New Roman" w:hAnsi="Times New Roman" w:cs="Times New Roman"/>
          <w:lang w:val="lv-LV"/>
        </w:rPr>
        <w:footnoteRef/>
      </w:r>
      <w:r w:rsidRPr="00D47A27">
        <w:rPr>
          <w:rFonts w:ascii="Times New Roman" w:hAnsi="Times New Roman" w:cs="Times New Roman"/>
          <w:lang w:val="lv-LV"/>
        </w:rPr>
        <w:t xml:space="preserve"> </w:t>
      </w:r>
      <w:r w:rsidRPr="00D47A27">
        <w:rPr>
          <w:rStyle w:val="hps"/>
          <w:rFonts w:ascii="Times New Roman" w:hAnsi="Times New Roman" w:cs="Times New Roman"/>
          <w:lang w:val="lv-LV"/>
        </w:rPr>
        <w:t xml:space="preserve">PB pētījums </w:t>
      </w:r>
      <w:r w:rsidRPr="00D47A27">
        <w:rPr>
          <w:rFonts w:ascii="Times New Roman" w:hAnsi="Times New Roman" w:cs="Times New Roman"/>
          <w:lang w:val="lv-LV"/>
        </w:rPr>
        <w:t>„Latvija: kurš ir bezdarbnieks,</w:t>
      </w:r>
      <w:r>
        <w:rPr>
          <w:rFonts w:ascii="Times New Roman" w:hAnsi="Times New Roman" w:cs="Times New Roman"/>
          <w:lang w:val="lv-LV"/>
        </w:rPr>
        <w:t xml:space="preserve"> </w:t>
      </w:r>
      <w:r w:rsidRPr="00D47A27">
        <w:rPr>
          <w:rFonts w:ascii="Times New Roman" w:hAnsi="Times New Roman" w:cs="Times New Roman"/>
          <w:lang w:val="lv-LV"/>
        </w:rPr>
        <w:t>ekonomiski neaktīvais vai trūcīgais</w:t>
      </w:r>
      <w:r w:rsidRPr="00FA5939">
        <w:rPr>
          <w:rFonts w:ascii="Times New Roman" w:hAnsi="Times New Roman" w:cs="Times New Roman"/>
          <w:lang w:val="en-US"/>
        </w:rPr>
        <w:t xml:space="preserve">?”, Expenditure and performance benchmarking country level, Expenditure and performance of welfare benefits and employment </w:t>
      </w:r>
      <w:r>
        <w:rPr>
          <w:rFonts w:ascii="Times New Roman" w:hAnsi="Times New Roman" w:cs="Times New Roman"/>
          <w:lang w:val="en-US"/>
        </w:rPr>
        <w:t xml:space="preserve">programs in Latvia; 65. </w:t>
      </w:r>
      <w:r w:rsidRPr="00A723E0">
        <w:rPr>
          <w:rFonts w:ascii="Times New Roman" w:hAnsi="Times New Roman" w:cs="Times New Roman"/>
          <w:lang w:val="lv-LV"/>
        </w:rPr>
        <w:t>lpp.</w:t>
      </w:r>
      <w:r>
        <w:rPr>
          <w:rFonts w:ascii="Times New Roman" w:hAnsi="Times New Roman" w:cs="Times New Roman"/>
          <w:lang w:val="en-US"/>
        </w:rPr>
        <w:t xml:space="preserve"> </w:t>
      </w:r>
    </w:p>
  </w:footnote>
  <w:footnote w:id="67">
    <w:p w:rsidR="008117FC" w:rsidRPr="00930BC6" w:rsidRDefault="008117FC">
      <w:pPr>
        <w:pStyle w:val="FootnoteText"/>
        <w:rPr>
          <w:lang w:val="en-US"/>
        </w:rPr>
      </w:pPr>
      <w:r w:rsidRPr="00E701C7">
        <w:rPr>
          <w:rStyle w:val="FootnoteReference"/>
          <w:rFonts w:ascii="Times New Roman" w:hAnsi="Times New Roman" w:cs="Times New Roman"/>
        </w:rPr>
        <w:footnoteRef/>
      </w:r>
      <w:r>
        <w:rPr>
          <w:rFonts w:ascii="Times New Roman" w:hAnsi="Times New Roman" w:cs="Times New Roman"/>
          <w:lang w:val="fr-FR"/>
        </w:rPr>
        <w:t xml:space="preserve"> </w:t>
      </w:r>
      <w:r w:rsidRPr="00A723E0">
        <w:rPr>
          <w:rFonts w:ascii="Times New Roman" w:hAnsi="Times New Roman" w:cs="Times New Roman"/>
          <w:lang w:val="lv-LV"/>
        </w:rPr>
        <w:t>Turpat</w:t>
      </w:r>
      <w:r w:rsidRPr="00FA5939">
        <w:rPr>
          <w:rFonts w:ascii="Times New Roman" w:hAnsi="Times New Roman" w:cs="Times New Roman"/>
          <w:lang w:val="fr-FR"/>
        </w:rPr>
        <w:t xml:space="preserve"> </w:t>
      </w:r>
      <w:r w:rsidRPr="00930BC6">
        <w:rPr>
          <w:rFonts w:ascii="Times New Roman" w:hAnsi="Times New Roman" w:cs="Times New Roman"/>
          <w:lang w:val="en-US" w:eastAsia="lv-LV"/>
        </w:rPr>
        <w:t>26., 30</w:t>
      </w:r>
      <w:r>
        <w:rPr>
          <w:rFonts w:ascii="Times New Roman" w:hAnsi="Times New Roman" w:cs="Times New Roman"/>
          <w:lang w:val="en-US" w:eastAsia="lv-LV"/>
        </w:rPr>
        <w:t xml:space="preserve">. </w:t>
      </w:r>
      <w:r w:rsidRPr="00A723E0">
        <w:rPr>
          <w:rFonts w:ascii="Times New Roman" w:hAnsi="Times New Roman" w:cs="Times New Roman"/>
          <w:lang w:val="lv-LV" w:eastAsia="lv-LV"/>
        </w:rPr>
        <w:t>lpp.</w:t>
      </w:r>
    </w:p>
  </w:footnote>
  <w:footnote w:id="68">
    <w:p w:rsidR="008117FC" w:rsidRPr="00D47A27" w:rsidRDefault="008117FC" w:rsidP="00E701C7">
      <w:pPr>
        <w:pStyle w:val="FootnoteText"/>
        <w:jc w:val="both"/>
        <w:rPr>
          <w:lang w:val="lv-LV"/>
        </w:rPr>
      </w:pPr>
      <w:r w:rsidRPr="00E701C7">
        <w:rPr>
          <w:rStyle w:val="FootnoteReference"/>
          <w:rFonts w:ascii="Times New Roman" w:hAnsi="Times New Roman" w:cs="Times New Roman"/>
        </w:rPr>
        <w:footnoteRef/>
      </w:r>
      <w:r w:rsidRPr="00FA5939">
        <w:rPr>
          <w:rFonts w:ascii="Times New Roman" w:hAnsi="Times New Roman" w:cs="Times New Roman"/>
          <w:lang w:val="fr-FR"/>
        </w:rPr>
        <w:t xml:space="preserve"> </w:t>
      </w:r>
      <w:r w:rsidRPr="00D47A27">
        <w:rPr>
          <w:rFonts w:ascii="Times New Roman" w:hAnsi="Times New Roman" w:cs="Times New Roman"/>
          <w:lang w:val="lv-LV"/>
        </w:rPr>
        <w:t xml:space="preserve">Eiropas Drošības un sadarbības organizācija </w:t>
      </w:r>
      <w:proofErr w:type="gramStart"/>
      <w:r w:rsidRPr="00D47A27">
        <w:rPr>
          <w:rFonts w:ascii="Times New Roman" w:hAnsi="Times New Roman" w:cs="Times New Roman"/>
          <w:lang w:val="lv-LV"/>
        </w:rPr>
        <w:t>(</w:t>
      </w:r>
      <w:proofErr w:type="gramEnd"/>
      <w:r w:rsidRPr="00D47A27">
        <w:rPr>
          <w:rFonts w:ascii="Times New Roman" w:hAnsi="Times New Roman" w:cs="Times New Roman"/>
          <w:lang w:val="lv-LV"/>
        </w:rPr>
        <w:t xml:space="preserve">angļu val. </w:t>
      </w:r>
      <w:proofErr w:type="gramStart"/>
      <w:r w:rsidRPr="00D47A27">
        <w:rPr>
          <w:rFonts w:ascii="Times New Roman" w:hAnsi="Times New Roman" w:cs="Times New Roman"/>
          <w:lang w:val="en-US"/>
        </w:rPr>
        <w:t>Organization for Security and Co-operation in Europe</w:t>
      </w:r>
      <w:r w:rsidRPr="00D47A27">
        <w:rPr>
          <w:rFonts w:ascii="Times New Roman" w:hAnsi="Times New Roman" w:cs="Times New Roman"/>
          <w:lang w:val="lv-LV"/>
        </w:rPr>
        <w:t>) ir pasaulē lielākā reģionālā starpvaldību organizācija drošības jomā, kas ietver 57 dalībvalstis.</w:t>
      </w:r>
      <w:proofErr w:type="gramEnd"/>
      <w:r w:rsidRPr="00D47A27">
        <w:rPr>
          <w:rFonts w:ascii="Times New Roman" w:hAnsi="Times New Roman" w:cs="Times New Roman"/>
          <w:lang w:val="lv-LV"/>
        </w:rPr>
        <w:t xml:space="preserve"> Vairāk informācijas šeit </w:t>
      </w:r>
      <w:hyperlink r:id="rId9" w:history="1">
        <w:r w:rsidRPr="00D47A27">
          <w:rPr>
            <w:rStyle w:val="Hyperlink"/>
            <w:rFonts w:ascii="Times New Roman" w:hAnsi="Times New Roman" w:cs="Times New Roman"/>
            <w:lang w:val="lv-LV"/>
          </w:rPr>
          <w:t>http://www.osce.org/</w:t>
        </w:r>
      </w:hyperlink>
      <w:r w:rsidRPr="00D47A27">
        <w:rPr>
          <w:rFonts w:ascii="Times New Roman" w:hAnsi="Times New Roman" w:cs="Times New Roman"/>
          <w:lang w:val="lv-LV"/>
        </w:rPr>
        <w:t xml:space="preserve">. </w:t>
      </w:r>
    </w:p>
  </w:footnote>
  <w:footnote w:id="69">
    <w:p w:rsidR="008117FC" w:rsidRPr="00930BC6" w:rsidRDefault="008117FC" w:rsidP="00773B22">
      <w:pPr>
        <w:pStyle w:val="FootnoteText"/>
        <w:jc w:val="both"/>
        <w:rPr>
          <w:lang w:val="en-US"/>
        </w:rPr>
      </w:pPr>
      <w:r w:rsidRPr="00773B22">
        <w:rPr>
          <w:rStyle w:val="FootnoteReference"/>
          <w:rFonts w:ascii="Times New Roman" w:hAnsi="Times New Roman" w:cs="Times New Roman"/>
        </w:rPr>
        <w:footnoteRef/>
      </w:r>
      <w:r w:rsidRPr="00FA5939">
        <w:rPr>
          <w:rFonts w:ascii="Times New Roman" w:hAnsi="Times New Roman" w:cs="Times New Roman"/>
          <w:lang w:val="en-US"/>
        </w:rPr>
        <w:t xml:space="preserve"> The impact of family policy packages on fertility trends in developed countries, Angela </w:t>
      </w:r>
      <w:proofErr w:type="spellStart"/>
      <w:r w:rsidRPr="00FA5939">
        <w:rPr>
          <w:rFonts w:ascii="Times New Roman" w:hAnsi="Times New Roman" w:cs="Times New Roman"/>
          <w:lang w:val="en-US"/>
        </w:rPr>
        <w:t>Luci</w:t>
      </w:r>
      <w:proofErr w:type="spellEnd"/>
      <w:r w:rsidRPr="00FA5939">
        <w:rPr>
          <w:rFonts w:ascii="Times New Roman" w:hAnsi="Times New Roman" w:cs="Times New Roman"/>
          <w:lang w:val="en-US"/>
        </w:rPr>
        <w:t xml:space="preserve">, </w:t>
      </w:r>
      <w:proofErr w:type="spellStart"/>
      <w:r w:rsidRPr="00FA5939">
        <w:rPr>
          <w:rFonts w:ascii="Times New Roman" w:hAnsi="Times New Roman" w:cs="Times New Roman"/>
          <w:lang w:val="en-US"/>
        </w:rPr>
        <w:t>Institut</w:t>
      </w:r>
      <w:proofErr w:type="spellEnd"/>
      <w:r w:rsidRPr="00FA5939">
        <w:rPr>
          <w:rFonts w:ascii="Times New Roman" w:hAnsi="Times New Roman" w:cs="Times New Roman"/>
          <w:lang w:val="en-US"/>
        </w:rPr>
        <w:t xml:space="preserve"> National </w:t>
      </w:r>
      <w:proofErr w:type="spellStart"/>
      <w:r w:rsidRPr="00FA5939">
        <w:rPr>
          <w:rFonts w:ascii="Times New Roman" w:hAnsi="Times New Roman" w:cs="Times New Roman"/>
          <w:lang w:val="en-US"/>
        </w:rPr>
        <w:t>d’Etudes</w:t>
      </w:r>
      <w:proofErr w:type="spellEnd"/>
      <w:r w:rsidRPr="00FA5939">
        <w:rPr>
          <w:rFonts w:ascii="Times New Roman" w:hAnsi="Times New Roman" w:cs="Times New Roman"/>
          <w:lang w:val="en-US"/>
        </w:rPr>
        <w:t xml:space="preserve"> </w:t>
      </w:r>
      <w:proofErr w:type="spellStart"/>
      <w:r w:rsidRPr="00FA5939">
        <w:rPr>
          <w:rFonts w:ascii="Times New Roman" w:hAnsi="Times New Roman" w:cs="Times New Roman"/>
          <w:lang w:val="en-US"/>
        </w:rPr>
        <w:t>Démographiques</w:t>
      </w:r>
      <w:proofErr w:type="spellEnd"/>
      <w:r w:rsidRPr="00FA5939">
        <w:rPr>
          <w:rFonts w:ascii="Times New Roman" w:hAnsi="Times New Roman" w:cs="Times New Roman"/>
          <w:lang w:val="en-US"/>
        </w:rPr>
        <w:t xml:space="preserve">, </w:t>
      </w:r>
      <w:hyperlink r:id="rId10" w:history="1">
        <w:r w:rsidRPr="00FA5939">
          <w:rPr>
            <w:rStyle w:val="Hyperlink"/>
            <w:rFonts w:ascii="Times New Roman" w:hAnsi="Times New Roman" w:cs="Times New Roman"/>
            <w:lang w:val="en-US"/>
          </w:rPr>
          <w:t>http://www.ined.fr/fichier/t_publication/1572/publi_pdf1_174.pdf</w:t>
        </w:r>
      </w:hyperlink>
      <w:r w:rsidRPr="00FA5939">
        <w:rPr>
          <w:rFonts w:ascii="Times New Roman" w:hAnsi="Times New Roman" w:cs="Times New Roman"/>
          <w:lang w:val="en-US"/>
        </w:rPr>
        <w:t xml:space="preserve"> </w:t>
      </w:r>
    </w:p>
  </w:footnote>
  <w:footnote w:id="70">
    <w:p w:rsidR="008117FC" w:rsidRDefault="008117FC" w:rsidP="004D6FEE">
      <w:pPr>
        <w:pStyle w:val="NormalWeb"/>
        <w:shd w:val="clear" w:color="auto" w:fill="FFFFFF"/>
        <w:spacing w:before="0" w:after="0"/>
        <w:jc w:val="both"/>
      </w:pPr>
      <w:r w:rsidRPr="00D47A27">
        <w:rPr>
          <w:rStyle w:val="FootnoteReference"/>
          <w:sz w:val="20"/>
          <w:szCs w:val="20"/>
        </w:rPr>
        <w:footnoteRef/>
      </w:r>
      <w:r w:rsidRPr="00D47A27">
        <w:rPr>
          <w:sz w:val="20"/>
          <w:szCs w:val="20"/>
        </w:rPr>
        <w:t xml:space="preserve"> 2013.gadā un turpmākajos gados nodrošināms atbalsts mācību līdzekļu iegādei mācību gada garumā</w:t>
      </w:r>
      <w:r w:rsidRPr="00BC4A2D">
        <w:rPr>
          <w:sz w:val="20"/>
          <w:szCs w:val="20"/>
        </w:rPr>
        <w:t xml:space="preserve"> (2013.gadā 230 191 skolniekiem, 6,26 lati). Sākot ar 2013.gada 1.janvāri </w:t>
      </w:r>
      <w:r w:rsidRPr="00D03AF5">
        <w:rPr>
          <w:sz w:val="20"/>
          <w:szCs w:val="20"/>
        </w:rPr>
        <w:t>atbalsts brīvpusdienu nodrošināšanai</w:t>
      </w:r>
      <w:r w:rsidRPr="00BC4A2D">
        <w:rPr>
          <w:sz w:val="20"/>
          <w:szCs w:val="20"/>
        </w:rPr>
        <w:t xml:space="preserve"> arī 2.klases izglītojamiem (0,80 lati dienā). 2014.gadam ir izvērtējama iespēja </w:t>
      </w:r>
      <w:r>
        <w:rPr>
          <w:sz w:val="20"/>
          <w:szCs w:val="20"/>
        </w:rPr>
        <w:t xml:space="preserve">papildu </w:t>
      </w:r>
      <w:r w:rsidRPr="00BC4A2D">
        <w:rPr>
          <w:sz w:val="20"/>
          <w:szCs w:val="20"/>
        </w:rPr>
        <w:t>nodrošināt brīvpusdienas bērniem 3. un 4.klasē, paaugstinot finansējumu līdz 1 latam</w:t>
      </w:r>
      <w:r>
        <w:rPr>
          <w:sz w:val="20"/>
          <w:szCs w:val="20"/>
        </w:rPr>
        <w:t xml:space="preserve"> dienā</w:t>
      </w:r>
      <w:r w:rsidRPr="00BC4A2D">
        <w:rPr>
          <w:sz w:val="20"/>
          <w:szCs w:val="20"/>
        </w:rPr>
        <w:t>.</w:t>
      </w:r>
      <w:r>
        <w:rPr>
          <w:sz w:val="20"/>
          <w:szCs w:val="20"/>
        </w:rPr>
        <w:t xml:space="preserve"> </w:t>
      </w:r>
    </w:p>
  </w:footnote>
  <w:footnote w:id="71">
    <w:p w:rsidR="008117FC" w:rsidRPr="00D47A27" w:rsidRDefault="008117FC" w:rsidP="00773B22">
      <w:pPr>
        <w:pStyle w:val="FootnoteText"/>
        <w:jc w:val="both"/>
        <w:rPr>
          <w:lang w:val="lv-LV"/>
        </w:rPr>
      </w:pPr>
      <w:r w:rsidRPr="00773B22">
        <w:rPr>
          <w:rStyle w:val="FootnoteReference"/>
          <w:rFonts w:ascii="Times New Roman" w:hAnsi="Times New Roman" w:cs="Times New Roman"/>
        </w:rPr>
        <w:footnoteRef/>
      </w:r>
      <w:r w:rsidRPr="004D6FEE">
        <w:rPr>
          <w:rFonts w:ascii="Times New Roman" w:hAnsi="Times New Roman" w:cs="Times New Roman"/>
          <w:lang w:val="lv-LV"/>
        </w:rPr>
        <w:t xml:space="preserve"> ES s</w:t>
      </w:r>
      <w:r w:rsidRPr="004D6FEE">
        <w:rPr>
          <w:rStyle w:val="st"/>
          <w:rFonts w:ascii="Times New Roman" w:hAnsi="Times New Roman" w:cs="Times New Roman"/>
          <w:lang w:val="lv-LV"/>
        </w:rPr>
        <w:t xml:space="preserve">avstarpējā </w:t>
      </w:r>
      <w:r w:rsidRPr="004D6FEE">
        <w:rPr>
          <w:rStyle w:val="Emphasis"/>
          <w:rFonts w:ascii="Times New Roman" w:hAnsi="Times New Roman" w:cs="Times New Roman"/>
          <w:i w:val="0"/>
          <w:iCs w:val="0"/>
          <w:lang w:val="lv-LV"/>
        </w:rPr>
        <w:t xml:space="preserve">informācijas sistēma par sociālo aizsardzību </w:t>
      </w:r>
      <w:proofErr w:type="gramStart"/>
      <w:r w:rsidRPr="004D6FEE">
        <w:rPr>
          <w:rStyle w:val="Emphasis"/>
          <w:rFonts w:ascii="Times New Roman" w:hAnsi="Times New Roman" w:cs="Times New Roman"/>
          <w:i w:val="0"/>
          <w:iCs w:val="0"/>
          <w:lang w:val="lv-LV"/>
        </w:rPr>
        <w:t>(</w:t>
      </w:r>
      <w:proofErr w:type="gramEnd"/>
      <w:r w:rsidRPr="004D6FEE">
        <w:rPr>
          <w:rStyle w:val="Emphasis"/>
          <w:rFonts w:ascii="Times New Roman" w:hAnsi="Times New Roman" w:cs="Times New Roman"/>
          <w:i w:val="0"/>
          <w:iCs w:val="0"/>
          <w:lang w:val="lv-LV"/>
        </w:rPr>
        <w:t xml:space="preserve">angļu val.  </w:t>
      </w:r>
      <w:r w:rsidRPr="00FA5939">
        <w:rPr>
          <w:rStyle w:val="st"/>
          <w:rFonts w:ascii="Times New Roman" w:hAnsi="Times New Roman" w:cs="Times New Roman"/>
          <w:lang w:val="en-US"/>
        </w:rPr>
        <w:t xml:space="preserve">Mutual Information System on Social Protection, </w:t>
      </w:r>
      <w:r w:rsidRPr="00D47A27">
        <w:rPr>
          <w:rStyle w:val="st"/>
          <w:rFonts w:ascii="Times New Roman" w:hAnsi="Times New Roman" w:cs="Times New Roman"/>
          <w:lang w:val="lv-LV"/>
        </w:rPr>
        <w:t xml:space="preserve">saīsinājums MISSOC). Pieejams </w:t>
      </w:r>
      <w:hyperlink r:id="rId11" w:history="1">
        <w:r w:rsidRPr="00D47A27">
          <w:rPr>
            <w:rStyle w:val="Hyperlink"/>
            <w:rFonts w:ascii="Times New Roman" w:hAnsi="Times New Roman" w:cs="Times New Roman"/>
            <w:lang w:val="lv-LV"/>
          </w:rPr>
          <w:t>http://ec.europa.eu/social/main.jsp?catId=815&amp;langId=en</w:t>
        </w:r>
      </w:hyperlink>
    </w:p>
  </w:footnote>
  <w:footnote w:id="72">
    <w:p w:rsidR="008117FC" w:rsidRPr="00930BC6" w:rsidRDefault="008117FC" w:rsidP="00773B22">
      <w:pPr>
        <w:pStyle w:val="FootnoteText"/>
        <w:jc w:val="both"/>
        <w:rPr>
          <w:lang w:val="en-US"/>
        </w:rPr>
      </w:pPr>
      <w:r w:rsidRPr="00D47A27">
        <w:rPr>
          <w:rStyle w:val="FootnoteReference"/>
          <w:rFonts w:ascii="Times New Roman" w:hAnsi="Times New Roman" w:cs="Times New Roman"/>
          <w:lang w:val="lv-LV"/>
        </w:rPr>
        <w:footnoteRef/>
      </w:r>
      <w:r w:rsidRPr="00D47A27">
        <w:rPr>
          <w:rFonts w:ascii="Times New Roman" w:hAnsi="Times New Roman" w:cs="Times New Roman"/>
          <w:lang w:val="lv-LV"/>
        </w:rPr>
        <w:t xml:space="preserve">  Valsts sociālo pabalstu likuma</w:t>
      </w:r>
      <w:r w:rsidRPr="00FA5939">
        <w:rPr>
          <w:rFonts w:ascii="Times New Roman" w:hAnsi="Times New Roman" w:cs="Times New Roman"/>
          <w:lang w:val="en-US"/>
        </w:rPr>
        <w:t xml:space="preserve"> 7. pants.</w:t>
      </w:r>
    </w:p>
  </w:footnote>
  <w:footnote w:id="73">
    <w:p w:rsidR="008117FC" w:rsidRPr="007F5260" w:rsidRDefault="008117FC">
      <w:pPr>
        <w:pStyle w:val="FootnoteText"/>
        <w:rPr>
          <w:rFonts w:ascii="Times New Roman" w:hAnsi="Times New Roman" w:cs="Times New Roman"/>
          <w:lang w:val="lv-LV"/>
        </w:rPr>
      </w:pPr>
      <w:r w:rsidRPr="007F5260">
        <w:rPr>
          <w:rStyle w:val="FootnoteReference"/>
          <w:rFonts w:ascii="Times New Roman" w:hAnsi="Times New Roman" w:cs="Times New Roman"/>
        </w:rPr>
        <w:footnoteRef/>
      </w:r>
      <w:r w:rsidRPr="007F5260">
        <w:rPr>
          <w:rFonts w:ascii="Times New Roman" w:hAnsi="Times New Roman" w:cs="Times New Roman"/>
          <w:lang w:val="en-US"/>
        </w:rPr>
        <w:t xml:space="preserve"> </w:t>
      </w:r>
      <w:r w:rsidRPr="007F5260">
        <w:rPr>
          <w:rFonts w:ascii="Times New Roman" w:hAnsi="Times New Roman" w:cs="Times New Roman"/>
          <w:lang w:val="lv-LV"/>
        </w:rPr>
        <w:t>Sociālo pakalpojumu un sociālās palīdzības likuma 35.pants.</w:t>
      </w:r>
    </w:p>
  </w:footnote>
  <w:footnote w:id="74">
    <w:p w:rsidR="008117FC" w:rsidRPr="00641F87" w:rsidRDefault="008117FC" w:rsidP="00297E34">
      <w:pPr>
        <w:pStyle w:val="FootnoteText"/>
        <w:jc w:val="both"/>
        <w:rPr>
          <w:lang w:val="lv-LV"/>
        </w:rPr>
      </w:pPr>
      <w:r w:rsidRPr="00641F87">
        <w:rPr>
          <w:rStyle w:val="FootnoteReference"/>
          <w:rFonts w:ascii="Times New Roman" w:hAnsi="Times New Roman" w:cs="Times New Roman"/>
          <w:lang w:val="lv-LV"/>
        </w:rPr>
        <w:footnoteRef/>
      </w:r>
      <w:r w:rsidRPr="00641F87">
        <w:rPr>
          <w:rFonts w:ascii="Times New Roman" w:hAnsi="Times New Roman" w:cs="Times New Roman"/>
          <w:lang w:val="lv-LV"/>
        </w:rPr>
        <w:t xml:space="preserve"> PB pētījums „Latvija: kurš ir bezdarbnieks, ekonomiski neaktīvais vai trūcīgais?”, </w:t>
      </w:r>
      <w:r w:rsidRPr="003C555B">
        <w:rPr>
          <w:rFonts w:ascii="Times New Roman" w:hAnsi="Times New Roman" w:cs="Times New Roman"/>
          <w:lang w:val="en-US"/>
        </w:rPr>
        <w:t>Review of key design parameters and legislation for social assistance programs in Latvia, Latvia GMI Program: main design characteristics and comparison with minimum income schemes in other EU Member States</w:t>
      </w:r>
      <w:r w:rsidRPr="00641F87">
        <w:rPr>
          <w:rFonts w:ascii="Times New Roman" w:hAnsi="Times New Roman" w:cs="Times New Roman"/>
          <w:lang w:val="lv-LV"/>
        </w:rPr>
        <w:t>, 5., 6.lpp.</w:t>
      </w:r>
    </w:p>
  </w:footnote>
  <w:footnote w:id="75">
    <w:p w:rsidR="008117FC" w:rsidRPr="00641F87" w:rsidRDefault="008117FC" w:rsidP="00297E34">
      <w:pPr>
        <w:pStyle w:val="FootnoteText"/>
        <w:jc w:val="both"/>
        <w:rPr>
          <w:lang w:val="lv-LV"/>
        </w:rPr>
      </w:pPr>
      <w:r w:rsidRPr="00641F87">
        <w:rPr>
          <w:rStyle w:val="FootnoteReference"/>
          <w:rFonts w:ascii="Times New Roman" w:hAnsi="Times New Roman" w:cs="Times New Roman"/>
          <w:lang w:val="lv-LV"/>
        </w:rPr>
        <w:footnoteRef/>
      </w:r>
      <w:r w:rsidRPr="00641F87">
        <w:rPr>
          <w:rFonts w:ascii="Times New Roman" w:hAnsi="Times New Roman" w:cs="Times New Roman"/>
          <w:lang w:val="lv-LV"/>
        </w:rPr>
        <w:t xml:space="preserve"> MK 2012.gada 18.decembra noteikumi Nr.913 „Noteikumi par garantēto minimālo ienākumu līmeni”; MK 2010.gada 30.marta noteikumi Nr.299 „Noteikumi par ģimenes vai atsevišķi dzīvojošas personas atzīšanu par trūcīgu”; MK 2009.gada 17.jūnija noteikumi Nr.550 „Kārtība, kādā aprēķināms, piešķirams, izmaksājams pabalsts garantētā minimālā ienākumu līmeņa nodrošināšanai un slēdzama vienošanās par līdzdarbību”.</w:t>
      </w:r>
    </w:p>
  </w:footnote>
  <w:footnote w:id="76">
    <w:p w:rsidR="008117FC" w:rsidRPr="00930BC6" w:rsidRDefault="008117FC" w:rsidP="0057518B">
      <w:pPr>
        <w:pStyle w:val="FootnoteText"/>
        <w:jc w:val="both"/>
        <w:rPr>
          <w:lang w:val="en-US"/>
        </w:rPr>
      </w:pPr>
      <w:r w:rsidRPr="00297E34">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FA5939">
        <w:rPr>
          <w:rStyle w:val="hps"/>
          <w:rFonts w:ascii="Times New Roman" w:hAnsi="Times New Roman" w:cs="Times New Roman"/>
          <w:lang w:val="en-US"/>
        </w:rPr>
        <w:t xml:space="preserve">PB </w:t>
      </w:r>
      <w:r w:rsidRPr="003C555B">
        <w:rPr>
          <w:rStyle w:val="hps"/>
          <w:rFonts w:ascii="Times New Roman" w:hAnsi="Times New Roman" w:cs="Times New Roman"/>
          <w:lang w:val="lv-LV"/>
        </w:rPr>
        <w:t xml:space="preserve">pētījums </w:t>
      </w:r>
      <w:r w:rsidRPr="003C555B">
        <w:rPr>
          <w:rFonts w:ascii="Times New Roman" w:hAnsi="Times New Roman" w:cs="Times New Roman"/>
          <w:lang w:val="lv-LV"/>
        </w:rPr>
        <w:t>„Latvija: kurš ir bezdarbnieks,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Expenditure and performance benchmarking country level, Expenditure and performance of welfare benefits and employment programs in Latvia, </w:t>
      </w:r>
      <w:r>
        <w:rPr>
          <w:rFonts w:ascii="Times New Roman" w:hAnsi="Times New Roman" w:cs="Times New Roman"/>
          <w:lang w:val="en-US"/>
        </w:rPr>
        <w:t xml:space="preserve">7; </w:t>
      </w:r>
      <w:r w:rsidRPr="00FA5939">
        <w:rPr>
          <w:rFonts w:ascii="Times New Roman" w:hAnsi="Times New Roman" w:cs="Times New Roman"/>
          <w:lang w:val="en-US"/>
        </w:rPr>
        <w:t>14.lpp.</w:t>
      </w:r>
    </w:p>
  </w:footnote>
  <w:footnote w:id="77">
    <w:p w:rsidR="008117FC" w:rsidRPr="00351DD0" w:rsidRDefault="008117FC" w:rsidP="00351DD0">
      <w:pPr>
        <w:pStyle w:val="FootnoteText"/>
        <w:jc w:val="both"/>
        <w:rPr>
          <w:rFonts w:ascii="Times New Roman" w:hAnsi="Times New Roman" w:cs="Times New Roman"/>
          <w:lang w:val="lv-LV"/>
        </w:rPr>
      </w:pPr>
      <w:r w:rsidRPr="00351DD0">
        <w:rPr>
          <w:rStyle w:val="FootnoteReference"/>
          <w:rFonts w:ascii="Times New Roman" w:hAnsi="Times New Roman" w:cs="Times New Roman"/>
          <w:lang w:val="lv-LV"/>
        </w:rPr>
        <w:footnoteRef/>
      </w:r>
      <w:r w:rsidRPr="00351DD0">
        <w:rPr>
          <w:rFonts w:ascii="Times New Roman" w:hAnsi="Times New Roman" w:cs="Times New Roman"/>
          <w:lang w:val="lv-LV"/>
        </w:rPr>
        <w:t xml:space="preserve"> Ministru kabineta 2010.gada 25.maija noteikumi Nr.482 “Noteikumi par teritorijas attīstības indeksa aprēķināšanas kārtību un tā vērtībām”.</w:t>
      </w:r>
    </w:p>
  </w:footnote>
  <w:footnote w:id="78">
    <w:p w:rsidR="008117FC" w:rsidRPr="009800D3" w:rsidRDefault="008117FC" w:rsidP="0053681C">
      <w:pPr>
        <w:pStyle w:val="FootnoteText"/>
        <w:rPr>
          <w:rFonts w:ascii="Times New Roman" w:hAnsi="Times New Roman" w:cs="Times New Roman"/>
          <w:lang w:val="lv-LV"/>
        </w:rPr>
      </w:pPr>
      <w:r w:rsidRPr="009800D3">
        <w:rPr>
          <w:rStyle w:val="FootnoteReference"/>
          <w:rFonts w:ascii="Times New Roman" w:hAnsi="Times New Roman" w:cs="Times New Roman"/>
          <w:lang w:val="lv-LV"/>
        </w:rPr>
        <w:footnoteRef/>
      </w:r>
      <w:r w:rsidRPr="009800D3">
        <w:rPr>
          <w:rFonts w:ascii="Times New Roman" w:hAnsi="Times New Roman" w:cs="Times New Roman"/>
          <w:lang w:val="lv-LV"/>
        </w:rPr>
        <w:t xml:space="preserve"> Teritorijas attīstības līmeņa indekss no 2,308 līdz 0,168.</w:t>
      </w:r>
    </w:p>
  </w:footnote>
  <w:footnote w:id="79">
    <w:p w:rsidR="008117FC" w:rsidRPr="009800D3" w:rsidRDefault="008117FC" w:rsidP="0053681C">
      <w:pPr>
        <w:pStyle w:val="FootnoteText"/>
        <w:rPr>
          <w:rFonts w:ascii="Times New Roman" w:hAnsi="Times New Roman" w:cs="Times New Roman"/>
          <w:lang w:val="lv-LV"/>
        </w:rPr>
      </w:pPr>
      <w:r w:rsidRPr="009800D3">
        <w:rPr>
          <w:rStyle w:val="FootnoteReference"/>
          <w:rFonts w:ascii="Times New Roman" w:hAnsi="Times New Roman" w:cs="Times New Roman"/>
          <w:lang w:val="lv-LV"/>
        </w:rPr>
        <w:footnoteRef/>
      </w:r>
      <w:r w:rsidRPr="009800D3">
        <w:rPr>
          <w:rFonts w:ascii="Times New Roman" w:hAnsi="Times New Roman" w:cs="Times New Roman"/>
          <w:lang w:val="lv-LV"/>
        </w:rPr>
        <w:t xml:space="preserve"> Teritorijas attīstības līmeņa indekss no 0,152 līdz -0,312.</w:t>
      </w:r>
    </w:p>
  </w:footnote>
  <w:footnote w:id="80">
    <w:p w:rsidR="008117FC" w:rsidRPr="009800D3" w:rsidRDefault="008117FC" w:rsidP="0053681C">
      <w:pPr>
        <w:pStyle w:val="FootnoteText"/>
        <w:rPr>
          <w:rFonts w:ascii="Times New Roman" w:hAnsi="Times New Roman" w:cs="Times New Roman"/>
          <w:lang w:val="lv-LV"/>
        </w:rPr>
      </w:pPr>
      <w:r w:rsidRPr="009800D3">
        <w:rPr>
          <w:rStyle w:val="FootnoteReference"/>
          <w:rFonts w:ascii="Times New Roman" w:hAnsi="Times New Roman" w:cs="Times New Roman"/>
          <w:lang w:val="lv-LV"/>
        </w:rPr>
        <w:footnoteRef/>
      </w:r>
      <w:r w:rsidRPr="009800D3">
        <w:rPr>
          <w:rFonts w:ascii="Times New Roman" w:hAnsi="Times New Roman" w:cs="Times New Roman"/>
          <w:lang w:val="lv-LV"/>
        </w:rPr>
        <w:t xml:space="preserve"> Teritorijas attīstības līmeņa indekss no -0,322 līdz -1,931.</w:t>
      </w:r>
    </w:p>
  </w:footnote>
  <w:footnote w:id="81">
    <w:p w:rsidR="008117FC" w:rsidRPr="00930BC6" w:rsidRDefault="008117FC" w:rsidP="00297E34">
      <w:pPr>
        <w:pStyle w:val="FootnoteText"/>
        <w:jc w:val="both"/>
        <w:rPr>
          <w:lang w:val="en-US"/>
        </w:rPr>
      </w:pPr>
      <w:r>
        <w:rPr>
          <w:rStyle w:val="FootnoteReference"/>
        </w:rPr>
        <w:footnoteRef/>
      </w:r>
      <w:r w:rsidRPr="00FA5939">
        <w:rPr>
          <w:lang w:val="en-US"/>
        </w:rPr>
        <w:t xml:space="preserve"> </w:t>
      </w:r>
      <w:r w:rsidRPr="00FA5939">
        <w:rPr>
          <w:rStyle w:val="hps"/>
          <w:rFonts w:ascii="Times New Roman" w:hAnsi="Times New Roman" w:cs="Times New Roman"/>
          <w:lang w:val="en-US"/>
        </w:rPr>
        <w:t xml:space="preserve">PB </w:t>
      </w:r>
      <w:r w:rsidRPr="003C555B">
        <w:rPr>
          <w:rStyle w:val="hps"/>
          <w:rFonts w:ascii="Times New Roman" w:hAnsi="Times New Roman" w:cs="Times New Roman"/>
          <w:lang w:val="lv-LV"/>
        </w:rPr>
        <w:t xml:space="preserve">pētījums </w:t>
      </w:r>
      <w:r w:rsidRPr="003C555B">
        <w:rPr>
          <w:rFonts w:ascii="Times New Roman" w:hAnsi="Times New Roman" w:cs="Times New Roman"/>
          <w:lang w:val="lv-LV"/>
        </w:rPr>
        <w:t>„Latvija: kurš ir bezdarbnieks,</w:t>
      </w:r>
      <w:r>
        <w:rPr>
          <w:rFonts w:ascii="Times New Roman" w:hAnsi="Times New Roman" w:cs="Times New Roman"/>
          <w:lang w:val="lv-LV"/>
        </w:rPr>
        <w:t xml:space="preserve"> </w:t>
      </w:r>
      <w:r w:rsidRPr="003C555B">
        <w:rPr>
          <w:rFonts w:ascii="Times New Roman" w:hAnsi="Times New Roman" w:cs="Times New Roman"/>
          <w:lang w:val="lv-LV"/>
        </w:rPr>
        <w:t>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Expenditure and performance benchmarking country level, Expenditure and performance of welfare benefits and employment programs in Latvia, 10.lpp.</w:t>
      </w:r>
    </w:p>
  </w:footnote>
  <w:footnote w:id="82">
    <w:p w:rsidR="008117FC" w:rsidRPr="00D03A93" w:rsidRDefault="008117FC" w:rsidP="00297E34">
      <w:pPr>
        <w:pStyle w:val="FootnoteText"/>
        <w:jc w:val="both"/>
        <w:rPr>
          <w:lang w:val="lv-LV"/>
        </w:rPr>
      </w:pPr>
      <w:r w:rsidRPr="00F161D4">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D03A93">
        <w:rPr>
          <w:rFonts w:ascii="Times New Roman" w:hAnsi="Times New Roman" w:cs="Times New Roman"/>
          <w:lang w:val="lv-LV"/>
        </w:rPr>
        <w:t>Likuma „Par pašvaldībām” 15.pants.</w:t>
      </w:r>
    </w:p>
  </w:footnote>
  <w:footnote w:id="83">
    <w:p w:rsidR="008117FC" w:rsidRPr="00D03A93" w:rsidRDefault="008117FC" w:rsidP="00297E34">
      <w:pPr>
        <w:pStyle w:val="FootnoteText"/>
        <w:rPr>
          <w:lang w:val="lv-LV"/>
        </w:rPr>
      </w:pPr>
      <w:r w:rsidRPr="00D03A93">
        <w:rPr>
          <w:rStyle w:val="FootnoteReference"/>
          <w:rFonts w:ascii="Times New Roman" w:hAnsi="Times New Roman" w:cs="Times New Roman"/>
          <w:lang w:val="lv-LV"/>
        </w:rPr>
        <w:footnoteRef/>
      </w:r>
      <w:r w:rsidRPr="00D03A93">
        <w:rPr>
          <w:rFonts w:ascii="Times New Roman" w:hAnsi="Times New Roman" w:cs="Times New Roman"/>
          <w:lang w:val="lv-LV"/>
        </w:rPr>
        <w:t xml:space="preserve">  Likums „Par pašvaldību finanšu izlīdzināšanu”.</w:t>
      </w:r>
    </w:p>
  </w:footnote>
  <w:footnote w:id="84">
    <w:p w:rsidR="008117FC" w:rsidRPr="00B84A6C" w:rsidRDefault="008117FC" w:rsidP="00B84A6C">
      <w:pPr>
        <w:pStyle w:val="FootnoteText"/>
        <w:jc w:val="both"/>
        <w:rPr>
          <w:rFonts w:ascii="Times New Roman" w:hAnsi="Times New Roman" w:cs="Times New Roman"/>
          <w:lang w:val="lv-LV"/>
        </w:rPr>
      </w:pPr>
      <w:r w:rsidRPr="00B84A6C">
        <w:rPr>
          <w:rStyle w:val="FootnoteReference"/>
          <w:rFonts w:ascii="Times New Roman" w:hAnsi="Times New Roman" w:cs="Times New Roman"/>
        </w:rPr>
        <w:footnoteRef/>
      </w:r>
      <w:r w:rsidRPr="00B84A6C">
        <w:rPr>
          <w:rFonts w:ascii="Times New Roman" w:hAnsi="Times New Roman" w:cs="Times New Roman"/>
          <w:lang w:val="lv-LV"/>
        </w:rPr>
        <w:t xml:space="preserve"> </w:t>
      </w:r>
      <w:r w:rsidRPr="00615D52">
        <w:rPr>
          <w:rFonts w:ascii="Times New Roman" w:hAnsi="Times New Roman" w:cs="Times New Roman"/>
          <w:lang w:val="lv-LV"/>
        </w:rPr>
        <w:t>PB pētījums „Latvija: kurš ir bezdarbnieks, ekonomiski neaktīvais vai trūcīgais?”,</w:t>
      </w:r>
      <w:r w:rsidRPr="00B84A6C">
        <w:rPr>
          <w:rFonts w:ascii="Times New Roman" w:hAnsi="Times New Roman" w:cs="Times New Roman"/>
          <w:lang w:val="en-US"/>
        </w:rPr>
        <w:t xml:space="preserve"> Expenditure and performance benchmarking country level, Expenditure and performance of welfare benefits and employment programs in Latvia, </w:t>
      </w:r>
      <w:r w:rsidRPr="00B84A6C">
        <w:rPr>
          <w:rFonts w:ascii="Times New Roman" w:hAnsi="Times New Roman" w:cs="Times New Roman"/>
          <w:lang w:val="lv-LV"/>
        </w:rPr>
        <w:t>17.lpp.</w:t>
      </w:r>
    </w:p>
  </w:footnote>
  <w:footnote w:id="85">
    <w:p w:rsidR="008117FC" w:rsidRPr="008403FE" w:rsidRDefault="008117FC" w:rsidP="00DB63AA">
      <w:pPr>
        <w:pStyle w:val="FootnoteText"/>
        <w:jc w:val="both"/>
        <w:rPr>
          <w:rFonts w:ascii="Times New Roman" w:hAnsi="Times New Roman" w:cs="Times New Roman"/>
          <w:lang w:val="lv-LV"/>
        </w:rPr>
      </w:pPr>
      <w:r w:rsidRPr="00F465D6">
        <w:rPr>
          <w:rStyle w:val="FootnoteReference"/>
          <w:rFonts w:ascii="Times New Roman" w:hAnsi="Times New Roman" w:cs="Times New Roman"/>
        </w:rPr>
        <w:footnoteRef/>
      </w:r>
      <w:r w:rsidRPr="008403FE">
        <w:rPr>
          <w:rFonts w:ascii="Times New Roman" w:hAnsi="Times New Roman" w:cs="Times New Roman"/>
          <w:lang w:val="lv-LV"/>
        </w:rPr>
        <w:t xml:space="preserve"> Sociālā aizsardzība </w:t>
      </w:r>
      <w:r>
        <w:rPr>
          <w:rFonts w:ascii="Times New Roman" w:hAnsi="Times New Roman" w:cs="Times New Roman"/>
          <w:lang w:val="lv-LV"/>
        </w:rPr>
        <w:t xml:space="preserve">atbilstoši </w:t>
      </w:r>
      <w:r w:rsidRPr="008403FE">
        <w:rPr>
          <w:rFonts w:ascii="Times New Roman" w:hAnsi="Times New Roman" w:cs="Times New Roman"/>
          <w:lang w:val="lv-LV"/>
        </w:rPr>
        <w:t xml:space="preserve">PB </w:t>
      </w:r>
      <w:r>
        <w:rPr>
          <w:rFonts w:ascii="Times New Roman" w:hAnsi="Times New Roman" w:cs="Times New Roman"/>
          <w:lang w:val="lv-LV"/>
        </w:rPr>
        <w:t>metodoloģijai</w:t>
      </w:r>
      <w:r w:rsidRPr="008403FE">
        <w:rPr>
          <w:rFonts w:ascii="Times New Roman" w:hAnsi="Times New Roman" w:cs="Times New Roman"/>
          <w:lang w:val="lv-LV"/>
        </w:rPr>
        <w:t xml:space="preserve"> </w:t>
      </w:r>
      <w:r>
        <w:rPr>
          <w:rFonts w:ascii="Times New Roman" w:hAnsi="Times New Roman" w:cs="Times New Roman"/>
          <w:lang w:val="lv-LV"/>
        </w:rPr>
        <w:t>ietver</w:t>
      </w:r>
      <w:r w:rsidRPr="008403FE">
        <w:rPr>
          <w:rFonts w:ascii="Times New Roman" w:hAnsi="Times New Roman" w:cs="Times New Roman"/>
          <w:lang w:val="lv-LV"/>
        </w:rPr>
        <w:t xml:space="preserve"> </w:t>
      </w:r>
      <w:r>
        <w:rPr>
          <w:rFonts w:ascii="Times New Roman" w:hAnsi="Times New Roman" w:cs="Times New Roman"/>
          <w:lang w:val="lv-LV"/>
        </w:rPr>
        <w:t xml:space="preserve">GMI pabalstu, vienreizēju pabalstu ārkārtas situācijā, dzīvokļa pabalstu, valsts sociālā nodrošinājuma pabalstu, </w:t>
      </w:r>
      <w:r w:rsidRPr="008403FE">
        <w:rPr>
          <w:rFonts w:ascii="Times New Roman" w:hAnsi="Times New Roman" w:cs="Times New Roman"/>
          <w:lang w:val="lv-LV"/>
        </w:rPr>
        <w:t xml:space="preserve">ģimenes </w:t>
      </w:r>
      <w:r>
        <w:rPr>
          <w:rFonts w:ascii="Times New Roman" w:hAnsi="Times New Roman" w:cs="Times New Roman"/>
          <w:lang w:val="lv-LV"/>
        </w:rPr>
        <w:t xml:space="preserve">un bērnu </w:t>
      </w:r>
      <w:r w:rsidRPr="008403FE">
        <w:rPr>
          <w:rFonts w:ascii="Times New Roman" w:hAnsi="Times New Roman" w:cs="Times New Roman"/>
          <w:lang w:val="lv-LV"/>
        </w:rPr>
        <w:t>pabalst</w:t>
      </w:r>
      <w:r>
        <w:rPr>
          <w:rFonts w:ascii="Times New Roman" w:hAnsi="Times New Roman" w:cs="Times New Roman"/>
          <w:lang w:val="lv-LV"/>
        </w:rPr>
        <w:t>us, valsts sociālos pabalstus</w:t>
      </w:r>
      <w:r w:rsidRPr="008403FE">
        <w:rPr>
          <w:rFonts w:ascii="Times New Roman" w:hAnsi="Times New Roman" w:cs="Times New Roman"/>
          <w:lang w:val="lv-LV"/>
        </w:rPr>
        <w:t xml:space="preserve"> invalīdiem, </w:t>
      </w:r>
      <w:r>
        <w:rPr>
          <w:rFonts w:ascii="Times New Roman" w:hAnsi="Times New Roman" w:cs="Times New Roman"/>
          <w:lang w:val="lv-LV"/>
        </w:rPr>
        <w:t>apbedīšanas pabalstus, citus pašvaldību ienākumu testētos pabalstus.</w:t>
      </w:r>
    </w:p>
  </w:footnote>
  <w:footnote w:id="86">
    <w:p w:rsidR="008117FC" w:rsidRPr="008403FE" w:rsidRDefault="008117FC" w:rsidP="008403FE">
      <w:pPr>
        <w:pStyle w:val="FootnoteText"/>
        <w:jc w:val="both"/>
        <w:rPr>
          <w:lang w:val="lv-LV"/>
        </w:rPr>
      </w:pPr>
      <w:r>
        <w:rPr>
          <w:rStyle w:val="FootnoteReference"/>
        </w:rPr>
        <w:footnoteRef/>
      </w:r>
      <w:r w:rsidRPr="008403FE">
        <w:rPr>
          <w:lang w:val="en-US"/>
        </w:rPr>
        <w:t xml:space="preserve"> </w:t>
      </w:r>
      <w:r w:rsidRPr="00D03A93">
        <w:rPr>
          <w:rStyle w:val="hps"/>
          <w:rFonts w:ascii="Times New Roman" w:hAnsi="Times New Roman" w:cs="Times New Roman"/>
          <w:lang w:val="lv-LV"/>
        </w:rPr>
        <w:t xml:space="preserve">PB pētījums </w:t>
      </w:r>
      <w:r w:rsidRPr="00D03A93">
        <w:rPr>
          <w:rFonts w:ascii="Times New Roman" w:hAnsi="Times New Roman" w:cs="Times New Roman"/>
          <w:lang w:val="lv-LV"/>
        </w:rPr>
        <w:t>„Latvija: kurš ir bezdarbnieks, ekonomiski neaktīvais vai trūcīgais</w:t>
      </w:r>
      <w:r w:rsidRPr="00FA5939">
        <w:rPr>
          <w:rFonts w:ascii="Times New Roman" w:hAnsi="Times New Roman" w:cs="Times New Roman"/>
          <w:lang w:val="en-US"/>
        </w:rPr>
        <w:t xml:space="preserve">?”, Expenditure and performance benchmarking country level, Expenditure and performance of welfare benefits and employment programs in </w:t>
      </w:r>
      <w:r w:rsidRPr="0057518B">
        <w:rPr>
          <w:rFonts w:ascii="Times New Roman" w:hAnsi="Times New Roman" w:cs="Times New Roman"/>
          <w:lang w:val="en-US"/>
        </w:rPr>
        <w:t xml:space="preserve">Latvia, </w:t>
      </w:r>
      <w:r>
        <w:rPr>
          <w:rFonts w:ascii="Times New Roman" w:hAnsi="Times New Roman" w:cs="Times New Roman"/>
          <w:lang w:val="en-US"/>
        </w:rPr>
        <w:t>5.</w:t>
      </w:r>
      <w:r w:rsidRPr="0057518B">
        <w:rPr>
          <w:rFonts w:ascii="Times New Roman" w:hAnsi="Times New Roman" w:cs="Times New Roman"/>
          <w:lang w:val="en-US"/>
        </w:rPr>
        <w:t>lpp</w:t>
      </w:r>
      <w:r>
        <w:rPr>
          <w:rFonts w:ascii="Times New Roman" w:hAnsi="Times New Roman" w:cs="Times New Roman"/>
          <w:lang w:val="en-US"/>
        </w:rPr>
        <w:t>.</w:t>
      </w:r>
    </w:p>
  </w:footnote>
  <w:footnote w:id="87">
    <w:p w:rsidR="008117FC" w:rsidRPr="00057328" w:rsidRDefault="008117FC" w:rsidP="00057328">
      <w:pPr>
        <w:pStyle w:val="FootnoteText"/>
        <w:jc w:val="both"/>
        <w:rPr>
          <w:lang w:val="lv-LV"/>
        </w:rPr>
      </w:pPr>
      <w:r>
        <w:rPr>
          <w:rStyle w:val="FootnoteReference"/>
        </w:rPr>
        <w:footnoteRef/>
      </w:r>
      <w:r w:rsidRPr="008403FE">
        <w:rPr>
          <w:lang w:val="lv-LV"/>
        </w:rPr>
        <w:t xml:space="preserve"> </w:t>
      </w:r>
      <w:r w:rsidRPr="008403FE">
        <w:rPr>
          <w:rFonts w:ascii="Times New Roman" w:hAnsi="Times New Roman" w:cs="Times New Roman"/>
          <w:lang w:val="lv-LV"/>
        </w:rPr>
        <w:t>Turpat, 17.lpp.</w:t>
      </w:r>
    </w:p>
  </w:footnote>
  <w:footnote w:id="88">
    <w:p w:rsidR="008117FC" w:rsidRPr="00057328" w:rsidRDefault="008117FC" w:rsidP="00297E34">
      <w:pPr>
        <w:pStyle w:val="FootnoteText"/>
        <w:jc w:val="both"/>
        <w:rPr>
          <w:lang w:val="en-US"/>
        </w:rPr>
      </w:pPr>
      <w:r w:rsidRPr="00057328">
        <w:rPr>
          <w:rStyle w:val="FootnoteReference"/>
        </w:rPr>
        <w:footnoteRef/>
      </w:r>
      <w:r w:rsidRPr="00057328">
        <w:rPr>
          <w:lang w:val="en-US"/>
        </w:rPr>
        <w:t xml:space="preserve"> </w:t>
      </w:r>
      <w:r w:rsidRPr="00057328">
        <w:rPr>
          <w:rStyle w:val="hps"/>
          <w:rFonts w:ascii="Times New Roman" w:hAnsi="Times New Roman" w:cs="Times New Roman"/>
          <w:lang w:val="en-US"/>
        </w:rPr>
        <w:t xml:space="preserve">PB </w:t>
      </w:r>
      <w:r w:rsidRPr="00057328">
        <w:rPr>
          <w:rStyle w:val="hps"/>
          <w:rFonts w:ascii="Times New Roman" w:hAnsi="Times New Roman" w:cs="Times New Roman"/>
          <w:lang w:val="lv-LV"/>
        </w:rPr>
        <w:t xml:space="preserve">pētījums </w:t>
      </w:r>
      <w:r w:rsidRPr="00057328">
        <w:rPr>
          <w:rFonts w:ascii="Times New Roman" w:hAnsi="Times New Roman" w:cs="Times New Roman"/>
          <w:lang w:val="lv-LV"/>
        </w:rPr>
        <w:t>„Latvija: kurš ir bezdarbnieks, ekonomiski neaktīvais vai trūcīgais</w:t>
      </w:r>
      <w:r w:rsidRPr="00057328">
        <w:rPr>
          <w:rFonts w:ascii="Times New Roman" w:hAnsi="Times New Roman" w:cs="Times New Roman"/>
          <w:lang w:val="en-US"/>
        </w:rPr>
        <w:t>?</w:t>
      </w:r>
      <w:proofErr w:type="gramStart"/>
      <w:r w:rsidRPr="00057328">
        <w:rPr>
          <w:rFonts w:ascii="Times New Roman" w:hAnsi="Times New Roman" w:cs="Times New Roman"/>
          <w:lang w:val="en-US"/>
        </w:rPr>
        <w:t>”,</w:t>
      </w:r>
      <w:proofErr w:type="gramEnd"/>
      <w:r w:rsidRPr="00057328">
        <w:rPr>
          <w:rFonts w:ascii="Times New Roman" w:hAnsi="Times New Roman" w:cs="Times New Roman"/>
          <w:lang w:val="en-US"/>
        </w:rPr>
        <w:t xml:space="preserve"> Review of key design parameters and legislation for social assistance programs in Latvia, Latvia GMI Program: main design characteristics and comparison with minimum income schemes in other EU Member States, 2.tabula</w:t>
      </w:r>
      <w:r>
        <w:rPr>
          <w:rFonts w:ascii="Times New Roman" w:hAnsi="Times New Roman" w:cs="Times New Roman"/>
          <w:lang w:val="en-US"/>
        </w:rPr>
        <w:t xml:space="preserve"> </w:t>
      </w:r>
      <w:r w:rsidRPr="00615D52">
        <w:rPr>
          <w:rFonts w:ascii="Times New Roman" w:hAnsi="Times New Roman" w:cs="Times New Roman"/>
          <w:lang w:val="lv-LV"/>
        </w:rPr>
        <w:t>pielikumā.</w:t>
      </w:r>
      <w:r w:rsidRPr="00057328">
        <w:rPr>
          <w:rFonts w:ascii="Times New Roman" w:hAnsi="Times New Roman" w:cs="Times New Roman"/>
          <w:lang w:val="en-US"/>
        </w:rPr>
        <w:t xml:space="preserve"> </w:t>
      </w:r>
    </w:p>
  </w:footnote>
  <w:footnote w:id="89">
    <w:p w:rsidR="008117FC" w:rsidRPr="00D03A93" w:rsidRDefault="008117FC" w:rsidP="00297E34">
      <w:pPr>
        <w:pStyle w:val="FootnoteText"/>
        <w:jc w:val="both"/>
        <w:rPr>
          <w:lang w:val="lv-LV"/>
        </w:rPr>
      </w:pPr>
      <w:r w:rsidRPr="006C4430">
        <w:rPr>
          <w:rStyle w:val="FootnoteReference"/>
          <w:rFonts w:ascii="Times New Roman" w:hAnsi="Times New Roman" w:cs="Times New Roman"/>
        </w:rPr>
        <w:footnoteRef/>
      </w:r>
      <w:r w:rsidRPr="00983F80">
        <w:rPr>
          <w:rFonts w:ascii="Times New Roman" w:hAnsi="Times New Roman" w:cs="Times New Roman"/>
          <w:lang w:val="lv-LV"/>
        </w:rPr>
        <w:t xml:space="preserve"> </w:t>
      </w:r>
      <w:r w:rsidRPr="00D03A93">
        <w:rPr>
          <w:rFonts w:ascii="Times New Roman" w:hAnsi="Times New Roman" w:cs="Times New Roman"/>
          <w:lang w:val="lv-LV"/>
        </w:rPr>
        <w:t xml:space="preserve">Austrija, Apvienotā Karaliste, Beļģija, Bulgārija, Čehija, Dānija, Francija, Igaunija, Itālija, Īrija, Kipra, Latvija Lietuva, Nīderlande, Polija, Portugāle, Rumānija, Somija, Slovākija, Slovēnija, Spānija, Ungārija, Vācija, Zviedrija.  </w:t>
      </w:r>
    </w:p>
  </w:footnote>
  <w:footnote w:id="90">
    <w:p w:rsidR="008117FC" w:rsidRPr="00E5770B" w:rsidRDefault="008117FC" w:rsidP="00E5770B">
      <w:pPr>
        <w:pStyle w:val="FootnoteText"/>
        <w:jc w:val="both"/>
        <w:rPr>
          <w:rFonts w:ascii="Times New Roman" w:hAnsi="Times New Roman" w:cs="Times New Roman"/>
          <w:lang w:val="en-US"/>
        </w:rPr>
      </w:pPr>
      <w:r w:rsidRPr="00E5770B">
        <w:rPr>
          <w:rStyle w:val="FootnoteReference"/>
          <w:rFonts w:ascii="Times New Roman" w:hAnsi="Times New Roman" w:cs="Times New Roman"/>
          <w:lang w:val="lv-LV"/>
        </w:rPr>
        <w:footnoteRef/>
      </w:r>
      <w:r w:rsidRPr="00E5770B">
        <w:rPr>
          <w:rFonts w:ascii="Times New Roman" w:hAnsi="Times New Roman" w:cs="Times New Roman"/>
          <w:lang w:val="lv-LV"/>
        </w:rPr>
        <w:t xml:space="preserve"> </w:t>
      </w:r>
      <w:r w:rsidRPr="00E5770B">
        <w:rPr>
          <w:rStyle w:val="hps"/>
          <w:rFonts w:ascii="Times New Roman" w:hAnsi="Times New Roman" w:cs="Times New Roman"/>
          <w:lang w:val="lv-LV"/>
        </w:rPr>
        <w:t xml:space="preserve">PB pētījums </w:t>
      </w:r>
      <w:r w:rsidRPr="00E5770B">
        <w:rPr>
          <w:rFonts w:ascii="Times New Roman" w:hAnsi="Times New Roman" w:cs="Times New Roman"/>
          <w:lang w:val="lv-LV"/>
        </w:rPr>
        <w:t>„Latvija: kurš ir bezdarbnieks, ekonomiski neaktīvais vai trūcīgais</w:t>
      </w:r>
      <w:r w:rsidRPr="00E5770B">
        <w:rPr>
          <w:rFonts w:ascii="Times New Roman" w:hAnsi="Times New Roman" w:cs="Times New Roman"/>
          <w:lang w:val="en-US"/>
        </w:rPr>
        <w:t>?”, Analysis of the incentive structure created be the tax and benefit system, Financial incentives of the tax and benefit system in Latvia, 45.lpp.</w:t>
      </w:r>
    </w:p>
  </w:footnote>
  <w:footnote w:id="91">
    <w:p w:rsidR="008117FC" w:rsidRPr="00E5770B" w:rsidRDefault="008117FC" w:rsidP="00E5770B">
      <w:pPr>
        <w:spacing w:after="0" w:line="240" w:lineRule="auto"/>
        <w:jc w:val="both"/>
        <w:rPr>
          <w:rFonts w:ascii="Times New Roman" w:hAnsi="Times New Roman" w:cs="Times New Roman"/>
        </w:rPr>
      </w:pPr>
      <w:r w:rsidRPr="00E5770B">
        <w:rPr>
          <w:rStyle w:val="FootnoteReference"/>
          <w:rFonts w:ascii="Times New Roman" w:hAnsi="Times New Roman" w:cs="Times New Roman"/>
          <w:sz w:val="20"/>
          <w:szCs w:val="20"/>
        </w:rPr>
        <w:footnoteRef/>
      </w:r>
      <w:r w:rsidRPr="00E5770B">
        <w:rPr>
          <w:rFonts w:ascii="Times New Roman" w:hAnsi="Times New Roman" w:cs="Times New Roman"/>
          <w:sz w:val="20"/>
          <w:szCs w:val="20"/>
        </w:rPr>
        <w:t xml:space="preserve"> Ekvivalences skalas piemēro, lai piešķirtu citu svaru katram nākamajam mājsaimniecībā dzīvojošam pieaugušajam un bērnam. Piemēram, modificētā OECD skala – pirmajam pieaugušajam tiek pielīdzināts svars 1.0, katram nākamajam mājsaimniecības loceklim vecumā no 14 gadiem un vecākam – 0.5, bet katram bērnam jaunākam par 14 gadiem – 0.3.</w:t>
      </w:r>
    </w:p>
  </w:footnote>
  <w:footnote w:id="92">
    <w:p w:rsidR="008117FC" w:rsidRPr="00E5770B" w:rsidRDefault="008117FC" w:rsidP="00E5770B">
      <w:pPr>
        <w:pStyle w:val="FootnoteText"/>
        <w:jc w:val="both"/>
        <w:rPr>
          <w:rFonts w:ascii="Times New Roman" w:hAnsi="Times New Roman" w:cs="Times New Roman"/>
          <w:lang w:val="en-US"/>
        </w:rPr>
      </w:pPr>
      <w:r w:rsidRPr="00E5770B">
        <w:rPr>
          <w:rStyle w:val="FootnoteReference"/>
          <w:rFonts w:ascii="Times New Roman" w:hAnsi="Times New Roman" w:cs="Times New Roman"/>
        </w:rPr>
        <w:footnoteRef/>
      </w:r>
      <w:r w:rsidRPr="00E5770B">
        <w:rPr>
          <w:rFonts w:ascii="Times New Roman" w:hAnsi="Times New Roman" w:cs="Times New Roman"/>
          <w:lang w:val="en-US"/>
        </w:rPr>
        <w:t xml:space="preserve"> </w:t>
      </w:r>
      <w:r w:rsidRPr="00E5770B">
        <w:rPr>
          <w:rStyle w:val="hps"/>
          <w:rFonts w:ascii="Times New Roman" w:hAnsi="Times New Roman" w:cs="Times New Roman"/>
          <w:lang w:val="en-US"/>
        </w:rPr>
        <w:t xml:space="preserve">PB </w:t>
      </w:r>
      <w:r w:rsidRPr="00E5770B">
        <w:rPr>
          <w:rStyle w:val="hps"/>
          <w:rFonts w:ascii="Times New Roman" w:hAnsi="Times New Roman" w:cs="Times New Roman"/>
          <w:lang w:val="lv-LV"/>
        </w:rPr>
        <w:t xml:space="preserve">pētījums </w:t>
      </w:r>
      <w:r w:rsidRPr="00E5770B">
        <w:rPr>
          <w:rFonts w:ascii="Times New Roman" w:hAnsi="Times New Roman" w:cs="Times New Roman"/>
          <w:lang w:val="lv-LV"/>
        </w:rPr>
        <w:t>„Latvija: kurš ir bezdarbnieks, ekonomiski neaktīvais vai trūcīgais</w:t>
      </w:r>
      <w:r w:rsidRPr="00E5770B">
        <w:rPr>
          <w:rFonts w:ascii="Times New Roman" w:hAnsi="Times New Roman" w:cs="Times New Roman"/>
          <w:lang w:val="en-US"/>
        </w:rPr>
        <w:t>?</w:t>
      </w:r>
      <w:proofErr w:type="gramStart"/>
      <w:r w:rsidRPr="00E5770B">
        <w:rPr>
          <w:rFonts w:ascii="Times New Roman" w:hAnsi="Times New Roman" w:cs="Times New Roman"/>
          <w:lang w:val="en-US"/>
        </w:rPr>
        <w:t>”,</w:t>
      </w:r>
      <w:proofErr w:type="gramEnd"/>
      <w:r w:rsidRPr="00E5770B">
        <w:rPr>
          <w:rFonts w:ascii="Times New Roman" w:hAnsi="Times New Roman" w:cs="Times New Roman"/>
          <w:lang w:val="en-US"/>
        </w:rPr>
        <w:t xml:space="preserve"> Analysis of the incentive structure created be the tax and benefit system, Financial incentives of the tax and benefit system in Latvia, 11.lpp.</w:t>
      </w:r>
    </w:p>
  </w:footnote>
  <w:footnote w:id="93">
    <w:p w:rsidR="008117FC" w:rsidRPr="00E5770B" w:rsidRDefault="008117FC" w:rsidP="00E5770B">
      <w:pPr>
        <w:pStyle w:val="FootnoteText"/>
        <w:jc w:val="both"/>
        <w:rPr>
          <w:rFonts w:ascii="Times New Roman" w:hAnsi="Times New Roman" w:cs="Times New Roman"/>
          <w:lang w:val="en-US"/>
        </w:rPr>
      </w:pPr>
      <w:r w:rsidRPr="00E5770B">
        <w:rPr>
          <w:rStyle w:val="FootnoteReference"/>
          <w:rFonts w:ascii="Times New Roman" w:hAnsi="Times New Roman" w:cs="Times New Roman"/>
        </w:rPr>
        <w:footnoteRef/>
      </w:r>
      <w:r w:rsidRPr="00E5770B">
        <w:rPr>
          <w:rFonts w:ascii="Times New Roman" w:hAnsi="Times New Roman" w:cs="Times New Roman"/>
          <w:lang w:val="en-US"/>
        </w:rPr>
        <w:t xml:space="preserve"> PB </w:t>
      </w:r>
      <w:r w:rsidRPr="00E5770B">
        <w:rPr>
          <w:rFonts w:ascii="Times New Roman" w:hAnsi="Times New Roman" w:cs="Times New Roman"/>
          <w:lang w:val="lv-LV"/>
        </w:rPr>
        <w:t>pētījums „Latvija: kurš ir bezdarbnieks, ekonomiski neaktīvais vai trūcīgais</w:t>
      </w:r>
      <w:r w:rsidRPr="00E5770B">
        <w:rPr>
          <w:rFonts w:ascii="Times New Roman" w:hAnsi="Times New Roman" w:cs="Times New Roman"/>
          <w:lang w:val="en-US"/>
        </w:rPr>
        <w:t>?</w:t>
      </w:r>
      <w:proofErr w:type="gramStart"/>
      <w:r w:rsidRPr="00E5770B">
        <w:rPr>
          <w:rFonts w:ascii="Times New Roman" w:hAnsi="Times New Roman" w:cs="Times New Roman"/>
          <w:lang w:val="en-US"/>
        </w:rPr>
        <w:t>”,</w:t>
      </w:r>
      <w:proofErr w:type="gramEnd"/>
      <w:r w:rsidRPr="00E5770B">
        <w:rPr>
          <w:rFonts w:ascii="Times New Roman" w:hAnsi="Times New Roman" w:cs="Times New Roman"/>
          <w:lang w:val="en-US"/>
        </w:rPr>
        <w:t xml:space="preserve"> Review of key design parameters and legislation for social assistance programs in Latvia, Latvia GMI Program: main design characteristics and comparison with minimum income schemes in other EU Member States, 16., 17.lpp.</w:t>
      </w:r>
    </w:p>
  </w:footnote>
  <w:footnote w:id="94">
    <w:p w:rsidR="008117FC" w:rsidRPr="00930BC6" w:rsidRDefault="008117FC" w:rsidP="00297E34">
      <w:pPr>
        <w:pStyle w:val="FootnoteText"/>
        <w:rPr>
          <w:lang w:val="en-US"/>
        </w:rPr>
      </w:pPr>
      <w:r w:rsidRPr="00FC69D9">
        <w:rPr>
          <w:rStyle w:val="FootnoteReference"/>
          <w:rFonts w:ascii="Times New Roman" w:hAnsi="Times New Roman" w:cs="Times New Roman"/>
        </w:rPr>
        <w:footnoteRef/>
      </w:r>
      <w:r w:rsidRPr="00FA5939">
        <w:rPr>
          <w:rFonts w:ascii="Times New Roman" w:hAnsi="Times New Roman" w:cs="Times New Roman"/>
          <w:lang w:val="en-US"/>
        </w:rPr>
        <w:t xml:space="preserve"> </w:t>
      </w:r>
      <w:r w:rsidRPr="00D03A93">
        <w:rPr>
          <w:rFonts w:ascii="Times New Roman" w:hAnsi="Times New Roman" w:cs="Times New Roman"/>
          <w:lang w:val="lv-LV"/>
        </w:rPr>
        <w:t>Sociālo pakalpojumu un sociālās palīdzības likuma 37.panta pirmā daļa.</w:t>
      </w:r>
    </w:p>
  </w:footnote>
  <w:footnote w:id="95">
    <w:p w:rsidR="008117FC" w:rsidRPr="00930BC6" w:rsidRDefault="008117FC" w:rsidP="00297E34">
      <w:pPr>
        <w:pStyle w:val="FootnoteText"/>
        <w:jc w:val="both"/>
        <w:rPr>
          <w:lang w:val="en-US"/>
        </w:rPr>
      </w:pPr>
      <w:r w:rsidRPr="000D7967">
        <w:rPr>
          <w:rStyle w:val="FootnoteReference"/>
          <w:rFonts w:ascii="Times New Roman" w:hAnsi="Times New Roman" w:cs="Times New Roman"/>
        </w:rPr>
        <w:footnoteRef/>
      </w:r>
      <w:r w:rsidRPr="00FA5939">
        <w:rPr>
          <w:rFonts w:ascii="Times New Roman" w:hAnsi="Times New Roman" w:cs="Times New Roman"/>
          <w:lang w:val="en-US"/>
        </w:rPr>
        <w:t xml:space="preserve"> PB </w:t>
      </w:r>
      <w:r w:rsidRPr="00D03A93">
        <w:rPr>
          <w:rFonts w:ascii="Times New Roman" w:hAnsi="Times New Roman" w:cs="Times New Roman"/>
          <w:lang w:val="lv-LV"/>
        </w:rPr>
        <w:t>pētījums „Latvija: kurš ir bezdarbnieks,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Analysis of the incentive structure created be the tax and benefit system, Financial incentives of the tax and benefit system in Latvia 50.lpp.</w:t>
      </w:r>
    </w:p>
  </w:footnote>
  <w:footnote w:id="96">
    <w:p w:rsidR="008117FC" w:rsidRPr="00246BDE" w:rsidRDefault="008117FC" w:rsidP="007A2CCF">
      <w:pPr>
        <w:pStyle w:val="FootnoteText"/>
        <w:jc w:val="both"/>
        <w:rPr>
          <w:lang w:val="en-US"/>
        </w:rPr>
      </w:pPr>
      <w:r>
        <w:rPr>
          <w:rStyle w:val="FootnoteReference"/>
        </w:rPr>
        <w:footnoteRef/>
      </w:r>
      <w:r w:rsidRPr="00246BDE">
        <w:rPr>
          <w:lang w:val="en-US"/>
        </w:rPr>
        <w:t xml:space="preserve"> </w:t>
      </w:r>
      <w:r w:rsidRPr="00FA5939">
        <w:rPr>
          <w:rFonts w:ascii="Times New Roman" w:hAnsi="Times New Roman" w:cs="Times New Roman"/>
          <w:lang w:val="en-US"/>
        </w:rPr>
        <w:t xml:space="preserve">PB </w:t>
      </w:r>
      <w:r w:rsidRPr="00317B1C">
        <w:rPr>
          <w:rFonts w:ascii="Times New Roman" w:hAnsi="Times New Roman" w:cs="Times New Roman"/>
          <w:lang w:val="lv-LV"/>
        </w:rPr>
        <w:t>pētījums „Latvija: kurš ir bezdarbnieks, ekonomiski neaktīvais vai trūcīgais</w:t>
      </w:r>
      <w:r w:rsidRPr="00FA5939">
        <w:rPr>
          <w:rFonts w:ascii="Times New Roman" w:hAnsi="Times New Roman" w:cs="Times New Roman"/>
          <w:lang w:val="en-US"/>
        </w:rPr>
        <w:t>?</w:t>
      </w:r>
      <w:proofErr w:type="gramStart"/>
      <w:r w:rsidRPr="00FA5939">
        <w:rPr>
          <w:rFonts w:ascii="Times New Roman" w:hAnsi="Times New Roman" w:cs="Times New Roman"/>
          <w:lang w:val="en-US"/>
        </w:rPr>
        <w:t>”,</w:t>
      </w:r>
      <w:proofErr w:type="gramEnd"/>
      <w:r w:rsidRPr="00FA5939">
        <w:rPr>
          <w:rFonts w:ascii="Times New Roman" w:hAnsi="Times New Roman" w:cs="Times New Roman"/>
          <w:lang w:val="en-US"/>
        </w:rPr>
        <w:t xml:space="preserve"> Review of key design parameters and legislation for social assistance programs in Latvia, Latvia GMI Program: main design characteristics and comparison with minimum income schemes in other EU Member States, </w:t>
      </w:r>
      <w:r>
        <w:rPr>
          <w:rFonts w:ascii="Times New Roman" w:hAnsi="Times New Roman" w:cs="Times New Roman"/>
          <w:lang w:val="en-US"/>
        </w:rPr>
        <w:t>28</w:t>
      </w:r>
      <w:r w:rsidRPr="00FA5939">
        <w:rPr>
          <w:rFonts w:ascii="Times New Roman" w:hAnsi="Times New Roman" w:cs="Times New Roman"/>
          <w:lang w:val="en-US"/>
        </w:rPr>
        <w:t>.lpp.</w:t>
      </w:r>
    </w:p>
  </w:footnote>
  <w:footnote w:id="97">
    <w:p w:rsidR="008117FC" w:rsidRPr="00B538AC" w:rsidRDefault="008117FC" w:rsidP="00DB6C72">
      <w:pPr>
        <w:autoSpaceDE w:val="0"/>
        <w:autoSpaceDN w:val="0"/>
        <w:adjustRightInd w:val="0"/>
        <w:spacing w:after="0" w:line="240" w:lineRule="auto"/>
        <w:jc w:val="both"/>
        <w:rPr>
          <w:rFonts w:ascii="Times New Roman" w:hAnsi="Times New Roman" w:cs="Times New Roman"/>
          <w:sz w:val="20"/>
          <w:szCs w:val="20"/>
          <w:lang w:val="en-US"/>
        </w:rPr>
      </w:pPr>
      <w:r w:rsidRPr="00E909BC">
        <w:rPr>
          <w:rStyle w:val="FootnoteReference"/>
          <w:rFonts w:ascii="Times New Roman" w:hAnsi="Times New Roman" w:cs="Times New Roman"/>
          <w:sz w:val="20"/>
          <w:szCs w:val="20"/>
        </w:rPr>
        <w:footnoteRef/>
      </w:r>
      <w:r w:rsidRPr="00E909BC">
        <w:rPr>
          <w:rStyle w:val="hps"/>
          <w:rFonts w:ascii="Times New Roman" w:hAnsi="Times New Roman" w:cs="Times New Roman"/>
          <w:sz w:val="20"/>
          <w:szCs w:val="20"/>
        </w:rPr>
        <w:t xml:space="preserve">PB pētījums </w:t>
      </w:r>
      <w:r w:rsidRPr="00E909BC">
        <w:rPr>
          <w:rFonts w:ascii="Times New Roman" w:hAnsi="Times New Roman" w:cs="Times New Roman"/>
          <w:sz w:val="20"/>
          <w:szCs w:val="20"/>
        </w:rPr>
        <w:t>„Latvija: kurš ir bezdarbnieks, ekonomiski neaktīvais vai trūcīgais?”,</w:t>
      </w:r>
      <w:r>
        <w:rPr>
          <w:rFonts w:ascii="Times New Roman" w:hAnsi="Times New Roman" w:cs="Times New Roman"/>
          <w:sz w:val="20"/>
          <w:szCs w:val="20"/>
        </w:rPr>
        <w:t xml:space="preserve"> </w:t>
      </w:r>
      <w:r w:rsidRPr="00B538AC">
        <w:rPr>
          <w:rFonts w:ascii="Times New Roman" w:hAnsi="Times New Roman" w:cs="Times New Roman"/>
          <w:sz w:val="20"/>
          <w:szCs w:val="20"/>
          <w:lang w:val="en-US"/>
        </w:rPr>
        <w:t>Profiling of people with no or limited labor-market attachment and of low income, 4.attēls 12.lpp.</w:t>
      </w:r>
    </w:p>
  </w:footnote>
  <w:footnote w:id="98">
    <w:p w:rsidR="008117FC" w:rsidRPr="00E909BC" w:rsidRDefault="008117FC" w:rsidP="00E909BC">
      <w:pPr>
        <w:autoSpaceDE w:val="0"/>
        <w:autoSpaceDN w:val="0"/>
        <w:adjustRightInd w:val="0"/>
        <w:spacing w:after="0" w:line="240" w:lineRule="auto"/>
        <w:jc w:val="both"/>
        <w:rPr>
          <w:rFonts w:ascii="Times New Roman" w:hAnsi="Times New Roman" w:cs="Times New Roman"/>
          <w:sz w:val="20"/>
          <w:szCs w:val="20"/>
        </w:rPr>
      </w:pPr>
      <w:r w:rsidRPr="00E909BC">
        <w:rPr>
          <w:rStyle w:val="FootnoteReference"/>
          <w:rFonts w:ascii="Times New Roman" w:hAnsi="Times New Roman" w:cs="Times New Roman"/>
          <w:sz w:val="20"/>
          <w:szCs w:val="20"/>
        </w:rPr>
        <w:footnoteRef/>
      </w:r>
      <w:r w:rsidRPr="00E909BC">
        <w:rPr>
          <w:rStyle w:val="hps"/>
          <w:rFonts w:ascii="Times New Roman" w:hAnsi="Times New Roman" w:cs="Times New Roman"/>
          <w:sz w:val="20"/>
          <w:szCs w:val="20"/>
        </w:rPr>
        <w:t xml:space="preserve">PB pētījums </w:t>
      </w:r>
      <w:r w:rsidRPr="00E909BC">
        <w:rPr>
          <w:rFonts w:ascii="Times New Roman" w:hAnsi="Times New Roman" w:cs="Times New Roman"/>
          <w:sz w:val="20"/>
          <w:szCs w:val="20"/>
        </w:rPr>
        <w:t>„Latvija: kurš ir bezdarbnieks, ekonomiski neaktīvais vai trūcīgais?”,</w:t>
      </w:r>
      <w:r>
        <w:rPr>
          <w:rFonts w:ascii="Times New Roman" w:hAnsi="Times New Roman" w:cs="Times New Roman"/>
          <w:sz w:val="20"/>
          <w:szCs w:val="20"/>
        </w:rPr>
        <w:t xml:space="preserve"> </w:t>
      </w:r>
      <w:r w:rsidRPr="00FB7EE4">
        <w:rPr>
          <w:rFonts w:ascii="Times New Roman" w:hAnsi="Times New Roman" w:cs="Times New Roman"/>
          <w:sz w:val="20"/>
          <w:szCs w:val="20"/>
          <w:lang w:val="en-US"/>
        </w:rPr>
        <w:t xml:space="preserve">Profiling of people with no or limited labor-market attachment and of low income, </w:t>
      </w:r>
      <w:r w:rsidRPr="00E909BC">
        <w:rPr>
          <w:rFonts w:ascii="Times New Roman" w:hAnsi="Times New Roman" w:cs="Times New Roman"/>
          <w:sz w:val="20"/>
          <w:szCs w:val="20"/>
        </w:rPr>
        <w:t>18.lpp.</w:t>
      </w:r>
    </w:p>
  </w:footnote>
  <w:footnote w:id="99">
    <w:p w:rsidR="008117FC" w:rsidRPr="00E909BC" w:rsidRDefault="008117FC" w:rsidP="00E909BC">
      <w:pPr>
        <w:autoSpaceDE w:val="0"/>
        <w:autoSpaceDN w:val="0"/>
        <w:adjustRightInd w:val="0"/>
        <w:spacing w:after="0" w:line="240" w:lineRule="auto"/>
        <w:jc w:val="both"/>
        <w:rPr>
          <w:rFonts w:ascii="Times New Roman" w:hAnsi="Times New Roman" w:cs="Times New Roman"/>
          <w:sz w:val="20"/>
          <w:szCs w:val="20"/>
        </w:rPr>
      </w:pPr>
      <w:r w:rsidRPr="00E909BC">
        <w:rPr>
          <w:rStyle w:val="FootnoteReference"/>
          <w:rFonts w:ascii="Times New Roman" w:hAnsi="Times New Roman" w:cs="Times New Roman"/>
          <w:sz w:val="20"/>
          <w:szCs w:val="20"/>
        </w:rPr>
        <w:footnoteRef/>
      </w:r>
      <w:r w:rsidRPr="00E909BC">
        <w:rPr>
          <w:rFonts w:ascii="Times New Roman" w:hAnsi="Times New Roman" w:cs="Times New Roman"/>
          <w:sz w:val="20"/>
          <w:szCs w:val="20"/>
        </w:rPr>
        <w:t xml:space="preserve"> 2012.gada 20.februārī Valsts kanceleja tās administrētā projekta „Atbalsts strukturālo reformu ieviešanai valsts pārvaldē” ietvaros noslēdza līgumu ar SIA „SAFAGE Baltija” (iepirkuma identifikācijas numurs MK VK 2011/27 ESF) pētījuma „Sākotnējās ietekmes (</w:t>
      </w:r>
      <w:proofErr w:type="spellStart"/>
      <w:r w:rsidRPr="00E909BC">
        <w:rPr>
          <w:rFonts w:ascii="Times New Roman" w:hAnsi="Times New Roman" w:cs="Times New Roman"/>
          <w:iCs/>
          <w:sz w:val="20"/>
          <w:szCs w:val="20"/>
        </w:rPr>
        <w:t>Ex-ante</w:t>
      </w:r>
      <w:r w:rsidRPr="00E909BC">
        <w:rPr>
          <w:rFonts w:ascii="Times New Roman" w:hAnsi="Times New Roman" w:cs="Times New Roman"/>
          <w:sz w:val="20"/>
          <w:szCs w:val="20"/>
        </w:rPr>
        <w:t>)</w:t>
      </w:r>
      <w:proofErr w:type="spellEnd"/>
      <w:r w:rsidRPr="00E909BC">
        <w:rPr>
          <w:rFonts w:ascii="Times New Roman" w:hAnsi="Times New Roman" w:cs="Times New Roman"/>
          <w:sz w:val="20"/>
          <w:szCs w:val="20"/>
        </w:rPr>
        <w:t xml:space="preserve"> novērtējums par iecerētajām strukturālajām reformām profesionāla sociālā darba politikas jomā” veikšanai, 125 lpp.</w:t>
      </w:r>
    </w:p>
  </w:footnote>
  <w:footnote w:id="100">
    <w:p w:rsidR="008117FC" w:rsidRPr="00930BC6" w:rsidRDefault="008117FC" w:rsidP="00AF0E2B">
      <w:pPr>
        <w:pStyle w:val="FootnoteText"/>
        <w:rPr>
          <w:lang w:val="en-US"/>
        </w:rPr>
      </w:pPr>
      <w:r w:rsidRPr="00D91A1B">
        <w:rPr>
          <w:rStyle w:val="FootnoteReference"/>
          <w:rFonts w:ascii="Times New Roman" w:hAnsi="Times New Roman" w:cs="Times New Roman"/>
        </w:rPr>
        <w:footnoteRef/>
      </w:r>
      <w:r w:rsidRPr="00FA5939">
        <w:rPr>
          <w:rFonts w:ascii="Times New Roman" w:hAnsi="Times New Roman" w:cs="Times New Roman"/>
          <w:lang w:val="lv-LV"/>
        </w:rPr>
        <w:t xml:space="preserve"> Sociālo pakalpojumu un sociālās palīdzības likuma 37.panta 1.punkts. </w:t>
      </w:r>
    </w:p>
  </w:footnote>
  <w:footnote w:id="101">
    <w:p w:rsidR="008117FC" w:rsidRPr="00E909BC" w:rsidRDefault="008117FC" w:rsidP="00E5770B">
      <w:pPr>
        <w:pStyle w:val="FootnoteText"/>
        <w:jc w:val="both"/>
        <w:rPr>
          <w:rFonts w:ascii="Times New Roman" w:hAnsi="Times New Roman" w:cs="Times New Roman"/>
          <w:lang w:val="en-US"/>
        </w:rPr>
      </w:pPr>
      <w:r w:rsidRPr="00E909BC">
        <w:rPr>
          <w:rFonts w:ascii="Times New Roman" w:hAnsi="Times New Roman" w:cs="Times New Roman"/>
          <w:lang w:val="en-US"/>
        </w:rPr>
        <w:t xml:space="preserve"> </w:t>
      </w:r>
      <w:r w:rsidRPr="00E909BC">
        <w:rPr>
          <w:rStyle w:val="FootnoteReference"/>
          <w:rFonts w:ascii="Times New Roman" w:hAnsi="Times New Roman" w:cs="Times New Roman"/>
        </w:rPr>
        <w:footnoteRef/>
      </w:r>
      <w:r w:rsidRPr="00E909BC">
        <w:rPr>
          <w:rFonts w:ascii="Times New Roman" w:hAnsi="Times New Roman" w:cs="Times New Roman"/>
          <w:lang w:val="en-US"/>
        </w:rPr>
        <w:t xml:space="preserve"> </w:t>
      </w:r>
      <w:r w:rsidRPr="00FB7EE4">
        <w:rPr>
          <w:rStyle w:val="hps"/>
          <w:rFonts w:ascii="Times New Roman" w:hAnsi="Times New Roman"/>
          <w:lang w:val="lv-LV"/>
        </w:rPr>
        <w:t xml:space="preserve">PB pētījums </w:t>
      </w:r>
      <w:r w:rsidRPr="00FB7EE4">
        <w:rPr>
          <w:rFonts w:ascii="Times New Roman" w:hAnsi="Times New Roman"/>
          <w:lang w:val="lv-LV"/>
        </w:rPr>
        <w:t>„Latvija: kurš ir bezdarbnieks, ekonomiski neaktīvais vai trūcīgais?”,</w:t>
      </w:r>
      <w:r w:rsidRPr="00E5770B">
        <w:rPr>
          <w:rFonts w:ascii="Times New Roman" w:hAnsi="Times New Roman"/>
          <w:lang w:val="en-US"/>
        </w:rPr>
        <w:t xml:space="preserve"> An evaluation of active labo</w:t>
      </w:r>
      <w:r>
        <w:rPr>
          <w:rFonts w:ascii="Times New Roman" w:hAnsi="Times New Roman"/>
          <w:lang w:val="en-US"/>
        </w:rPr>
        <w:t>r</w:t>
      </w:r>
      <w:r w:rsidRPr="00E5770B">
        <w:rPr>
          <w:rFonts w:ascii="Times New Roman" w:hAnsi="Times New Roman"/>
          <w:lang w:val="en-US"/>
        </w:rPr>
        <w:t xml:space="preserve"> market programs (ALMPS) and related social benefit programs, Latvia: best practices and constraints in provision of training services and employment incentives</w:t>
      </w:r>
      <w:r>
        <w:rPr>
          <w:rFonts w:ascii="Times New Roman" w:hAnsi="Times New Roman"/>
          <w:lang w:val="en-US"/>
        </w:rPr>
        <w:t xml:space="preserve">, 52. </w:t>
      </w:r>
      <w:proofErr w:type="spellStart"/>
      <w:r>
        <w:rPr>
          <w:rFonts w:ascii="Times New Roman" w:hAnsi="Times New Roman"/>
          <w:lang w:val="en-US"/>
        </w:rPr>
        <w:t>lpp</w:t>
      </w:r>
      <w:proofErr w:type="spellEnd"/>
      <w:r>
        <w:rPr>
          <w:rFonts w:ascii="Times New Roman" w:hAnsi="Times New Roman"/>
          <w:lang w:val="en-US"/>
        </w:rPr>
        <w:t>.</w:t>
      </w:r>
    </w:p>
  </w:footnote>
  <w:footnote w:id="102">
    <w:p w:rsidR="008117FC" w:rsidRPr="00E909BC" w:rsidRDefault="008117FC" w:rsidP="00E5770B">
      <w:pPr>
        <w:pStyle w:val="FootnoteText"/>
        <w:jc w:val="both"/>
        <w:rPr>
          <w:rFonts w:ascii="Times New Roman" w:hAnsi="Times New Roman" w:cs="Times New Roman"/>
          <w:lang w:val="en-US"/>
        </w:rPr>
      </w:pPr>
      <w:r w:rsidRPr="00E5770B">
        <w:rPr>
          <w:rStyle w:val="FootnoteReference"/>
          <w:rFonts w:ascii="Times New Roman" w:hAnsi="Times New Roman" w:cs="Times New Roman"/>
        </w:rPr>
        <w:footnoteRef/>
      </w:r>
      <w:r w:rsidRPr="00E5770B">
        <w:rPr>
          <w:rFonts w:ascii="Times New Roman" w:hAnsi="Times New Roman" w:cs="Times New Roman"/>
          <w:lang w:val="en-US"/>
        </w:rPr>
        <w:t xml:space="preserve">  </w:t>
      </w:r>
      <w:r w:rsidRPr="00FB7EE4">
        <w:rPr>
          <w:rFonts w:ascii="Times New Roman" w:hAnsi="Times New Roman" w:cs="Times New Roman"/>
          <w:lang w:val="lv-LV"/>
        </w:rPr>
        <w:t>Turpat</w:t>
      </w:r>
      <w:r w:rsidRPr="00E5770B">
        <w:rPr>
          <w:rFonts w:ascii="Times New Roman" w:hAnsi="Times New Roman" w:cs="Times New Roman"/>
          <w:lang w:val="en-US"/>
        </w:rPr>
        <w:t>, 10.lpp.</w:t>
      </w:r>
    </w:p>
  </w:footnote>
  <w:footnote w:id="103">
    <w:p w:rsidR="008117FC" w:rsidRPr="00E909BC" w:rsidRDefault="008117FC" w:rsidP="00D03A93">
      <w:pPr>
        <w:pStyle w:val="FootnoteText"/>
        <w:jc w:val="both"/>
        <w:rPr>
          <w:rFonts w:ascii="Times New Roman" w:hAnsi="Times New Roman" w:cs="Times New Roman"/>
          <w:lang w:val="en-US"/>
        </w:rPr>
      </w:pPr>
      <w:r w:rsidRPr="00E909BC">
        <w:rPr>
          <w:rStyle w:val="FootnoteReference"/>
          <w:rFonts w:ascii="Times New Roman" w:hAnsi="Times New Roman" w:cs="Times New Roman"/>
        </w:rPr>
        <w:footnoteRef/>
      </w:r>
      <w:r w:rsidRPr="00E909BC">
        <w:rPr>
          <w:rFonts w:ascii="Times New Roman" w:hAnsi="Times New Roman" w:cs="Times New Roman"/>
          <w:lang w:val="en-US"/>
        </w:rPr>
        <w:t xml:space="preserve"> </w:t>
      </w:r>
      <w:r>
        <w:rPr>
          <w:rStyle w:val="hps"/>
          <w:rFonts w:ascii="Times New Roman" w:hAnsi="Times New Roman" w:cs="Times New Roman"/>
          <w:lang w:val="lv-LV"/>
        </w:rPr>
        <w:t>Turpat</w:t>
      </w:r>
      <w:r w:rsidRPr="00E909BC">
        <w:rPr>
          <w:rFonts w:ascii="Times New Roman" w:hAnsi="Times New Roman" w:cs="Times New Roman"/>
          <w:lang w:val="en-US"/>
        </w:rPr>
        <w:t>, 15.lpp.</w:t>
      </w:r>
    </w:p>
  </w:footnote>
  <w:footnote w:id="104">
    <w:p w:rsidR="008117FC" w:rsidRPr="00C015E5" w:rsidRDefault="008117FC" w:rsidP="00297E34">
      <w:pPr>
        <w:pStyle w:val="FootnoteText"/>
        <w:rPr>
          <w:rFonts w:ascii="Times New Roman" w:hAnsi="Times New Roman" w:cs="Times New Roman"/>
          <w:lang w:val="lv-LV"/>
        </w:rPr>
      </w:pPr>
      <w:r w:rsidRPr="00E909BC">
        <w:rPr>
          <w:rStyle w:val="FootnoteReference"/>
          <w:rFonts w:ascii="Times New Roman" w:hAnsi="Times New Roman" w:cs="Times New Roman"/>
        </w:rPr>
        <w:footnoteRef/>
      </w:r>
      <w:r w:rsidRPr="00E909BC">
        <w:rPr>
          <w:rFonts w:ascii="Times New Roman" w:hAnsi="Times New Roman" w:cs="Times New Roman"/>
          <w:lang w:val="fr-FR"/>
        </w:rPr>
        <w:t xml:space="preserve"> </w:t>
      </w:r>
      <w:r w:rsidRPr="00E909BC">
        <w:rPr>
          <w:rFonts w:ascii="Times New Roman" w:hAnsi="Times New Roman" w:cs="Times New Roman"/>
          <w:iCs/>
          <w:lang w:val="lv-LV" w:eastAsia="lv-LV"/>
        </w:rPr>
        <w:t>Globālie sociālā darba izglītības un prakses standarti</w:t>
      </w:r>
      <w:r>
        <w:rPr>
          <w:rFonts w:ascii="Times New Roman" w:hAnsi="Times New Roman" w:cs="Times New Roman"/>
          <w:iCs/>
          <w:lang w:val="lv-LV" w:eastAsia="lv-LV"/>
        </w:rPr>
        <w:t xml:space="preserve">. Vairāk informācijas šeit: </w:t>
      </w:r>
      <w:hyperlink r:id="rId12" w:history="1">
        <w:r w:rsidRPr="00C909AF">
          <w:rPr>
            <w:rStyle w:val="Hyperlink"/>
            <w:rFonts w:ascii="Times New Roman" w:hAnsi="Times New Roman" w:cs="Times New Roman"/>
            <w:iCs/>
            <w:lang w:val="lv-LV" w:eastAsia="lv-LV"/>
          </w:rPr>
          <w:t>http://ifsw.org/policies/definition-of-social-work/</w:t>
        </w:r>
      </w:hyperlink>
    </w:p>
  </w:footnote>
  <w:footnote w:id="105">
    <w:p w:rsidR="008117FC" w:rsidRPr="00CD0C30" w:rsidRDefault="008117FC" w:rsidP="005D625A">
      <w:pPr>
        <w:pStyle w:val="FootnoteText"/>
        <w:jc w:val="both"/>
        <w:rPr>
          <w:lang w:val="lv-LV"/>
        </w:rPr>
      </w:pPr>
      <w:r w:rsidRPr="00CD0C30">
        <w:rPr>
          <w:rStyle w:val="FootnoteReference"/>
          <w:lang w:val="lv-LV"/>
        </w:rPr>
        <w:footnoteRef/>
      </w:r>
      <w:r w:rsidRPr="00CD0C30">
        <w:rPr>
          <w:rFonts w:ascii="Times New Roman" w:hAnsi="Times New Roman" w:cs="Times New Roman"/>
          <w:lang w:val="lv-LV"/>
        </w:rPr>
        <w:t xml:space="preserve"> Sociālā darba speciālists – sociālais darbinieks, </w:t>
      </w:r>
      <w:proofErr w:type="spellStart"/>
      <w:r w:rsidRPr="00CD0C30">
        <w:rPr>
          <w:rFonts w:ascii="Times New Roman" w:hAnsi="Times New Roman" w:cs="Times New Roman"/>
          <w:lang w:val="lv-LV"/>
        </w:rPr>
        <w:t>karitatīvais</w:t>
      </w:r>
      <w:proofErr w:type="spellEnd"/>
      <w:r w:rsidRPr="00CD0C30">
        <w:rPr>
          <w:rFonts w:ascii="Times New Roman" w:hAnsi="Times New Roman" w:cs="Times New Roman"/>
          <w:lang w:val="lv-LV"/>
        </w:rPr>
        <w:t xml:space="preserve"> sociālais darbinieks, sociālais aprūpētājs, sociālais rehabilitētājs, sociālās palīdzības organizators.</w:t>
      </w:r>
    </w:p>
  </w:footnote>
  <w:footnote w:id="106">
    <w:p w:rsidR="008117FC" w:rsidRDefault="008117FC" w:rsidP="00CB5354">
      <w:pPr>
        <w:pStyle w:val="ListParagraph"/>
        <w:autoSpaceDE w:val="0"/>
        <w:autoSpaceDN w:val="0"/>
        <w:adjustRightInd w:val="0"/>
        <w:spacing w:after="0" w:line="240" w:lineRule="auto"/>
        <w:ind w:left="0"/>
        <w:jc w:val="both"/>
      </w:pPr>
      <w:r w:rsidRPr="00CA0593">
        <w:rPr>
          <w:rStyle w:val="FootnoteReference"/>
          <w:rFonts w:ascii="Times New Roman" w:hAnsi="Times New Roman" w:cs="Times New Roman"/>
          <w:sz w:val="20"/>
          <w:szCs w:val="20"/>
        </w:rPr>
        <w:footnoteRef/>
      </w:r>
      <w:r w:rsidRPr="00CA0593">
        <w:rPr>
          <w:rFonts w:ascii="Times New Roman" w:hAnsi="Times New Roman" w:cs="Times New Roman"/>
          <w:sz w:val="20"/>
          <w:szCs w:val="20"/>
        </w:rPr>
        <w:t xml:space="preserve">  </w:t>
      </w:r>
      <w:r>
        <w:rPr>
          <w:rFonts w:ascii="Times New Roman" w:hAnsi="Times New Roman" w:cs="Times New Roman"/>
          <w:sz w:val="20"/>
          <w:szCs w:val="20"/>
        </w:rPr>
        <w:t>P</w:t>
      </w:r>
      <w:r w:rsidRPr="002A2D8A">
        <w:rPr>
          <w:rFonts w:ascii="Times New Roman" w:hAnsi="Times New Roman" w:cs="Times New Roman"/>
          <w:sz w:val="20"/>
          <w:szCs w:val="20"/>
        </w:rPr>
        <w:t>iemēram</w:t>
      </w:r>
      <w:r>
        <w:rPr>
          <w:rFonts w:ascii="Times New Roman" w:hAnsi="Times New Roman" w:cs="Times New Roman"/>
          <w:sz w:val="20"/>
          <w:szCs w:val="20"/>
        </w:rPr>
        <w:t xml:space="preserve"> pie 60%</w:t>
      </w:r>
      <w:r w:rsidRPr="002A2D8A">
        <w:rPr>
          <w:rFonts w:ascii="Times New Roman" w:hAnsi="Times New Roman" w:cs="Times New Roman"/>
          <w:sz w:val="20"/>
          <w:szCs w:val="20"/>
        </w:rPr>
        <w:t>, vienai pilngadīgai personai 15</w:t>
      </w:r>
      <w:r>
        <w:rPr>
          <w:rFonts w:ascii="Times New Roman" w:hAnsi="Times New Roman" w:cs="Times New Roman"/>
          <w:sz w:val="20"/>
          <w:szCs w:val="20"/>
        </w:rPr>
        <w:t>6</w:t>
      </w:r>
      <w:r w:rsidRPr="002A2D8A">
        <w:rPr>
          <w:rFonts w:ascii="Times New Roman" w:hAnsi="Times New Roman" w:cs="Times New Roman"/>
          <w:sz w:val="20"/>
          <w:szCs w:val="20"/>
        </w:rPr>
        <w:t xml:space="preserve"> lati</w:t>
      </w:r>
      <w:r>
        <w:rPr>
          <w:rFonts w:ascii="Times New Roman" w:hAnsi="Times New Roman" w:cs="Times New Roman"/>
          <w:sz w:val="20"/>
          <w:szCs w:val="20"/>
        </w:rPr>
        <w:t xml:space="preserve"> (2011.gada dati) </w:t>
      </w:r>
      <w:r w:rsidRPr="002A2D8A">
        <w:rPr>
          <w:rFonts w:ascii="Times New Roman" w:hAnsi="Times New Roman" w:cs="Times New Roman"/>
          <w:sz w:val="20"/>
          <w:szCs w:val="20"/>
        </w:rPr>
        <w:t>jeb € 22</w:t>
      </w:r>
      <w:r>
        <w:rPr>
          <w:rFonts w:ascii="Times New Roman" w:hAnsi="Times New Roman" w:cs="Times New Roman"/>
          <w:sz w:val="20"/>
          <w:szCs w:val="20"/>
        </w:rPr>
        <w:t>2</w:t>
      </w:r>
      <w:r w:rsidRPr="002A2D8A">
        <w:rPr>
          <w:rFonts w:ascii="Times New Roman" w:hAnsi="Times New Roman" w:cs="Times New Roman"/>
          <w:sz w:val="20"/>
          <w:szCs w:val="20"/>
        </w:rPr>
        <w:t>; 2 pilngadīg</w:t>
      </w:r>
      <w:r>
        <w:rPr>
          <w:rFonts w:ascii="Times New Roman" w:hAnsi="Times New Roman" w:cs="Times New Roman"/>
          <w:sz w:val="20"/>
          <w:szCs w:val="20"/>
        </w:rPr>
        <w:t>ām</w:t>
      </w:r>
      <w:r w:rsidRPr="002A2D8A">
        <w:rPr>
          <w:rFonts w:ascii="Times New Roman" w:hAnsi="Times New Roman" w:cs="Times New Roman"/>
          <w:sz w:val="20"/>
          <w:szCs w:val="20"/>
        </w:rPr>
        <w:t xml:space="preserve"> person</w:t>
      </w:r>
      <w:r>
        <w:rPr>
          <w:rFonts w:ascii="Times New Roman" w:hAnsi="Times New Roman" w:cs="Times New Roman"/>
          <w:sz w:val="20"/>
          <w:szCs w:val="20"/>
        </w:rPr>
        <w:t>ām</w:t>
      </w:r>
      <w:r w:rsidRPr="002A2D8A">
        <w:rPr>
          <w:rFonts w:ascii="Times New Roman" w:hAnsi="Times New Roman" w:cs="Times New Roman"/>
          <w:sz w:val="20"/>
          <w:szCs w:val="20"/>
        </w:rPr>
        <w:t xml:space="preserve"> un 2 bērni</w:t>
      </w:r>
      <w:r>
        <w:rPr>
          <w:rFonts w:ascii="Times New Roman" w:hAnsi="Times New Roman" w:cs="Times New Roman"/>
          <w:sz w:val="20"/>
          <w:szCs w:val="20"/>
        </w:rPr>
        <w:t>em</w:t>
      </w:r>
      <w:r w:rsidRPr="002A2D8A">
        <w:rPr>
          <w:rFonts w:ascii="Times New Roman" w:hAnsi="Times New Roman" w:cs="Times New Roman"/>
          <w:sz w:val="20"/>
          <w:szCs w:val="20"/>
        </w:rPr>
        <w:t xml:space="preserve"> = 3</w:t>
      </w:r>
      <w:r>
        <w:rPr>
          <w:rFonts w:ascii="Times New Roman" w:hAnsi="Times New Roman" w:cs="Times New Roman"/>
          <w:sz w:val="20"/>
          <w:szCs w:val="20"/>
        </w:rPr>
        <w:t>28</w:t>
      </w:r>
      <w:r w:rsidRPr="002A2D8A">
        <w:rPr>
          <w:rFonts w:ascii="Times New Roman" w:hAnsi="Times New Roman" w:cs="Times New Roman"/>
          <w:sz w:val="20"/>
          <w:szCs w:val="20"/>
        </w:rPr>
        <w:t xml:space="preserve"> lati jeb € 4</w:t>
      </w:r>
      <w:r>
        <w:rPr>
          <w:rFonts w:ascii="Times New Roman" w:hAnsi="Times New Roman" w:cs="Times New Roman"/>
          <w:sz w:val="20"/>
          <w:szCs w:val="20"/>
        </w:rPr>
        <w:t>6</w:t>
      </w:r>
      <w:r w:rsidRPr="002A2D8A">
        <w:rPr>
          <w:rFonts w:ascii="Times New Roman" w:hAnsi="Times New Roman" w:cs="Times New Roman"/>
          <w:sz w:val="20"/>
          <w:szCs w:val="20"/>
        </w:rPr>
        <w:t>7</w:t>
      </w:r>
      <w:r>
        <w:rPr>
          <w:rFonts w:ascii="Times New Roman" w:hAnsi="Times New Roman" w:cs="Times New Roman"/>
          <w:sz w:val="20"/>
          <w:szCs w:val="20"/>
        </w:rPr>
        <w:t>.</w:t>
      </w:r>
    </w:p>
  </w:footnote>
  <w:footnote w:id="107">
    <w:p w:rsidR="008117FC" w:rsidRPr="00FA5939" w:rsidRDefault="008117FC" w:rsidP="001B2CB8">
      <w:pPr>
        <w:pStyle w:val="FootnoteText"/>
        <w:rPr>
          <w:rFonts w:ascii="Times New Roman" w:hAnsi="Times New Roman" w:cs="Times New Roman"/>
          <w:lang w:val="en-US"/>
        </w:rPr>
      </w:pPr>
      <w:r w:rsidRPr="008A0402">
        <w:rPr>
          <w:rStyle w:val="FootnoteReference"/>
          <w:rFonts w:ascii="Times New Roman" w:hAnsi="Times New Roman" w:cs="Times New Roman"/>
        </w:rPr>
        <w:footnoteRef/>
      </w:r>
      <w:r w:rsidRPr="00FA5939">
        <w:rPr>
          <w:rFonts w:ascii="Times New Roman" w:hAnsi="Times New Roman" w:cs="Times New Roman"/>
          <w:lang w:val="lv-LV"/>
        </w:rPr>
        <w:t xml:space="preserve"> Ekonomikas ministrijas 2013.gada 10.jūlija vēstule Nr.413-1-6707 (LM 10.07.2013. </w:t>
      </w:r>
      <w:r w:rsidRPr="00FA5939">
        <w:rPr>
          <w:rFonts w:ascii="Times New Roman" w:hAnsi="Times New Roman" w:cs="Times New Roman"/>
          <w:lang w:val="en-US"/>
        </w:rPr>
        <w:t>Nr.1747/S).</w:t>
      </w:r>
    </w:p>
    <w:p w:rsidR="008117FC" w:rsidRPr="00930BC6" w:rsidRDefault="008117FC" w:rsidP="001B2CB8">
      <w:pPr>
        <w:pStyle w:val="FootnoteText"/>
        <w:rPr>
          <w:lang w:val="en-US"/>
        </w:rPr>
      </w:pPr>
    </w:p>
  </w:footnote>
  <w:footnote w:id="108">
    <w:p w:rsidR="008117FC" w:rsidRPr="00C93691" w:rsidRDefault="008117FC" w:rsidP="00C4429E">
      <w:pPr>
        <w:pStyle w:val="ListParagraph"/>
        <w:spacing w:after="0" w:line="240" w:lineRule="auto"/>
        <w:ind w:left="0"/>
        <w:jc w:val="both"/>
        <w:rPr>
          <w:rFonts w:ascii="Times New Roman" w:hAnsi="Times New Roman" w:cs="Times New Roman"/>
          <w:color w:val="000000"/>
          <w:sz w:val="20"/>
          <w:szCs w:val="20"/>
          <w:lang w:eastAsia="lv-LV"/>
        </w:rPr>
      </w:pPr>
      <w:r w:rsidRPr="00C93691">
        <w:rPr>
          <w:rStyle w:val="FootnoteReference"/>
          <w:rFonts w:ascii="Times New Roman" w:hAnsi="Times New Roman" w:cs="Times New Roman"/>
          <w:sz w:val="20"/>
          <w:szCs w:val="20"/>
        </w:rPr>
        <w:footnoteRef/>
      </w:r>
      <w:r w:rsidRPr="00C93691">
        <w:rPr>
          <w:rFonts w:ascii="Times New Roman" w:hAnsi="Times New Roman" w:cs="Times New Roman"/>
          <w:color w:val="000000"/>
          <w:sz w:val="20"/>
          <w:szCs w:val="20"/>
          <w:lang w:eastAsia="lv-LV"/>
        </w:rPr>
        <w:t xml:space="preserve"> Latvija Konvenciju ratificēja 2010.gada 1.martā (spēkā kopš 2010.gada 31.marta). Eiropas Savienībā Konvencija stājās spēkā 2011.gada 21.janvārī.</w:t>
      </w:r>
    </w:p>
    <w:p w:rsidR="008117FC" w:rsidRPr="00631483" w:rsidRDefault="008117FC" w:rsidP="00631483">
      <w:pPr>
        <w:pStyle w:val="ListParagraph"/>
        <w:spacing w:after="0" w:line="240" w:lineRule="auto"/>
        <w:jc w:val="both"/>
        <w:rPr>
          <w:rFonts w:ascii="Times New Roman" w:hAnsi="Times New Roman" w:cs="Times New Roman"/>
          <w:sz w:val="20"/>
          <w:szCs w:val="20"/>
        </w:rPr>
      </w:pPr>
      <w:r w:rsidRPr="00631483">
        <w:rPr>
          <w:rFonts w:ascii="Times New Roman" w:hAnsi="Times New Roman" w:cs="Times New Roman"/>
          <w:sz w:val="20"/>
          <w:szCs w:val="20"/>
        </w:rPr>
        <w:br w:type="page"/>
      </w:r>
    </w:p>
    <w:p w:rsidR="008117FC" w:rsidRDefault="008117FC" w:rsidP="00631483">
      <w:pPr>
        <w:pStyle w:val="ListParagraph"/>
        <w:spacing w:after="0" w:line="240" w:lineRule="auto"/>
        <w:jc w:val="both"/>
      </w:pPr>
    </w:p>
  </w:footnote>
  <w:footnote w:id="109">
    <w:p w:rsidR="008117FC" w:rsidRPr="000B6D4F" w:rsidRDefault="008117FC" w:rsidP="001D08F3">
      <w:pPr>
        <w:spacing w:after="0" w:line="240" w:lineRule="auto"/>
        <w:rPr>
          <w:rFonts w:ascii="Times New Roman" w:hAnsi="Times New Roman" w:cs="Times New Roman"/>
          <w:sz w:val="18"/>
          <w:szCs w:val="18"/>
        </w:rPr>
      </w:pPr>
      <w:r>
        <w:rPr>
          <w:rStyle w:val="FootnoteReference"/>
        </w:rPr>
        <w:footnoteRef/>
      </w:r>
      <w:r>
        <w:t xml:space="preserve"> </w:t>
      </w:r>
      <w:hyperlink r:id="rId13" w:history="1">
        <w:r w:rsidRPr="00FA50A5">
          <w:rPr>
            <w:rStyle w:val="Hyperlink"/>
            <w:rFonts w:ascii="Times New Roman" w:hAnsi="Times New Roman" w:cs="Times New Roman"/>
            <w:sz w:val="18"/>
            <w:szCs w:val="18"/>
          </w:rPr>
          <w:t>http://appsso.eurostat.ec.europa.eu/nui/submitViewTableAction.do;jsessionid=9ea7d07e30d741b24d40726e4b14bff3b23ec098baa3.e34OaN8Pc3mMc40Lc3aMaNyTb38Se0</w:t>
        </w:r>
      </w:hyperlink>
      <w:proofErr w:type="gramStart"/>
      <w:r w:rsidRPr="000B6D4F">
        <w:rPr>
          <w:rFonts w:ascii="Times New Roman" w:hAnsi="Times New Roman" w:cs="Times New Roman"/>
          <w:sz w:val="18"/>
          <w:szCs w:val="18"/>
        </w:rPr>
        <w:t xml:space="preserve">   </w:t>
      </w:r>
      <w:proofErr w:type="gramEnd"/>
    </w:p>
    <w:p w:rsidR="008117FC" w:rsidRDefault="008117FC" w:rsidP="000176F2"/>
  </w:footnote>
  <w:footnote w:id="110">
    <w:p w:rsidR="008117FC" w:rsidRPr="00A17A20" w:rsidRDefault="008117FC" w:rsidP="00B00F9E">
      <w:pPr>
        <w:pStyle w:val="FootnoteText"/>
        <w:rPr>
          <w:rFonts w:ascii="Times New Roman" w:hAnsi="Times New Roman" w:cs="Times New Roman"/>
          <w:lang w:val="lv-LV"/>
        </w:rPr>
      </w:pPr>
      <w:r w:rsidRPr="00A17A20">
        <w:rPr>
          <w:rStyle w:val="FootnoteReference"/>
          <w:rFonts w:ascii="Times New Roman" w:hAnsi="Times New Roman" w:cs="Times New Roman"/>
        </w:rPr>
        <w:footnoteRef/>
      </w:r>
      <w:r w:rsidRPr="00A17A20">
        <w:rPr>
          <w:rFonts w:ascii="Times New Roman" w:hAnsi="Times New Roman" w:cs="Times New Roman"/>
          <w:lang w:val="lv-LV"/>
        </w:rPr>
        <w:t xml:space="preserve">  </w:t>
      </w:r>
      <w:hyperlink r:id="rId14" w:history="1">
        <w:r w:rsidRPr="00A17A20">
          <w:rPr>
            <w:rStyle w:val="Hyperlink"/>
            <w:rFonts w:ascii="Times New Roman" w:hAnsi="Times New Roman" w:cs="Times New Roman"/>
            <w:lang w:val="lv-LV"/>
          </w:rPr>
          <w:t>http://www.mk.gov.lv/lv/mk/tap/?pid=40285926&amp;mode=mk&amp;date=2013-05-28</w:t>
        </w:r>
      </w:hyperlink>
    </w:p>
    <w:p w:rsidR="008117FC" w:rsidRPr="00930BC6" w:rsidRDefault="008117FC" w:rsidP="00B00F9E">
      <w:pPr>
        <w:pStyle w:val="FootnoteText"/>
        <w:rPr>
          <w:lang w:val="lv-LV"/>
        </w:rPr>
      </w:pPr>
    </w:p>
  </w:footnote>
  <w:footnote w:id="111">
    <w:p w:rsidR="008117FC" w:rsidRDefault="008117FC" w:rsidP="00B441B5">
      <w:pPr>
        <w:shd w:val="clear" w:color="auto" w:fill="FFFFFF"/>
        <w:spacing w:after="0" w:line="240" w:lineRule="auto"/>
        <w:jc w:val="both"/>
      </w:pPr>
      <w:r>
        <w:rPr>
          <w:rStyle w:val="FootnoteReference"/>
        </w:rPr>
        <w:footnoteRef/>
      </w:r>
      <w:r w:rsidRPr="000A6EFE">
        <w:rPr>
          <w:rFonts w:ascii="Times New Roman" w:hAnsi="Times New Roman" w:cs="Times New Roman"/>
          <w:sz w:val="20"/>
          <w:szCs w:val="20"/>
        </w:rPr>
        <w:t xml:space="preserve">Saskaņā ar </w:t>
      </w:r>
      <w:r w:rsidRPr="000A6EFE">
        <w:rPr>
          <w:rFonts w:ascii="Times New Roman" w:hAnsi="Times New Roman" w:cs="Times New Roman"/>
          <w:sz w:val="20"/>
          <w:szCs w:val="20"/>
          <w:lang w:eastAsia="lv-LV"/>
        </w:rPr>
        <w:t>Ministru kabineta 2009.gada 22.decembra noteikumiem Nr.1609„Noteikumi par bērna kopšanas pabalsta un piemaksas pie bērna kopšanas pabalsta un vecāku pabalsta par dvīņiem vai vairākiem vienās dzemdībās dzimušiem bērniem apmēru, tā pārskatīšanas kārtību un pabalsta un piemaksas piešķiršanas un izmaksas kārtību” n</w:t>
      </w:r>
      <w:r w:rsidRPr="000A6EFE">
        <w:rPr>
          <w:rFonts w:ascii="Times New Roman" w:hAnsi="Times New Roman" w:cs="Times New Roman"/>
          <w:sz w:val="20"/>
          <w:szCs w:val="20"/>
        </w:rPr>
        <w:t xml:space="preserve">o 2013.gada 1.janvāra bērna kopšanas pabalsta (t.sk. piemaksas par dvīņiem un vairāk bērniem) apmērs par bērnu vecumā līdz pusotram gadam – </w:t>
      </w:r>
      <w:r>
        <w:rPr>
          <w:rFonts w:ascii="Times New Roman" w:hAnsi="Times New Roman" w:cs="Times New Roman"/>
          <w:sz w:val="20"/>
          <w:szCs w:val="20"/>
        </w:rPr>
        <w:t xml:space="preserve">Ls </w:t>
      </w:r>
      <w:r w:rsidRPr="000A6EFE">
        <w:rPr>
          <w:rFonts w:ascii="Times New Roman" w:hAnsi="Times New Roman" w:cs="Times New Roman"/>
          <w:sz w:val="20"/>
          <w:szCs w:val="20"/>
        </w:rPr>
        <w:t xml:space="preserve">100 mēnesī, bet par bērnu vecumā no pusotra līdz diviem gadiem – </w:t>
      </w:r>
      <w:r>
        <w:rPr>
          <w:rFonts w:ascii="Times New Roman" w:hAnsi="Times New Roman" w:cs="Times New Roman"/>
          <w:sz w:val="20"/>
          <w:szCs w:val="20"/>
        </w:rPr>
        <w:t xml:space="preserve">Ls </w:t>
      </w:r>
      <w:r w:rsidRPr="000A6EFE">
        <w:rPr>
          <w:rFonts w:ascii="Times New Roman" w:hAnsi="Times New Roman" w:cs="Times New Roman"/>
          <w:sz w:val="20"/>
          <w:szCs w:val="20"/>
        </w:rPr>
        <w:t xml:space="preserve">30 mēnesī.  </w:t>
      </w:r>
    </w:p>
  </w:footnote>
  <w:footnote w:id="112">
    <w:p w:rsidR="008117FC" w:rsidRPr="00930BC6" w:rsidRDefault="008117FC" w:rsidP="00674B1D">
      <w:pPr>
        <w:pStyle w:val="FootnoteText"/>
        <w:jc w:val="both"/>
        <w:rPr>
          <w:lang w:val="lv-LV"/>
        </w:rPr>
      </w:pPr>
      <w:r w:rsidRPr="00674B1D">
        <w:rPr>
          <w:rStyle w:val="FootnoteReference"/>
          <w:rFonts w:ascii="Times New Roman" w:hAnsi="Times New Roman" w:cs="Times New Roman"/>
        </w:rPr>
        <w:footnoteRef/>
      </w:r>
      <w:r w:rsidRPr="00FA5939">
        <w:rPr>
          <w:rFonts w:ascii="Times New Roman" w:hAnsi="Times New Roman" w:cs="Times New Roman"/>
          <w:lang w:val="lv-LV"/>
        </w:rPr>
        <w:t xml:space="preserve">  Atvieglojums par apgādībā esošām personām līdz 31.06.2013. bija 70 lati mēnesī, bet no 01.07.2013. – 80 lati mēnesī.</w:t>
      </w:r>
    </w:p>
  </w:footnote>
  <w:footnote w:id="113">
    <w:p w:rsidR="008117FC" w:rsidRPr="00C93691" w:rsidRDefault="008117FC" w:rsidP="00C93691">
      <w:pPr>
        <w:pStyle w:val="FootnoteText"/>
        <w:jc w:val="both"/>
        <w:rPr>
          <w:rFonts w:ascii="Times New Roman" w:hAnsi="Times New Roman" w:cs="Times New Roman"/>
          <w:lang w:val="lv-LV"/>
        </w:rPr>
      </w:pPr>
      <w:r w:rsidRPr="00C93691">
        <w:rPr>
          <w:rStyle w:val="FootnoteReference"/>
          <w:rFonts w:ascii="Times New Roman" w:hAnsi="Times New Roman" w:cs="Times New Roman"/>
        </w:rPr>
        <w:footnoteRef/>
      </w:r>
      <w:r w:rsidRPr="00C93691">
        <w:rPr>
          <w:rFonts w:ascii="Times New Roman" w:hAnsi="Times New Roman" w:cs="Times New Roman"/>
          <w:lang w:val="lv-LV"/>
        </w:rPr>
        <w:t xml:space="preserve"> Apsekojums "Eiropas Savienības statistika par ienākumiem un dzīves apstākļiem" (angļu valodā </w:t>
      </w:r>
      <w:r>
        <w:rPr>
          <w:rFonts w:ascii="Times New Roman" w:hAnsi="Times New Roman" w:cs="Times New Roman"/>
          <w:lang w:val="lv-LV"/>
        </w:rPr>
        <w:t>- t</w:t>
      </w:r>
      <w:r w:rsidRPr="00C93691">
        <w:rPr>
          <w:rFonts w:ascii="Times New Roman" w:hAnsi="Times New Roman" w:cs="Times New Roman"/>
          <w:lang w:val="en-US"/>
        </w:rPr>
        <w:t>he European Union Statistics on Income and Living Conditions</w:t>
      </w:r>
      <w:r w:rsidRPr="00C93691">
        <w:rPr>
          <w:rFonts w:ascii="Times New Roman" w:hAnsi="Times New Roman" w:cs="Times New Roman"/>
          <w:lang w:val="lv-LV"/>
        </w:rPr>
        <w:t>, saīsinājums EU-SILC)</w:t>
      </w:r>
      <w:r>
        <w:rPr>
          <w:rFonts w:ascii="Times New Roman" w:hAnsi="Times New Roman" w:cs="Times New Roman"/>
          <w:lang w:val="lv-LV"/>
        </w:rPr>
        <w:t>.</w:t>
      </w:r>
    </w:p>
  </w:footnote>
  <w:footnote w:id="114">
    <w:p w:rsidR="008117FC" w:rsidRPr="00930BC6" w:rsidRDefault="008117FC" w:rsidP="00E4249D">
      <w:pPr>
        <w:pStyle w:val="FootnoteText"/>
        <w:jc w:val="both"/>
        <w:rPr>
          <w:lang w:val="lv-LV"/>
        </w:rPr>
      </w:pPr>
      <w:r w:rsidRPr="009B136C">
        <w:rPr>
          <w:rStyle w:val="FootnoteReference"/>
          <w:rFonts w:ascii="Times New Roman" w:hAnsi="Times New Roman" w:cs="Times New Roman"/>
        </w:rPr>
        <w:footnoteRef/>
      </w:r>
      <w:r w:rsidRPr="00FA5939">
        <w:rPr>
          <w:rFonts w:ascii="Times New Roman" w:hAnsi="Times New Roman" w:cs="Times New Roman"/>
          <w:lang w:val="lv-LV"/>
        </w:rPr>
        <w:t xml:space="preserve"> CSP </w:t>
      </w:r>
      <w:hyperlink r:id="rId15" w:history="1">
        <w:r w:rsidRPr="00FA5939">
          <w:rPr>
            <w:rStyle w:val="Hyperlink"/>
            <w:rFonts w:ascii="Times New Roman" w:hAnsi="Times New Roman" w:cs="Times New Roman"/>
            <w:lang w:val="lv-LV"/>
          </w:rPr>
          <w:t>http://www.csb.gov.lv/statistikas-temas/metodologija/materiala-nenodrosinatiba-37053.html</w:t>
        </w:r>
      </w:hyperlink>
      <w:r w:rsidRPr="00FA5939">
        <w:rPr>
          <w:rFonts w:ascii="Times New Roman" w:hAnsi="Times New Roman" w:cs="Times New Roman"/>
          <w:lang w:val="lv-LV"/>
        </w:rPr>
        <w:t xml:space="preserve">. skatīts 14.01.2013. </w:t>
      </w:r>
    </w:p>
  </w:footnote>
  <w:footnote w:id="115">
    <w:p w:rsidR="008117FC" w:rsidRPr="00930BC6" w:rsidRDefault="008117FC">
      <w:pPr>
        <w:pStyle w:val="FootnoteText"/>
        <w:rPr>
          <w:lang w:val="en-US"/>
        </w:rPr>
      </w:pPr>
      <w:r w:rsidRPr="009B136C">
        <w:rPr>
          <w:rStyle w:val="FootnoteReference"/>
          <w:rFonts w:ascii="Times New Roman" w:hAnsi="Times New Roman" w:cs="Times New Roman"/>
        </w:rPr>
        <w:footnoteRef/>
      </w:r>
      <w:r w:rsidRPr="00FA5939">
        <w:rPr>
          <w:rFonts w:ascii="Times New Roman" w:hAnsi="Times New Roman" w:cs="Times New Roman"/>
          <w:lang w:val="de-DE"/>
        </w:rPr>
        <w:t xml:space="preserve"> </w:t>
      </w:r>
      <w:r>
        <w:rPr>
          <w:rFonts w:ascii="Times New Roman" w:hAnsi="Times New Roman" w:cs="Times New Roman"/>
          <w:lang w:val="de-DE"/>
        </w:rPr>
        <w:t>CSP</w:t>
      </w:r>
      <w:r w:rsidRPr="00FA5939">
        <w:rPr>
          <w:rFonts w:ascii="Times New Roman" w:hAnsi="Times New Roman" w:cs="Times New Roman"/>
          <w:lang w:val="de-DE"/>
        </w:rPr>
        <w:t xml:space="preserve"> </w:t>
      </w:r>
      <w:hyperlink r:id="rId16" w:history="1">
        <w:r w:rsidRPr="00FA5939">
          <w:rPr>
            <w:rStyle w:val="Hyperlink"/>
            <w:rFonts w:ascii="Times New Roman" w:hAnsi="Times New Roman" w:cs="Times New Roman"/>
            <w:lang w:val="de-DE"/>
          </w:rPr>
          <w:t>http://www.csb.gov.lv/statistikas-temas/termini/mediana-39000.html</w:t>
        </w:r>
      </w:hyperlink>
      <w:r w:rsidRPr="00FA5939">
        <w:rPr>
          <w:rFonts w:ascii="Times New Roman" w:hAnsi="Times New Roman" w:cs="Times New Roman"/>
          <w:lang w:val="de-DE"/>
        </w:rPr>
        <w:t>; skatīts 14.08.2013.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68110"/>
      <w:docPartObj>
        <w:docPartGallery w:val="Page Numbers (Top of Page)"/>
        <w:docPartUnique/>
      </w:docPartObj>
    </w:sdtPr>
    <w:sdtEndPr>
      <w:rPr>
        <w:noProof/>
      </w:rPr>
    </w:sdtEndPr>
    <w:sdtContent>
      <w:p w:rsidR="007948D7" w:rsidRDefault="007948D7">
        <w:pPr>
          <w:pStyle w:val="Header"/>
          <w:jc w:val="center"/>
        </w:pPr>
        <w:r>
          <w:fldChar w:fldCharType="begin"/>
        </w:r>
        <w:r>
          <w:instrText xml:space="preserve"> PAGE   \* MERGEFORMAT </w:instrText>
        </w:r>
        <w:r>
          <w:fldChar w:fldCharType="separate"/>
        </w:r>
        <w:r w:rsidR="004C4989">
          <w:rPr>
            <w:noProof/>
          </w:rPr>
          <w:t>66</w:t>
        </w:r>
        <w:r>
          <w:rPr>
            <w:noProof/>
          </w:rPr>
          <w:fldChar w:fldCharType="end"/>
        </w:r>
      </w:p>
    </w:sdtContent>
  </w:sdt>
  <w:p w:rsidR="008117FC" w:rsidRDefault="00811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D" w:rsidRDefault="007E4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8AB"/>
    <w:multiLevelType w:val="multilevel"/>
    <w:tmpl w:val="F15CDD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E57FAA"/>
    <w:multiLevelType w:val="multilevel"/>
    <w:tmpl w:val="FC8AE6AC"/>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F13D54"/>
    <w:multiLevelType w:val="hybridMultilevel"/>
    <w:tmpl w:val="EE3C1CE4"/>
    <w:lvl w:ilvl="0" w:tplc="04260001">
      <w:start w:val="1"/>
      <w:numFmt w:val="bullet"/>
      <w:lvlText w:val=""/>
      <w:lvlJc w:val="left"/>
      <w:pPr>
        <w:ind w:left="2748" w:hanging="360"/>
      </w:pPr>
      <w:rPr>
        <w:rFonts w:ascii="Symbol" w:hAnsi="Symbol" w:cs="Symbol" w:hint="default"/>
      </w:rPr>
    </w:lvl>
    <w:lvl w:ilvl="1" w:tplc="04260003">
      <w:start w:val="1"/>
      <w:numFmt w:val="bullet"/>
      <w:lvlText w:val="o"/>
      <w:lvlJc w:val="left"/>
      <w:pPr>
        <w:ind w:left="3468" w:hanging="360"/>
      </w:pPr>
      <w:rPr>
        <w:rFonts w:ascii="Courier New" w:hAnsi="Courier New" w:cs="Courier New" w:hint="default"/>
      </w:rPr>
    </w:lvl>
    <w:lvl w:ilvl="2" w:tplc="04260005">
      <w:start w:val="1"/>
      <w:numFmt w:val="bullet"/>
      <w:lvlText w:val=""/>
      <w:lvlJc w:val="left"/>
      <w:pPr>
        <w:ind w:left="4188" w:hanging="360"/>
      </w:pPr>
      <w:rPr>
        <w:rFonts w:ascii="Wingdings" w:hAnsi="Wingdings" w:cs="Wingdings" w:hint="default"/>
      </w:rPr>
    </w:lvl>
    <w:lvl w:ilvl="3" w:tplc="04260001">
      <w:start w:val="1"/>
      <w:numFmt w:val="bullet"/>
      <w:lvlText w:val=""/>
      <w:lvlJc w:val="left"/>
      <w:pPr>
        <w:ind w:left="4908" w:hanging="360"/>
      </w:pPr>
      <w:rPr>
        <w:rFonts w:ascii="Symbol" w:hAnsi="Symbol" w:cs="Symbol" w:hint="default"/>
      </w:rPr>
    </w:lvl>
    <w:lvl w:ilvl="4" w:tplc="04260003">
      <w:start w:val="1"/>
      <w:numFmt w:val="bullet"/>
      <w:lvlText w:val="o"/>
      <w:lvlJc w:val="left"/>
      <w:pPr>
        <w:ind w:left="5628" w:hanging="360"/>
      </w:pPr>
      <w:rPr>
        <w:rFonts w:ascii="Courier New" w:hAnsi="Courier New" w:cs="Courier New" w:hint="default"/>
      </w:rPr>
    </w:lvl>
    <w:lvl w:ilvl="5" w:tplc="04260005">
      <w:start w:val="1"/>
      <w:numFmt w:val="bullet"/>
      <w:lvlText w:val=""/>
      <w:lvlJc w:val="left"/>
      <w:pPr>
        <w:ind w:left="6348" w:hanging="360"/>
      </w:pPr>
      <w:rPr>
        <w:rFonts w:ascii="Wingdings" w:hAnsi="Wingdings" w:cs="Wingdings" w:hint="default"/>
      </w:rPr>
    </w:lvl>
    <w:lvl w:ilvl="6" w:tplc="04260001">
      <w:start w:val="1"/>
      <w:numFmt w:val="bullet"/>
      <w:lvlText w:val=""/>
      <w:lvlJc w:val="left"/>
      <w:pPr>
        <w:ind w:left="7068" w:hanging="360"/>
      </w:pPr>
      <w:rPr>
        <w:rFonts w:ascii="Symbol" w:hAnsi="Symbol" w:cs="Symbol" w:hint="default"/>
      </w:rPr>
    </w:lvl>
    <w:lvl w:ilvl="7" w:tplc="04260003">
      <w:start w:val="1"/>
      <w:numFmt w:val="bullet"/>
      <w:lvlText w:val="o"/>
      <w:lvlJc w:val="left"/>
      <w:pPr>
        <w:ind w:left="7788" w:hanging="360"/>
      </w:pPr>
      <w:rPr>
        <w:rFonts w:ascii="Courier New" w:hAnsi="Courier New" w:cs="Courier New" w:hint="default"/>
      </w:rPr>
    </w:lvl>
    <w:lvl w:ilvl="8" w:tplc="04260005">
      <w:start w:val="1"/>
      <w:numFmt w:val="bullet"/>
      <w:lvlText w:val=""/>
      <w:lvlJc w:val="left"/>
      <w:pPr>
        <w:ind w:left="8508" w:hanging="360"/>
      </w:pPr>
      <w:rPr>
        <w:rFonts w:ascii="Wingdings" w:hAnsi="Wingdings" w:cs="Wingdings" w:hint="default"/>
      </w:rPr>
    </w:lvl>
  </w:abstractNum>
  <w:abstractNum w:abstractNumId="3">
    <w:nsid w:val="01CA5AF3"/>
    <w:multiLevelType w:val="hybridMultilevel"/>
    <w:tmpl w:val="80C0D77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029F3A87"/>
    <w:multiLevelType w:val="hybridMultilevel"/>
    <w:tmpl w:val="06429562"/>
    <w:lvl w:ilvl="0" w:tplc="20DAC5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6E777AB"/>
    <w:multiLevelType w:val="hybridMultilevel"/>
    <w:tmpl w:val="7622969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0EAB6825"/>
    <w:multiLevelType w:val="hybridMultilevel"/>
    <w:tmpl w:val="1BA28F1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4DD24CA"/>
    <w:multiLevelType w:val="hybridMultilevel"/>
    <w:tmpl w:val="49B8A4BC"/>
    <w:lvl w:ilvl="0" w:tplc="04260001">
      <w:start w:val="1"/>
      <w:numFmt w:val="bullet"/>
      <w:lvlText w:val=""/>
      <w:lvlJc w:val="left"/>
      <w:pPr>
        <w:tabs>
          <w:tab w:val="num" w:pos="360"/>
        </w:tabs>
        <w:ind w:left="36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nsid w:val="1A682C87"/>
    <w:multiLevelType w:val="hybridMultilevel"/>
    <w:tmpl w:val="F32C7818"/>
    <w:lvl w:ilvl="0" w:tplc="20DAC5D4">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9">
    <w:nsid w:val="1ACE1804"/>
    <w:multiLevelType w:val="multilevel"/>
    <w:tmpl w:val="06CE73EC"/>
    <w:lvl w:ilvl="0">
      <w:start w:val="2"/>
      <w:numFmt w:val="decimal"/>
      <w:lvlText w:val="%1."/>
      <w:lvlJc w:val="left"/>
      <w:pPr>
        <w:ind w:left="1069"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nsid w:val="22222C7D"/>
    <w:multiLevelType w:val="multilevel"/>
    <w:tmpl w:val="F15CDD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6A71F3F"/>
    <w:multiLevelType w:val="hybridMultilevel"/>
    <w:tmpl w:val="28D00F2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nsid w:val="2AE708EE"/>
    <w:multiLevelType w:val="hybridMultilevel"/>
    <w:tmpl w:val="864A55AE"/>
    <w:lvl w:ilvl="0" w:tplc="E9CCD086">
      <w:start w:val="1"/>
      <w:numFmt w:val="bullet"/>
      <w:lvlText w:val=""/>
      <w:lvlJc w:val="left"/>
      <w:pPr>
        <w:ind w:left="1429" w:hanging="360"/>
      </w:pPr>
      <w:rPr>
        <w:rFonts w:ascii="Symbol" w:hAnsi="Symbol" w:cs="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B0C2344"/>
    <w:multiLevelType w:val="hybridMultilevel"/>
    <w:tmpl w:val="32426E8E"/>
    <w:lvl w:ilvl="0" w:tplc="A9304B7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285CE1"/>
    <w:multiLevelType w:val="multilevel"/>
    <w:tmpl w:val="0D086B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nsid w:val="32FC24AF"/>
    <w:multiLevelType w:val="hybridMultilevel"/>
    <w:tmpl w:val="20B4EFA4"/>
    <w:lvl w:ilvl="0" w:tplc="04260001">
      <w:start w:val="1"/>
      <w:numFmt w:val="bullet"/>
      <w:lvlText w:val=""/>
      <w:lvlJc w:val="left"/>
      <w:pPr>
        <w:ind w:left="1434" w:hanging="360"/>
      </w:pPr>
      <w:rPr>
        <w:rFonts w:ascii="Symbol" w:hAnsi="Symbol" w:cs="Symbol" w:hint="default"/>
      </w:rPr>
    </w:lvl>
    <w:lvl w:ilvl="1" w:tplc="04260003">
      <w:start w:val="1"/>
      <w:numFmt w:val="bullet"/>
      <w:lvlText w:val="o"/>
      <w:lvlJc w:val="left"/>
      <w:pPr>
        <w:ind w:left="2154" w:hanging="360"/>
      </w:pPr>
      <w:rPr>
        <w:rFonts w:ascii="Courier New" w:hAnsi="Courier New" w:cs="Courier New" w:hint="default"/>
      </w:rPr>
    </w:lvl>
    <w:lvl w:ilvl="2" w:tplc="04260005">
      <w:start w:val="1"/>
      <w:numFmt w:val="bullet"/>
      <w:lvlText w:val=""/>
      <w:lvlJc w:val="left"/>
      <w:pPr>
        <w:ind w:left="2874" w:hanging="360"/>
      </w:pPr>
      <w:rPr>
        <w:rFonts w:ascii="Wingdings" w:hAnsi="Wingdings" w:cs="Wingdings" w:hint="default"/>
      </w:rPr>
    </w:lvl>
    <w:lvl w:ilvl="3" w:tplc="04260001">
      <w:start w:val="1"/>
      <w:numFmt w:val="bullet"/>
      <w:lvlText w:val=""/>
      <w:lvlJc w:val="left"/>
      <w:pPr>
        <w:ind w:left="3594" w:hanging="360"/>
      </w:pPr>
      <w:rPr>
        <w:rFonts w:ascii="Symbol" w:hAnsi="Symbol" w:cs="Symbol" w:hint="default"/>
      </w:rPr>
    </w:lvl>
    <w:lvl w:ilvl="4" w:tplc="04260003">
      <w:start w:val="1"/>
      <w:numFmt w:val="bullet"/>
      <w:lvlText w:val="o"/>
      <w:lvlJc w:val="left"/>
      <w:pPr>
        <w:ind w:left="4314" w:hanging="360"/>
      </w:pPr>
      <w:rPr>
        <w:rFonts w:ascii="Courier New" w:hAnsi="Courier New" w:cs="Courier New" w:hint="default"/>
      </w:rPr>
    </w:lvl>
    <w:lvl w:ilvl="5" w:tplc="04260005">
      <w:start w:val="1"/>
      <w:numFmt w:val="bullet"/>
      <w:lvlText w:val=""/>
      <w:lvlJc w:val="left"/>
      <w:pPr>
        <w:ind w:left="5034" w:hanging="360"/>
      </w:pPr>
      <w:rPr>
        <w:rFonts w:ascii="Wingdings" w:hAnsi="Wingdings" w:cs="Wingdings" w:hint="default"/>
      </w:rPr>
    </w:lvl>
    <w:lvl w:ilvl="6" w:tplc="04260001">
      <w:start w:val="1"/>
      <w:numFmt w:val="bullet"/>
      <w:lvlText w:val=""/>
      <w:lvlJc w:val="left"/>
      <w:pPr>
        <w:ind w:left="5754" w:hanging="360"/>
      </w:pPr>
      <w:rPr>
        <w:rFonts w:ascii="Symbol" w:hAnsi="Symbol" w:cs="Symbol" w:hint="default"/>
      </w:rPr>
    </w:lvl>
    <w:lvl w:ilvl="7" w:tplc="04260003">
      <w:start w:val="1"/>
      <w:numFmt w:val="bullet"/>
      <w:lvlText w:val="o"/>
      <w:lvlJc w:val="left"/>
      <w:pPr>
        <w:ind w:left="6474" w:hanging="360"/>
      </w:pPr>
      <w:rPr>
        <w:rFonts w:ascii="Courier New" w:hAnsi="Courier New" w:cs="Courier New" w:hint="default"/>
      </w:rPr>
    </w:lvl>
    <w:lvl w:ilvl="8" w:tplc="04260005">
      <w:start w:val="1"/>
      <w:numFmt w:val="bullet"/>
      <w:lvlText w:val=""/>
      <w:lvlJc w:val="left"/>
      <w:pPr>
        <w:ind w:left="7194" w:hanging="360"/>
      </w:pPr>
      <w:rPr>
        <w:rFonts w:ascii="Wingdings" w:hAnsi="Wingdings" w:cs="Wingdings" w:hint="default"/>
      </w:rPr>
    </w:lvl>
  </w:abstractNum>
  <w:abstractNum w:abstractNumId="16">
    <w:nsid w:val="337002BE"/>
    <w:multiLevelType w:val="hybridMultilevel"/>
    <w:tmpl w:val="DD64C0C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nsid w:val="35A36170"/>
    <w:multiLevelType w:val="multilevel"/>
    <w:tmpl w:val="7610C7F2"/>
    <w:lvl w:ilvl="0">
      <w:start w:val="2"/>
      <w:numFmt w:val="decimal"/>
      <w:lvlText w:val="%1."/>
      <w:lvlJc w:val="left"/>
      <w:pPr>
        <w:ind w:left="1069"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nsid w:val="396A693C"/>
    <w:multiLevelType w:val="hybridMultilevel"/>
    <w:tmpl w:val="051EC0AE"/>
    <w:lvl w:ilvl="0" w:tplc="20DAC5D4">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nsid w:val="3C485F38"/>
    <w:multiLevelType w:val="hybridMultilevel"/>
    <w:tmpl w:val="630AE5CA"/>
    <w:lvl w:ilvl="0" w:tplc="20DAC5D4">
      <w:start w:val="1"/>
      <w:numFmt w:val="bullet"/>
      <w:lvlText w:val=""/>
      <w:lvlJc w:val="left"/>
      <w:pPr>
        <w:ind w:left="1080" w:hanging="360"/>
      </w:pPr>
      <w:rPr>
        <w:rFonts w:ascii="Symbol" w:hAnsi="Symbol" w:cs="Symbol" w:hint="default"/>
      </w:rPr>
    </w:lvl>
    <w:lvl w:ilvl="1" w:tplc="04260001">
      <w:start w:val="1"/>
      <w:numFmt w:val="bullet"/>
      <w:lvlText w:val=""/>
      <w:lvlJc w:val="left"/>
      <w:pPr>
        <w:ind w:left="1800" w:hanging="360"/>
      </w:pPr>
      <w:rPr>
        <w:rFonts w:ascii="Symbol" w:hAnsi="Symbol" w:cs="Symbol"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1">
    <w:nsid w:val="3D4B27B1"/>
    <w:multiLevelType w:val="hybridMultilevel"/>
    <w:tmpl w:val="E1A28016"/>
    <w:lvl w:ilvl="0" w:tplc="04260001">
      <w:start w:val="1"/>
      <w:numFmt w:val="bullet"/>
      <w:lvlText w:val=""/>
      <w:lvlJc w:val="left"/>
      <w:pPr>
        <w:ind w:left="1440" w:hanging="360"/>
      </w:pPr>
      <w:rPr>
        <w:rFonts w:ascii="Symbol" w:hAnsi="Symbol" w:cs="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B3E5070"/>
    <w:multiLevelType w:val="hybridMultilevel"/>
    <w:tmpl w:val="3744B774"/>
    <w:lvl w:ilvl="0" w:tplc="D690067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CDD7FC7"/>
    <w:multiLevelType w:val="hybridMultilevel"/>
    <w:tmpl w:val="718C75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nsid w:val="4F4F5214"/>
    <w:multiLevelType w:val="hybridMultilevel"/>
    <w:tmpl w:val="39AE411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50AA4FDC"/>
    <w:multiLevelType w:val="hybridMultilevel"/>
    <w:tmpl w:val="C3D0A4F4"/>
    <w:lvl w:ilvl="0" w:tplc="E9CCD086">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7">
    <w:nsid w:val="510E57D2"/>
    <w:multiLevelType w:val="multilevel"/>
    <w:tmpl w:val="F15CDD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52002C2"/>
    <w:multiLevelType w:val="hybridMultilevel"/>
    <w:tmpl w:val="F56A8BE2"/>
    <w:lvl w:ilvl="0" w:tplc="48DCA72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A1802F1"/>
    <w:multiLevelType w:val="hybridMultilevel"/>
    <w:tmpl w:val="1CB81BC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nsid w:val="6A965546"/>
    <w:multiLevelType w:val="hybridMultilevel"/>
    <w:tmpl w:val="67BE3D2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nsid w:val="6DDC6EC9"/>
    <w:multiLevelType w:val="multilevel"/>
    <w:tmpl w:val="D00ABC62"/>
    <w:lvl w:ilvl="0">
      <w:start w:val="2"/>
      <w:numFmt w:val="decimal"/>
      <w:lvlText w:val="%1."/>
      <w:lvlJc w:val="left"/>
      <w:pPr>
        <w:ind w:left="1069" w:hanging="360"/>
      </w:pPr>
      <w:rPr>
        <w:rFonts w:hint="default"/>
      </w:rPr>
    </w:lvl>
    <w:lvl w:ilvl="1">
      <w:start w:val="1"/>
      <w:numFmt w:val="bullet"/>
      <w:lvlText w:val=""/>
      <w:lvlJc w:val="left"/>
      <w:pPr>
        <w:ind w:left="1425" w:hanging="432"/>
      </w:pPr>
      <w:rPr>
        <w:rFonts w:ascii="Symbol" w:hAnsi="Symbol" w:cs="Symbol"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2">
    <w:nsid w:val="6E894C2F"/>
    <w:multiLevelType w:val="multilevel"/>
    <w:tmpl w:val="BCE88458"/>
    <w:lvl w:ilvl="0">
      <w:start w:val="1"/>
      <w:numFmt w:val="decimal"/>
      <w:lvlText w:val="%1."/>
      <w:lvlJc w:val="left"/>
      <w:pPr>
        <w:ind w:left="1710" w:hanging="990"/>
      </w:pPr>
      <w:rPr>
        <w:rFonts w:cs="Calibri"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F753BFC"/>
    <w:multiLevelType w:val="hybridMultilevel"/>
    <w:tmpl w:val="59CAF5B4"/>
    <w:lvl w:ilvl="0" w:tplc="5FC8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65C0A67"/>
    <w:multiLevelType w:val="multilevel"/>
    <w:tmpl w:val="0FE4DB3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5">
    <w:nsid w:val="77C4616D"/>
    <w:multiLevelType w:val="hybridMultilevel"/>
    <w:tmpl w:val="B9848E3C"/>
    <w:lvl w:ilvl="0" w:tplc="A9304B78">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nsid w:val="781E7C0B"/>
    <w:multiLevelType w:val="hybridMultilevel"/>
    <w:tmpl w:val="F6407EC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nsid w:val="79FF77E5"/>
    <w:multiLevelType w:val="hybridMultilevel"/>
    <w:tmpl w:val="B8A87D3C"/>
    <w:lvl w:ilvl="0" w:tplc="0426000D">
      <w:start w:val="1"/>
      <w:numFmt w:val="bullet"/>
      <w:lvlText w:val=""/>
      <w:lvlJc w:val="left"/>
      <w:pPr>
        <w:ind w:left="1789" w:hanging="360"/>
      </w:pPr>
      <w:rPr>
        <w:rFonts w:ascii="Wingdings" w:hAnsi="Wingdings" w:cs="Wingdings" w:hint="default"/>
      </w:rPr>
    </w:lvl>
    <w:lvl w:ilvl="1" w:tplc="04260003">
      <w:start w:val="1"/>
      <w:numFmt w:val="bullet"/>
      <w:lvlText w:val="o"/>
      <w:lvlJc w:val="left"/>
      <w:pPr>
        <w:ind w:left="2509" w:hanging="360"/>
      </w:pPr>
      <w:rPr>
        <w:rFonts w:ascii="Courier New" w:hAnsi="Courier New" w:cs="Courier New" w:hint="default"/>
      </w:rPr>
    </w:lvl>
    <w:lvl w:ilvl="2" w:tplc="04260005">
      <w:start w:val="1"/>
      <w:numFmt w:val="bullet"/>
      <w:lvlText w:val=""/>
      <w:lvlJc w:val="left"/>
      <w:pPr>
        <w:ind w:left="3229" w:hanging="360"/>
      </w:pPr>
      <w:rPr>
        <w:rFonts w:ascii="Wingdings" w:hAnsi="Wingdings" w:cs="Wingdings" w:hint="default"/>
      </w:rPr>
    </w:lvl>
    <w:lvl w:ilvl="3" w:tplc="04260001">
      <w:start w:val="1"/>
      <w:numFmt w:val="bullet"/>
      <w:lvlText w:val=""/>
      <w:lvlJc w:val="left"/>
      <w:pPr>
        <w:ind w:left="3949" w:hanging="360"/>
      </w:pPr>
      <w:rPr>
        <w:rFonts w:ascii="Symbol" w:hAnsi="Symbol" w:cs="Symbol" w:hint="default"/>
      </w:rPr>
    </w:lvl>
    <w:lvl w:ilvl="4" w:tplc="04260003">
      <w:start w:val="1"/>
      <w:numFmt w:val="bullet"/>
      <w:lvlText w:val="o"/>
      <w:lvlJc w:val="left"/>
      <w:pPr>
        <w:ind w:left="4669" w:hanging="360"/>
      </w:pPr>
      <w:rPr>
        <w:rFonts w:ascii="Courier New" w:hAnsi="Courier New" w:cs="Courier New" w:hint="default"/>
      </w:rPr>
    </w:lvl>
    <w:lvl w:ilvl="5" w:tplc="04260005">
      <w:start w:val="1"/>
      <w:numFmt w:val="bullet"/>
      <w:lvlText w:val=""/>
      <w:lvlJc w:val="left"/>
      <w:pPr>
        <w:ind w:left="5389" w:hanging="360"/>
      </w:pPr>
      <w:rPr>
        <w:rFonts w:ascii="Wingdings" w:hAnsi="Wingdings" w:cs="Wingdings" w:hint="default"/>
      </w:rPr>
    </w:lvl>
    <w:lvl w:ilvl="6" w:tplc="04260001">
      <w:start w:val="1"/>
      <w:numFmt w:val="bullet"/>
      <w:lvlText w:val=""/>
      <w:lvlJc w:val="left"/>
      <w:pPr>
        <w:ind w:left="6109" w:hanging="360"/>
      </w:pPr>
      <w:rPr>
        <w:rFonts w:ascii="Symbol" w:hAnsi="Symbol" w:cs="Symbol" w:hint="default"/>
      </w:rPr>
    </w:lvl>
    <w:lvl w:ilvl="7" w:tplc="04260003">
      <w:start w:val="1"/>
      <w:numFmt w:val="bullet"/>
      <w:lvlText w:val="o"/>
      <w:lvlJc w:val="left"/>
      <w:pPr>
        <w:ind w:left="6829" w:hanging="360"/>
      </w:pPr>
      <w:rPr>
        <w:rFonts w:ascii="Courier New" w:hAnsi="Courier New" w:cs="Courier New" w:hint="default"/>
      </w:rPr>
    </w:lvl>
    <w:lvl w:ilvl="8" w:tplc="04260005">
      <w:start w:val="1"/>
      <w:numFmt w:val="bullet"/>
      <w:lvlText w:val=""/>
      <w:lvlJc w:val="left"/>
      <w:pPr>
        <w:ind w:left="7549" w:hanging="360"/>
      </w:pPr>
      <w:rPr>
        <w:rFonts w:ascii="Wingdings" w:hAnsi="Wingdings" w:cs="Wingdings" w:hint="default"/>
      </w:rPr>
    </w:lvl>
  </w:abstractNum>
  <w:abstractNum w:abstractNumId="38">
    <w:nsid w:val="7B20411D"/>
    <w:multiLevelType w:val="hybridMultilevel"/>
    <w:tmpl w:val="11182674"/>
    <w:lvl w:ilvl="0" w:tplc="DB609396">
      <w:start w:val="1"/>
      <w:numFmt w:val="decimal"/>
      <w:lvlText w:val="2.%1."/>
      <w:lvlJc w:val="left"/>
      <w:pPr>
        <w:ind w:left="1381" w:hanging="360"/>
      </w:pPr>
      <w:rPr>
        <w:rFonts w:hint="default"/>
        <w:b/>
        <w:bCs/>
      </w:rPr>
    </w:lvl>
    <w:lvl w:ilvl="1" w:tplc="04260019">
      <w:start w:val="1"/>
      <w:numFmt w:val="lowerLetter"/>
      <w:lvlText w:val="%2."/>
      <w:lvlJc w:val="left"/>
      <w:pPr>
        <w:ind w:left="2101" w:hanging="360"/>
      </w:pPr>
    </w:lvl>
    <w:lvl w:ilvl="2" w:tplc="0426001B">
      <w:start w:val="1"/>
      <w:numFmt w:val="lowerRoman"/>
      <w:lvlText w:val="%3."/>
      <w:lvlJc w:val="right"/>
      <w:pPr>
        <w:ind w:left="2821" w:hanging="180"/>
      </w:pPr>
    </w:lvl>
    <w:lvl w:ilvl="3" w:tplc="0426000F">
      <w:start w:val="1"/>
      <w:numFmt w:val="decimal"/>
      <w:lvlText w:val="%4."/>
      <w:lvlJc w:val="left"/>
      <w:pPr>
        <w:ind w:left="3541" w:hanging="360"/>
      </w:pPr>
    </w:lvl>
    <w:lvl w:ilvl="4" w:tplc="04260019">
      <w:start w:val="1"/>
      <w:numFmt w:val="lowerLetter"/>
      <w:lvlText w:val="%5."/>
      <w:lvlJc w:val="left"/>
      <w:pPr>
        <w:ind w:left="4261" w:hanging="360"/>
      </w:pPr>
    </w:lvl>
    <w:lvl w:ilvl="5" w:tplc="0426001B">
      <w:start w:val="1"/>
      <w:numFmt w:val="lowerRoman"/>
      <w:lvlText w:val="%6."/>
      <w:lvlJc w:val="right"/>
      <w:pPr>
        <w:ind w:left="4981" w:hanging="180"/>
      </w:pPr>
    </w:lvl>
    <w:lvl w:ilvl="6" w:tplc="0426000F">
      <w:start w:val="1"/>
      <w:numFmt w:val="decimal"/>
      <w:lvlText w:val="%7."/>
      <w:lvlJc w:val="left"/>
      <w:pPr>
        <w:ind w:left="5701" w:hanging="360"/>
      </w:pPr>
    </w:lvl>
    <w:lvl w:ilvl="7" w:tplc="04260019">
      <w:start w:val="1"/>
      <w:numFmt w:val="lowerLetter"/>
      <w:lvlText w:val="%8."/>
      <w:lvlJc w:val="left"/>
      <w:pPr>
        <w:ind w:left="6421" w:hanging="360"/>
      </w:pPr>
    </w:lvl>
    <w:lvl w:ilvl="8" w:tplc="0426001B">
      <w:start w:val="1"/>
      <w:numFmt w:val="lowerRoman"/>
      <w:lvlText w:val="%9."/>
      <w:lvlJc w:val="right"/>
      <w:pPr>
        <w:ind w:left="7141" w:hanging="180"/>
      </w:pPr>
    </w:lvl>
  </w:abstractNum>
  <w:num w:numId="1">
    <w:abstractNumId w:val="35"/>
  </w:num>
  <w:num w:numId="2">
    <w:abstractNumId w:val="27"/>
  </w:num>
  <w:num w:numId="3">
    <w:abstractNumId w:val="14"/>
  </w:num>
  <w:num w:numId="4">
    <w:abstractNumId w:val="1"/>
  </w:num>
  <w:num w:numId="5">
    <w:abstractNumId w:val="2"/>
  </w:num>
  <w:num w:numId="6">
    <w:abstractNumId w:val="37"/>
  </w:num>
  <w:num w:numId="7">
    <w:abstractNumId w:val="26"/>
  </w:num>
  <w:num w:numId="8">
    <w:abstractNumId w:val="6"/>
  </w:num>
  <w:num w:numId="9">
    <w:abstractNumId w:val="15"/>
  </w:num>
  <w:num w:numId="10">
    <w:abstractNumId w:val="29"/>
  </w:num>
  <w:num w:numId="11">
    <w:abstractNumId w:val="3"/>
  </w:num>
  <w:num w:numId="12">
    <w:abstractNumId w:val="11"/>
  </w:num>
  <w:num w:numId="13">
    <w:abstractNumId w:val="36"/>
  </w:num>
  <w:num w:numId="14">
    <w:abstractNumId w:val="24"/>
  </w:num>
  <w:num w:numId="15">
    <w:abstractNumId w:val="21"/>
  </w:num>
  <w:num w:numId="16">
    <w:abstractNumId w:val="30"/>
  </w:num>
  <w:num w:numId="17">
    <w:abstractNumId w:val="18"/>
  </w:num>
  <w:num w:numId="18">
    <w:abstractNumId w:val="7"/>
  </w:num>
  <w:num w:numId="19">
    <w:abstractNumId w:val="34"/>
  </w:num>
  <w:num w:numId="20">
    <w:abstractNumId w:val="38"/>
  </w:num>
  <w:num w:numId="21">
    <w:abstractNumId w:val="8"/>
  </w:num>
  <w:num w:numId="22">
    <w:abstractNumId w:val="5"/>
  </w:num>
  <w:num w:numId="23">
    <w:abstractNumId w:val="23"/>
  </w:num>
  <w:num w:numId="24">
    <w:abstractNumId w:val="22"/>
  </w:num>
  <w:num w:numId="25">
    <w:abstractNumId w:val="33"/>
  </w:num>
  <w:num w:numId="26">
    <w:abstractNumId w:val="20"/>
  </w:num>
  <w:num w:numId="27">
    <w:abstractNumId w:val="25"/>
  </w:num>
  <w:num w:numId="28">
    <w:abstractNumId w:val="32"/>
  </w:num>
  <w:num w:numId="29">
    <w:abstractNumId w:val="10"/>
  </w:num>
  <w:num w:numId="30">
    <w:abstractNumId w:val="0"/>
  </w:num>
  <w:num w:numId="31">
    <w:abstractNumId w:val="28"/>
  </w:num>
  <w:num w:numId="32">
    <w:abstractNumId w:val="17"/>
  </w:num>
  <w:num w:numId="33">
    <w:abstractNumId w:val="16"/>
  </w:num>
  <w:num w:numId="34">
    <w:abstractNumId w:val="19"/>
  </w:num>
  <w:num w:numId="35">
    <w:abstractNumId w:val="4"/>
  </w:num>
  <w:num w:numId="36">
    <w:abstractNumId w:val="9"/>
  </w:num>
  <w:num w:numId="37">
    <w:abstractNumId w:val="31"/>
  </w:num>
  <w:num w:numId="38">
    <w:abstractNumId w:val="12"/>
  </w:num>
  <w:num w:numId="3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8B"/>
    <w:rsid w:val="00000C3D"/>
    <w:rsid w:val="00001676"/>
    <w:rsid w:val="000016F7"/>
    <w:rsid w:val="00002554"/>
    <w:rsid w:val="000031D6"/>
    <w:rsid w:val="0000353F"/>
    <w:rsid w:val="00003A6E"/>
    <w:rsid w:val="00003E01"/>
    <w:rsid w:val="00005B93"/>
    <w:rsid w:val="00005E63"/>
    <w:rsid w:val="00006003"/>
    <w:rsid w:val="0000641C"/>
    <w:rsid w:val="00006A63"/>
    <w:rsid w:val="0000767C"/>
    <w:rsid w:val="00007DA1"/>
    <w:rsid w:val="00011F8E"/>
    <w:rsid w:val="00012169"/>
    <w:rsid w:val="000129F5"/>
    <w:rsid w:val="000133C7"/>
    <w:rsid w:val="0001367E"/>
    <w:rsid w:val="000139B8"/>
    <w:rsid w:val="00013D2C"/>
    <w:rsid w:val="000145A1"/>
    <w:rsid w:val="00016830"/>
    <w:rsid w:val="0001699B"/>
    <w:rsid w:val="000176F2"/>
    <w:rsid w:val="00020106"/>
    <w:rsid w:val="00021BB8"/>
    <w:rsid w:val="00021C3B"/>
    <w:rsid w:val="00021EC6"/>
    <w:rsid w:val="00023614"/>
    <w:rsid w:val="00023731"/>
    <w:rsid w:val="00023943"/>
    <w:rsid w:val="00024F89"/>
    <w:rsid w:val="00025520"/>
    <w:rsid w:val="00025C60"/>
    <w:rsid w:val="0002601D"/>
    <w:rsid w:val="00027B01"/>
    <w:rsid w:val="00027B1E"/>
    <w:rsid w:val="0003052C"/>
    <w:rsid w:val="00030603"/>
    <w:rsid w:val="000308AB"/>
    <w:rsid w:val="00030942"/>
    <w:rsid w:val="00030A42"/>
    <w:rsid w:val="00032825"/>
    <w:rsid w:val="00033166"/>
    <w:rsid w:val="0003331F"/>
    <w:rsid w:val="00034162"/>
    <w:rsid w:val="000347C4"/>
    <w:rsid w:val="00034A47"/>
    <w:rsid w:val="00034C7A"/>
    <w:rsid w:val="00035389"/>
    <w:rsid w:val="00035776"/>
    <w:rsid w:val="00035F96"/>
    <w:rsid w:val="000366AC"/>
    <w:rsid w:val="00036FC9"/>
    <w:rsid w:val="00042717"/>
    <w:rsid w:val="00042F01"/>
    <w:rsid w:val="00044855"/>
    <w:rsid w:val="00044C15"/>
    <w:rsid w:val="000461E1"/>
    <w:rsid w:val="0004674B"/>
    <w:rsid w:val="0004705C"/>
    <w:rsid w:val="00047586"/>
    <w:rsid w:val="00047B9E"/>
    <w:rsid w:val="000502AA"/>
    <w:rsid w:val="00050323"/>
    <w:rsid w:val="00050A83"/>
    <w:rsid w:val="00050B2D"/>
    <w:rsid w:val="00050C83"/>
    <w:rsid w:val="00050F1B"/>
    <w:rsid w:val="00052789"/>
    <w:rsid w:val="000529D7"/>
    <w:rsid w:val="00052B33"/>
    <w:rsid w:val="00053AA8"/>
    <w:rsid w:val="00054219"/>
    <w:rsid w:val="000547CC"/>
    <w:rsid w:val="0005625A"/>
    <w:rsid w:val="00056AEA"/>
    <w:rsid w:val="00056D17"/>
    <w:rsid w:val="0005717F"/>
    <w:rsid w:val="00057274"/>
    <w:rsid w:val="00057328"/>
    <w:rsid w:val="00057451"/>
    <w:rsid w:val="00057CB1"/>
    <w:rsid w:val="00057D66"/>
    <w:rsid w:val="000606B4"/>
    <w:rsid w:val="00060FC7"/>
    <w:rsid w:val="000617E3"/>
    <w:rsid w:val="00061E90"/>
    <w:rsid w:val="00062531"/>
    <w:rsid w:val="00062C7A"/>
    <w:rsid w:val="00063804"/>
    <w:rsid w:val="000640C5"/>
    <w:rsid w:val="00064362"/>
    <w:rsid w:val="00064D25"/>
    <w:rsid w:val="00064E27"/>
    <w:rsid w:val="000650B6"/>
    <w:rsid w:val="000659E2"/>
    <w:rsid w:val="00065FB3"/>
    <w:rsid w:val="00067293"/>
    <w:rsid w:val="00067F39"/>
    <w:rsid w:val="00071506"/>
    <w:rsid w:val="000715D9"/>
    <w:rsid w:val="00071E5A"/>
    <w:rsid w:val="000720F1"/>
    <w:rsid w:val="0007277E"/>
    <w:rsid w:val="0007287E"/>
    <w:rsid w:val="00073BCA"/>
    <w:rsid w:val="00073CD2"/>
    <w:rsid w:val="00073F73"/>
    <w:rsid w:val="000745A9"/>
    <w:rsid w:val="00074982"/>
    <w:rsid w:val="000754F3"/>
    <w:rsid w:val="00075D36"/>
    <w:rsid w:val="00076280"/>
    <w:rsid w:val="00076ECD"/>
    <w:rsid w:val="00080423"/>
    <w:rsid w:val="000807C0"/>
    <w:rsid w:val="000811AD"/>
    <w:rsid w:val="00081F0F"/>
    <w:rsid w:val="0008218F"/>
    <w:rsid w:val="00082859"/>
    <w:rsid w:val="00082DB0"/>
    <w:rsid w:val="000836D7"/>
    <w:rsid w:val="00083CDA"/>
    <w:rsid w:val="0008504F"/>
    <w:rsid w:val="000851DA"/>
    <w:rsid w:val="000867FA"/>
    <w:rsid w:val="000873FA"/>
    <w:rsid w:val="00087831"/>
    <w:rsid w:val="00090345"/>
    <w:rsid w:val="000904C3"/>
    <w:rsid w:val="000908FA"/>
    <w:rsid w:val="000913BE"/>
    <w:rsid w:val="000919FD"/>
    <w:rsid w:val="00094033"/>
    <w:rsid w:val="000949FC"/>
    <w:rsid w:val="00094CFD"/>
    <w:rsid w:val="00095B88"/>
    <w:rsid w:val="000964B9"/>
    <w:rsid w:val="00096B22"/>
    <w:rsid w:val="00096ECE"/>
    <w:rsid w:val="00097B39"/>
    <w:rsid w:val="000A05EB"/>
    <w:rsid w:val="000A1063"/>
    <w:rsid w:val="000A165B"/>
    <w:rsid w:val="000A1A17"/>
    <w:rsid w:val="000A2FCB"/>
    <w:rsid w:val="000A3153"/>
    <w:rsid w:val="000A31F1"/>
    <w:rsid w:val="000A3A8A"/>
    <w:rsid w:val="000A3CC7"/>
    <w:rsid w:val="000A3EDF"/>
    <w:rsid w:val="000A467D"/>
    <w:rsid w:val="000A5DD9"/>
    <w:rsid w:val="000A67F7"/>
    <w:rsid w:val="000A6EFE"/>
    <w:rsid w:val="000A71A3"/>
    <w:rsid w:val="000A76F1"/>
    <w:rsid w:val="000A77BF"/>
    <w:rsid w:val="000B0783"/>
    <w:rsid w:val="000B07BC"/>
    <w:rsid w:val="000B213F"/>
    <w:rsid w:val="000B2650"/>
    <w:rsid w:val="000B28F0"/>
    <w:rsid w:val="000B4F24"/>
    <w:rsid w:val="000B615A"/>
    <w:rsid w:val="000B6544"/>
    <w:rsid w:val="000B696C"/>
    <w:rsid w:val="000B6CBC"/>
    <w:rsid w:val="000B6D4F"/>
    <w:rsid w:val="000B6DC7"/>
    <w:rsid w:val="000B6E34"/>
    <w:rsid w:val="000B6ED9"/>
    <w:rsid w:val="000B7C75"/>
    <w:rsid w:val="000B7EA5"/>
    <w:rsid w:val="000C0154"/>
    <w:rsid w:val="000C021A"/>
    <w:rsid w:val="000C0346"/>
    <w:rsid w:val="000C03B2"/>
    <w:rsid w:val="000C0F5C"/>
    <w:rsid w:val="000C1333"/>
    <w:rsid w:val="000C2636"/>
    <w:rsid w:val="000C2CE7"/>
    <w:rsid w:val="000C2CE8"/>
    <w:rsid w:val="000C3607"/>
    <w:rsid w:val="000C395B"/>
    <w:rsid w:val="000C57B1"/>
    <w:rsid w:val="000C5C7C"/>
    <w:rsid w:val="000C5E12"/>
    <w:rsid w:val="000C5FB8"/>
    <w:rsid w:val="000C73FF"/>
    <w:rsid w:val="000C76E2"/>
    <w:rsid w:val="000C7839"/>
    <w:rsid w:val="000D0765"/>
    <w:rsid w:val="000D08E8"/>
    <w:rsid w:val="000D12D3"/>
    <w:rsid w:val="000D173D"/>
    <w:rsid w:val="000D27AB"/>
    <w:rsid w:val="000D3195"/>
    <w:rsid w:val="000D390B"/>
    <w:rsid w:val="000D3A11"/>
    <w:rsid w:val="000D3ED4"/>
    <w:rsid w:val="000D417A"/>
    <w:rsid w:val="000D5230"/>
    <w:rsid w:val="000D5560"/>
    <w:rsid w:val="000D67BF"/>
    <w:rsid w:val="000D7967"/>
    <w:rsid w:val="000D7CA9"/>
    <w:rsid w:val="000E0D45"/>
    <w:rsid w:val="000E2561"/>
    <w:rsid w:val="000E2649"/>
    <w:rsid w:val="000E291C"/>
    <w:rsid w:val="000E2C27"/>
    <w:rsid w:val="000E3575"/>
    <w:rsid w:val="000E48DE"/>
    <w:rsid w:val="000E4A41"/>
    <w:rsid w:val="000E4F95"/>
    <w:rsid w:val="000E52AD"/>
    <w:rsid w:val="000E5B60"/>
    <w:rsid w:val="000E5F62"/>
    <w:rsid w:val="000E658F"/>
    <w:rsid w:val="000E6E60"/>
    <w:rsid w:val="000E797F"/>
    <w:rsid w:val="000F1204"/>
    <w:rsid w:val="000F139D"/>
    <w:rsid w:val="000F13E1"/>
    <w:rsid w:val="000F1421"/>
    <w:rsid w:val="000F2278"/>
    <w:rsid w:val="000F24EB"/>
    <w:rsid w:val="000F2D8A"/>
    <w:rsid w:val="000F2E02"/>
    <w:rsid w:val="000F2FDC"/>
    <w:rsid w:val="000F4100"/>
    <w:rsid w:val="000F44E2"/>
    <w:rsid w:val="000F4693"/>
    <w:rsid w:val="000F4990"/>
    <w:rsid w:val="000F52A7"/>
    <w:rsid w:val="000F56E9"/>
    <w:rsid w:val="000F5E51"/>
    <w:rsid w:val="000F6E73"/>
    <w:rsid w:val="000F77EA"/>
    <w:rsid w:val="000F7D4F"/>
    <w:rsid w:val="00100D3E"/>
    <w:rsid w:val="0010199C"/>
    <w:rsid w:val="00101B91"/>
    <w:rsid w:val="00101D6A"/>
    <w:rsid w:val="00102748"/>
    <w:rsid w:val="00103948"/>
    <w:rsid w:val="00105485"/>
    <w:rsid w:val="00105A31"/>
    <w:rsid w:val="00105AF5"/>
    <w:rsid w:val="00105B2C"/>
    <w:rsid w:val="00106250"/>
    <w:rsid w:val="0010673B"/>
    <w:rsid w:val="00106DC3"/>
    <w:rsid w:val="001070F0"/>
    <w:rsid w:val="00107ABA"/>
    <w:rsid w:val="001101FF"/>
    <w:rsid w:val="00110383"/>
    <w:rsid w:val="00110858"/>
    <w:rsid w:val="00110C6B"/>
    <w:rsid w:val="00110D55"/>
    <w:rsid w:val="001121F9"/>
    <w:rsid w:val="0011235D"/>
    <w:rsid w:val="00112735"/>
    <w:rsid w:val="00112FD1"/>
    <w:rsid w:val="00113E76"/>
    <w:rsid w:val="00114B96"/>
    <w:rsid w:val="0011530E"/>
    <w:rsid w:val="001159A5"/>
    <w:rsid w:val="00117262"/>
    <w:rsid w:val="00117C0A"/>
    <w:rsid w:val="001218DD"/>
    <w:rsid w:val="00121F65"/>
    <w:rsid w:val="00122D31"/>
    <w:rsid w:val="00124388"/>
    <w:rsid w:val="00124A07"/>
    <w:rsid w:val="0012510D"/>
    <w:rsid w:val="001258FC"/>
    <w:rsid w:val="00125F9B"/>
    <w:rsid w:val="00126462"/>
    <w:rsid w:val="00127A49"/>
    <w:rsid w:val="00127C25"/>
    <w:rsid w:val="00127F45"/>
    <w:rsid w:val="00131332"/>
    <w:rsid w:val="00131943"/>
    <w:rsid w:val="00131A1A"/>
    <w:rsid w:val="00131A77"/>
    <w:rsid w:val="00132B8D"/>
    <w:rsid w:val="00133CE8"/>
    <w:rsid w:val="001340D9"/>
    <w:rsid w:val="0013458B"/>
    <w:rsid w:val="00135B04"/>
    <w:rsid w:val="00136EEF"/>
    <w:rsid w:val="00137F9B"/>
    <w:rsid w:val="001401E2"/>
    <w:rsid w:val="001403A4"/>
    <w:rsid w:val="00141513"/>
    <w:rsid w:val="00141524"/>
    <w:rsid w:val="00141857"/>
    <w:rsid w:val="00141AF1"/>
    <w:rsid w:val="0014283E"/>
    <w:rsid w:val="0014310F"/>
    <w:rsid w:val="001438AE"/>
    <w:rsid w:val="00144A9C"/>
    <w:rsid w:val="00144D11"/>
    <w:rsid w:val="00145949"/>
    <w:rsid w:val="00145E7D"/>
    <w:rsid w:val="001461C8"/>
    <w:rsid w:val="001465FA"/>
    <w:rsid w:val="001467BB"/>
    <w:rsid w:val="00146C26"/>
    <w:rsid w:val="00150045"/>
    <w:rsid w:val="00150298"/>
    <w:rsid w:val="0015060F"/>
    <w:rsid w:val="00150967"/>
    <w:rsid w:val="00150F95"/>
    <w:rsid w:val="00151EC8"/>
    <w:rsid w:val="00151FD0"/>
    <w:rsid w:val="00152539"/>
    <w:rsid w:val="00152B1D"/>
    <w:rsid w:val="0015408F"/>
    <w:rsid w:val="001551F6"/>
    <w:rsid w:val="00155DA1"/>
    <w:rsid w:val="0015618A"/>
    <w:rsid w:val="00156355"/>
    <w:rsid w:val="0015797E"/>
    <w:rsid w:val="00157F21"/>
    <w:rsid w:val="00160BA1"/>
    <w:rsid w:val="00160D4B"/>
    <w:rsid w:val="0016129B"/>
    <w:rsid w:val="0016131F"/>
    <w:rsid w:val="0016153D"/>
    <w:rsid w:val="00161DD3"/>
    <w:rsid w:val="001624BE"/>
    <w:rsid w:val="00162E04"/>
    <w:rsid w:val="00162FC0"/>
    <w:rsid w:val="00163033"/>
    <w:rsid w:val="001633AA"/>
    <w:rsid w:val="00163599"/>
    <w:rsid w:val="001635A8"/>
    <w:rsid w:val="00163783"/>
    <w:rsid w:val="001638B8"/>
    <w:rsid w:val="001639B4"/>
    <w:rsid w:val="00164040"/>
    <w:rsid w:val="001654A1"/>
    <w:rsid w:val="001654CF"/>
    <w:rsid w:val="0016564D"/>
    <w:rsid w:val="00166103"/>
    <w:rsid w:val="00166444"/>
    <w:rsid w:val="001669CE"/>
    <w:rsid w:val="00166ED1"/>
    <w:rsid w:val="00170805"/>
    <w:rsid w:val="00171CC1"/>
    <w:rsid w:val="00172041"/>
    <w:rsid w:val="00172B76"/>
    <w:rsid w:val="00173A24"/>
    <w:rsid w:val="00174F43"/>
    <w:rsid w:val="0017691E"/>
    <w:rsid w:val="00177187"/>
    <w:rsid w:val="001774FF"/>
    <w:rsid w:val="00177CB7"/>
    <w:rsid w:val="00180306"/>
    <w:rsid w:val="001803DE"/>
    <w:rsid w:val="001808A9"/>
    <w:rsid w:val="00181068"/>
    <w:rsid w:val="00181B13"/>
    <w:rsid w:val="00182077"/>
    <w:rsid w:val="00183E11"/>
    <w:rsid w:val="00183FFF"/>
    <w:rsid w:val="00184775"/>
    <w:rsid w:val="00184E72"/>
    <w:rsid w:val="00185B6B"/>
    <w:rsid w:val="0018608F"/>
    <w:rsid w:val="00186287"/>
    <w:rsid w:val="0018727E"/>
    <w:rsid w:val="00187601"/>
    <w:rsid w:val="00187CF2"/>
    <w:rsid w:val="001903DD"/>
    <w:rsid w:val="001908A7"/>
    <w:rsid w:val="00190939"/>
    <w:rsid w:val="0019222E"/>
    <w:rsid w:val="00192A36"/>
    <w:rsid w:val="001938A5"/>
    <w:rsid w:val="00193EB3"/>
    <w:rsid w:val="0019448F"/>
    <w:rsid w:val="00194501"/>
    <w:rsid w:val="00195CF9"/>
    <w:rsid w:val="0019621A"/>
    <w:rsid w:val="00197D37"/>
    <w:rsid w:val="001A04BD"/>
    <w:rsid w:val="001A11C8"/>
    <w:rsid w:val="001A12E5"/>
    <w:rsid w:val="001A31E3"/>
    <w:rsid w:val="001A3786"/>
    <w:rsid w:val="001A48FF"/>
    <w:rsid w:val="001A492D"/>
    <w:rsid w:val="001A4B0A"/>
    <w:rsid w:val="001A531D"/>
    <w:rsid w:val="001A5BF5"/>
    <w:rsid w:val="001A5CC8"/>
    <w:rsid w:val="001A5E25"/>
    <w:rsid w:val="001A634C"/>
    <w:rsid w:val="001A6C98"/>
    <w:rsid w:val="001A6D04"/>
    <w:rsid w:val="001A7664"/>
    <w:rsid w:val="001B0CE9"/>
    <w:rsid w:val="001B0EAA"/>
    <w:rsid w:val="001B1160"/>
    <w:rsid w:val="001B136F"/>
    <w:rsid w:val="001B140A"/>
    <w:rsid w:val="001B14B5"/>
    <w:rsid w:val="001B1C53"/>
    <w:rsid w:val="001B1D55"/>
    <w:rsid w:val="001B2CB8"/>
    <w:rsid w:val="001B2FC6"/>
    <w:rsid w:val="001B425F"/>
    <w:rsid w:val="001B58DA"/>
    <w:rsid w:val="001B623A"/>
    <w:rsid w:val="001B68E2"/>
    <w:rsid w:val="001B6F2E"/>
    <w:rsid w:val="001B70AE"/>
    <w:rsid w:val="001B7847"/>
    <w:rsid w:val="001B7862"/>
    <w:rsid w:val="001B7C4A"/>
    <w:rsid w:val="001B7EF0"/>
    <w:rsid w:val="001C00B3"/>
    <w:rsid w:val="001C1E21"/>
    <w:rsid w:val="001C285D"/>
    <w:rsid w:val="001C38A7"/>
    <w:rsid w:val="001C398B"/>
    <w:rsid w:val="001C3B95"/>
    <w:rsid w:val="001C4663"/>
    <w:rsid w:val="001C4FDF"/>
    <w:rsid w:val="001C7390"/>
    <w:rsid w:val="001C7595"/>
    <w:rsid w:val="001C75AB"/>
    <w:rsid w:val="001C7BD8"/>
    <w:rsid w:val="001D08F3"/>
    <w:rsid w:val="001D0DE8"/>
    <w:rsid w:val="001D0E24"/>
    <w:rsid w:val="001D0E91"/>
    <w:rsid w:val="001D24A8"/>
    <w:rsid w:val="001D2DFA"/>
    <w:rsid w:val="001D30EC"/>
    <w:rsid w:val="001D33C2"/>
    <w:rsid w:val="001D47DB"/>
    <w:rsid w:val="001D4E46"/>
    <w:rsid w:val="001D4F93"/>
    <w:rsid w:val="001D5631"/>
    <w:rsid w:val="001D5E85"/>
    <w:rsid w:val="001D6348"/>
    <w:rsid w:val="001D7EE6"/>
    <w:rsid w:val="001E008B"/>
    <w:rsid w:val="001E0937"/>
    <w:rsid w:val="001E0BA4"/>
    <w:rsid w:val="001E2124"/>
    <w:rsid w:val="001E2DC6"/>
    <w:rsid w:val="001E3C33"/>
    <w:rsid w:val="001E3D25"/>
    <w:rsid w:val="001E4165"/>
    <w:rsid w:val="001E4891"/>
    <w:rsid w:val="001E4D08"/>
    <w:rsid w:val="001E4D44"/>
    <w:rsid w:val="001E4FB5"/>
    <w:rsid w:val="001E5DB7"/>
    <w:rsid w:val="001E5F92"/>
    <w:rsid w:val="001E6793"/>
    <w:rsid w:val="001E685C"/>
    <w:rsid w:val="001E6C71"/>
    <w:rsid w:val="001E7349"/>
    <w:rsid w:val="001E7AD3"/>
    <w:rsid w:val="001E7CC1"/>
    <w:rsid w:val="001F080C"/>
    <w:rsid w:val="001F0C51"/>
    <w:rsid w:val="001F2258"/>
    <w:rsid w:val="001F2468"/>
    <w:rsid w:val="001F2481"/>
    <w:rsid w:val="001F293B"/>
    <w:rsid w:val="001F2DD5"/>
    <w:rsid w:val="001F310F"/>
    <w:rsid w:val="001F3D09"/>
    <w:rsid w:val="001F4E37"/>
    <w:rsid w:val="001F536D"/>
    <w:rsid w:val="001F58C4"/>
    <w:rsid w:val="001F601E"/>
    <w:rsid w:val="001F6104"/>
    <w:rsid w:val="001F63B1"/>
    <w:rsid w:val="001F6876"/>
    <w:rsid w:val="001F6F29"/>
    <w:rsid w:val="00200170"/>
    <w:rsid w:val="002001EF"/>
    <w:rsid w:val="00201400"/>
    <w:rsid w:val="00202477"/>
    <w:rsid w:val="002033A4"/>
    <w:rsid w:val="00204324"/>
    <w:rsid w:val="002055CC"/>
    <w:rsid w:val="00205955"/>
    <w:rsid w:val="00207B2B"/>
    <w:rsid w:val="00210562"/>
    <w:rsid w:val="00210A22"/>
    <w:rsid w:val="00210A74"/>
    <w:rsid w:val="0021171E"/>
    <w:rsid w:val="00211EE9"/>
    <w:rsid w:val="002129A2"/>
    <w:rsid w:val="002134C8"/>
    <w:rsid w:val="00213D8A"/>
    <w:rsid w:val="002143E1"/>
    <w:rsid w:val="0021444E"/>
    <w:rsid w:val="002153DE"/>
    <w:rsid w:val="002154DB"/>
    <w:rsid w:val="00215670"/>
    <w:rsid w:val="00215777"/>
    <w:rsid w:val="00216BB9"/>
    <w:rsid w:val="00217439"/>
    <w:rsid w:val="002200BC"/>
    <w:rsid w:val="00220564"/>
    <w:rsid w:val="0022328F"/>
    <w:rsid w:val="002238DF"/>
    <w:rsid w:val="002249C1"/>
    <w:rsid w:val="00224B9F"/>
    <w:rsid w:val="00224D05"/>
    <w:rsid w:val="002252FA"/>
    <w:rsid w:val="0022545D"/>
    <w:rsid w:val="00225EAC"/>
    <w:rsid w:val="00226014"/>
    <w:rsid w:val="00227C86"/>
    <w:rsid w:val="00230233"/>
    <w:rsid w:val="00230BDB"/>
    <w:rsid w:val="00231AC3"/>
    <w:rsid w:val="002339CE"/>
    <w:rsid w:val="0023436A"/>
    <w:rsid w:val="0023458C"/>
    <w:rsid w:val="00235122"/>
    <w:rsid w:val="0023565D"/>
    <w:rsid w:val="00235A27"/>
    <w:rsid w:val="00236F38"/>
    <w:rsid w:val="00236F39"/>
    <w:rsid w:val="002377C4"/>
    <w:rsid w:val="002379B4"/>
    <w:rsid w:val="00240407"/>
    <w:rsid w:val="00240A6D"/>
    <w:rsid w:val="00240BC2"/>
    <w:rsid w:val="00240DD3"/>
    <w:rsid w:val="00241037"/>
    <w:rsid w:val="002414EA"/>
    <w:rsid w:val="00241B47"/>
    <w:rsid w:val="00242190"/>
    <w:rsid w:val="002422DB"/>
    <w:rsid w:val="002423B9"/>
    <w:rsid w:val="002431A3"/>
    <w:rsid w:val="00243867"/>
    <w:rsid w:val="002441FA"/>
    <w:rsid w:val="002447B5"/>
    <w:rsid w:val="00244C46"/>
    <w:rsid w:val="00244FE1"/>
    <w:rsid w:val="00245363"/>
    <w:rsid w:val="00245660"/>
    <w:rsid w:val="00246BDE"/>
    <w:rsid w:val="002477FC"/>
    <w:rsid w:val="00247873"/>
    <w:rsid w:val="00250905"/>
    <w:rsid w:val="00251AB1"/>
    <w:rsid w:val="002520AE"/>
    <w:rsid w:val="002532A7"/>
    <w:rsid w:val="0025343A"/>
    <w:rsid w:val="002535EE"/>
    <w:rsid w:val="00253F90"/>
    <w:rsid w:val="00254119"/>
    <w:rsid w:val="002547C2"/>
    <w:rsid w:val="002547D0"/>
    <w:rsid w:val="00254B1A"/>
    <w:rsid w:val="00254E09"/>
    <w:rsid w:val="00254F18"/>
    <w:rsid w:val="00255268"/>
    <w:rsid w:val="00256930"/>
    <w:rsid w:val="00256E15"/>
    <w:rsid w:val="0025726B"/>
    <w:rsid w:val="002572C3"/>
    <w:rsid w:val="00257766"/>
    <w:rsid w:val="00260FA7"/>
    <w:rsid w:val="002613DC"/>
    <w:rsid w:val="002622EB"/>
    <w:rsid w:val="00262DB1"/>
    <w:rsid w:val="002635F8"/>
    <w:rsid w:val="002640BE"/>
    <w:rsid w:val="00265A2D"/>
    <w:rsid w:val="00265B3B"/>
    <w:rsid w:val="00265C09"/>
    <w:rsid w:val="00266306"/>
    <w:rsid w:val="00266347"/>
    <w:rsid w:val="00266B23"/>
    <w:rsid w:val="002671D9"/>
    <w:rsid w:val="00270432"/>
    <w:rsid w:val="00270688"/>
    <w:rsid w:val="00270E7E"/>
    <w:rsid w:val="00271300"/>
    <w:rsid w:val="00271D13"/>
    <w:rsid w:val="00272E10"/>
    <w:rsid w:val="0027369B"/>
    <w:rsid w:val="002736F3"/>
    <w:rsid w:val="00274074"/>
    <w:rsid w:val="00274C4A"/>
    <w:rsid w:val="00275220"/>
    <w:rsid w:val="00276778"/>
    <w:rsid w:val="00276A6A"/>
    <w:rsid w:val="00277520"/>
    <w:rsid w:val="0027799C"/>
    <w:rsid w:val="00277DC0"/>
    <w:rsid w:val="00280067"/>
    <w:rsid w:val="00280817"/>
    <w:rsid w:val="00280B5E"/>
    <w:rsid w:val="00281C6A"/>
    <w:rsid w:val="00281C9E"/>
    <w:rsid w:val="002820C5"/>
    <w:rsid w:val="002848C8"/>
    <w:rsid w:val="0028538A"/>
    <w:rsid w:val="00285AF2"/>
    <w:rsid w:val="00285DD7"/>
    <w:rsid w:val="00286F6F"/>
    <w:rsid w:val="002933E0"/>
    <w:rsid w:val="00295B2F"/>
    <w:rsid w:val="00295DF1"/>
    <w:rsid w:val="00296145"/>
    <w:rsid w:val="00296A72"/>
    <w:rsid w:val="00296B07"/>
    <w:rsid w:val="00296C10"/>
    <w:rsid w:val="002970B9"/>
    <w:rsid w:val="00297933"/>
    <w:rsid w:val="00297E34"/>
    <w:rsid w:val="00297E3A"/>
    <w:rsid w:val="002A03BE"/>
    <w:rsid w:val="002A05E1"/>
    <w:rsid w:val="002A0EA4"/>
    <w:rsid w:val="002A0F17"/>
    <w:rsid w:val="002A171C"/>
    <w:rsid w:val="002A1EE3"/>
    <w:rsid w:val="002A22CF"/>
    <w:rsid w:val="002A2714"/>
    <w:rsid w:val="002A2913"/>
    <w:rsid w:val="002A29C0"/>
    <w:rsid w:val="002A2B12"/>
    <w:rsid w:val="002A2C58"/>
    <w:rsid w:val="002A2D8A"/>
    <w:rsid w:val="002A2F78"/>
    <w:rsid w:val="002A3FC3"/>
    <w:rsid w:val="002A46BF"/>
    <w:rsid w:val="002A486D"/>
    <w:rsid w:val="002A4AFB"/>
    <w:rsid w:val="002A4F7F"/>
    <w:rsid w:val="002A5A5B"/>
    <w:rsid w:val="002B0571"/>
    <w:rsid w:val="002B0619"/>
    <w:rsid w:val="002B17EE"/>
    <w:rsid w:val="002B1F62"/>
    <w:rsid w:val="002B301A"/>
    <w:rsid w:val="002B3149"/>
    <w:rsid w:val="002B382D"/>
    <w:rsid w:val="002B39A5"/>
    <w:rsid w:val="002B3C64"/>
    <w:rsid w:val="002B3C6E"/>
    <w:rsid w:val="002B479C"/>
    <w:rsid w:val="002B5BE9"/>
    <w:rsid w:val="002B5EF4"/>
    <w:rsid w:val="002B64FE"/>
    <w:rsid w:val="002B6C95"/>
    <w:rsid w:val="002B7921"/>
    <w:rsid w:val="002B7DFA"/>
    <w:rsid w:val="002C1B40"/>
    <w:rsid w:val="002C1BAA"/>
    <w:rsid w:val="002C2298"/>
    <w:rsid w:val="002C3BF1"/>
    <w:rsid w:val="002C3C10"/>
    <w:rsid w:val="002C3CB1"/>
    <w:rsid w:val="002C5523"/>
    <w:rsid w:val="002C74F8"/>
    <w:rsid w:val="002C794A"/>
    <w:rsid w:val="002D009B"/>
    <w:rsid w:val="002D0194"/>
    <w:rsid w:val="002D13A0"/>
    <w:rsid w:val="002D1A59"/>
    <w:rsid w:val="002D1A72"/>
    <w:rsid w:val="002D2456"/>
    <w:rsid w:val="002D33EA"/>
    <w:rsid w:val="002D3A72"/>
    <w:rsid w:val="002D3E5A"/>
    <w:rsid w:val="002D4095"/>
    <w:rsid w:val="002D4FB8"/>
    <w:rsid w:val="002D5299"/>
    <w:rsid w:val="002D57C6"/>
    <w:rsid w:val="002D6D22"/>
    <w:rsid w:val="002D6F00"/>
    <w:rsid w:val="002D7295"/>
    <w:rsid w:val="002D78FA"/>
    <w:rsid w:val="002E1929"/>
    <w:rsid w:val="002E196B"/>
    <w:rsid w:val="002E1D47"/>
    <w:rsid w:val="002E21DF"/>
    <w:rsid w:val="002E3424"/>
    <w:rsid w:val="002E34A6"/>
    <w:rsid w:val="002E3B9F"/>
    <w:rsid w:val="002E4AF0"/>
    <w:rsid w:val="002E4C7D"/>
    <w:rsid w:val="002E5913"/>
    <w:rsid w:val="002E6457"/>
    <w:rsid w:val="002E681A"/>
    <w:rsid w:val="002E6A47"/>
    <w:rsid w:val="002E6BE2"/>
    <w:rsid w:val="002E6BFF"/>
    <w:rsid w:val="002E6C17"/>
    <w:rsid w:val="002E79E3"/>
    <w:rsid w:val="002F1076"/>
    <w:rsid w:val="002F1424"/>
    <w:rsid w:val="002F227D"/>
    <w:rsid w:val="002F2402"/>
    <w:rsid w:val="002F2A20"/>
    <w:rsid w:val="002F3554"/>
    <w:rsid w:val="002F3FCE"/>
    <w:rsid w:val="002F4ED9"/>
    <w:rsid w:val="002F664D"/>
    <w:rsid w:val="002F6A4F"/>
    <w:rsid w:val="00300804"/>
    <w:rsid w:val="00300A72"/>
    <w:rsid w:val="003012E9"/>
    <w:rsid w:val="00301466"/>
    <w:rsid w:val="00301CD3"/>
    <w:rsid w:val="003021E1"/>
    <w:rsid w:val="003025E6"/>
    <w:rsid w:val="003031B2"/>
    <w:rsid w:val="00303BCB"/>
    <w:rsid w:val="0030449C"/>
    <w:rsid w:val="00304A05"/>
    <w:rsid w:val="00304C50"/>
    <w:rsid w:val="00305907"/>
    <w:rsid w:val="0030745E"/>
    <w:rsid w:val="00307AC5"/>
    <w:rsid w:val="003108E7"/>
    <w:rsid w:val="00311022"/>
    <w:rsid w:val="00313B46"/>
    <w:rsid w:val="00313CFC"/>
    <w:rsid w:val="003141E0"/>
    <w:rsid w:val="003143F2"/>
    <w:rsid w:val="00314459"/>
    <w:rsid w:val="0031621A"/>
    <w:rsid w:val="003163BF"/>
    <w:rsid w:val="00316DE3"/>
    <w:rsid w:val="0031727B"/>
    <w:rsid w:val="00317B1C"/>
    <w:rsid w:val="00320072"/>
    <w:rsid w:val="00321F5E"/>
    <w:rsid w:val="00322A3F"/>
    <w:rsid w:val="0032379C"/>
    <w:rsid w:val="0032381E"/>
    <w:rsid w:val="00325725"/>
    <w:rsid w:val="00325908"/>
    <w:rsid w:val="00326044"/>
    <w:rsid w:val="003263E4"/>
    <w:rsid w:val="00326D69"/>
    <w:rsid w:val="0032747B"/>
    <w:rsid w:val="00327553"/>
    <w:rsid w:val="0032799A"/>
    <w:rsid w:val="003305E8"/>
    <w:rsid w:val="00331BEE"/>
    <w:rsid w:val="00332899"/>
    <w:rsid w:val="003332BC"/>
    <w:rsid w:val="00333766"/>
    <w:rsid w:val="003346A7"/>
    <w:rsid w:val="003348CA"/>
    <w:rsid w:val="003351B3"/>
    <w:rsid w:val="003359AA"/>
    <w:rsid w:val="00335E5E"/>
    <w:rsid w:val="0033634C"/>
    <w:rsid w:val="003365DB"/>
    <w:rsid w:val="00336CAA"/>
    <w:rsid w:val="003375FE"/>
    <w:rsid w:val="00340CBF"/>
    <w:rsid w:val="00340E59"/>
    <w:rsid w:val="003410A1"/>
    <w:rsid w:val="00342688"/>
    <w:rsid w:val="003427C3"/>
    <w:rsid w:val="003431E1"/>
    <w:rsid w:val="00343774"/>
    <w:rsid w:val="00343AF5"/>
    <w:rsid w:val="0034443B"/>
    <w:rsid w:val="003444A5"/>
    <w:rsid w:val="00344818"/>
    <w:rsid w:val="00344B20"/>
    <w:rsid w:val="0034675B"/>
    <w:rsid w:val="003472AD"/>
    <w:rsid w:val="00350301"/>
    <w:rsid w:val="00350D54"/>
    <w:rsid w:val="00351911"/>
    <w:rsid w:val="00351934"/>
    <w:rsid w:val="00351DD0"/>
    <w:rsid w:val="0035275D"/>
    <w:rsid w:val="003530A9"/>
    <w:rsid w:val="00353B20"/>
    <w:rsid w:val="00353EEB"/>
    <w:rsid w:val="00354149"/>
    <w:rsid w:val="00354C1F"/>
    <w:rsid w:val="00354D7A"/>
    <w:rsid w:val="00354DC1"/>
    <w:rsid w:val="00355316"/>
    <w:rsid w:val="00355540"/>
    <w:rsid w:val="003557D2"/>
    <w:rsid w:val="00356BCA"/>
    <w:rsid w:val="00357429"/>
    <w:rsid w:val="00357B05"/>
    <w:rsid w:val="00360173"/>
    <w:rsid w:val="00360571"/>
    <w:rsid w:val="00360B2B"/>
    <w:rsid w:val="00360C02"/>
    <w:rsid w:val="003617A6"/>
    <w:rsid w:val="00362864"/>
    <w:rsid w:val="00362E52"/>
    <w:rsid w:val="00363145"/>
    <w:rsid w:val="00363D25"/>
    <w:rsid w:val="00363D8C"/>
    <w:rsid w:val="003642B4"/>
    <w:rsid w:val="00364313"/>
    <w:rsid w:val="00364743"/>
    <w:rsid w:val="00364CC4"/>
    <w:rsid w:val="003659DC"/>
    <w:rsid w:val="00365C34"/>
    <w:rsid w:val="00366057"/>
    <w:rsid w:val="0036710C"/>
    <w:rsid w:val="003674E1"/>
    <w:rsid w:val="0036764F"/>
    <w:rsid w:val="0036773A"/>
    <w:rsid w:val="00367EAF"/>
    <w:rsid w:val="00370824"/>
    <w:rsid w:val="00370836"/>
    <w:rsid w:val="0037141B"/>
    <w:rsid w:val="00371541"/>
    <w:rsid w:val="003723DE"/>
    <w:rsid w:val="00372AC7"/>
    <w:rsid w:val="00372B20"/>
    <w:rsid w:val="00372DD0"/>
    <w:rsid w:val="00373331"/>
    <w:rsid w:val="003738D7"/>
    <w:rsid w:val="003739E6"/>
    <w:rsid w:val="00374C8A"/>
    <w:rsid w:val="00375D97"/>
    <w:rsid w:val="00376054"/>
    <w:rsid w:val="00376986"/>
    <w:rsid w:val="00376C1A"/>
    <w:rsid w:val="00380B5C"/>
    <w:rsid w:val="00381137"/>
    <w:rsid w:val="0038216D"/>
    <w:rsid w:val="003832A9"/>
    <w:rsid w:val="003854A8"/>
    <w:rsid w:val="00385774"/>
    <w:rsid w:val="00385A22"/>
    <w:rsid w:val="00385E9E"/>
    <w:rsid w:val="00386302"/>
    <w:rsid w:val="003866A0"/>
    <w:rsid w:val="00386AED"/>
    <w:rsid w:val="00386C3B"/>
    <w:rsid w:val="00387F2C"/>
    <w:rsid w:val="00390061"/>
    <w:rsid w:val="00390650"/>
    <w:rsid w:val="00390B08"/>
    <w:rsid w:val="00390FD9"/>
    <w:rsid w:val="00391474"/>
    <w:rsid w:val="00391AC7"/>
    <w:rsid w:val="00391BE3"/>
    <w:rsid w:val="00392E65"/>
    <w:rsid w:val="003938BA"/>
    <w:rsid w:val="00394C42"/>
    <w:rsid w:val="0039539F"/>
    <w:rsid w:val="0039541F"/>
    <w:rsid w:val="003956D9"/>
    <w:rsid w:val="00395809"/>
    <w:rsid w:val="003960FB"/>
    <w:rsid w:val="003969DF"/>
    <w:rsid w:val="00397059"/>
    <w:rsid w:val="003A0029"/>
    <w:rsid w:val="003A0178"/>
    <w:rsid w:val="003A2A54"/>
    <w:rsid w:val="003A2F52"/>
    <w:rsid w:val="003A4FE3"/>
    <w:rsid w:val="003A535D"/>
    <w:rsid w:val="003A537A"/>
    <w:rsid w:val="003A54FD"/>
    <w:rsid w:val="003A6A42"/>
    <w:rsid w:val="003A78B4"/>
    <w:rsid w:val="003A7B62"/>
    <w:rsid w:val="003B0458"/>
    <w:rsid w:val="003B04F3"/>
    <w:rsid w:val="003B0992"/>
    <w:rsid w:val="003B0D23"/>
    <w:rsid w:val="003B0F70"/>
    <w:rsid w:val="003B1483"/>
    <w:rsid w:val="003B15DE"/>
    <w:rsid w:val="003B2045"/>
    <w:rsid w:val="003B22EE"/>
    <w:rsid w:val="003B504E"/>
    <w:rsid w:val="003B6205"/>
    <w:rsid w:val="003B65FA"/>
    <w:rsid w:val="003B6772"/>
    <w:rsid w:val="003B6C86"/>
    <w:rsid w:val="003B724A"/>
    <w:rsid w:val="003B7570"/>
    <w:rsid w:val="003C11DC"/>
    <w:rsid w:val="003C360B"/>
    <w:rsid w:val="003C3CF9"/>
    <w:rsid w:val="003C425D"/>
    <w:rsid w:val="003C45DF"/>
    <w:rsid w:val="003C4986"/>
    <w:rsid w:val="003C555B"/>
    <w:rsid w:val="003C5615"/>
    <w:rsid w:val="003C5AA1"/>
    <w:rsid w:val="003C6427"/>
    <w:rsid w:val="003C6789"/>
    <w:rsid w:val="003C6CFB"/>
    <w:rsid w:val="003C71A7"/>
    <w:rsid w:val="003D006D"/>
    <w:rsid w:val="003D0985"/>
    <w:rsid w:val="003D12DB"/>
    <w:rsid w:val="003D1DFF"/>
    <w:rsid w:val="003D221B"/>
    <w:rsid w:val="003D2516"/>
    <w:rsid w:val="003D5D60"/>
    <w:rsid w:val="003D5E7C"/>
    <w:rsid w:val="003D6574"/>
    <w:rsid w:val="003D702A"/>
    <w:rsid w:val="003D716A"/>
    <w:rsid w:val="003D76B5"/>
    <w:rsid w:val="003D7CA8"/>
    <w:rsid w:val="003E06DD"/>
    <w:rsid w:val="003E0CE0"/>
    <w:rsid w:val="003E13E4"/>
    <w:rsid w:val="003E1716"/>
    <w:rsid w:val="003E18DE"/>
    <w:rsid w:val="003E1F1B"/>
    <w:rsid w:val="003E3C04"/>
    <w:rsid w:val="003E3FA1"/>
    <w:rsid w:val="003E4BF7"/>
    <w:rsid w:val="003E52AF"/>
    <w:rsid w:val="003E5E57"/>
    <w:rsid w:val="003E6992"/>
    <w:rsid w:val="003E7199"/>
    <w:rsid w:val="003E71FA"/>
    <w:rsid w:val="003F1992"/>
    <w:rsid w:val="003F1A82"/>
    <w:rsid w:val="003F2107"/>
    <w:rsid w:val="003F2335"/>
    <w:rsid w:val="003F28C9"/>
    <w:rsid w:val="003F2D66"/>
    <w:rsid w:val="003F2E35"/>
    <w:rsid w:val="003F3120"/>
    <w:rsid w:val="003F33E6"/>
    <w:rsid w:val="003F3644"/>
    <w:rsid w:val="003F4061"/>
    <w:rsid w:val="003F419C"/>
    <w:rsid w:val="003F4E26"/>
    <w:rsid w:val="003F68F0"/>
    <w:rsid w:val="003F6A5D"/>
    <w:rsid w:val="003F7892"/>
    <w:rsid w:val="003F78AB"/>
    <w:rsid w:val="003F7AD2"/>
    <w:rsid w:val="004000B1"/>
    <w:rsid w:val="00400796"/>
    <w:rsid w:val="00400904"/>
    <w:rsid w:val="00400DF3"/>
    <w:rsid w:val="004011CF"/>
    <w:rsid w:val="004012D0"/>
    <w:rsid w:val="004016B2"/>
    <w:rsid w:val="00401BA2"/>
    <w:rsid w:val="00401CDE"/>
    <w:rsid w:val="00401EEA"/>
    <w:rsid w:val="00403D94"/>
    <w:rsid w:val="0040467A"/>
    <w:rsid w:val="00405BEA"/>
    <w:rsid w:val="00406141"/>
    <w:rsid w:val="00407144"/>
    <w:rsid w:val="00407C5A"/>
    <w:rsid w:val="00410182"/>
    <w:rsid w:val="00410525"/>
    <w:rsid w:val="004110C0"/>
    <w:rsid w:val="00411533"/>
    <w:rsid w:val="00411F5A"/>
    <w:rsid w:val="0041271A"/>
    <w:rsid w:val="00412CD3"/>
    <w:rsid w:val="004132A1"/>
    <w:rsid w:val="00413F6D"/>
    <w:rsid w:val="00414A90"/>
    <w:rsid w:val="00415569"/>
    <w:rsid w:val="00416BB0"/>
    <w:rsid w:val="00416D53"/>
    <w:rsid w:val="0041738D"/>
    <w:rsid w:val="00417549"/>
    <w:rsid w:val="004176B6"/>
    <w:rsid w:val="00417B38"/>
    <w:rsid w:val="00417DA5"/>
    <w:rsid w:val="004202E7"/>
    <w:rsid w:val="00420D4C"/>
    <w:rsid w:val="0042127B"/>
    <w:rsid w:val="00421B30"/>
    <w:rsid w:val="00423FC0"/>
    <w:rsid w:val="004246B9"/>
    <w:rsid w:val="004251C1"/>
    <w:rsid w:val="00425ED8"/>
    <w:rsid w:val="004264A2"/>
    <w:rsid w:val="00426672"/>
    <w:rsid w:val="0042701D"/>
    <w:rsid w:val="004305F2"/>
    <w:rsid w:val="00430824"/>
    <w:rsid w:val="00430AE5"/>
    <w:rsid w:val="004313D4"/>
    <w:rsid w:val="004313E0"/>
    <w:rsid w:val="00432B0E"/>
    <w:rsid w:val="0043315B"/>
    <w:rsid w:val="0043366A"/>
    <w:rsid w:val="004349A4"/>
    <w:rsid w:val="00434D01"/>
    <w:rsid w:val="00435FEC"/>
    <w:rsid w:val="00436359"/>
    <w:rsid w:val="0043751E"/>
    <w:rsid w:val="00437E4B"/>
    <w:rsid w:val="00437FF2"/>
    <w:rsid w:val="0044047D"/>
    <w:rsid w:val="00440C51"/>
    <w:rsid w:val="004412EA"/>
    <w:rsid w:val="004416BB"/>
    <w:rsid w:val="004418C2"/>
    <w:rsid w:val="00441980"/>
    <w:rsid w:val="0044198C"/>
    <w:rsid w:val="00441F77"/>
    <w:rsid w:val="0044238D"/>
    <w:rsid w:val="00442420"/>
    <w:rsid w:val="00442658"/>
    <w:rsid w:val="00442C6C"/>
    <w:rsid w:val="004435AF"/>
    <w:rsid w:val="00443817"/>
    <w:rsid w:val="0044391F"/>
    <w:rsid w:val="00443FF1"/>
    <w:rsid w:val="0044447E"/>
    <w:rsid w:val="00445A1A"/>
    <w:rsid w:val="00445C4C"/>
    <w:rsid w:val="00445DA4"/>
    <w:rsid w:val="0044665C"/>
    <w:rsid w:val="00446F52"/>
    <w:rsid w:val="00450543"/>
    <w:rsid w:val="00452211"/>
    <w:rsid w:val="00452FF4"/>
    <w:rsid w:val="00453341"/>
    <w:rsid w:val="00453AB0"/>
    <w:rsid w:val="00454D66"/>
    <w:rsid w:val="00455B88"/>
    <w:rsid w:val="00456370"/>
    <w:rsid w:val="00456C80"/>
    <w:rsid w:val="00457C65"/>
    <w:rsid w:val="00460E91"/>
    <w:rsid w:val="00461445"/>
    <w:rsid w:val="00461A8A"/>
    <w:rsid w:val="00461E50"/>
    <w:rsid w:val="00461F31"/>
    <w:rsid w:val="004622AA"/>
    <w:rsid w:val="0046291E"/>
    <w:rsid w:val="00462CEE"/>
    <w:rsid w:val="004632A3"/>
    <w:rsid w:val="00463879"/>
    <w:rsid w:val="00463EBD"/>
    <w:rsid w:val="00464F85"/>
    <w:rsid w:val="0046503B"/>
    <w:rsid w:val="00465C53"/>
    <w:rsid w:val="00465D36"/>
    <w:rsid w:val="004660F5"/>
    <w:rsid w:val="00466EAB"/>
    <w:rsid w:val="00467146"/>
    <w:rsid w:val="00467AC7"/>
    <w:rsid w:val="00467BA7"/>
    <w:rsid w:val="00467D9C"/>
    <w:rsid w:val="004702FF"/>
    <w:rsid w:val="00471845"/>
    <w:rsid w:val="00472085"/>
    <w:rsid w:val="004723DC"/>
    <w:rsid w:val="004727C9"/>
    <w:rsid w:val="00473B9A"/>
    <w:rsid w:val="004741C8"/>
    <w:rsid w:val="00477395"/>
    <w:rsid w:val="004779BC"/>
    <w:rsid w:val="004805DF"/>
    <w:rsid w:val="004806E1"/>
    <w:rsid w:val="00481B97"/>
    <w:rsid w:val="0048206A"/>
    <w:rsid w:val="0048240B"/>
    <w:rsid w:val="00482A51"/>
    <w:rsid w:val="004831F0"/>
    <w:rsid w:val="004835AF"/>
    <w:rsid w:val="00483D4D"/>
    <w:rsid w:val="00484BE3"/>
    <w:rsid w:val="00484BFF"/>
    <w:rsid w:val="0048531E"/>
    <w:rsid w:val="00485358"/>
    <w:rsid w:val="0048592C"/>
    <w:rsid w:val="00485E37"/>
    <w:rsid w:val="00486060"/>
    <w:rsid w:val="00487B76"/>
    <w:rsid w:val="00490CE3"/>
    <w:rsid w:val="00491097"/>
    <w:rsid w:val="00491894"/>
    <w:rsid w:val="00493651"/>
    <w:rsid w:val="004937E2"/>
    <w:rsid w:val="004942A0"/>
    <w:rsid w:val="00494964"/>
    <w:rsid w:val="00494DD7"/>
    <w:rsid w:val="004957B1"/>
    <w:rsid w:val="00495AE8"/>
    <w:rsid w:val="004961A0"/>
    <w:rsid w:val="004968A7"/>
    <w:rsid w:val="00497052"/>
    <w:rsid w:val="00497112"/>
    <w:rsid w:val="00497428"/>
    <w:rsid w:val="004A260E"/>
    <w:rsid w:val="004A2DE1"/>
    <w:rsid w:val="004A38C0"/>
    <w:rsid w:val="004A4E16"/>
    <w:rsid w:val="004A5605"/>
    <w:rsid w:val="004A5978"/>
    <w:rsid w:val="004A7E24"/>
    <w:rsid w:val="004A7FEE"/>
    <w:rsid w:val="004B038D"/>
    <w:rsid w:val="004B0CB8"/>
    <w:rsid w:val="004B1F0A"/>
    <w:rsid w:val="004B273F"/>
    <w:rsid w:val="004B2956"/>
    <w:rsid w:val="004B32BA"/>
    <w:rsid w:val="004B36DD"/>
    <w:rsid w:val="004B45CF"/>
    <w:rsid w:val="004B4A0F"/>
    <w:rsid w:val="004B4C78"/>
    <w:rsid w:val="004B4E62"/>
    <w:rsid w:val="004B4EB2"/>
    <w:rsid w:val="004B588D"/>
    <w:rsid w:val="004B5B06"/>
    <w:rsid w:val="004B6241"/>
    <w:rsid w:val="004B65EB"/>
    <w:rsid w:val="004B682B"/>
    <w:rsid w:val="004C068C"/>
    <w:rsid w:val="004C0F54"/>
    <w:rsid w:val="004C17C8"/>
    <w:rsid w:val="004C1EB0"/>
    <w:rsid w:val="004C2E02"/>
    <w:rsid w:val="004C2E6D"/>
    <w:rsid w:val="004C4533"/>
    <w:rsid w:val="004C486B"/>
    <w:rsid w:val="004C48AE"/>
    <w:rsid w:val="004C4989"/>
    <w:rsid w:val="004C4FA7"/>
    <w:rsid w:val="004C60CD"/>
    <w:rsid w:val="004C7521"/>
    <w:rsid w:val="004D00C9"/>
    <w:rsid w:val="004D037F"/>
    <w:rsid w:val="004D1DC0"/>
    <w:rsid w:val="004D2A14"/>
    <w:rsid w:val="004D3029"/>
    <w:rsid w:val="004D34B3"/>
    <w:rsid w:val="004D3AC7"/>
    <w:rsid w:val="004D4F34"/>
    <w:rsid w:val="004D4FC2"/>
    <w:rsid w:val="004D51AF"/>
    <w:rsid w:val="004D5799"/>
    <w:rsid w:val="004D633B"/>
    <w:rsid w:val="004D6482"/>
    <w:rsid w:val="004D6570"/>
    <w:rsid w:val="004D6FEE"/>
    <w:rsid w:val="004D7855"/>
    <w:rsid w:val="004D79F0"/>
    <w:rsid w:val="004D7D32"/>
    <w:rsid w:val="004D7DA5"/>
    <w:rsid w:val="004E241D"/>
    <w:rsid w:val="004E243D"/>
    <w:rsid w:val="004E249B"/>
    <w:rsid w:val="004E3382"/>
    <w:rsid w:val="004E33A0"/>
    <w:rsid w:val="004E342A"/>
    <w:rsid w:val="004E3E01"/>
    <w:rsid w:val="004E3E30"/>
    <w:rsid w:val="004E571C"/>
    <w:rsid w:val="004E5FE1"/>
    <w:rsid w:val="004E6015"/>
    <w:rsid w:val="004E6951"/>
    <w:rsid w:val="004E6961"/>
    <w:rsid w:val="004E6B31"/>
    <w:rsid w:val="004E6C47"/>
    <w:rsid w:val="004E6CC7"/>
    <w:rsid w:val="004E71D8"/>
    <w:rsid w:val="004E72A6"/>
    <w:rsid w:val="004E738F"/>
    <w:rsid w:val="004E7435"/>
    <w:rsid w:val="004E74C3"/>
    <w:rsid w:val="004E77A6"/>
    <w:rsid w:val="004E79E5"/>
    <w:rsid w:val="004F1012"/>
    <w:rsid w:val="004F1F0F"/>
    <w:rsid w:val="004F2401"/>
    <w:rsid w:val="004F2C7E"/>
    <w:rsid w:val="004F356C"/>
    <w:rsid w:val="004F3E75"/>
    <w:rsid w:val="004F3FCE"/>
    <w:rsid w:val="004F41E3"/>
    <w:rsid w:val="004F4A2D"/>
    <w:rsid w:val="004F4AA2"/>
    <w:rsid w:val="004F61C2"/>
    <w:rsid w:val="004F69BE"/>
    <w:rsid w:val="004F7035"/>
    <w:rsid w:val="004F7FDE"/>
    <w:rsid w:val="005009DC"/>
    <w:rsid w:val="005009DD"/>
    <w:rsid w:val="005009F2"/>
    <w:rsid w:val="00500E20"/>
    <w:rsid w:val="005014E9"/>
    <w:rsid w:val="00501574"/>
    <w:rsid w:val="0050182D"/>
    <w:rsid w:val="00503148"/>
    <w:rsid w:val="005031A2"/>
    <w:rsid w:val="00503B1E"/>
    <w:rsid w:val="00503E88"/>
    <w:rsid w:val="00504385"/>
    <w:rsid w:val="0050457A"/>
    <w:rsid w:val="00504747"/>
    <w:rsid w:val="005049E6"/>
    <w:rsid w:val="00504E82"/>
    <w:rsid w:val="005101D1"/>
    <w:rsid w:val="005102C4"/>
    <w:rsid w:val="005105CE"/>
    <w:rsid w:val="00510C1D"/>
    <w:rsid w:val="00510E77"/>
    <w:rsid w:val="0051156F"/>
    <w:rsid w:val="0051255D"/>
    <w:rsid w:val="00512660"/>
    <w:rsid w:val="00512ABE"/>
    <w:rsid w:val="0051344C"/>
    <w:rsid w:val="005136E1"/>
    <w:rsid w:val="005155BE"/>
    <w:rsid w:val="00515878"/>
    <w:rsid w:val="00515CB5"/>
    <w:rsid w:val="00516AF9"/>
    <w:rsid w:val="005171AE"/>
    <w:rsid w:val="0051749D"/>
    <w:rsid w:val="005200A5"/>
    <w:rsid w:val="005204D1"/>
    <w:rsid w:val="00521743"/>
    <w:rsid w:val="00521F5C"/>
    <w:rsid w:val="005229BB"/>
    <w:rsid w:val="00522E2B"/>
    <w:rsid w:val="00523B12"/>
    <w:rsid w:val="00524184"/>
    <w:rsid w:val="005252DE"/>
    <w:rsid w:val="0052637E"/>
    <w:rsid w:val="00527145"/>
    <w:rsid w:val="00527896"/>
    <w:rsid w:val="00530725"/>
    <w:rsid w:val="00530E88"/>
    <w:rsid w:val="00531549"/>
    <w:rsid w:val="00531CE8"/>
    <w:rsid w:val="00532389"/>
    <w:rsid w:val="00532E07"/>
    <w:rsid w:val="005332C7"/>
    <w:rsid w:val="005339D3"/>
    <w:rsid w:val="0053681C"/>
    <w:rsid w:val="0053739A"/>
    <w:rsid w:val="005375FC"/>
    <w:rsid w:val="0053760A"/>
    <w:rsid w:val="005377CB"/>
    <w:rsid w:val="00537AE6"/>
    <w:rsid w:val="005401DD"/>
    <w:rsid w:val="00542BD2"/>
    <w:rsid w:val="00542E85"/>
    <w:rsid w:val="00543296"/>
    <w:rsid w:val="00543B4F"/>
    <w:rsid w:val="00544264"/>
    <w:rsid w:val="0054486D"/>
    <w:rsid w:val="005467D2"/>
    <w:rsid w:val="00547112"/>
    <w:rsid w:val="005476F2"/>
    <w:rsid w:val="00547CCC"/>
    <w:rsid w:val="005501D0"/>
    <w:rsid w:val="0055031F"/>
    <w:rsid w:val="005512B8"/>
    <w:rsid w:val="005525C4"/>
    <w:rsid w:val="005529BF"/>
    <w:rsid w:val="00552EF6"/>
    <w:rsid w:val="00554189"/>
    <w:rsid w:val="00554330"/>
    <w:rsid w:val="00554B77"/>
    <w:rsid w:val="005553C1"/>
    <w:rsid w:val="00555DB1"/>
    <w:rsid w:val="005560F3"/>
    <w:rsid w:val="0055618D"/>
    <w:rsid w:val="005561C7"/>
    <w:rsid w:val="005567B0"/>
    <w:rsid w:val="005600C3"/>
    <w:rsid w:val="0056027C"/>
    <w:rsid w:val="005602AF"/>
    <w:rsid w:val="00560A1C"/>
    <w:rsid w:val="0056127C"/>
    <w:rsid w:val="005617BA"/>
    <w:rsid w:val="00561BC8"/>
    <w:rsid w:val="00562733"/>
    <w:rsid w:val="00565D7A"/>
    <w:rsid w:val="005660EE"/>
    <w:rsid w:val="00570E30"/>
    <w:rsid w:val="00571290"/>
    <w:rsid w:val="00571482"/>
    <w:rsid w:val="00572670"/>
    <w:rsid w:val="005726C7"/>
    <w:rsid w:val="00572BCA"/>
    <w:rsid w:val="00572E49"/>
    <w:rsid w:val="00572F8B"/>
    <w:rsid w:val="00573411"/>
    <w:rsid w:val="005735FE"/>
    <w:rsid w:val="005740AB"/>
    <w:rsid w:val="005746F2"/>
    <w:rsid w:val="00574863"/>
    <w:rsid w:val="00574F10"/>
    <w:rsid w:val="0057518B"/>
    <w:rsid w:val="00576880"/>
    <w:rsid w:val="0057725D"/>
    <w:rsid w:val="005801AE"/>
    <w:rsid w:val="00580322"/>
    <w:rsid w:val="005806AB"/>
    <w:rsid w:val="005818C6"/>
    <w:rsid w:val="0058219A"/>
    <w:rsid w:val="005822A3"/>
    <w:rsid w:val="00582CEE"/>
    <w:rsid w:val="0058407A"/>
    <w:rsid w:val="00584270"/>
    <w:rsid w:val="0058445C"/>
    <w:rsid w:val="00584650"/>
    <w:rsid w:val="00584F19"/>
    <w:rsid w:val="005854CA"/>
    <w:rsid w:val="005865DC"/>
    <w:rsid w:val="005865E6"/>
    <w:rsid w:val="005866F3"/>
    <w:rsid w:val="00586954"/>
    <w:rsid w:val="005873F4"/>
    <w:rsid w:val="005903E6"/>
    <w:rsid w:val="0059061C"/>
    <w:rsid w:val="00590A23"/>
    <w:rsid w:val="00590AE5"/>
    <w:rsid w:val="00590B11"/>
    <w:rsid w:val="0059184F"/>
    <w:rsid w:val="00591C4E"/>
    <w:rsid w:val="00592438"/>
    <w:rsid w:val="0059472B"/>
    <w:rsid w:val="005947C5"/>
    <w:rsid w:val="00594B54"/>
    <w:rsid w:val="00594E96"/>
    <w:rsid w:val="00595095"/>
    <w:rsid w:val="005953F8"/>
    <w:rsid w:val="00595A48"/>
    <w:rsid w:val="005970B8"/>
    <w:rsid w:val="005971D6"/>
    <w:rsid w:val="005979FF"/>
    <w:rsid w:val="00597C55"/>
    <w:rsid w:val="00597D04"/>
    <w:rsid w:val="00597FC1"/>
    <w:rsid w:val="00597FF0"/>
    <w:rsid w:val="005A06B1"/>
    <w:rsid w:val="005A0D7F"/>
    <w:rsid w:val="005A0F56"/>
    <w:rsid w:val="005A19EF"/>
    <w:rsid w:val="005A1A42"/>
    <w:rsid w:val="005A2152"/>
    <w:rsid w:val="005A2331"/>
    <w:rsid w:val="005A24DF"/>
    <w:rsid w:val="005A2A5D"/>
    <w:rsid w:val="005A2AEC"/>
    <w:rsid w:val="005A308B"/>
    <w:rsid w:val="005A3FAD"/>
    <w:rsid w:val="005A4479"/>
    <w:rsid w:val="005A4A80"/>
    <w:rsid w:val="005A6502"/>
    <w:rsid w:val="005A655E"/>
    <w:rsid w:val="005A70D4"/>
    <w:rsid w:val="005A75D2"/>
    <w:rsid w:val="005B01A6"/>
    <w:rsid w:val="005B0B3F"/>
    <w:rsid w:val="005B137E"/>
    <w:rsid w:val="005B16E5"/>
    <w:rsid w:val="005B20C6"/>
    <w:rsid w:val="005B248F"/>
    <w:rsid w:val="005B2696"/>
    <w:rsid w:val="005B373A"/>
    <w:rsid w:val="005B5187"/>
    <w:rsid w:val="005B57F4"/>
    <w:rsid w:val="005B5B76"/>
    <w:rsid w:val="005B638C"/>
    <w:rsid w:val="005B6A3D"/>
    <w:rsid w:val="005C012A"/>
    <w:rsid w:val="005C055E"/>
    <w:rsid w:val="005C05DC"/>
    <w:rsid w:val="005C12B5"/>
    <w:rsid w:val="005C2E53"/>
    <w:rsid w:val="005C30AF"/>
    <w:rsid w:val="005C3191"/>
    <w:rsid w:val="005C364A"/>
    <w:rsid w:val="005C4572"/>
    <w:rsid w:val="005C4836"/>
    <w:rsid w:val="005C487D"/>
    <w:rsid w:val="005C4F48"/>
    <w:rsid w:val="005C608A"/>
    <w:rsid w:val="005C7C49"/>
    <w:rsid w:val="005D0112"/>
    <w:rsid w:val="005D0447"/>
    <w:rsid w:val="005D2D67"/>
    <w:rsid w:val="005D314A"/>
    <w:rsid w:val="005D322C"/>
    <w:rsid w:val="005D39C9"/>
    <w:rsid w:val="005D53F9"/>
    <w:rsid w:val="005D5644"/>
    <w:rsid w:val="005D625A"/>
    <w:rsid w:val="005D63B1"/>
    <w:rsid w:val="005D7FF4"/>
    <w:rsid w:val="005E00D4"/>
    <w:rsid w:val="005E019D"/>
    <w:rsid w:val="005E04CD"/>
    <w:rsid w:val="005E1ECB"/>
    <w:rsid w:val="005E2EDD"/>
    <w:rsid w:val="005E348D"/>
    <w:rsid w:val="005E34FB"/>
    <w:rsid w:val="005E3E35"/>
    <w:rsid w:val="005E41C3"/>
    <w:rsid w:val="005E688F"/>
    <w:rsid w:val="005E78D5"/>
    <w:rsid w:val="005E7E1F"/>
    <w:rsid w:val="005E7F4A"/>
    <w:rsid w:val="005F0C7D"/>
    <w:rsid w:val="005F1ABF"/>
    <w:rsid w:val="005F3016"/>
    <w:rsid w:val="005F32E5"/>
    <w:rsid w:val="005F3B83"/>
    <w:rsid w:val="005F4F50"/>
    <w:rsid w:val="005F5332"/>
    <w:rsid w:val="005F536A"/>
    <w:rsid w:val="005F594F"/>
    <w:rsid w:val="005F7022"/>
    <w:rsid w:val="005F7129"/>
    <w:rsid w:val="006000ED"/>
    <w:rsid w:val="00602EB8"/>
    <w:rsid w:val="00604036"/>
    <w:rsid w:val="00604156"/>
    <w:rsid w:val="00604E2F"/>
    <w:rsid w:val="00605D9C"/>
    <w:rsid w:val="00606D24"/>
    <w:rsid w:val="00607400"/>
    <w:rsid w:val="0060785E"/>
    <w:rsid w:val="006102E2"/>
    <w:rsid w:val="006104C8"/>
    <w:rsid w:val="00610997"/>
    <w:rsid w:val="00611B9E"/>
    <w:rsid w:val="00611CD3"/>
    <w:rsid w:val="006129D7"/>
    <w:rsid w:val="006133BA"/>
    <w:rsid w:val="006148B8"/>
    <w:rsid w:val="006157E9"/>
    <w:rsid w:val="006159EC"/>
    <w:rsid w:val="00615D52"/>
    <w:rsid w:val="006163A8"/>
    <w:rsid w:val="00616B07"/>
    <w:rsid w:val="0061787F"/>
    <w:rsid w:val="0062127A"/>
    <w:rsid w:val="006212F1"/>
    <w:rsid w:val="00621518"/>
    <w:rsid w:val="006223D0"/>
    <w:rsid w:val="00624197"/>
    <w:rsid w:val="0062468B"/>
    <w:rsid w:val="00625699"/>
    <w:rsid w:val="00627020"/>
    <w:rsid w:val="00627807"/>
    <w:rsid w:val="00627EE9"/>
    <w:rsid w:val="00630917"/>
    <w:rsid w:val="0063093A"/>
    <w:rsid w:val="00631483"/>
    <w:rsid w:val="00631A7A"/>
    <w:rsid w:val="00632008"/>
    <w:rsid w:val="00632B5D"/>
    <w:rsid w:val="00632C9C"/>
    <w:rsid w:val="006330F2"/>
    <w:rsid w:val="0063362F"/>
    <w:rsid w:val="00633839"/>
    <w:rsid w:val="0063390F"/>
    <w:rsid w:val="00634012"/>
    <w:rsid w:val="00634B54"/>
    <w:rsid w:val="00634D5A"/>
    <w:rsid w:val="006360DF"/>
    <w:rsid w:val="006362BF"/>
    <w:rsid w:val="00636AEB"/>
    <w:rsid w:val="00636C59"/>
    <w:rsid w:val="0063727B"/>
    <w:rsid w:val="00641B9F"/>
    <w:rsid w:val="00641F87"/>
    <w:rsid w:val="00642368"/>
    <w:rsid w:val="00642768"/>
    <w:rsid w:val="00642849"/>
    <w:rsid w:val="006439DE"/>
    <w:rsid w:val="0064415D"/>
    <w:rsid w:val="00644B56"/>
    <w:rsid w:val="006454F3"/>
    <w:rsid w:val="00645894"/>
    <w:rsid w:val="00646861"/>
    <w:rsid w:val="00647A45"/>
    <w:rsid w:val="00647BB4"/>
    <w:rsid w:val="0065021B"/>
    <w:rsid w:val="0065092E"/>
    <w:rsid w:val="00650968"/>
    <w:rsid w:val="00650B41"/>
    <w:rsid w:val="00650E5A"/>
    <w:rsid w:val="0065315A"/>
    <w:rsid w:val="006531B4"/>
    <w:rsid w:val="00654359"/>
    <w:rsid w:val="00655044"/>
    <w:rsid w:val="00655411"/>
    <w:rsid w:val="00655C2A"/>
    <w:rsid w:val="006562AE"/>
    <w:rsid w:val="006562DB"/>
    <w:rsid w:val="0065652D"/>
    <w:rsid w:val="0065683B"/>
    <w:rsid w:val="00656FBB"/>
    <w:rsid w:val="00657EFF"/>
    <w:rsid w:val="00657F8B"/>
    <w:rsid w:val="00660CE0"/>
    <w:rsid w:val="00662B6D"/>
    <w:rsid w:val="0066313B"/>
    <w:rsid w:val="00663B39"/>
    <w:rsid w:val="00664479"/>
    <w:rsid w:val="00664AB5"/>
    <w:rsid w:val="00664BAE"/>
    <w:rsid w:val="006652FC"/>
    <w:rsid w:val="00665C8B"/>
    <w:rsid w:val="00666D1C"/>
    <w:rsid w:val="00666D44"/>
    <w:rsid w:val="00666E80"/>
    <w:rsid w:val="006703C4"/>
    <w:rsid w:val="00670F48"/>
    <w:rsid w:val="00670FAA"/>
    <w:rsid w:val="00671ECA"/>
    <w:rsid w:val="00672FBD"/>
    <w:rsid w:val="0067331B"/>
    <w:rsid w:val="00673DAC"/>
    <w:rsid w:val="006742C1"/>
    <w:rsid w:val="006745C8"/>
    <w:rsid w:val="00674B1D"/>
    <w:rsid w:val="0067704B"/>
    <w:rsid w:val="0067712B"/>
    <w:rsid w:val="00677140"/>
    <w:rsid w:val="0067761E"/>
    <w:rsid w:val="00680760"/>
    <w:rsid w:val="006809C1"/>
    <w:rsid w:val="00680A9B"/>
    <w:rsid w:val="00681231"/>
    <w:rsid w:val="00681436"/>
    <w:rsid w:val="00681F3B"/>
    <w:rsid w:val="00682889"/>
    <w:rsid w:val="0068356A"/>
    <w:rsid w:val="0068392D"/>
    <w:rsid w:val="00685625"/>
    <w:rsid w:val="00685641"/>
    <w:rsid w:val="00686029"/>
    <w:rsid w:val="00686128"/>
    <w:rsid w:val="006871FB"/>
    <w:rsid w:val="00690D8C"/>
    <w:rsid w:val="00691995"/>
    <w:rsid w:val="00692372"/>
    <w:rsid w:val="00692E71"/>
    <w:rsid w:val="00693B00"/>
    <w:rsid w:val="00693E9C"/>
    <w:rsid w:val="006941E7"/>
    <w:rsid w:val="006945C4"/>
    <w:rsid w:val="006949DA"/>
    <w:rsid w:val="00694D66"/>
    <w:rsid w:val="00695127"/>
    <w:rsid w:val="006953AA"/>
    <w:rsid w:val="006965C0"/>
    <w:rsid w:val="00696C2B"/>
    <w:rsid w:val="00696CA3"/>
    <w:rsid w:val="0069761B"/>
    <w:rsid w:val="00697955"/>
    <w:rsid w:val="00697D3B"/>
    <w:rsid w:val="00697E08"/>
    <w:rsid w:val="006A00B7"/>
    <w:rsid w:val="006A0546"/>
    <w:rsid w:val="006A1623"/>
    <w:rsid w:val="006A1704"/>
    <w:rsid w:val="006A34FC"/>
    <w:rsid w:val="006A38AF"/>
    <w:rsid w:val="006A3ABE"/>
    <w:rsid w:val="006A3DC2"/>
    <w:rsid w:val="006A3E46"/>
    <w:rsid w:val="006A3E6E"/>
    <w:rsid w:val="006A499C"/>
    <w:rsid w:val="006A5D9A"/>
    <w:rsid w:val="006A634A"/>
    <w:rsid w:val="006B0941"/>
    <w:rsid w:val="006B0E73"/>
    <w:rsid w:val="006B0F65"/>
    <w:rsid w:val="006B12A8"/>
    <w:rsid w:val="006B1C93"/>
    <w:rsid w:val="006B1E43"/>
    <w:rsid w:val="006B25C9"/>
    <w:rsid w:val="006B2A2C"/>
    <w:rsid w:val="006B2C71"/>
    <w:rsid w:val="006B3C7F"/>
    <w:rsid w:val="006B4C06"/>
    <w:rsid w:val="006B4C58"/>
    <w:rsid w:val="006B5037"/>
    <w:rsid w:val="006B56AF"/>
    <w:rsid w:val="006B6B48"/>
    <w:rsid w:val="006B6D14"/>
    <w:rsid w:val="006B7BF8"/>
    <w:rsid w:val="006C00D1"/>
    <w:rsid w:val="006C07EE"/>
    <w:rsid w:val="006C0DF6"/>
    <w:rsid w:val="006C14E6"/>
    <w:rsid w:val="006C167E"/>
    <w:rsid w:val="006C2875"/>
    <w:rsid w:val="006C3C21"/>
    <w:rsid w:val="006C4430"/>
    <w:rsid w:val="006C493F"/>
    <w:rsid w:val="006C4A99"/>
    <w:rsid w:val="006C5993"/>
    <w:rsid w:val="006C5BBF"/>
    <w:rsid w:val="006C6B16"/>
    <w:rsid w:val="006C7F95"/>
    <w:rsid w:val="006D00F8"/>
    <w:rsid w:val="006D1325"/>
    <w:rsid w:val="006D1510"/>
    <w:rsid w:val="006D1BC2"/>
    <w:rsid w:val="006D1C0D"/>
    <w:rsid w:val="006D28CC"/>
    <w:rsid w:val="006D3D9E"/>
    <w:rsid w:val="006D421E"/>
    <w:rsid w:val="006D50D6"/>
    <w:rsid w:val="006D52A3"/>
    <w:rsid w:val="006D6306"/>
    <w:rsid w:val="006D650C"/>
    <w:rsid w:val="006D735A"/>
    <w:rsid w:val="006D763A"/>
    <w:rsid w:val="006E00D3"/>
    <w:rsid w:val="006E0DE2"/>
    <w:rsid w:val="006E0E69"/>
    <w:rsid w:val="006E1B34"/>
    <w:rsid w:val="006E1D72"/>
    <w:rsid w:val="006E3724"/>
    <w:rsid w:val="006E42DD"/>
    <w:rsid w:val="006E47C4"/>
    <w:rsid w:val="006E5112"/>
    <w:rsid w:val="006E5193"/>
    <w:rsid w:val="006E5E23"/>
    <w:rsid w:val="006F0072"/>
    <w:rsid w:val="006F05F0"/>
    <w:rsid w:val="006F0BBD"/>
    <w:rsid w:val="006F0C22"/>
    <w:rsid w:val="006F1426"/>
    <w:rsid w:val="006F1ACE"/>
    <w:rsid w:val="006F1D76"/>
    <w:rsid w:val="006F26D7"/>
    <w:rsid w:val="006F3D31"/>
    <w:rsid w:val="006F51F7"/>
    <w:rsid w:val="006F566E"/>
    <w:rsid w:val="006F5CED"/>
    <w:rsid w:val="006F67FF"/>
    <w:rsid w:val="006F6E37"/>
    <w:rsid w:val="006F700D"/>
    <w:rsid w:val="006F7F40"/>
    <w:rsid w:val="0070131A"/>
    <w:rsid w:val="00701A51"/>
    <w:rsid w:val="00701C40"/>
    <w:rsid w:val="00702249"/>
    <w:rsid w:val="00702531"/>
    <w:rsid w:val="007033DB"/>
    <w:rsid w:val="00703774"/>
    <w:rsid w:val="00704761"/>
    <w:rsid w:val="00704989"/>
    <w:rsid w:val="007051D0"/>
    <w:rsid w:val="00705644"/>
    <w:rsid w:val="00705DDE"/>
    <w:rsid w:val="00706415"/>
    <w:rsid w:val="0070641D"/>
    <w:rsid w:val="007070AB"/>
    <w:rsid w:val="00710224"/>
    <w:rsid w:val="0071027D"/>
    <w:rsid w:val="00710615"/>
    <w:rsid w:val="007108A1"/>
    <w:rsid w:val="007108EC"/>
    <w:rsid w:val="00711359"/>
    <w:rsid w:val="00711BBF"/>
    <w:rsid w:val="00712803"/>
    <w:rsid w:val="00712D93"/>
    <w:rsid w:val="007130C7"/>
    <w:rsid w:val="0071316C"/>
    <w:rsid w:val="00713275"/>
    <w:rsid w:val="00713453"/>
    <w:rsid w:val="007134A8"/>
    <w:rsid w:val="00713DCA"/>
    <w:rsid w:val="00714784"/>
    <w:rsid w:val="007164F1"/>
    <w:rsid w:val="00716B07"/>
    <w:rsid w:val="007170A9"/>
    <w:rsid w:val="007176E5"/>
    <w:rsid w:val="007179AC"/>
    <w:rsid w:val="00720378"/>
    <w:rsid w:val="0072086B"/>
    <w:rsid w:val="00720B77"/>
    <w:rsid w:val="00721350"/>
    <w:rsid w:val="00721B60"/>
    <w:rsid w:val="00721E92"/>
    <w:rsid w:val="007221B4"/>
    <w:rsid w:val="0072228B"/>
    <w:rsid w:val="0072269F"/>
    <w:rsid w:val="00722E8C"/>
    <w:rsid w:val="00723C18"/>
    <w:rsid w:val="00723C55"/>
    <w:rsid w:val="00724435"/>
    <w:rsid w:val="00725175"/>
    <w:rsid w:val="00726368"/>
    <w:rsid w:val="00726A18"/>
    <w:rsid w:val="007271D0"/>
    <w:rsid w:val="007273EC"/>
    <w:rsid w:val="00727FFA"/>
    <w:rsid w:val="00730479"/>
    <w:rsid w:val="00730BAD"/>
    <w:rsid w:val="00730BF8"/>
    <w:rsid w:val="007316CD"/>
    <w:rsid w:val="007336B0"/>
    <w:rsid w:val="00733B9B"/>
    <w:rsid w:val="007342EB"/>
    <w:rsid w:val="00734CB1"/>
    <w:rsid w:val="007358AD"/>
    <w:rsid w:val="00735DC6"/>
    <w:rsid w:val="00736653"/>
    <w:rsid w:val="007368AC"/>
    <w:rsid w:val="007374AD"/>
    <w:rsid w:val="00737F75"/>
    <w:rsid w:val="007407B4"/>
    <w:rsid w:val="00740A4D"/>
    <w:rsid w:val="00740DA2"/>
    <w:rsid w:val="00741027"/>
    <w:rsid w:val="00742E89"/>
    <w:rsid w:val="0074359A"/>
    <w:rsid w:val="00744892"/>
    <w:rsid w:val="00744F69"/>
    <w:rsid w:val="0074507B"/>
    <w:rsid w:val="00745992"/>
    <w:rsid w:val="00745A5B"/>
    <w:rsid w:val="00745AC2"/>
    <w:rsid w:val="00746247"/>
    <w:rsid w:val="007462BF"/>
    <w:rsid w:val="00747632"/>
    <w:rsid w:val="00747C75"/>
    <w:rsid w:val="00747D30"/>
    <w:rsid w:val="0075029C"/>
    <w:rsid w:val="00750B3D"/>
    <w:rsid w:val="00751354"/>
    <w:rsid w:val="007515E5"/>
    <w:rsid w:val="00751A3B"/>
    <w:rsid w:val="00753516"/>
    <w:rsid w:val="00754A8F"/>
    <w:rsid w:val="00754EC5"/>
    <w:rsid w:val="007559D8"/>
    <w:rsid w:val="00756444"/>
    <w:rsid w:val="00757E66"/>
    <w:rsid w:val="007614F2"/>
    <w:rsid w:val="00761E12"/>
    <w:rsid w:val="00762D02"/>
    <w:rsid w:val="0076314B"/>
    <w:rsid w:val="00763FBB"/>
    <w:rsid w:val="007642F0"/>
    <w:rsid w:val="007648B6"/>
    <w:rsid w:val="00765B97"/>
    <w:rsid w:val="00765F71"/>
    <w:rsid w:val="00766301"/>
    <w:rsid w:val="0076653A"/>
    <w:rsid w:val="0076684F"/>
    <w:rsid w:val="00767109"/>
    <w:rsid w:val="00767532"/>
    <w:rsid w:val="00767DBE"/>
    <w:rsid w:val="007704CF"/>
    <w:rsid w:val="00770514"/>
    <w:rsid w:val="00770766"/>
    <w:rsid w:val="007710A4"/>
    <w:rsid w:val="00771322"/>
    <w:rsid w:val="00772046"/>
    <w:rsid w:val="00772B2B"/>
    <w:rsid w:val="00773B22"/>
    <w:rsid w:val="007746DD"/>
    <w:rsid w:val="00775119"/>
    <w:rsid w:val="007757DC"/>
    <w:rsid w:val="00775A50"/>
    <w:rsid w:val="00776136"/>
    <w:rsid w:val="00776D19"/>
    <w:rsid w:val="0077799C"/>
    <w:rsid w:val="00777D73"/>
    <w:rsid w:val="0078087C"/>
    <w:rsid w:val="00781241"/>
    <w:rsid w:val="007813D6"/>
    <w:rsid w:val="00781459"/>
    <w:rsid w:val="00781BD8"/>
    <w:rsid w:val="00781DF4"/>
    <w:rsid w:val="00782485"/>
    <w:rsid w:val="00783178"/>
    <w:rsid w:val="007836E1"/>
    <w:rsid w:val="00783911"/>
    <w:rsid w:val="00783931"/>
    <w:rsid w:val="00783BDE"/>
    <w:rsid w:val="00784271"/>
    <w:rsid w:val="00784BF1"/>
    <w:rsid w:val="00785297"/>
    <w:rsid w:val="007871A2"/>
    <w:rsid w:val="007871ED"/>
    <w:rsid w:val="0078777E"/>
    <w:rsid w:val="007902BD"/>
    <w:rsid w:val="0079164F"/>
    <w:rsid w:val="0079183B"/>
    <w:rsid w:val="0079235B"/>
    <w:rsid w:val="00792B83"/>
    <w:rsid w:val="00793331"/>
    <w:rsid w:val="0079382B"/>
    <w:rsid w:val="00793B35"/>
    <w:rsid w:val="007948D7"/>
    <w:rsid w:val="00794ADF"/>
    <w:rsid w:val="00795ACF"/>
    <w:rsid w:val="00796A9A"/>
    <w:rsid w:val="00796FD1"/>
    <w:rsid w:val="007974AF"/>
    <w:rsid w:val="007A0E4A"/>
    <w:rsid w:val="007A1669"/>
    <w:rsid w:val="007A194C"/>
    <w:rsid w:val="007A2CCF"/>
    <w:rsid w:val="007A3A88"/>
    <w:rsid w:val="007A4DB6"/>
    <w:rsid w:val="007A5660"/>
    <w:rsid w:val="007A6574"/>
    <w:rsid w:val="007A67AC"/>
    <w:rsid w:val="007A6EA1"/>
    <w:rsid w:val="007A74D2"/>
    <w:rsid w:val="007A7A6E"/>
    <w:rsid w:val="007B01D3"/>
    <w:rsid w:val="007B03E5"/>
    <w:rsid w:val="007B097D"/>
    <w:rsid w:val="007B0A6B"/>
    <w:rsid w:val="007B206A"/>
    <w:rsid w:val="007B248E"/>
    <w:rsid w:val="007B255D"/>
    <w:rsid w:val="007B2AFC"/>
    <w:rsid w:val="007B31A0"/>
    <w:rsid w:val="007B35EB"/>
    <w:rsid w:val="007B4BEF"/>
    <w:rsid w:val="007B4F7B"/>
    <w:rsid w:val="007B5A33"/>
    <w:rsid w:val="007B6164"/>
    <w:rsid w:val="007B654A"/>
    <w:rsid w:val="007B7256"/>
    <w:rsid w:val="007B797D"/>
    <w:rsid w:val="007C035A"/>
    <w:rsid w:val="007C152D"/>
    <w:rsid w:val="007C217A"/>
    <w:rsid w:val="007C2423"/>
    <w:rsid w:val="007C2BE6"/>
    <w:rsid w:val="007C3140"/>
    <w:rsid w:val="007C3660"/>
    <w:rsid w:val="007C39BF"/>
    <w:rsid w:val="007C3C03"/>
    <w:rsid w:val="007C413A"/>
    <w:rsid w:val="007C57F0"/>
    <w:rsid w:val="007C5AC0"/>
    <w:rsid w:val="007C6AC8"/>
    <w:rsid w:val="007D0497"/>
    <w:rsid w:val="007D1250"/>
    <w:rsid w:val="007D14EC"/>
    <w:rsid w:val="007D14EF"/>
    <w:rsid w:val="007D285D"/>
    <w:rsid w:val="007D2E91"/>
    <w:rsid w:val="007D3AB2"/>
    <w:rsid w:val="007D4E32"/>
    <w:rsid w:val="007D52F9"/>
    <w:rsid w:val="007D54BA"/>
    <w:rsid w:val="007D551F"/>
    <w:rsid w:val="007D6FDC"/>
    <w:rsid w:val="007D7BAC"/>
    <w:rsid w:val="007E0F72"/>
    <w:rsid w:val="007E12EF"/>
    <w:rsid w:val="007E1341"/>
    <w:rsid w:val="007E24AA"/>
    <w:rsid w:val="007E27CD"/>
    <w:rsid w:val="007E2820"/>
    <w:rsid w:val="007E2FF7"/>
    <w:rsid w:val="007E3363"/>
    <w:rsid w:val="007E4985"/>
    <w:rsid w:val="007E4A6A"/>
    <w:rsid w:val="007E4ADD"/>
    <w:rsid w:val="007E529D"/>
    <w:rsid w:val="007E5A9C"/>
    <w:rsid w:val="007E6313"/>
    <w:rsid w:val="007E730F"/>
    <w:rsid w:val="007E7525"/>
    <w:rsid w:val="007E7D09"/>
    <w:rsid w:val="007F06E8"/>
    <w:rsid w:val="007F0ADB"/>
    <w:rsid w:val="007F2E6B"/>
    <w:rsid w:val="007F316C"/>
    <w:rsid w:val="007F3877"/>
    <w:rsid w:val="007F47EF"/>
    <w:rsid w:val="007F5260"/>
    <w:rsid w:val="007F661B"/>
    <w:rsid w:val="007F68E8"/>
    <w:rsid w:val="007F6AF9"/>
    <w:rsid w:val="007F71ED"/>
    <w:rsid w:val="007F7D7C"/>
    <w:rsid w:val="0080001F"/>
    <w:rsid w:val="00800909"/>
    <w:rsid w:val="00800EA3"/>
    <w:rsid w:val="008015F6"/>
    <w:rsid w:val="00801785"/>
    <w:rsid w:val="00801826"/>
    <w:rsid w:val="008021C0"/>
    <w:rsid w:val="008021C8"/>
    <w:rsid w:val="00802203"/>
    <w:rsid w:val="0080267F"/>
    <w:rsid w:val="0080270C"/>
    <w:rsid w:val="00802BFE"/>
    <w:rsid w:val="00802D6F"/>
    <w:rsid w:val="00804A1D"/>
    <w:rsid w:val="00804DE5"/>
    <w:rsid w:val="0080514A"/>
    <w:rsid w:val="00805286"/>
    <w:rsid w:val="00805AB9"/>
    <w:rsid w:val="00805ACB"/>
    <w:rsid w:val="00805BC8"/>
    <w:rsid w:val="00805C14"/>
    <w:rsid w:val="00805E7A"/>
    <w:rsid w:val="00806A36"/>
    <w:rsid w:val="00806DD9"/>
    <w:rsid w:val="00807972"/>
    <w:rsid w:val="00807B54"/>
    <w:rsid w:val="008103F7"/>
    <w:rsid w:val="00810B26"/>
    <w:rsid w:val="00811022"/>
    <w:rsid w:val="008117FC"/>
    <w:rsid w:val="00811E34"/>
    <w:rsid w:val="00812BBC"/>
    <w:rsid w:val="008133F7"/>
    <w:rsid w:val="008136BF"/>
    <w:rsid w:val="00813D87"/>
    <w:rsid w:val="0081432A"/>
    <w:rsid w:val="008143AC"/>
    <w:rsid w:val="00814741"/>
    <w:rsid w:val="0081484F"/>
    <w:rsid w:val="00814A62"/>
    <w:rsid w:val="00814EE1"/>
    <w:rsid w:val="00816022"/>
    <w:rsid w:val="0081652A"/>
    <w:rsid w:val="00817B06"/>
    <w:rsid w:val="00817F0F"/>
    <w:rsid w:val="00820853"/>
    <w:rsid w:val="00820C3D"/>
    <w:rsid w:val="008213A4"/>
    <w:rsid w:val="00821646"/>
    <w:rsid w:val="0082177A"/>
    <w:rsid w:val="008219E7"/>
    <w:rsid w:val="008228F0"/>
    <w:rsid w:val="0082441F"/>
    <w:rsid w:val="00824E70"/>
    <w:rsid w:val="00824ED2"/>
    <w:rsid w:val="00824FCE"/>
    <w:rsid w:val="00825480"/>
    <w:rsid w:val="00825BA2"/>
    <w:rsid w:val="00826271"/>
    <w:rsid w:val="0082652A"/>
    <w:rsid w:val="008275E1"/>
    <w:rsid w:val="00827B6D"/>
    <w:rsid w:val="00832FD9"/>
    <w:rsid w:val="008331CF"/>
    <w:rsid w:val="0083385A"/>
    <w:rsid w:val="00833B8D"/>
    <w:rsid w:val="00833E32"/>
    <w:rsid w:val="00834A26"/>
    <w:rsid w:val="008356CC"/>
    <w:rsid w:val="00835CFE"/>
    <w:rsid w:val="00836348"/>
    <w:rsid w:val="00836356"/>
    <w:rsid w:val="00836C33"/>
    <w:rsid w:val="00836CC8"/>
    <w:rsid w:val="00836EF3"/>
    <w:rsid w:val="0083727F"/>
    <w:rsid w:val="008372EA"/>
    <w:rsid w:val="00837807"/>
    <w:rsid w:val="00837BB2"/>
    <w:rsid w:val="008403FE"/>
    <w:rsid w:val="00841225"/>
    <w:rsid w:val="00841CED"/>
    <w:rsid w:val="008425A6"/>
    <w:rsid w:val="008433E0"/>
    <w:rsid w:val="0084342F"/>
    <w:rsid w:val="008434A1"/>
    <w:rsid w:val="00843610"/>
    <w:rsid w:val="00843F09"/>
    <w:rsid w:val="0084560D"/>
    <w:rsid w:val="00845ACB"/>
    <w:rsid w:val="00845E26"/>
    <w:rsid w:val="008460E1"/>
    <w:rsid w:val="008463B0"/>
    <w:rsid w:val="00846776"/>
    <w:rsid w:val="0084750D"/>
    <w:rsid w:val="00847A2E"/>
    <w:rsid w:val="008502A9"/>
    <w:rsid w:val="00850698"/>
    <w:rsid w:val="00850F49"/>
    <w:rsid w:val="00852695"/>
    <w:rsid w:val="008526E4"/>
    <w:rsid w:val="008528EE"/>
    <w:rsid w:val="00852B15"/>
    <w:rsid w:val="00853434"/>
    <w:rsid w:val="00853CE3"/>
    <w:rsid w:val="008548F9"/>
    <w:rsid w:val="00854A49"/>
    <w:rsid w:val="00855B30"/>
    <w:rsid w:val="00855E7D"/>
    <w:rsid w:val="00855E91"/>
    <w:rsid w:val="008561F8"/>
    <w:rsid w:val="008564C4"/>
    <w:rsid w:val="008567A7"/>
    <w:rsid w:val="00856DB8"/>
    <w:rsid w:val="0085730B"/>
    <w:rsid w:val="00857A7A"/>
    <w:rsid w:val="0086091C"/>
    <w:rsid w:val="00861963"/>
    <w:rsid w:val="00861C24"/>
    <w:rsid w:val="008628D5"/>
    <w:rsid w:val="00862BF0"/>
    <w:rsid w:val="00862ECD"/>
    <w:rsid w:val="008630DB"/>
    <w:rsid w:val="00863702"/>
    <w:rsid w:val="0086562B"/>
    <w:rsid w:val="00865D34"/>
    <w:rsid w:val="008672EF"/>
    <w:rsid w:val="00867A56"/>
    <w:rsid w:val="00867D6A"/>
    <w:rsid w:val="0087001A"/>
    <w:rsid w:val="008701AF"/>
    <w:rsid w:val="00870572"/>
    <w:rsid w:val="00871041"/>
    <w:rsid w:val="00871BAF"/>
    <w:rsid w:val="00872CF7"/>
    <w:rsid w:val="00872EF3"/>
    <w:rsid w:val="00873296"/>
    <w:rsid w:val="00873B92"/>
    <w:rsid w:val="00873C38"/>
    <w:rsid w:val="00874185"/>
    <w:rsid w:val="008744BE"/>
    <w:rsid w:val="008748CA"/>
    <w:rsid w:val="00875F53"/>
    <w:rsid w:val="00876BFD"/>
    <w:rsid w:val="00877B72"/>
    <w:rsid w:val="00880128"/>
    <w:rsid w:val="00880A77"/>
    <w:rsid w:val="00881429"/>
    <w:rsid w:val="00881539"/>
    <w:rsid w:val="008819A1"/>
    <w:rsid w:val="00883102"/>
    <w:rsid w:val="00883BE3"/>
    <w:rsid w:val="008842DE"/>
    <w:rsid w:val="0088525E"/>
    <w:rsid w:val="00885F7F"/>
    <w:rsid w:val="00886126"/>
    <w:rsid w:val="008862DE"/>
    <w:rsid w:val="008868E1"/>
    <w:rsid w:val="00886AC4"/>
    <w:rsid w:val="00886CCE"/>
    <w:rsid w:val="00887F03"/>
    <w:rsid w:val="0089029E"/>
    <w:rsid w:val="008907D0"/>
    <w:rsid w:val="00890AFF"/>
    <w:rsid w:val="008921BD"/>
    <w:rsid w:val="00892904"/>
    <w:rsid w:val="00892A2E"/>
    <w:rsid w:val="00892CA1"/>
    <w:rsid w:val="00892E2E"/>
    <w:rsid w:val="0089333D"/>
    <w:rsid w:val="00894643"/>
    <w:rsid w:val="0089464F"/>
    <w:rsid w:val="00895108"/>
    <w:rsid w:val="0089539E"/>
    <w:rsid w:val="00895DE5"/>
    <w:rsid w:val="00895F5F"/>
    <w:rsid w:val="008971D2"/>
    <w:rsid w:val="0089725F"/>
    <w:rsid w:val="00897DCD"/>
    <w:rsid w:val="008A0402"/>
    <w:rsid w:val="008A1AAC"/>
    <w:rsid w:val="008A25DE"/>
    <w:rsid w:val="008A2758"/>
    <w:rsid w:val="008A304D"/>
    <w:rsid w:val="008A3230"/>
    <w:rsid w:val="008A3574"/>
    <w:rsid w:val="008A455A"/>
    <w:rsid w:val="008A4C57"/>
    <w:rsid w:val="008A510D"/>
    <w:rsid w:val="008A625F"/>
    <w:rsid w:val="008A78DA"/>
    <w:rsid w:val="008A7FDD"/>
    <w:rsid w:val="008B03D2"/>
    <w:rsid w:val="008B1581"/>
    <w:rsid w:val="008B1D78"/>
    <w:rsid w:val="008B2736"/>
    <w:rsid w:val="008B2950"/>
    <w:rsid w:val="008B3282"/>
    <w:rsid w:val="008B3350"/>
    <w:rsid w:val="008B3D9F"/>
    <w:rsid w:val="008B456E"/>
    <w:rsid w:val="008B52BA"/>
    <w:rsid w:val="008B532A"/>
    <w:rsid w:val="008B53BE"/>
    <w:rsid w:val="008B5DC3"/>
    <w:rsid w:val="008B5F63"/>
    <w:rsid w:val="008B60DE"/>
    <w:rsid w:val="008B6432"/>
    <w:rsid w:val="008B7B96"/>
    <w:rsid w:val="008B7FC9"/>
    <w:rsid w:val="008C0673"/>
    <w:rsid w:val="008C0976"/>
    <w:rsid w:val="008C1813"/>
    <w:rsid w:val="008C1BE2"/>
    <w:rsid w:val="008C296F"/>
    <w:rsid w:val="008C2C97"/>
    <w:rsid w:val="008C3184"/>
    <w:rsid w:val="008C4682"/>
    <w:rsid w:val="008C527B"/>
    <w:rsid w:val="008C5692"/>
    <w:rsid w:val="008C5EFF"/>
    <w:rsid w:val="008C65BA"/>
    <w:rsid w:val="008C685C"/>
    <w:rsid w:val="008C6B9E"/>
    <w:rsid w:val="008C6E4F"/>
    <w:rsid w:val="008C7210"/>
    <w:rsid w:val="008D08C7"/>
    <w:rsid w:val="008D0DC9"/>
    <w:rsid w:val="008D271A"/>
    <w:rsid w:val="008D2995"/>
    <w:rsid w:val="008D2A95"/>
    <w:rsid w:val="008D346A"/>
    <w:rsid w:val="008D34A1"/>
    <w:rsid w:val="008D36BA"/>
    <w:rsid w:val="008D3A4B"/>
    <w:rsid w:val="008D3BBB"/>
    <w:rsid w:val="008D3BD7"/>
    <w:rsid w:val="008D3E39"/>
    <w:rsid w:val="008D466E"/>
    <w:rsid w:val="008D46E5"/>
    <w:rsid w:val="008D47A7"/>
    <w:rsid w:val="008D5C38"/>
    <w:rsid w:val="008D5F61"/>
    <w:rsid w:val="008D694A"/>
    <w:rsid w:val="008D6BB4"/>
    <w:rsid w:val="008D780F"/>
    <w:rsid w:val="008E0793"/>
    <w:rsid w:val="008E2DBD"/>
    <w:rsid w:val="008E3DC9"/>
    <w:rsid w:val="008E47D5"/>
    <w:rsid w:val="008E55C6"/>
    <w:rsid w:val="008E676C"/>
    <w:rsid w:val="008E7D48"/>
    <w:rsid w:val="008F0DD9"/>
    <w:rsid w:val="008F1A06"/>
    <w:rsid w:val="008F1A4B"/>
    <w:rsid w:val="008F1FBC"/>
    <w:rsid w:val="008F23D5"/>
    <w:rsid w:val="008F258C"/>
    <w:rsid w:val="008F25A4"/>
    <w:rsid w:val="008F3124"/>
    <w:rsid w:val="008F392E"/>
    <w:rsid w:val="008F4B95"/>
    <w:rsid w:val="008F533B"/>
    <w:rsid w:val="008F5F91"/>
    <w:rsid w:val="008F77FF"/>
    <w:rsid w:val="008F7F59"/>
    <w:rsid w:val="009007D4"/>
    <w:rsid w:val="0090081C"/>
    <w:rsid w:val="00900941"/>
    <w:rsid w:val="009011D5"/>
    <w:rsid w:val="009024C0"/>
    <w:rsid w:val="0090256E"/>
    <w:rsid w:val="0090264B"/>
    <w:rsid w:val="0090345B"/>
    <w:rsid w:val="00903879"/>
    <w:rsid w:val="00905737"/>
    <w:rsid w:val="00906020"/>
    <w:rsid w:val="00906290"/>
    <w:rsid w:val="00906599"/>
    <w:rsid w:val="00906897"/>
    <w:rsid w:val="00906939"/>
    <w:rsid w:val="00907357"/>
    <w:rsid w:val="009103B4"/>
    <w:rsid w:val="0091078E"/>
    <w:rsid w:val="00910CD6"/>
    <w:rsid w:val="00911259"/>
    <w:rsid w:val="009112BE"/>
    <w:rsid w:val="0091171D"/>
    <w:rsid w:val="00911F2F"/>
    <w:rsid w:val="00912930"/>
    <w:rsid w:val="009136EE"/>
    <w:rsid w:val="00913A6B"/>
    <w:rsid w:val="00915200"/>
    <w:rsid w:val="00915379"/>
    <w:rsid w:val="0091547D"/>
    <w:rsid w:val="009166D9"/>
    <w:rsid w:val="00916A1B"/>
    <w:rsid w:val="00920290"/>
    <w:rsid w:val="00920B90"/>
    <w:rsid w:val="00920BE3"/>
    <w:rsid w:val="00920C0F"/>
    <w:rsid w:val="00921756"/>
    <w:rsid w:val="009223A8"/>
    <w:rsid w:val="00924170"/>
    <w:rsid w:val="0092498B"/>
    <w:rsid w:val="00924E42"/>
    <w:rsid w:val="009251D5"/>
    <w:rsid w:val="0092548B"/>
    <w:rsid w:val="009258C2"/>
    <w:rsid w:val="00925F33"/>
    <w:rsid w:val="00926855"/>
    <w:rsid w:val="00926B06"/>
    <w:rsid w:val="00927C22"/>
    <w:rsid w:val="00930820"/>
    <w:rsid w:val="009308E5"/>
    <w:rsid w:val="00930BC6"/>
    <w:rsid w:val="00930DAA"/>
    <w:rsid w:val="009311DA"/>
    <w:rsid w:val="00932210"/>
    <w:rsid w:val="00933846"/>
    <w:rsid w:val="00933FC8"/>
    <w:rsid w:val="00935FBF"/>
    <w:rsid w:val="0093639A"/>
    <w:rsid w:val="0093653C"/>
    <w:rsid w:val="00936B09"/>
    <w:rsid w:val="00937250"/>
    <w:rsid w:val="009374B7"/>
    <w:rsid w:val="009374FE"/>
    <w:rsid w:val="009375B4"/>
    <w:rsid w:val="009376FA"/>
    <w:rsid w:val="00937C59"/>
    <w:rsid w:val="00937F7F"/>
    <w:rsid w:val="00940226"/>
    <w:rsid w:val="009411A6"/>
    <w:rsid w:val="00941FE9"/>
    <w:rsid w:val="009422E6"/>
    <w:rsid w:val="0094256E"/>
    <w:rsid w:val="009435A8"/>
    <w:rsid w:val="009445EB"/>
    <w:rsid w:val="00944DE0"/>
    <w:rsid w:val="00944E17"/>
    <w:rsid w:val="00944F70"/>
    <w:rsid w:val="00945149"/>
    <w:rsid w:val="00945D27"/>
    <w:rsid w:val="00950E18"/>
    <w:rsid w:val="00951ABA"/>
    <w:rsid w:val="00951C75"/>
    <w:rsid w:val="00951DE0"/>
    <w:rsid w:val="00951E84"/>
    <w:rsid w:val="00952920"/>
    <w:rsid w:val="00953CC7"/>
    <w:rsid w:val="0095478E"/>
    <w:rsid w:val="00954D68"/>
    <w:rsid w:val="009552E7"/>
    <w:rsid w:val="0095554D"/>
    <w:rsid w:val="009559DF"/>
    <w:rsid w:val="00955E7C"/>
    <w:rsid w:val="00956331"/>
    <w:rsid w:val="009565A6"/>
    <w:rsid w:val="0095696B"/>
    <w:rsid w:val="00957052"/>
    <w:rsid w:val="00957A1F"/>
    <w:rsid w:val="00957E32"/>
    <w:rsid w:val="0096044E"/>
    <w:rsid w:val="009604CF"/>
    <w:rsid w:val="00960598"/>
    <w:rsid w:val="00960A0B"/>
    <w:rsid w:val="00960AEF"/>
    <w:rsid w:val="009613B4"/>
    <w:rsid w:val="009621E5"/>
    <w:rsid w:val="009624EA"/>
    <w:rsid w:val="0096323C"/>
    <w:rsid w:val="00963A0D"/>
    <w:rsid w:val="00963E3A"/>
    <w:rsid w:val="00964125"/>
    <w:rsid w:val="009644F5"/>
    <w:rsid w:val="009664A1"/>
    <w:rsid w:val="009667B5"/>
    <w:rsid w:val="00967F9D"/>
    <w:rsid w:val="009708E7"/>
    <w:rsid w:val="00970979"/>
    <w:rsid w:val="00970C07"/>
    <w:rsid w:val="009718A3"/>
    <w:rsid w:val="00971C84"/>
    <w:rsid w:val="009722C3"/>
    <w:rsid w:val="00972AFA"/>
    <w:rsid w:val="009730B2"/>
    <w:rsid w:val="0097371D"/>
    <w:rsid w:val="00973947"/>
    <w:rsid w:val="00973F12"/>
    <w:rsid w:val="00973F78"/>
    <w:rsid w:val="009743B5"/>
    <w:rsid w:val="0097534C"/>
    <w:rsid w:val="0097575A"/>
    <w:rsid w:val="009772A1"/>
    <w:rsid w:val="0097741B"/>
    <w:rsid w:val="009800D3"/>
    <w:rsid w:val="00980F8F"/>
    <w:rsid w:val="00981987"/>
    <w:rsid w:val="00981E25"/>
    <w:rsid w:val="009823A3"/>
    <w:rsid w:val="00983C08"/>
    <w:rsid w:val="00983F80"/>
    <w:rsid w:val="009842FD"/>
    <w:rsid w:val="00984B24"/>
    <w:rsid w:val="0098615C"/>
    <w:rsid w:val="00986C62"/>
    <w:rsid w:val="00987026"/>
    <w:rsid w:val="009876FE"/>
    <w:rsid w:val="00987AE1"/>
    <w:rsid w:val="00987BA1"/>
    <w:rsid w:val="0099058E"/>
    <w:rsid w:val="009905CB"/>
    <w:rsid w:val="00990807"/>
    <w:rsid w:val="00991431"/>
    <w:rsid w:val="00991EC6"/>
    <w:rsid w:val="00991FF5"/>
    <w:rsid w:val="009924D2"/>
    <w:rsid w:val="00992507"/>
    <w:rsid w:val="0099273B"/>
    <w:rsid w:val="00993D7B"/>
    <w:rsid w:val="00994C77"/>
    <w:rsid w:val="00995CD1"/>
    <w:rsid w:val="009968B0"/>
    <w:rsid w:val="00996CE6"/>
    <w:rsid w:val="009A132A"/>
    <w:rsid w:val="009A1501"/>
    <w:rsid w:val="009A1724"/>
    <w:rsid w:val="009A1AB7"/>
    <w:rsid w:val="009A2949"/>
    <w:rsid w:val="009A345B"/>
    <w:rsid w:val="009A3A91"/>
    <w:rsid w:val="009A3EF6"/>
    <w:rsid w:val="009A480A"/>
    <w:rsid w:val="009A4873"/>
    <w:rsid w:val="009A4A31"/>
    <w:rsid w:val="009A4E52"/>
    <w:rsid w:val="009A54E2"/>
    <w:rsid w:val="009A58AB"/>
    <w:rsid w:val="009A62BB"/>
    <w:rsid w:val="009A69C8"/>
    <w:rsid w:val="009A6D7D"/>
    <w:rsid w:val="009A7809"/>
    <w:rsid w:val="009A7DC2"/>
    <w:rsid w:val="009A7F2B"/>
    <w:rsid w:val="009A7FB5"/>
    <w:rsid w:val="009B0425"/>
    <w:rsid w:val="009B0BDF"/>
    <w:rsid w:val="009B136C"/>
    <w:rsid w:val="009B19D0"/>
    <w:rsid w:val="009B1DFF"/>
    <w:rsid w:val="009B24BD"/>
    <w:rsid w:val="009B2A01"/>
    <w:rsid w:val="009B2F78"/>
    <w:rsid w:val="009B318D"/>
    <w:rsid w:val="009B36C0"/>
    <w:rsid w:val="009B379E"/>
    <w:rsid w:val="009B3BA5"/>
    <w:rsid w:val="009B3F74"/>
    <w:rsid w:val="009B4DBE"/>
    <w:rsid w:val="009B5000"/>
    <w:rsid w:val="009B5459"/>
    <w:rsid w:val="009B5F54"/>
    <w:rsid w:val="009B6D37"/>
    <w:rsid w:val="009B7632"/>
    <w:rsid w:val="009B7A1F"/>
    <w:rsid w:val="009C038C"/>
    <w:rsid w:val="009C1651"/>
    <w:rsid w:val="009C2F4A"/>
    <w:rsid w:val="009C329F"/>
    <w:rsid w:val="009C3C27"/>
    <w:rsid w:val="009C4D88"/>
    <w:rsid w:val="009C5061"/>
    <w:rsid w:val="009C5C3F"/>
    <w:rsid w:val="009C5DFF"/>
    <w:rsid w:val="009C6875"/>
    <w:rsid w:val="009C73E5"/>
    <w:rsid w:val="009C7407"/>
    <w:rsid w:val="009C741A"/>
    <w:rsid w:val="009C754C"/>
    <w:rsid w:val="009C771F"/>
    <w:rsid w:val="009D097B"/>
    <w:rsid w:val="009D09B9"/>
    <w:rsid w:val="009D09F1"/>
    <w:rsid w:val="009D0D2F"/>
    <w:rsid w:val="009D14F7"/>
    <w:rsid w:val="009D1D72"/>
    <w:rsid w:val="009D2379"/>
    <w:rsid w:val="009D28A2"/>
    <w:rsid w:val="009D28F9"/>
    <w:rsid w:val="009D2944"/>
    <w:rsid w:val="009D2A6F"/>
    <w:rsid w:val="009D2F0B"/>
    <w:rsid w:val="009D3190"/>
    <w:rsid w:val="009D362D"/>
    <w:rsid w:val="009D3B49"/>
    <w:rsid w:val="009D3C39"/>
    <w:rsid w:val="009D4213"/>
    <w:rsid w:val="009D4667"/>
    <w:rsid w:val="009D4765"/>
    <w:rsid w:val="009D539F"/>
    <w:rsid w:val="009D5A9E"/>
    <w:rsid w:val="009D60E7"/>
    <w:rsid w:val="009E0ABE"/>
    <w:rsid w:val="009E0AD5"/>
    <w:rsid w:val="009E0CE9"/>
    <w:rsid w:val="009E14F1"/>
    <w:rsid w:val="009E1596"/>
    <w:rsid w:val="009E2B6F"/>
    <w:rsid w:val="009E323B"/>
    <w:rsid w:val="009E32C3"/>
    <w:rsid w:val="009E39C9"/>
    <w:rsid w:val="009E3A79"/>
    <w:rsid w:val="009E4074"/>
    <w:rsid w:val="009E40CD"/>
    <w:rsid w:val="009E430B"/>
    <w:rsid w:val="009E45F6"/>
    <w:rsid w:val="009E5A28"/>
    <w:rsid w:val="009E5D65"/>
    <w:rsid w:val="009E60AD"/>
    <w:rsid w:val="009E6A99"/>
    <w:rsid w:val="009E6AD6"/>
    <w:rsid w:val="009F0BCA"/>
    <w:rsid w:val="009F1BAB"/>
    <w:rsid w:val="009F21B8"/>
    <w:rsid w:val="009F3ABD"/>
    <w:rsid w:val="009F578A"/>
    <w:rsid w:val="009F7C2D"/>
    <w:rsid w:val="00A0064C"/>
    <w:rsid w:val="00A00E78"/>
    <w:rsid w:val="00A01301"/>
    <w:rsid w:val="00A02053"/>
    <w:rsid w:val="00A020CA"/>
    <w:rsid w:val="00A02B1B"/>
    <w:rsid w:val="00A0331E"/>
    <w:rsid w:val="00A03911"/>
    <w:rsid w:val="00A0478D"/>
    <w:rsid w:val="00A0507F"/>
    <w:rsid w:val="00A050AE"/>
    <w:rsid w:val="00A05186"/>
    <w:rsid w:val="00A0518D"/>
    <w:rsid w:val="00A05973"/>
    <w:rsid w:val="00A06AAB"/>
    <w:rsid w:val="00A06BE7"/>
    <w:rsid w:val="00A06F5E"/>
    <w:rsid w:val="00A070E7"/>
    <w:rsid w:val="00A13E9C"/>
    <w:rsid w:val="00A140B4"/>
    <w:rsid w:val="00A14397"/>
    <w:rsid w:val="00A14FD0"/>
    <w:rsid w:val="00A15230"/>
    <w:rsid w:val="00A16363"/>
    <w:rsid w:val="00A16CBC"/>
    <w:rsid w:val="00A17A20"/>
    <w:rsid w:val="00A17E00"/>
    <w:rsid w:val="00A208EF"/>
    <w:rsid w:val="00A2149C"/>
    <w:rsid w:val="00A21D5D"/>
    <w:rsid w:val="00A2208D"/>
    <w:rsid w:val="00A220B8"/>
    <w:rsid w:val="00A24B21"/>
    <w:rsid w:val="00A253C3"/>
    <w:rsid w:val="00A254BC"/>
    <w:rsid w:val="00A25ADB"/>
    <w:rsid w:val="00A269FF"/>
    <w:rsid w:val="00A30D0B"/>
    <w:rsid w:val="00A3271B"/>
    <w:rsid w:val="00A32935"/>
    <w:rsid w:val="00A331FB"/>
    <w:rsid w:val="00A3325A"/>
    <w:rsid w:val="00A346DB"/>
    <w:rsid w:val="00A34F01"/>
    <w:rsid w:val="00A356EF"/>
    <w:rsid w:val="00A35981"/>
    <w:rsid w:val="00A4047E"/>
    <w:rsid w:val="00A407DA"/>
    <w:rsid w:val="00A41165"/>
    <w:rsid w:val="00A41ABA"/>
    <w:rsid w:val="00A42963"/>
    <w:rsid w:val="00A435C0"/>
    <w:rsid w:val="00A435C8"/>
    <w:rsid w:val="00A43683"/>
    <w:rsid w:val="00A43773"/>
    <w:rsid w:val="00A43B70"/>
    <w:rsid w:val="00A45867"/>
    <w:rsid w:val="00A45D24"/>
    <w:rsid w:val="00A45ED1"/>
    <w:rsid w:val="00A46144"/>
    <w:rsid w:val="00A46907"/>
    <w:rsid w:val="00A47BC9"/>
    <w:rsid w:val="00A5022C"/>
    <w:rsid w:val="00A50AF9"/>
    <w:rsid w:val="00A5258E"/>
    <w:rsid w:val="00A53306"/>
    <w:rsid w:val="00A53754"/>
    <w:rsid w:val="00A54522"/>
    <w:rsid w:val="00A54BC7"/>
    <w:rsid w:val="00A54BE2"/>
    <w:rsid w:val="00A54CC6"/>
    <w:rsid w:val="00A54E0A"/>
    <w:rsid w:val="00A55184"/>
    <w:rsid w:val="00A554F4"/>
    <w:rsid w:val="00A55BEE"/>
    <w:rsid w:val="00A56DA3"/>
    <w:rsid w:val="00A5758C"/>
    <w:rsid w:val="00A57C60"/>
    <w:rsid w:val="00A60321"/>
    <w:rsid w:val="00A61763"/>
    <w:rsid w:val="00A622CE"/>
    <w:rsid w:val="00A62FA2"/>
    <w:rsid w:val="00A63650"/>
    <w:rsid w:val="00A64213"/>
    <w:rsid w:val="00A648EF"/>
    <w:rsid w:val="00A6554B"/>
    <w:rsid w:val="00A65CD0"/>
    <w:rsid w:val="00A65FC2"/>
    <w:rsid w:val="00A66389"/>
    <w:rsid w:val="00A666FA"/>
    <w:rsid w:val="00A669EC"/>
    <w:rsid w:val="00A67033"/>
    <w:rsid w:val="00A67EFF"/>
    <w:rsid w:val="00A7028F"/>
    <w:rsid w:val="00A70542"/>
    <w:rsid w:val="00A71D29"/>
    <w:rsid w:val="00A723E0"/>
    <w:rsid w:val="00A72921"/>
    <w:rsid w:val="00A72C50"/>
    <w:rsid w:val="00A73281"/>
    <w:rsid w:val="00A748AA"/>
    <w:rsid w:val="00A74FA6"/>
    <w:rsid w:val="00A76146"/>
    <w:rsid w:val="00A762C5"/>
    <w:rsid w:val="00A765D8"/>
    <w:rsid w:val="00A77534"/>
    <w:rsid w:val="00A801C5"/>
    <w:rsid w:val="00A80889"/>
    <w:rsid w:val="00A80B00"/>
    <w:rsid w:val="00A80DFD"/>
    <w:rsid w:val="00A81F62"/>
    <w:rsid w:val="00A833B7"/>
    <w:rsid w:val="00A83775"/>
    <w:rsid w:val="00A83B5D"/>
    <w:rsid w:val="00A843C1"/>
    <w:rsid w:val="00A84778"/>
    <w:rsid w:val="00A851E9"/>
    <w:rsid w:val="00A855EB"/>
    <w:rsid w:val="00A85A72"/>
    <w:rsid w:val="00A85A7B"/>
    <w:rsid w:val="00A85F85"/>
    <w:rsid w:val="00A8649D"/>
    <w:rsid w:val="00A86A8F"/>
    <w:rsid w:val="00A86B67"/>
    <w:rsid w:val="00A87580"/>
    <w:rsid w:val="00A878CC"/>
    <w:rsid w:val="00A87F3A"/>
    <w:rsid w:val="00A908D3"/>
    <w:rsid w:val="00A90DBC"/>
    <w:rsid w:val="00A90E32"/>
    <w:rsid w:val="00A914CC"/>
    <w:rsid w:val="00A91C60"/>
    <w:rsid w:val="00A926A3"/>
    <w:rsid w:val="00A926F4"/>
    <w:rsid w:val="00A93607"/>
    <w:rsid w:val="00A9383A"/>
    <w:rsid w:val="00A938E1"/>
    <w:rsid w:val="00A93DD5"/>
    <w:rsid w:val="00A94315"/>
    <w:rsid w:val="00A95062"/>
    <w:rsid w:val="00A95D41"/>
    <w:rsid w:val="00A96143"/>
    <w:rsid w:val="00A96B28"/>
    <w:rsid w:val="00A971FB"/>
    <w:rsid w:val="00A974AE"/>
    <w:rsid w:val="00AA0D78"/>
    <w:rsid w:val="00AA25E7"/>
    <w:rsid w:val="00AA2837"/>
    <w:rsid w:val="00AA2AB4"/>
    <w:rsid w:val="00AA2F27"/>
    <w:rsid w:val="00AA329B"/>
    <w:rsid w:val="00AA3E49"/>
    <w:rsid w:val="00AA566F"/>
    <w:rsid w:val="00AA6122"/>
    <w:rsid w:val="00AA6D07"/>
    <w:rsid w:val="00AA7611"/>
    <w:rsid w:val="00AB053B"/>
    <w:rsid w:val="00AB067D"/>
    <w:rsid w:val="00AB085A"/>
    <w:rsid w:val="00AB0940"/>
    <w:rsid w:val="00AB0BEB"/>
    <w:rsid w:val="00AB0E83"/>
    <w:rsid w:val="00AB103A"/>
    <w:rsid w:val="00AB1842"/>
    <w:rsid w:val="00AB328A"/>
    <w:rsid w:val="00AB4990"/>
    <w:rsid w:val="00AB4A73"/>
    <w:rsid w:val="00AB5529"/>
    <w:rsid w:val="00AB5B24"/>
    <w:rsid w:val="00AB5CF1"/>
    <w:rsid w:val="00AB5EA0"/>
    <w:rsid w:val="00AB6DF0"/>
    <w:rsid w:val="00AB7418"/>
    <w:rsid w:val="00AB7B90"/>
    <w:rsid w:val="00AC055B"/>
    <w:rsid w:val="00AC1A36"/>
    <w:rsid w:val="00AC30A9"/>
    <w:rsid w:val="00AC320A"/>
    <w:rsid w:val="00AC3374"/>
    <w:rsid w:val="00AC35EA"/>
    <w:rsid w:val="00AC3CE9"/>
    <w:rsid w:val="00AC423B"/>
    <w:rsid w:val="00AC4514"/>
    <w:rsid w:val="00AC5534"/>
    <w:rsid w:val="00AC5F9E"/>
    <w:rsid w:val="00AC63E2"/>
    <w:rsid w:val="00AC72A1"/>
    <w:rsid w:val="00AD0361"/>
    <w:rsid w:val="00AD1220"/>
    <w:rsid w:val="00AD14BC"/>
    <w:rsid w:val="00AD2155"/>
    <w:rsid w:val="00AD24BF"/>
    <w:rsid w:val="00AD28A5"/>
    <w:rsid w:val="00AD2F30"/>
    <w:rsid w:val="00AD3045"/>
    <w:rsid w:val="00AD3054"/>
    <w:rsid w:val="00AD4BE9"/>
    <w:rsid w:val="00AD5627"/>
    <w:rsid w:val="00AD581D"/>
    <w:rsid w:val="00AD595B"/>
    <w:rsid w:val="00AD5F3E"/>
    <w:rsid w:val="00AD5FB9"/>
    <w:rsid w:val="00AD6613"/>
    <w:rsid w:val="00AD6647"/>
    <w:rsid w:val="00AD78FF"/>
    <w:rsid w:val="00AE02AE"/>
    <w:rsid w:val="00AE0451"/>
    <w:rsid w:val="00AE05CE"/>
    <w:rsid w:val="00AE0EAC"/>
    <w:rsid w:val="00AE12C2"/>
    <w:rsid w:val="00AE15FB"/>
    <w:rsid w:val="00AE1835"/>
    <w:rsid w:val="00AE27CE"/>
    <w:rsid w:val="00AE3AD5"/>
    <w:rsid w:val="00AE3E67"/>
    <w:rsid w:val="00AE4287"/>
    <w:rsid w:val="00AE456F"/>
    <w:rsid w:val="00AE4AF7"/>
    <w:rsid w:val="00AE4E55"/>
    <w:rsid w:val="00AE6D94"/>
    <w:rsid w:val="00AE6E39"/>
    <w:rsid w:val="00AE7A27"/>
    <w:rsid w:val="00AF0E2B"/>
    <w:rsid w:val="00AF2BF1"/>
    <w:rsid w:val="00AF3175"/>
    <w:rsid w:val="00AF46CF"/>
    <w:rsid w:val="00AF4758"/>
    <w:rsid w:val="00AF62BC"/>
    <w:rsid w:val="00AF6793"/>
    <w:rsid w:val="00AF7D5B"/>
    <w:rsid w:val="00B00C88"/>
    <w:rsid w:val="00B00F9E"/>
    <w:rsid w:val="00B01299"/>
    <w:rsid w:val="00B027A9"/>
    <w:rsid w:val="00B0285F"/>
    <w:rsid w:val="00B02963"/>
    <w:rsid w:val="00B03C60"/>
    <w:rsid w:val="00B03D98"/>
    <w:rsid w:val="00B04A2C"/>
    <w:rsid w:val="00B04AFA"/>
    <w:rsid w:val="00B04C69"/>
    <w:rsid w:val="00B0570D"/>
    <w:rsid w:val="00B05829"/>
    <w:rsid w:val="00B062C5"/>
    <w:rsid w:val="00B06316"/>
    <w:rsid w:val="00B07218"/>
    <w:rsid w:val="00B072B5"/>
    <w:rsid w:val="00B074E8"/>
    <w:rsid w:val="00B07959"/>
    <w:rsid w:val="00B07B66"/>
    <w:rsid w:val="00B07D19"/>
    <w:rsid w:val="00B07F6F"/>
    <w:rsid w:val="00B103EA"/>
    <w:rsid w:val="00B10EDA"/>
    <w:rsid w:val="00B11452"/>
    <w:rsid w:val="00B11470"/>
    <w:rsid w:val="00B11EB8"/>
    <w:rsid w:val="00B13EBF"/>
    <w:rsid w:val="00B13EF7"/>
    <w:rsid w:val="00B143B1"/>
    <w:rsid w:val="00B144EC"/>
    <w:rsid w:val="00B147FD"/>
    <w:rsid w:val="00B151E6"/>
    <w:rsid w:val="00B1537F"/>
    <w:rsid w:val="00B15D32"/>
    <w:rsid w:val="00B15E1A"/>
    <w:rsid w:val="00B15EEC"/>
    <w:rsid w:val="00B1660F"/>
    <w:rsid w:val="00B17C1A"/>
    <w:rsid w:val="00B17F24"/>
    <w:rsid w:val="00B213AE"/>
    <w:rsid w:val="00B23F16"/>
    <w:rsid w:val="00B243D0"/>
    <w:rsid w:val="00B249F4"/>
    <w:rsid w:val="00B30D6B"/>
    <w:rsid w:val="00B3140E"/>
    <w:rsid w:val="00B31D0A"/>
    <w:rsid w:val="00B31F65"/>
    <w:rsid w:val="00B33142"/>
    <w:rsid w:val="00B3378A"/>
    <w:rsid w:val="00B33DFD"/>
    <w:rsid w:val="00B34843"/>
    <w:rsid w:val="00B354C4"/>
    <w:rsid w:val="00B3555D"/>
    <w:rsid w:val="00B36A5C"/>
    <w:rsid w:val="00B36CE0"/>
    <w:rsid w:val="00B37C4C"/>
    <w:rsid w:val="00B40414"/>
    <w:rsid w:val="00B412F1"/>
    <w:rsid w:val="00B427D5"/>
    <w:rsid w:val="00B42BC3"/>
    <w:rsid w:val="00B43DDA"/>
    <w:rsid w:val="00B441B5"/>
    <w:rsid w:val="00B44F15"/>
    <w:rsid w:val="00B45071"/>
    <w:rsid w:val="00B47537"/>
    <w:rsid w:val="00B47550"/>
    <w:rsid w:val="00B479D3"/>
    <w:rsid w:val="00B500BF"/>
    <w:rsid w:val="00B5092F"/>
    <w:rsid w:val="00B50C83"/>
    <w:rsid w:val="00B50EBE"/>
    <w:rsid w:val="00B50F03"/>
    <w:rsid w:val="00B50F48"/>
    <w:rsid w:val="00B51841"/>
    <w:rsid w:val="00B51AE4"/>
    <w:rsid w:val="00B52233"/>
    <w:rsid w:val="00B522F6"/>
    <w:rsid w:val="00B52D0F"/>
    <w:rsid w:val="00B53019"/>
    <w:rsid w:val="00B532F3"/>
    <w:rsid w:val="00B53688"/>
    <w:rsid w:val="00B538AC"/>
    <w:rsid w:val="00B53FD5"/>
    <w:rsid w:val="00B540BB"/>
    <w:rsid w:val="00B54165"/>
    <w:rsid w:val="00B54548"/>
    <w:rsid w:val="00B545CC"/>
    <w:rsid w:val="00B55587"/>
    <w:rsid w:val="00B5705B"/>
    <w:rsid w:val="00B57B67"/>
    <w:rsid w:val="00B6072E"/>
    <w:rsid w:val="00B60AA8"/>
    <w:rsid w:val="00B611E0"/>
    <w:rsid w:val="00B625CA"/>
    <w:rsid w:val="00B634A9"/>
    <w:rsid w:val="00B6368B"/>
    <w:rsid w:val="00B63ADC"/>
    <w:rsid w:val="00B6408B"/>
    <w:rsid w:val="00B64516"/>
    <w:rsid w:val="00B64787"/>
    <w:rsid w:val="00B64BD2"/>
    <w:rsid w:val="00B65E8E"/>
    <w:rsid w:val="00B66D5A"/>
    <w:rsid w:val="00B67416"/>
    <w:rsid w:val="00B717D9"/>
    <w:rsid w:val="00B71810"/>
    <w:rsid w:val="00B7208C"/>
    <w:rsid w:val="00B72549"/>
    <w:rsid w:val="00B732B6"/>
    <w:rsid w:val="00B7365D"/>
    <w:rsid w:val="00B748F0"/>
    <w:rsid w:val="00B74E7B"/>
    <w:rsid w:val="00B77658"/>
    <w:rsid w:val="00B777FB"/>
    <w:rsid w:val="00B80FB8"/>
    <w:rsid w:val="00B81ABF"/>
    <w:rsid w:val="00B81C8E"/>
    <w:rsid w:val="00B81CFC"/>
    <w:rsid w:val="00B820C2"/>
    <w:rsid w:val="00B82B46"/>
    <w:rsid w:val="00B83093"/>
    <w:rsid w:val="00B838BD"/>
    <w:rsid w:val="00B8485C"/>
    <w:rsid w:val="00B84A6C"/>
    <w:rsid w:val="00B8553B"/>
    <w:rsid w:val="00B90799"/>
    <w:rsid w:val="00B90B99"/>
    <w:rsid w:val="00B92EBB"/>
    <w:rsid w:val="00B94003"/>
    <w:rsid w:val="00B94CC9"/>
    <w:rsid w:val="00B953B5"/>
    <w:rsid w:val="00B953F1"/>
    <w:rsid w:val="00B9561C"/>
    <w:rsid w:val="00B95C68"/>
    <w:rsid w:val="00B967D0"/>
    <w:rsid w:val="00B96978"/>
    <w:rsid w:val="00B971BA"/>
    <w:rsid w:val="00B973A5"/>
    <w:rsid w:val="00B9747C"/>
    <w:rsid w:val="00BA0D60"/>
    <w:rsid w:val="00BA0E25"/>
    <w:rsid w:val="00BA0E74"/>
    <w:rsid w:val="00BA27A0"/>
    <w:rsid w:val="00BA313E"/>
    <w:rsid w:val="00BA3769"/>
    <w:rsid w:val="00BA3B1C"/>
    <w:rsid w:val="00BA471F"/>
    <w:rsid w:val="00BA4769"/>
    <w:rsid w:val="00BA4A39"/>
    <w:rsid w:val="00BA4FE9"/>
    <w:rsid w:val="00BA508E"/>
    <w:rsid w:val="00BA51FB"/>
    <w:rsid w:val="00BA5B1B"/>
    <w:rsid w:val="00BA5ECE"/>
    <w:rsid w:val="00BA618D"/>
    <w:rsid w:val="00BA681D"/>
    <w:rsid w:val="00BA6A05"/>
    <w:rsid w:val="00BA7A17"/>
    <w:rsid w:val="00BA7A65"/>
    <w:rsid w:val="00BB09EB"/>
    <w:rsid w:val="00BB0AC3"/>
    <w:rsid w:val="00BB0E5A"/>
    <w:rsid w:val="00BB16A1"/>
    <w:rsid w:val="00BB1756"/>
    <w:rsid w:val="00BB2BF5"/>
    <w:rsid w:val="00BB3E5A"/>
    <w:rsid w:val="00BB3F33"/>
    <w:rsid w:val="00BB43CB"/>
    <w:rsid w:val="00BB446B"/>
    <w:rsid w:val="00BB51C8"/>
    <w:rsid w:val="00BB62D0"/>
    <w:rsid w:val="00BB6631"/>
    <w:rsid w:val="00BB6B82"/>
    <w:rsid w:val="00BB701B"/>
    <w:rsid w:val="00BB7389"/>
    <w:rsid w:val="00BB74D3"/>
    <w:rsid w:val="00BB7A52"/>
    <w:rsid w:val="00BB7ED8"/>
    <w:rsid w:val="00BC107E"/>
    <w:rsid w:val="00BC16D7"/>
    <w:rsid w:val="00BC1B2D"/>
    <w:rsid w:val="00BC252B"/>
    <w:rsid w:val="00BC2AFD"/>
    <w:rsid w:val="00BC4541"/>
    <w:rsid w:val="00BC4A2D"/>
    <w:rsid w:val="00BC4A77"/>
    <w:rsid w:val="00BC4E50"/>
    <w:rsid w:val="00BC5924"/>
    <w:rsid w:val="00BC6BA7"/>
    <w:rsid w:val="00BC6EF8"/>
    <w:rsid w:val="00BC73A6"/>
    <w:rsid w:val="00BD00CD"/>
    <w:rsid w:val="00BD0291"/>
    <w:rsid w:val="00BD058C"/>
    <w:rsid w:val="00BD1877"/>
    <w:rsid w:val="00BD1BD5"/>
    <w:rsid w:val="00BD1D78"/>
    <w:rsid w:val="00BD1D84"/>
    <w:rsid w:val="00BD2C23"/>
    <w:rsid w:val="00BD312F"/>
    <w:rsid w:val="00BD347F"/>
    <w:rsid w:val="00BD4A8B"/>
    <w:rsid w:val="00BD4F4F"/>
    <w:rsid w:val="00BD506C"/>
    <w:rsid w:val="00BD521A"/>
    <w:rsid w:val="00BD5E48"/>
    <w:rsid w:val="00BD62E9"/>
    <w:rsid w:val="00BD637C"/>
    <w:rsid w:val="00BD703E"/>
    <w:rsid w:val="00BD705C"/>
    <w:rsid w:val="00BD72E4"/>
    <w:rsid w:val="00BE0594"/>
    <w:rsid w:val="00BE0A6E"/>
    <w:rsid w:val="00BE1CC6"/>
    <w:rsid w:val="00BE1DD5"/>
    <w:rsid w:val="00BE222A"/>
    <w:rsid w:val="00BE28AF"/>
    <w:rsid w:val="00BE3434"/>
    <w:rsid w:val="00BE38E2"/>
    <w:rsid w:val="00BE395B"/>
    <w:rsid w:val="00BE3B23"/>
    <w:rsid w:val="00BE3C02"/>
    <w:rsid w:val="00BE4700"/>
    <w:rsid w:val="00BE56AD"/>
    <w:rsid w:val="00BE5794"/>
    <w:rsid w:val="00BE5F13"/>
    <w:rsid w:val="00BE64BF"/>
    <w:rsid w:val="00BE6AC6"/>
    <w:rsid w:val="00BE6EEC"/>
    <w:rsid w:val="00BE6F6D"/>
    <w:rsid w:val="00BE701E"/>
    <w:rsid w:val="00BE757A"/>
    <w:rsid w:val="00BE7E13"/>
    <w:rsid w:val="00BF00C1"/>
    <w:rsid w:val="00BF0675"/>
    <w:rsid w:val="00BF06AA"/>
    <w:rsid w:val="00BF1184"/>
    <w:rsid w:val="00BF2B04"/>
    <w:rsid w:val="00BF2FCF"/>
    <w:rsid w:val="00BF395F"/>
    <w:rsid w:val="00BF40E8"/>
    <w:rsid w:val="00BF4958"/>
    <w:rsid w:val="00BF574A"/>
    <w:rsid w:val="00BF7136"/>
    <w:rsid w:val="00BF7BF7"/>
    <w:rsid w:val="00C015E5"/>
    <w:rsid w:val="00C01B1C"/>
    <w:rsid w:val="00C01E26"/>
    <w:rsid w:val="00C01F41"/>
    <w:rsid w:val="00C0228E"/>
    <w:rsid w:val="00C02412"/>
    <w:rsid w:val="00C04C88"/>
    <w:rsid w:val="00C059E1"/>
    <w:rsid w:val="00C05FE6"/>
    <w:rsid w:val="00C06E96"/>
    <w:rsid w:val="00C07AD3"/>
    <w:rsid w:val="00C10726"/>
    <w:rsid w:val="00C10A52"/>
    <w:rsid w:val="00C10CE6"/>
    <w:rsid w:val="00C110A1"/>
    <w:rsid w:val="00C113FA"/>
    <w:rsid w:val="00C114CE"/>
    <w:rsid w:val="00C120B9"/>
    <w:rsid w:val="00C140DC"/>
    <w:rsid w:val="00C14170"/>
    <w:rsid w:val="00C1495B"/>
    <w:rsid w:val="00C150E3"/>
    <w:rsid w:val="00C15864"/>
    <w:rsid w:val="00C158E9"/>
    <w:rsid w:val="00C165B5"/>
    <w:rsid w:val="00C16725"/>
    <w:rsid w:val="00C1688E"/>
    <w:rsid w:val="00C17C07"/>
    <w:rsid w:val="00C20082"/>
    <w:rsid w:val="00C207B2"/>
    <w:rsid w:val="00C20964"/>
    <w:rsid w:val="00C21859"/>
    <w:rsid w:val="00C226C1"/>
    <w:rsid w:val="00C22C98"/>
    <w:rsid w:val="00C22E4C"/>
    <w:rsid w:val="00C2322F"/>
    <w:rsid w:val="00C23D6D"/>
    <w:rsid w:val="00C23E69"/>
    <w:rsid w:val="00C24738"/>
    <w:rsid w:val="00C24F42"/>
    <w:rsid w:val="00C27814"/>
    <w:rsid w:val="00C27987"/>
    <w:rsid w:val="00C31199"/>
    <w:rsid w:val="00C31A28"/>
    <w:rsid w:val="00C31C25"/>
    <w:rsid w:val="00C31E30"/>
    <w:rsid w:val="00C3201B"/>
    <w:rsid w:val="00C32113"/>
    <w:rsid w:val="00C32826"/>
    <w:rsid w:val="00C32EE4"/>
    <w:rsid w:val="00C32F29"/>
    <w:rsid w:val="00C3384C"/>
    <w:rsid w:val="00C33F8B"/>
    <w:rsid w:val="00C341C7"/>
    <w:rsid w:val="00C342CB"/>
    <w:rsid w:val="00C3470A"/>
    <w:rsid w:val="00C34F1E"/>
    <w:rsid w:val="00C3571A"/>
    <w:rsid w:val="00C36855"/>
    <w:rsid w:val="00C4077A"/>
    <w:rsid w:val="00C41E6C"/>
    <w:rsid w:val="00C42507"/>
    <w:rsid w:val="00C4429E"/>
    <w:rsid w:val="00C45CB0"/>
    <w:rsid w:val="00C47592"/>
    <w:rsid w:val="00C50534"/>
    <w:rsid w:val="00C505C5"/>
    <w:rsid w:val="00C509BF"/>
    <w:rsid w:val="00C50A4A"/>
    <w:rsid w:val="00C513F5"/>
    <w:rsid w:val="00C51A69"/>
    <w:rsid w:val="00C51EE1"/>
    <w:rsid w:val="00C528B0"/>
    <w:rsid w:val="00C53080"/>
    <w:rsid w:val="00C555A3"/>
    <w:rsid w:val="00C56444"/>
    <w:rsid w:val="00C56886"/>
    <w:rsid w:val="00C569D1"/>
    <w:rsid w:val="00C56C2A"/>
    <w:rsid w:val="00C5750C"/>
    <w:rsid w:val="00C57588"/>
    <w:rsid w:val="00C57D09"/>
    <w:rsid w:val="00C57F58"/>
    <w:rsid w:val="00C604F5"/>
    <w:rsid w:val="00C60623"/>
    <w:rsid w:val="00C611B3"/>
    <w:rsid w:val="00C612AE"/>
    <w:rsid w:val="00C6222B"/>
    <w:rsid w:val="00C62F4F"/>
    <w:rsid w:val="00C641F1"/>
    <w:rsid w:val="00C64FA0"/>
    <w:rsid w:val="00C667B4"/>
    <w:rsid w:val="00C676C6"/>
    <w:rsid w:val="00C6770E"/>
    <w:rsid w:val="00C6784C"/>
    <w:rsid w:val="00C679F4"/>
    <w:rsid w:val="00C67E3F"/>
    <w:rsid w:val="00C70210"/>
    <w:rsid w:val="00C703F6"/>
    <w:rsid w:val="00C7124D"/>
    <w:rsid w:val="00C72359"/>
    <w:rsid w:val="00C72BE5"/>
    <w:rsid w:val="00C73ACA"/>
    <w:rsid w:val="00C73FD1"/>
    <w:rsid w:val="00C74E36"/>
    <w:rsid w:val="00C74F1C"/>
    <w:rsid w:val="00C7500D"/>
    <w:rsid w:val="00C752C5"/>
    <w:rsid w:val="00C75483"/>
    <w:rsid w:val="00C75B08"/>
    <w:rsid w:val="00C75F19"/>
    <w:rsid w:val="00C76FD3"/>
    <w:rsid w:val="00C77A14"/>
    <w:rsid w:val="00C813AF"/>
    <w:rsid w:val="00C82703"/>
    <w:rsid w:val="00C84BEF"/>
    <w:rsid w:val="00C84F8A"/>
    <w:rsid w:val="00C8528A"/>
    <w:rsid w:val="00C85AC5"/>
    <w:rsid w:val="00C85D28"/>
    <w:rsid w:val="00C86C7F"/>
    <w:rsid w:val="00C86D4D"/>
    <w:rsid w:val="00C86D90"/>
    <w:rsid w:val="00C86DE7"/>
    <w:rsid w:val="00C876A9"/>
    <w:rsid w:val="00C87AE3"/>
    <w:rsid w:val="00C908A0"/>
    <w:rsid w:val="00C9115E"/>
    <w:rsid w:val="00C9136E"/>
    <w:rsid w:val="00C92167"/>
    <w:rsid w:val="00C92CCC"/>
    <w:rsid w:val="00C935D1"/>
    <w:rsid w:val="00C93691"/>
    <w:rsid w:val="00C94AF3"/>
    <w:rsid w:val="00C94CB9"/>
    <w:rsid w:val="00C953F5"/>
    <w:rsid w:val="00C95621"/>
    <w:rsid w:val="00C95881"/>
    <w:rsid w:val="00C95B29"/>
    <w:rsid w:val="00C96997"/>
    <w:rsid w:val="00C96FB5"/>
    <w:rsid w:val="00C97D59"/>
    <w:rsid w:val="00CA0311"/>
    <w:rsid w:val="00CA0593"/>
    <w:rsid w:val="00CA0CD2"/>
    <w:rsid w:val="00CA1580"/>
    <w:rsid w:val="00CA1D9A"/>
    <w:rsid w:val="00CA341D"/>
    <w:rsid w:val="00CA4315"/>
    <w:rsid w:val="00CA45DE"/>
    <w:rsid w:val="00CA6228"/>
    <w:rsid w:val="00CA7CA1"/>
    <w:rsid w:val="00CB1568"/>
    <w:rsid w:val="00CB1DFA"/>
    <w:rsid w:val="00CB22EF"/>
    <w:rsid w:val="00CB2935"/>
    <w:rsid w:val="00CB2D92"/>
    <w:rsid w:val="00CB2DA2"/>
    <w:rsid w:val="00CB3343"/>
    <w:rsid w:val="00CB3A2D"/>
    <w:rsid w:val="00CB47C1"/>
    <w:rsid w:val="00CB4CAD"/>
    <w:rsid w:val="00CB5354"/>
    <w:rsid w:val="00CB5DAD"/>
    <w:rsid w:val="00CB646B"/>
    <w:rsid w:val="00CB64E6"/>
    <w:rsid w:val="00CB6882"/>
    <w:rsid w:val="00CB7692"/>
    <w:rsid w:val="00CB7F3A"/>
    <w:rsid w:val="00CC04BC"/>
    <w:rsid w:val="00CC11E6"/>
    <w:rsid w:val="00CC14FF"/>
    <w:rsid w:val="00CC19AA"/>
    <w:rsid w:val="00CC1B91"/>
    <w:rsid w:val="00CC1FCF"/>
    <w:rsid w:val="00CC2306"/>
    <w:rsid w:val="00CC25F8"/>
    <w:rsid w:val="00CC2C0D"/>
    <w:rsid w:val="00CC2D65"/>
    <w:rsid w:val="00CC2DAB"/>
    <w:rsid w:val="00CC36A4"/>
    <w:rsid w:val="00CC4300"/>
    <w:rsid w:val="00CC47D1"/>
    <w:rsid w:val="00CC5ABC"/>
    <w:rsid w:val="00CC5C5E"/>
    <w:rsid w:val="00CC66DC"/>
    <w:rsid w:val="00CC6B21"/>
    <w:rsid w:val="00CC7456"/>
    <w:rsid w:val="00CC7F58"/>
    <w:rsid w:val="00CD03F1"/>
    <w:rsid w:val="00CD09AC"/>
    <w:rsid w:val="00CD0C30"/>
    <w:rsid w:val="00CD0C71"/>
    <w:rsid w:val="00CD2553"/>
    <w:rsid w:val="00CD2B20"/>
    <w:rsid w:val="00CD2E0A"/>
    <w:rsid w:val="00CD3B1E"/>
    <w:rsid w:val="00CD4667"/>
    <w:rsid w:val="00CD4AEB"/>
    <w:rsid w:val="00CD4C90"/>
    <w:rsid w:val="00CD50DB"/>
    <w:rsid w:val="00CD523A"/>
    <w:rsid w:val="00CD59F6"/>
    <w:rsid w:val="00CD6356"/>
    <w:rsid w:val="00CD6F19"/>
    <w:rsid w:val="00CD7509"/>
    <w:rsid w:val="00CD7632"/>
    <w:rsid w:val="00CD7930"/>
    <w:rsid w:val="00CD7CF3"/>
    <w:rsid w:val="00CD7E66"/>
    <w:rsid w:val="00CE0B9B"/>
    <w:rsid w:val="00CE1B6A"/>
    <w:rsid w:val="00CE3520"/>
    <w:rsid w:val="00CE361E"/>
    <w:rsid w:val="00CE3718"/>
    <w:rsid w:val="00CE4836"/>
    <w:rsid w:val="00CE4A7F"/>
    <w:rsid w:val="00CE664B"/>
    <w:rsid w:val="00CE6756"/>
    <w:rsid w:val="00CE6812"/>
    <w:rsid w:val="00CE69D3"/>
    <w:rsid w:val="00CE6B6C"/>
    <w:rsid w:val="00CE6D7E"/>
    <w:rsid w:val="00CE6FBF"/>
    <w:rsid w:val="00CE79B8"/>
    <w:rsid w:val="00CE7DC6"/>
    <w:rsid w:val="00CF0756"/>
    <w:rsid w:val="00CF07E3"/>
    <w:rsid w:val="00CF0F6E"/>
    <w:rsid w:val="00CF1167"/>
    <w:rsid w:val="00CF14F5"/>
    <w:rsid w:val="00CF1526"/>
    <w:rsid w:val="00CF1984"/>
    <w:rsid w:val="00CF1BD0"/>
    <w:rsid w:val="00CF2C93"/>
    <w:rsid w:val="00CF34C3"/>
    <w:rsid w:val="00CF6258"/>
    <w:rsid w:val="00CF698D"/>
    <w:rsid w:val="00CF7562"/>
    <w:rsid w:val="00CF7AD6"/>
    <w:rsid w:val="00D00869"/>
    <w:rsid w:val="00D008EF"/>
    <w:rsid w:val="00D009FB"/>
    <w:rsid w:val="00D00D3B"/>
    <w:rsid w:val="00D015C1"/>
    <w:rsid w:val="00D019A9"/>
    <w:rsid w:val="00D020F2"/>
    <w:rsid w:val="00D037AF"/>
    <w:rsid w:val="00D03A93"/>
    <w:rsid w:val="00D03AF5"/>
    <w:rsid w:val="00D057EE"/>
    <w:rsid w:val="00D0628A"/>
    <w:rsid w:val="00D06460"/>
    <w:rsid w:val="00D065AA"/>
    <w:rsid w:val="00D0664A"/>
    <w:rsid w:val="00D07244"/>
    <w:rsid w:val="00D07692"/>
    <w:rsid w:val="00D1047B"/>
    <w:rsid w:val="00D11016"/>
    <w:rsid w:val="00D12176"/>
    <w:rsid w:val="00D121CB"/>
    <w:rsid w:val="00D15BC1"/>
    <w:rsid w:val="00D162BB"/>
    <w:rsid w:val="00D165DF"/>
    <w:rsid w:val="00D16928"/>
    <w:rsid w:val="00D16EBF"/>
    <w:rsid w:val="00D17471"/>
    <w:rsid w:val="00D17602"/>
    <w:rsid w:val="00D206AC"/>
    <w:rsid w:val="00D206B9"/>
    <w:rsid w:val="00D21868"/>
    <w:rsid w:val="00D225C1"/>
    <w:rsid w:val="00D22A08"/>
    <w:rsid w:val="00D23168"/>
    <w:rsid w:val="00D23337"/>
    <w:rsid w:val="00D237B2"/>
    <w:rsid w:val="00D239EF"/>
    <w:rsid w:val="00D23FA3"/>
    <w:rsid w:val="00D24529"/>
    <w:rsid w:val="00D24A73"/>
    <w:rsid w:val="00D2542A"/>
    <w:rsid w:val="00D254D6"/>
    <w:rsid w:val="00D26DAC"/>
    <w:rsid w:val="00D2779A"/>
    <w:rsid w:val="00D2798D"/>
    <w:rsid w:val="00D30655"/>
    <w:rsid w:val="00D30663"/>
    <w:rsid w:val="00D3096D"/>
    <w:rsid w:val="00D30FC4"/>
    <w:rsid w:val="00D31755"/>
    <w:rsid w:val="00D31878"/>
    <w:rsid w:val="00D3198C"/>
    <w:rsid w:val="00D31F6E"/>
    <w:rsid w:val="00D3224C"/>
    <w:rsid w:val="00D322AC"/>
    <w:rsid w:val="00D32A67"/>
    <w:rsid w:val="00D32C0F"/>
    <w:rsid w:val="00D33960"/>
    <w:rsid w:val="00D343D5"/>
    <w:rsid w:val="00D3454C"/>
    <w:rsid w:val="00D35C05"/>
    <w:rsid w:val="00D36949"/>
    <w:rsid w:val="00D411D8"/>
    <w:rsid w:val="00D41370"/>
    <w:rsid w:val="00D416A3"/>
    <w:rsid w:val="00D427F6"/>
    <w:rsid w:val="00D42EEE"/>
    <w:rsid w:val="00D430AF"/>
    <w:rsid w:val="00D4329E"/>
    <w:rsid w:val="00D439EB"/>
    <w:rsid w:val="00D43B17"/>
    <w:rsid w:val="00D43DB2"/>
    <w:rsid w:val="00D440E3"/>
    <w:rsid w:val="00D445C9"/>
    <w:rsid w:val="00D44943"/>
    <w:rsid w:val="00D44AF1"/>
    <w:rsid w:val="00D44C86"/>
    <w:rsid w:val="00D4522E"/>
    <w:rsid w:val="00D454C6"/>
    <w:rsid w:val="00D4633D"/>
    <w:rsid w:val="00D467C1"/>
    <w:rsid w:val="00D474A2"/>
    <w:rsid w:val="00D476ED"/>
    <w:rsid w:val="00D4774E"/>
    <w:rsid w:val="00D477E0"/>
    <w:rsid w:val="00D47996"/>
    <w:rsid w:val="00D47A27"/>
    <w:rsid w:val="00D501DC"/>
    <w:rsid w:val="00D5516F"/>
    <w:rsid w:val="00D55880"/>
    <w:rsid w:val="00D560CC"/>
    <w:rsid w:val="00D5620D"/>
    <w:rsid w:val="00D57062"/>
    <w:rsid w:val="00D578E6"/>
    <w:rsid w:val="00D578F1"/>
    <w:rsid w:val="00D60896"/>
    <w:rsid w:val="00D613D7"/>
    <w:rsid w:val="00D617B0"/>
    <w:rsid w:val="00D61AD0"/>
    <w:rsid w:val="00D61BAC"/>
    <w:rsid w:val="00D61D7C"/>
    <w:rsid w:val="00D637CC"/>
    <w:rsid w:val="00D63847"/>
    <w:rsid w:val="00D648A9"/>
    <w:rsid w:val="00D64B8A"/>
    <w:rsid w:val="00D659AF"/>
    <w:rsid w:val="00D65A0A"/>
    <w:rsid w:val="00D65C08"/>
    <w:rsid w:val="00D669EF"/>
    <w:rsid w:val="00D67B89"/>
    <w:rsid w:val="00D7046E"/>
    <w:rsid w:val="00D70D4F"/>
    <w:rsid w:val="00D70E08"/>
    <w:rsid w:val="00D71690"/>
    <w:rsid w:val="00D71970"/>
    <w:rsid w:val="00D71E21"/>
    <w:rsid w:val="00D7225D"/>
    <w:rsid w:val="00D724EA"/>
    <w:rsid w:val="00D729FC"/>
    <w:rsid w:val="00D7308B"/>
    <w:rsid w:val="00D73F46"/>
    <w:rsid w:val="00D747F6"/>
    <w:rsid w:val="00D756F5"/>
    <w:rsid w:val="00D76BC6"/>
    <w:rsid w:val="00D775EF"/>
    <w:rsid w:val="00D779B9"/>
    <w:rsid w:val="00D803AC"/>
    <w:rsid w:val="00D808A0"/>
    <w:rsid w:val="00D83E0B"/>
    <w:rsid w:val="00D84770"/>
    <w:rsid w:val="00D84F95"/>
    <w:rsid w:val="00D85319"/>
    <w:rsid w:val="00D8632E"/>
    <w:rsid w:val="00D86E03"/>
    <w:rsid w:val="00D86E84"/>
    <w:rsid w:val="00D86FAC"/>
    <w:rsid w:val="00D875B1"/>
    <w:rsid w:val="00D8786A"/>
    <w:rsid w:val="00D87CE6"/>
    <w:rsid w:val="00D87D42"/>
    <w:rsid w:val="00D909B7"/>
    <w:rsid w:val="00D90DA2"/>
    <w:rsid w:val="00D9137E"/>
    <w:rsid w:val="00D91711"/>
    <w:rsid w:val="00D91A1B"/>
    <w:rsid w:val="00D91A5C"/>
    <w:rsid w:val="00D925F9"/>
    <w:rsid w:val="00D92689"/>
    <w:rsid w:val="00D928FF"/>
    <w:rsid w:val="00D92BE5"/>
    <w:rsid w:val="00D92CB5"/>
    <w:rsid w:val="00D92DB1"/>
    <w:rsid w:val="00D942D8"/>
    <w:rsid w:val="00D94400"/>
    <w:rsid w:val="00D95DED"/>
    <w:rsid w:val="00D973FA"/>
    <w:rsid w:val="00D97F9A"/>
    <w:rsid w:val="00DA1F4B"/>
    <w:rsid w:val="00DA227C"/>
    <w:rsid w:val="00DA27AC"/>
    <w:rsid w:val="00DA29C2"/>
    <w:rsid w:val="00DA34AE"/>
    <w:rsid w:val="00DA3665"/>
    <w:rsid w:val="00DA38E0"/>
    <w:rsid w:val="00DA3E0B"/>
    <w:rsid w:val="00DA47FA"/>
    <w:rsid w:val="00DA5F86"/>
    <w:rsid w:val="00DA6175"/>
    <w:rsid w:val="00DA61A6"/>
    <w:rsid w:val="00DA6E4B"/>
    <w:rsid w:val="00DA7354"/>
    <w:rsid w:val="00DA7827"/>
    <w:rsid w:val="00DB0D18"/>
    <w:rsid w:val="00DB1937"/>
    <w:rsid w:val="00DB1A40"/>
    <w:rsid w:val="00DB1B60"/>
    <w:rsid w:val="00DB2E20"/>
    <w:rsid w:val="00DB2F49"/>
    <w:rsid w:val="00DB41F4"/>
    <w:rsid w:val="00DB441B"/>
    <w:rsid w:val="00DB5E11"/>
    <w:rsid w:val="00DB5E96"/>
    <w:rsid w:val="00DB63AA"/>
    <w:rsid w:val="00DB6C72"/>
    <w:rsid w:val="00DB7531"/>
    <w:rsid w:val="00DB75AF"/>
    <w:rsid w:val="00DC0CB8"/>
    <w:rsid w:val="00DC0FE5"/>
    <w:rsid w:val="00DC11D1"/>
    <w:rsid w:val="00DC18F4"/>
    <w:rsid w:val="00DC1F2B"/>
    <w:rsid w:val="00DC2646"/>
    <w:rsid w:val="00DC3A1F"/>
    <w:rsid w:val="00DC47E4"/>
    <w:rsid w:val="00DC573E"/>
    <w:rsid w:val="00DC5FFE"/>
    <w:rsid w:val="00DC634F"/>
    <w:rsid w:val="00DC704C"/>
    <w:rsid w:val="00DC73CD"/>
    <w:rsid w:val="00DD09F5"/>
    <w:rsid w:val="00DD0ECD"/>
    <w:rsid w:val="00DD1C4F"/>
    <w:rsid w:val="00DD1F32"/>
    <w:rsid w:val="00DD258A"/>
    <w:rsid w:val="00DD25FB"/>
    <w:rsid w:val="00DD2E3A"/>
    <w:rsid w:val="00DD48FC"/>
    <w:rsid w:val="00DD4FCA"/>
    <w:rsid w:val="00DD5BC0"/>
    <w:rsid w:val="00DD6299"/>
    <w:rsid w:val="00DD6457"/>
    <w:rsid w:val="00DD6CFC"/>
    <w:rsid w:val="00DD6FF0"/>
    <w:rsid w:val="00DE2587"/>
    <w:rsid w:val="00DE262C"/>
    <w:rsid w:val="00DE26B2"/>
    <w:rsid w:val="00DE3229"/>
    <w:rsid w:val="00DE55D9"/>
    <w:rsid w:val="00DE6022"/>
    <w:rsid w:val="00DE6537"/>
    <w:rsid w:val="00DE6559"/>
    <w:rsid w:val="00DE672C"/>
    <w:rsid w:val="00DE6C36"/>
    <w:rsid w:val="00DE6DB6"/>
    <w:rsid w:val="00DE75C2"/>
    <w:rsid w:val="00DE7617"/>
    <w:rsid w:val="00DE771B"/>
    <w:rsid w:val="00DE795E"/>
    <w:rsid w:val="00DE797B"/>
    <w:rsid w:val="00DF1CC6"/>
    <w:rsid w:val="00DF536B"/>
    <w:rsid w:val="00DF5660"/>
    <w:rsid w:val="00DF6127"/>
    <w:rsid w:val="00DF6621"/>
    <w:rsid w:val="00DF6916"/>
    <w:rsid w:val="00DF740D"/>
    <w:rsid w:val="00DF7829"/>
    <w:rsid w:val="00DF7BD9"/>
    <w:rsid w:val="00E014CB"/>
    <w:rsid w:val="00E01758"/>
    <w:rsid w:val="00E0197E"/>
    <w:rsid w:val="00E0205B"/>
    <w:rsid w:val="00E02697"/>
    <w:rsid w:val="00E02EC3"/>
    <w:rsid w:val="00E034A2"/>
    <w:rsid w:val="00E039BD"/>
    <w:rsid w:val="00E046E0"/>
    <w:rsid w:val="00E04EDF"/>
    <w:rsid w:val="00E06354"/>
    <w:rsid w:val="00E06358"/>
    <w:rsid w:val="00E06B81"/>
    <w:rsid w:val="00E06BFA"/>
    <w:rsid w:val="00E07376"/>
    <w:rsid w:val="00E07603"/>
    <w:rsid w:val="00E07C00"/>
    <w:rsid w:val="00E10A5E"/>
    <w:rsid w:val="00E1200C"/>
    <w:rsid w:val="00E1226A"/>
    <w:rsid w:val="00E1295D"/>
    <w:rsid w:val="00E13B25"/>
    <w:rsid w:val="00E13EAE"/>
    <w:rsid w:val="00E13F18"/>
    <w:rsid w:val="00E141D3"/>
    <w:rsid w:val="00E143AC"/>
    <w:rsid w:val="00E14593"/>
    <w:rsid w:val="00E14A93"/>
    <w:rsid w:val="00E15882"/>
    <w:rsid w:val="00E15D6A"/>
    <w:rsid w:val="00E16310"/>
    <w:rsid w:val="00E17BB1"/>
    <w:rsid w:val="00E20ADD"/>
    <w:rsid w:val="00E224DB"/>
    <w:rsid w:val="00E228F3"/>
    <w:rsid w:val="00E2327F"/>
    <w:rsid w:val="00E2330F"/>
    <w:rsid w:val="00E26CD8"/>
    <w:rsid w:val="00E26FF6"/>
    <w:rsid w:val="00E30ADE"/>
    <w:rsid w:val="00E3116B"/>
    <w:rsid w:val="00E31219"/>
    <w:rsid w:val="00E317D3"/>
    <w:rsid w:val="00E338BB"/>
    <w:rsid w:val="00E343BD"/>
    <w:rsid w:val="00E34E18"/>
    <w:rsid w:val="00E3584A"/>
    <w:rsid w:val="00E36B51"/>
    <w:rsid w:val="00E40D57"/>
    <w:rsid w:val="00E417FB"/>
    <w:rsid w:val="00E4249D"/>
    <w:rsid w:val="00E42748"/>
    <w:rsid w:val="00E4280D"/>
    <w:rsid w:val="00E442CC"/>
    <w:rsid w:val="00E4454D"/>
    <w:rsid w:val="00E46C28"/>
    <w:rsid w:val="00E47193"/>
    <w:rsid w:val="00E471F6"/>
    <w:rsid w:val="00E47976"/>
    <w:rsid w:val="00E500F0"/>
    <w:rsid w:val="00E5014F"/>
    <w:rsid w:val="00E50263"/>
    <w:rsid w:val="00E51497"/>
    <w:rsid w:val="00E52114"/>
    <w:rsid w:val="00E52B77"/>
    <w:rsid w:val="00E54924"/>
    <w:rsid w:val="00E550EC"/>
    <w:rsid w:val="00E556E7"/>
    <w:rsid w:val="00E557BE"/>
    <w:rsid w:val="00E55AC1"/>
    <w:rsid w:val="00E5660C"/>
    <w:rsid w:val="00E56AE5"/>
    <w:rsid w:val="00E56B15"/>
    <w:rsid w:val="00E56BF9"/>
    <w:rsid w:val="00E56C7D"/>
    <w:rsid w:val="00E5725D"/>
    <w:rsid w:val="00E5739E"/>
    <w:rsid w:val="00E5770B"/>
    <w:rsid w:val="00E6005F"/>
    <w:rsid w:val="00E61EB1"/>
    <w:rsid w:val="00E62201"/>
    <w:rsid w:val="00E626C8"/>
    <w:rsid w:val="00E62B82"/>
    <w:rsid w:val="00E6303D"/>
    <w:rsid w:val="00E63288"/>
    <w:rsid w:val="00E63C2B"/>
    <w:rsid w:val="00E643ED"/>
    <w:rsid w:val="00E64E0D"/>
    <w:rsid w:val="00E664BA"/>
    <w:rsid w:val="00E67311"/>
    <w:rsid w:val="00E67CAD"/>
    <w:rsid w:val="00E67EEE"/>
    <w:rsid w:val="00E701C7"/>
    <w:rsid w:val="00E70BF6"/>
    <w:rsid w:val="00E71269"/>
    <w:rsid w:val="00E72EAD"/>
    <w:rsid w:val="00E733E1"/>
    <w:rsid w:val="00E734DD"/>
    <w:rsid w:val="00E7362D"/>
    <w:rsid w:val="00E7379C"/>
    <w:rsid w:val="00E739FA"/>
    <w:rsid w:val="00E73A40"/>
    <w:rsid w:val="00E73C8D"/>
    <w:rsid w:val="00E74CB3"/>
    <w:rsid w:val="00E75340"/>
    <w:rsid w:val="00E75D81"/>
    <w:rsid w:val="00E7675C"/>
    <w:rsid w:val="00E77460"/>
    <w:rsid w:val="00E8059C"/>
    <w:rsid w:val="00E80981"/>
    <w:rsid w:val="00E82473"/>
    <w:rsid w:val="00E82551"/>
    <w:rsid w:val="00E83F9F"/>
    <w:rsid w:val="00E8406E"/>
    <w:rsid w:val="00E843A6"/>
    <w:rsid w:val="00E84D3C"/>
    <w:rsid w:val="00E852D3"/>
    <w:rsid w:val="00E853EA"/>
    <w:rsid w:val="00E85670"/>
    <w:rsid w:val="00E8616D"/>
    <w:rsid w:val="00E90174"/>
    <w:rsid w:val="00E90673"/>
    <w:rsid w:val="00E909BC"/>
    <w:rsid w:val="00E913ED"/>
    <w:rsid w:val="00E92081"/>
    <w:rsid w:val="00E92312"/>
    <w:rsid w:val="00E9234F"/>
    <w:rsid w:val="00E92F35"/>
    <w:rsid w:val="00E93CDC"/>
    <w:rsid w:val="00E95B46"/>
    <w:rsid w:val="00E96097"/>
    <w:rsid w:val="00E97391"/>
    <w:rsid w:val="00E97448"/>
    <w:rsid w:val="00E974AC"/>
    <w:rsid w:val="00E97A4E"/>
    <w:rsid w:val="00E97D3B"/>
    <w:rsid w:val="00E97F8C"/>
    <w:rsid w:val="00EA040D"/>
    <w:rsid w:val="00EA07C2"/>
    <w:rsid w:val="00EA08C4"/>
    <w:rsid w:val="00EA0D74"/>
    <w:rsid w:val="00EA1712"/>
    <w:rsid w:val="00EA1B8F"/>
    <w:rsid w:val="00EA2780"/>
    <w:rsid w:val="00EA2B1E"/>
    <w:rsid w:val="00EA2B9D"/>
    <w:rsid w:val="00EA2F58"/>
    <w:rsid w:val="00EA3801"/>
    <w:rsid w:val="00EA3A43"/>
    <w:rsid w:val="00EA3FFA"/>
    <w:rsid w:val="00EA4592"/>
    <w:rsid w:val="00EA477A"/>
    <w:rsid w:val="00EA4C90"/>
    <w:rsid w:val="00EA622C"/>
    <w:rsid w:val="00EA6FD5"/>
    <w:rsid w:val="00EA7AFB"/>
    <w:rsid w:val="00EB05F6"/>
    <w:rsid w:val="00EB0CB4"/>
    <w:rsid w:val="00EB2472"/>
    <w:rsid w:val="00EB2A99"/>
    <w:rsid w:val="00EB2F98"/>
    <w:rsid w:val="00EB2FAA"/>
    <w:rsid w:val="00EB40CD"/>
    <w:rsid w:val="00EB445D"/>
    <w:rsid w:val="00EB45EF"/>
    <w:rsid w:val="00EB4BB0"/>
    <w:rsid w:val="00EB4F00"/>
    <w:rsid w:val="00EC1643"/>
    <w:rsid w:val="00EC1BAE"/>
    <w:rsid w:val="00EC2BD6"/>
    <w:rsid w:val="00EC2FE6"/>
    <w:rsid w:val="00EC338C"/>
    <w:rsid w:val="00EC44A3"/>
    <w:rsid w:val="00EC465F"/>
    <w:rsid w:val="00EC5E11"/>
    <w:rsid w:val="00EC77D2"/>
    <w:rsid w:val="00EC77D9"/>
    <w:rsid w:val="00EC7CA9"/>
    <w:rsid w:val="00ED0D44"/>
    <w:rsid w:val="00ED124D"/>
    <w:rsid w:val="00ED15E7"/>
    <w:rsid w:val="00ED31C8"/>
    <w:rsid w:val="00ED35F1"/>
    <w:rsid w:val="00ED37E3"/>
    <w:rsid w:val="00ED3FDC"/>
    <w:rsid w:val="00ED4CDD"/>
    <w:rsid w:val="00ED5579"/>
    <w:rsid w:val="00ED58F5"/>
    <w:rsid w:val="00ED6D70"/>
    <w:rsid w:val="00ED7FB6"/>
    <w:rsid w:val="00EE2DAF"/>
    <w:rsid w:val="00EE300D"/>
    <w:rsid w:val="00EE32C1"/>
    <w:rsid w:val="00EE40E7"/>
    <w:rsid w:val="00EE71A7"/>
    <w:rsid w:val="00EE7549"/>
    <w:rsid w:val="00EE7CDE"/>
    <w:rsid w:val="00EF0AEF"/>
    <w:rsid w:val="00EF0EDB"/>
    <w:rsid w:val="00EF1AAF"/>
    <w:rsid w:val="00EF1ECC"/>
    <w:rsid w:val="00EF2640"/>
    <w:rsid w:val="00EF2E0D"/>
    <w:rsid w:val="00EF3B1D"/>
    <w:rsid w:val="00EF578E"/>
    <w:rsid w:val="00EF6123"/>
    <w:rsid w:val="00EF74AE"/>
    <w:rsid w:val="00EF7705"/>
    <w:rsid w:val="00EF7E85"/>
    <w:rsid w:val="00F004E5"/>
    <w:rsid w:val="00F016D2"/>
    <w:rsid w:val="00F01BAD"/>
    <w:rsid w:val="00F02346"/>
    <w:rsid w:val="00F03138"/>
    <w:rsid w:val="00F03266"/>
    <w:rsid w:val="00F035FB"/>
    <w:rsid w:val="00F04A0A"/>
    <w:rsid w:val="00F04D53"/>
    <w:rsid w:val="00F065D8"/>
    <w:rsid w:val="00F07DC2"/>
    <w:rsid w:val="00F10832"/>
    <w:rsid w:val="00F1155C"/>
    <w:rsid w:val="00F11DA5"/>
    <w:rsid w:val="00F11EB7"/>
    <w:rsid w:val="00F12DAD"/>
    <w:rsid w:val="00F13784"/>
    <w:rsid w:val="00F138E3"/>
    <w:rsid w:val="00F1503F"/>
    <w:rsid w:val="00F15294"/>
    <w:rsid w:val="00F1611F"/>
    <w:rsid w:val="00F161D4"/>
    <w:rsid w:val="00F169B5"/>
    <w:rsid w:val="00F16AAB"/>
    <w:rsid w:val="00F2086A"/>
    <w:rsid w:val="00F20BDC"/>
    <w:rsid w:val="00F21643"/>
    <w:rsid w:val="00F21D30"/>
    <w:rsid w:val="00F22160"/>
    <w:rsid w:val="00F22C4B"/>
    <w:rsid w:val="00F2301E"/>
    <w:rsid w:val="00F232F0"/>
    <w:rsid w:val="00F233DC"/>
    <w:rsid w:val="00F236A3"/>
    <w:rsid w:val="00F236A7"/>
    <w:rsid w:val="00F23CBD"/>
    <w:rsid w:val="00F24931"/>
    <w:rsid w:val="00F24EB3"/>
    <w:rsid w:val="00F25658"/>
    <w:rsid w:val="00F25D43"/>
    <w:rsid w:val="00F26857"/>
    <w:rsid w:val="00F30A6A"/>
    <w:rsid w:val="00F30E58"/>
    <w:rsid w:val="00F316B6"/>
    <w:rsid w:val="00F319DA"/>
    <w:rsid w:val="00F31AEF"/>
    <w:rsid w:val="00F31AFB"/>
    <w:rsid w:val="00F31DE6"/>
    <w:rsid w:val="00F320C2"/>
    <w:rsid w:val="00F3281F"/>
    <w:rsid w:val="00F329C1"/>
    <w:rsid w:val="00F32E1D"/>
    <w:rsid w:val="00F348BC"/>
    <w:rsid w:val="00F3590C"/>
    <w:rsid w:val="00F35E15"/>
    <w:rsid w:val="00F36ED2"/>
    <w:rsid w:val="00F374EE"/>
    <w:rsid w:val="00F37F36"/>
    <w:rsid w:val="00F407B5"/>
    <w:rsid w:val="00F40847"/>
    <w:rsid w:val="00F40CFF"/>
    <w:rsid w:val="00F411EA"/>
    <w:rsid w:val="00F41A52"/>
    <w:rsid w:val="00F440BF"/>
    <w:rsid w:val="00F44388"/>
    <w:rsid w:val="00F44999"/>
    <w:rsid w:val="00F44B5D"/>
    <w:rsid w:val="00F45D01"/>
    <w:rsid w:val="00F46D39"/>
    <w:rsid w:val="00F46D50"/>
    <w:rsid w:val="00F47218"/>
    <w:rsid w:val="00F506B5"/>
    <w:rsid w:val="00F51E67"/>
    <w:rsid w:val="00F52221"/>
    <w:rsid w:val="00F529C9"/>
    <w:rsid w:val="00F54A23"/>
    <w:rsid w:val="00F54A4F"/>
    <w:rsid w:val="00F54C52"/>
    <w:rsid w:val="00F55187"/>
    <w:rsid w:val="00F551C6"/>
    <w:rsid w:val="00F55D0F"/>
    <w:rsid w:val="00F55D58"/>
    <w:rsid w:val="00F56077"/>
    <w:rsid w:val="00F5644B"/>
    <w:rsid w:val="00F56DF3"/>
    <w:rsid w:val="00F57424"/>
    <w:rsid w:val="00F57740"/>
    <w:rsid w:val="00F57CEA"/>
    <w:rsid w:val="00F605DE"/>
    <w:rsid w:val="00F60D93"/>
    <w:rsid w:val="00F6188D"/>
    <w:rsid w:val="00F61CC2"/>
    <w:rsid w:val="00F6209B"/>
    <w:rsid w:val="00F622FA"/>
    <w:rsid w:val="00F62697"/>
    <w:rsid w:val="00F627B0"/>
    <w:rsid w:val="00F631D7"/>
    <w:rsid w:val="00F643C3"/>
    <w:rsid w:val="00F64A5C"/>
    <w:rsid w:val="00F64B05"/>
    <w:rsid w:val="00F65A0E"/>
    <w:rsid w:val="00F65EF2"/>
    <w:rsid w:val="00F66330"/>
    <w:rsid w:val="00F67668"/>
    <w:rsid w:val="00F70556"/>
    <w:rsid w:val="00F70EA5"/>
    <w:rsid w:val="00F71723"/>
    <w:rsid w:val="00F71C59"/>
    <w:rsid w:val="00F7242A"/>
    <w:rsid w:val="00F72BA0"/>
    <w:rsid w:val="00F7374B"/>
    <w:rsid w:val="00F73C31"/>
    <w:rsid w:val="00F73FF6"/>
    <w:rsid w:val="00F74DEA"/>
    <w:rsid w:val="00F74EBF"/>
    <w:rsid w:val="00F75D0D"/>
    <w:rsid w:val="00F77A77"/>
    <w:rsid w:val="00F803DD"/>
    <w:rsid w:val="00F80440"/>
    <w:rsid w:val="00F81592"/>
    <w:rsid w:val="00F81649"/>
    <w:rsid w:val="00F818C7"/>
    <w:rsid w:val="00F81F51"/>
    <w:rsid w:val="00F8325F"/>
    <w:rsid w:val="00F84341"/>
    <w:rsid w:val="00F844E8"/>
    <w:rsid w:val="00F84AF1"/>
    <w:rsid w:val="00F853F3"/>
    <w:rsid w:val="00F85AC4"/>
    <w:rsid w:val="00F86C09"/>
    <w:rsid w:val="00F87E62"/>
    <w:rsid w:val="00F912F6"/>
    <w:rsid w:val="00F916AA"/>
    <w:rsid w:val="00F91A42"/>
    <w:rsid w:val="00F91CC1"/>
    <w:rsid w:val="00F922CB"/>
    <w:rsid w:val="00F925FD"/>
    <w:rsid w:val="00F938EE"/>
    <w:rsid w:val="00F93A60"/>
    <w:rsid w:val="00F9465B"/>
    <w:rsid w:val="00F946A2"/>
    <w:rsid w:val="00F94730"/>
    <w:rsid w:val="00F94A4B"/>
    <w:rsid w:val="00F94C32"/>
    <w:rsid w:val="00F952D3"/>
    <w:rsid w:val="00F96267"/>
    <w:rsid w:val="00F96389"/>
    <w:rsid w:val="00F96504"/>
    <w:rsid w:val="00F96CE7"/>
    <w:rsid w:val="00F97225"/>
    <w:rsid w:val="00F97897"/>
    <w:rsid w:val="00F97C6B"/>
    <w:rsid w:val="00FA00C6"/>
    <w:rsid w:val="00FA1D65"/>
    <w:rsid w:val="00FA1E0A"/>
    <w:rsid w:val="00FA318D"/>
    <w:rsid w:val="00FA35F4"/>
    <w:rsid w:val="00FA4243"/>
    <w:rsid w:val="00FA5939"/>
    <w:rsid w:val="00FA662E"/>
    <w:rsid w:val="00FA6682"/>
    <w:rsid w:val="00FA6693"/>
    <w:rsid w:val="00FA72F6"/>
    <w:rsid w:val="00FA7AA5"/>
    <w:rsid w:val="00FB04A6"/>
    <w:rsid w:val="00FB0A3C"/>
    <w:rsid w:val="00FB16AE"/>
    <w:rsid w:val="00FB2702"/>
    <w:rsid w:val="00FB2878"/>
    <w:rsid w:val="00FB2930"/>
    <w:rsid w:val="00FB2DE5"/>
    <w:rsid w:val="00FB31EA"/>
    <w:rsid w:val="00FB32D5"/>
    <w:rsid w:val="00FB395D"/>
    <w:rsid w:val="00FB3AE5"/>
    <w:rsid w:val="00FB56DF"/>
    <w:rsid w:val="00FB5BC2"/>
    <w:rsid w:val="00FB7BDA"/>
    <w:rsid w:val="00FB7D8A"/>
    <w:rsid w:val="00FB7EE4"/>
    <w:rsid w:val="00FC04F5"/>
    <w:rsid w:val="00FC10D5"/>
    <w:rsid w:val="00FC17D9"/>
    <w:rsid w:val="00FC1877"/>
    <w:rsid w:val="00FC21D5"/>
    <w:rsid w:val="00FC37E1"/>
    <w:rsid w:val="00FC3EA7"/>
    <w:rsid w:val="00FC4F6F"/>
    <w:rsid w:val="00FC54D8"/>
    <w:rsid w:val="00FC5A0B"/>
    <w:rsid w:val="00FC5EEF"/>
    <w:rsid w:val="00FC69D9"/>
    <w:rsid w:val="00FC6B38"/>
    <w:rsid w:val="00FC6D9A"/>
    <w:rsid w:val="00FD027C"/>
    <w:rsid w:val="00FD062F"/>
    <w:rsid w:val="00FD1C70"/>
    <w:rsid w:val="00FD1D9A"/>
    <w:rsid w:val="00FD22FF"/>
    <w:rsid w:val="00FD2B04"/>
    <w:rsid w:val="00FD2BEE"/>
    <w:rsid w:val="00FD2EA8"/>
    <w:rsid w:val="00FD4045"/>
    <w:rsid w:val="00FD4356"/>
    <w:rsid w:val="00FD678A"/>
    <w:rsid w:val="00FD685E"/>
    <w:rsid w:val="00FD74FB"/>
    <w:rsid w:val="00FD77E5"/>
    <w:rsid w:val="00FD7869"/>
    <w:rsid w:val="00FD7EB7"/>
    <w:rsid w:val="00FE0EA9"/>
    <w:rsid w:val="00FE24D3"/>
    <w:rsid w:val="00FE3094"/>
    <w:rsid w:val="00FE383B"/>
    <w:rsid w:val="00FE4A1D"/>
    <w:rsid w:val="00FE56C5"/>
    <w:rsid w:val="00FE5EFB"/>
    <w:rsid w:val="00FE6345"/>
    <w:rsid w:val="00FE643E"/>
    <w:rsid w:val="00FE777B"/>
    <w:rsid w:val="00FE7855"/>
    <w:rsid w:val="00FE7990"/>
    <w:rsid w:val="00FF0AC9"/>
    <w:rsid w:val="00FF0EA6"/>
    <w:rsid w:val="00FF11A4"/>
    <w:rsid w:val="00FF3C2B"/>
    <w:rsid w:val="00FF408F"/>
    <w:rsid w:val="00FF41F7"/>
    <w:rsid w:val="00FF4F2F"/>
    <w:rsid w:val="00FF5074"/>
    <w:rsid w:val="00FF5F79"/>
    <w:rsid w:val="00FF5FC9"/>
    <w:rsid w:val="00FF707A"/>
    <w:rsid w:val="00FF70B0"/>
    <w:rsid w:val="00FF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uiPriority="35" w:unhideWhenUsed="1" w:qFormat="1"/>
    <w:lsdException w:name="table of figure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06F5E"/>
    <w:pPr>
      <w:spacing w:after="200" w:line="276" w:lineRule="auto"/>
    </w:pPr>
    <w:rPr>
      <w:rFonts w:cs="Calibri"/>
      <w:lang w:val="lv-LV" w:eastAsia="en-US"/>
    </w:rPr>
  </w:style>
  <w:style w:type="paragraph" w:styleId="Heading1">
    <w:name w:val="heading 1"/>
    <w:basedOn w:val="Normal"/>
    <w:next w:val="Normal"/>
    <w:link w:val="Heading1Char"/>
    <w:uiPriority w:val="99"/>
    <w:qFormat/>
    <w:rsid w:val="0094256E"/>
    <w:pPr>
      <w:keepNext/>
      <w:keepLines/>
      <w:spacing w:before="480" w:after="0"/>
      <w:outlineLvl w:val="0"/>
    </w:pPr>
    <w:rPr>
      <w:rFonts w:ascii="Cambria" w:hAnsi="Cambria" w:cs="Cambria"/>
      <w:b/>
      <w:bCs/>
      <w:color w:val="365F91"/>
      <w:sz w:val="28"/>
      <w:szCs w:val="28"/>
      <w:lang w:val="ru-RU" w:eastAsia="ru-RU"/>
    </w:rPr>
  </w:style>
  <w:style w:type="paragraph" w:styleId="Heading2">
    <w:name w:val="heading 2"/>
    <w:basedOn w:val="Normal"/>
    <w:next w:val="Normal"/>
    <w:link w:val="Heading2Char"/>
    <w:uiPriority w:val="99"/>
    <w:qFormat/>
    <w:rsid w:val="005136E1"/>
    <w:pPr>
      <w:keepNext/>
      <w:keepLines/>
      <w:spacing w:before="200" w:after="0"/>
      <w:outlineLvl w:val="1"/>
    </w:pPr>
    <w:rPr>
      <w:rFonts w:ascii="Cambria" w:hAnsi="Cambria" w:cs="Cambria"/>
      <w:b/>
      <w:bCs/>
      <w:color w:val="4F81BD"/>
      <w:sz w:val="26"/>
      <w:szCs w:val="26"/>
      <w:lang w:val="ru-RU" w:eastAsia="ru-RU"/>
    </w:rPr>
  </w:style>
  <w:style w:type="paragraph" w:styleId="Heading3">
    <w:name w:val="heading 3"/>
    <w:basedOn w:val="Normal"/>
    <w:next w:val="Normal"/>
    <w:link w:val="Heading3Char"/>
    <w:uiPriority w:val="99"/>
    <w:qFormat/>
    <w:rsid w:val="00075D36"/>
    <w:pPr>
      <w:keepNext/>
      <w:keepLines/>
      <w:spacing w:before="200" w:after="0"/>
      <w:outlineLvl w:val="2"/>
    </w:pPr>
    <w:rPr>
      <w:rFonts w:ascii="Cambria" w:hAnsi="Cambria" w:cs="Cambria"/>
      <w:b/>
      <w:bCs/>
      <w:color w:val="4F81BD"/>
      <w:sz w:val="20"/>
      <w:szCs w:val="20"/>
      <w:lang w:val="ru-RU" w:eastAsia="ru-RU"/>
    </w:rPr>
  </w:style>
  <w:style w:type="paragraph" w:styleId="Heading4">
    <w:name w:val="heading 4"/>
    <w:basedOn w:val="Normal"/>
    <w:link w:val="Heading4Char"/>
    <w:uiPriority w:val="99"/>
    <w:qFormat/>
    <w:rsid w:val="00E039BD"/>
    <w:pPr>
      <w:spacing w:before="100" w:beforeAutospacing="1" w:after="100" w:afterAutospacing="1" w:line="240" w:lineRule="auto"/>
      <w:outlineLvl w:val="3"/>
    </w:pPr>
    <w:rPr>
      <w:rFonts w:cs="Times New Roman"/>
      <w:b/>
      <w:bCs/>
      <w:sz w:val="24"/>
      <w:szCs w:val="24"/>
      <w:lang w:val="ru-RU" w:eastAsia="lv-LV"/>
    </w:rPr>
  </w:style>
  <w:style w:type="paragraph" w:styleId="Heading5">
    <w:name w:val="heading 5"/>
    <w:basedOn w:val="Normal"/>
    <w:next w:val="Normal"/>
    <w:link w:val="Heading5Char"/>
    <w:uiPriority w:val="99"/>
    <w:qFormat/>
    <w:rsid w:val="00A208EF"/>
    <w:pPr>
      <w:keepNext/>
      <w:keepLines/>
      <w:spacing w:before="200" w:after="0"/>
      <w:outlineLvl w:val="4"/>
    </w:pPr>
    <w:rPr>
      <w:rFonts w:ascii="Cambria" w:hAnsi="Cambria" w:cs="Cambria"/>
      <w:color w:val="243F60"/>
      <w:sz w:val="20"/>
      <w:szCs w:val="20"/>
      <w:lang w:val="ru-RU" w:eastAsia="ru-RU"/>
    </w:rPr>
  </w:style>
  <w:style w:type="paragraph" w:styleId="Heading6">
    <w:name w:val="heading 6"/>
    <w:basedOn w:val="Normal"/>
    <w:next w:val="Normal"/>
    <w:link w:val="Heading6Char"/>
    <w:uiPriority w:val="99"/>
    <w:qFormat/>
    <w:rsid w:val="0093082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3082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
    <w:unhideWhenUsed/>
    <w:qFormat/>
    <w:rsid w:val="008D29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256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136E1"/>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075D36"/>
    <w:rPr>
      <w:rFonts w:ascii="Cambria" w:hAnsi="Cambria" w:cs="Cambria"/>
      <w:b/>
      <w:bCs/>
      <w:color w:val="4F81BD"/>
    </w:rPr>
  </w:style>
  <w:style w:type="character" w:customStyle="1" w:styleId="Heading4Char">
    <w:name w:val="Heading 4 Char"/>
    <w:basedOn w:val="DefaultParagraphFont"/>
    <w:link w:val="Heading4"/>
    <w:uiPriority w:val="99"/>
    <w:rsid w:val="00E039BD"/>
    <w:rPr>
      <w:rFonts w:ascii="Times New Roman" w:hAnsi="Times New Roman" w:cs="Times New Roman"/>
      <w:b/>
      <w:bCs/>
      <w:sz w:val="24"/>
      <w:szCs w:val="24"/>
      <w:lang w:eastAsia="lv-LV"/>
    </w:rPr>
  </w:style>
  <w:style w:type="character" w:customStyle="1" w:styleId="Heading5Char">
    <w:name w:val="Heading 5 Char"/>
    <w:basedOn w:val="DefaultParagraphFont"/>
    <w:link w:val="Heading5"/>
    <w:uiPriority w:val="99"/>
    <w:semiHidden/>
    <w:rsid w:val="00A208EF"/>
    <w:rPr>
      <w:rFonts w:ascii="Cambria" w:hAnsi="Cambria" w:cs="Cambria"/>
      <w:color w:val="243F60"/>
    </w:rPr>
  </w:style>
  <w:style w:type="character" w:customStyle="1" w:styleId="Heading6Char">
    <w:name w:val="Heading 6 Char"/>
    <w:basedOn w:val="DefaultParagraphFont"/>
    <w:link w:val="Heading6"/>
    <w:uiPriority w:val="99"/>
    <w:rsid w:val="00930820"/>
    <w:rPr>
      <w:rFonts w:ascii="Cambria" w:hAnsi="Cambria" w:cs="Cambria"/>
      <w:i/>
      <w:iCs/>
      <w:color w:val="243F60"/>
      <w:sz w:val="22"/>
      <w:szCs w:val="22"/>
      <w:lang w:eastAsia="en-US"/>
    </w:rPr>
  </w:style>
  <w:style w:type="character" w:customStyle="1" w:styleId="Heading7Char">
    <w:name w:val="Heading 7 Char"/>
    <w:basedOn w:val="DefaultParagraphFont"/>
    <w:link w:val="Heading7"/>
    <w:uiPriority w:val="99"/>
    <w:rsid w:val="00930820"/>
    <w:rPr>
      <w:rFonts w:ascii="Cambria" w:hAnsi="Cambria" w:cs="Cambria"/>
      <w:i/>
      <w:iCs/>
      <w:color w:val="404040"/>
      <w:sz w:val="22"/>
      <w:szCs w:val="22"/>
      <w:lang w:eastAsia="en-US"/>
    </w:rPr>
  </w:style>
  <w:style w:type="paragraph" w:styleId="ListParagraph">
    <w:name w:val="List Paragraph"/>
    <w:basedOn w:val="Normal"/>
    <w:uiPriority w:val="99"/>
    <w:qFormat/>
    <w:rsid w:val="00836348"/>
    <w:pPr>
      <w:ind w:left="720"/>
    </w:pPr>
  </w:style>
  <w:style w:type="paragraph" w:styleId="z-TopofForm">
    <w:name w:val="HTML Top of Form"/>
    <w:basedOn w:val="Normal"/>
    <w:next w:val="Normal"/>
    <w:link w:val="z-TopofFormChar"/>
    <w:hidden/>
    <w:uiPriority w:val="99"/>
    <w:semiHidden/>
    <w:rsid w:val="00836348"/>
    <w:pPr>
      <w:pBdr>
        <w:bottom w:val="single" w:sz="6" w:space="1" w:color="auto"/>
      </w:pBdr>
      <w:spacing w:after="0" w:line="240" w:lineRule="auto"/>
      <w:jc w:val="center"/>
    </w:pPr>
    <w:rPr>
      <w:rFonts w:ascii="Arial" w:hAnsi="Arial" w:cs="Arial"/>
      <w:vanish/>
      <w:sz w:val="16"/>
      <w:szCs w:val="16"/>
      <w:lang w:val="ru-RU" w:eastAsia="lv-LV"/>
    </w:rPr>
  </w:style>
  <w:style w:type="character" w:customStyle="1" w:styleId="z-TopofFormChar">
    <w:name w:val="z-Top of Form Char"/>
    <w:basedOn w:val="DefaultParagraphFont"/>
    <w:link w:val="z-TopofForm"/>
    <w:uiPriority w:val="99"/>
    <w:semiHidden/>
    <w:rsid w:val="00836348"/>
    <w:rPr>
      <w:rFonts w:ascii="Arial" w:hAnsi="Arial" w:cs="Arial"/>
      <w:vanish/>
      <w:sz w:val="16"/>
      <w:szCs w:val="16"/>
      <w:lang w:eastAsia="lv-LV"/>
    </w:rPr>
  </w:style>
  <w:style w:type="paragraph" w:styleId="z-BottomofForm">
    <w:name w:val="HTML Bottom of Form"/>
    <w:basedOn w:val="Normal"/>
    <w:next w:val="Normal"/>
    <w:link w:val="z-BottomofFormChar"/>
    <w:hidden/>
    <w:uiPriority w:val="99"/>
    <w:semiHidden/>
    <w:rsid w:val="00836348"/>
    <w:pPr>
      <w:pBdr>
        <w:top w:val="single" w:sz="6" w:space="1" w:color="auto"/>
      </w:pBdr>
      <w:spacing w:after="0" w:line="240" w:lineRule="auto"/>
      <w:jc w:val="center"/>
    </w:pPr>
    <w:rPr>
      <w:rFonts w:ascii="Arial" w:hAnsi="Arial" w:cs="Arial"/>
      <w:vanish/>
      <w:sz w:val="16"/>
      <w:szCs w:val="16"/>
      <w:lang w:val="ru-RU" w:eastAsia="lv-LV"/>
    </w:rPr>
  </w:style>
  <w:style w:type="character" w:customStyle="1" w:styleId="z-BottomofFormChar">
    <w:name w:val="z-Bottom of Form Char"/>
    <w:basedOn w:val="DefaultParagraphFont"/>
    <w:link w:val="z-BottomofForm"/>
    <w:uiPriority w:val="99"/>
    <w:semiHidden/>
    <w:rsid w:val="00836348"/>
    <w:rPr>
      <w:rFonts w:ascii="Arial" w:hAnsi="Arial" w:cs="Arial"/>
      <w:vanish/>
      <w:sz w:val="16"/>
      <w:szCs w:val="16"/>
      <w:lang w:eastAsia="lv-LV"/>
    </w:rPr>
  </w:style>
  <w:style w:type="character" w:customStyle="1" w:styleId="quenote">
    <w:name w:val="que_note"/>
    <w:basedOn w:val="DefaultParagraphFont"/>
    <w:uiPriority w:val="99"/>
    <w:rsid w:val="00836348"/>
  </w:style>
  <w:style w:type="table" w:styleId="TableGrid">
    <w:name w:val="Table Grid"/>
    <w:basedOn w:val="TableNormal"/>
    <w:uiPriority w:val="59"/>
    <w:rsid w:val="0021567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5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rsid w:val="00215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670"/>
  </w:style>
  <w:style w:type="paragraph" w:styleId="BalloonText">
    <w:name w:val="Balloon Text"/>
    <w:basedOn w:val="Normal"/>
    <w:link w:val="BalloonTextChar"/>
    <w:uiPriority w:val="99"/>
    <w:semiHidden/>
    <w:rsid w:val="00215670"/>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215670"/>
    <w:rPr>
      <w:rFonts w:ascii="Tahoma" w:hAnsi="Tahoma" w:cs="Tahoma"/>
      <w:sz w:val="16"/>
      <w:szCs w:val="16"/>
    </w:rPr>
  </w:style>
  <w:style w:type="character" w:styleId="Hyperlink">
    <w:name w:val="Hyperlink"/>
    <w:basedOn w:val="DefaultParagraphFont"/>
    <w:uiPriority w:val="99"/>
    <w:rsid w:val="006E0E69"/>
    <w:rPr>
      <w:color w:val="0000FF"/>
      <w:u w:val="single"/>
    </w:rPr>
  </w:style>
  <w:style w:type="paragraph" w:customStyle="1" w:styleId="naisf">
    <w:name w:val="naisf"/>
    <w:basedOn w:val="Normal"/>
    <w:link w:val="naisfChar"/>
    <w:uiPriority w:val="99"/>
    <w:rsid w:val="00807B54"/>
    <w:pPr>
      <w:spacing w:before="100" w:beforeAutospacing="1" w:after="100" w:afterAutospacing="1" w:line="240" w:lineRule="auto"/>
    </w:pPr>
    <w:rPr>
      <w:rFonts w:cs="Times New Roman"/>
      <w:sz w:val="24"/>
      <w:szCs w:val="24"/>
      <w:lang w:val="ru-RU" w:eastAsia="lv-LV"/>
    </w:rPr>
  </w:style>
  <w:style w:type="paragraph" w:customStyle="1" w:styleId="naispie">
    <w:name w:val="naispie"/>
    <w:basedOn w:val="Normal"/>
    <w:uiPriority w:val="99"/>
    <w:rsid w:val="00807B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07B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807B54"/>
    <w:pPr>
      <w:spacing w:before="75" w:after="75" w:line="240" w:lineRule="auto"/>
    </w:pPr>
    <w:rPr>
      <w:rFonts w:ascii="Times New Roman" w:eastAsia="Times New Roman" w:hAnsi="Times New Roman" w:cs="Times New Roman"/>
      <w:sz w:val="24"/>
      <w:szCs w:val="24"/>
      <w:lang w:eastAsia="lv-LV"/>
    </w:rPr>
  </w:style>
  <w:style w:type="paragraph" w:customStyle="1" w:styleId="naisvisr">
    <w:name w:val="naisvisr"/>
    <w:basedOn w:val="Normal"/>
    <w:uiPriority w:val="99"/>
    <w:rsid w:val="00807B54"/>
    <w:pPr>
      <w:spacing w:before="450" w:after="300" w:line="240" w:lineRule="auto"/>
      <w:jc w:val="center"/>
    </w:pPr>
    <w:rPr>
      <w:rFonts w:ascii="Times New Roman" w:eastAsia="Times New Roman" w:hAnsi="Times New Roman" w:cs="Times New Roman"/>
      <w:b/>
      <w:bCs/>
      <w:sz w:val="28"/>
      <w:szCs w:val="28"/>
      <w:lang w:eastAsia="lv-LV"/>
    </w:rPr>
  </w:style>
  <w:style w:type="character" w:styleId="Strong">
    <w:name w:val="Strong"/>
    <w:basedOn w:val="DefaultParagraphFont"/>
    <w:uiPriority w:val="99"/>
    <w:qFormat/>
    <w:rsid w:val="009B0BDF"/>
    <w:rPr>
      <w:b/>
      <w:bCs/>
    </w:rPr>
  </w:style>
  <w:style w:type="paragraph" w:styleId="TOCHeading">
    <w:name w:val="TOC Heading"/>
    <w:basedOn w:val="Heading1"/>
    <w:next w:val="Normal"/>
    <w:uiPriority w:val="99"/>
    <w:qFormat/>
    <w:rsid w:val="0094256E"/>
    <w:pPr>
      <w:outlineLvl w:val="9"/>
    </w:pPr>
    <w:rPr>
      <w:lang w:val="en-US" w:eastAsia="ja-JP"/>
    </w:rPr>
  </w:style>
  <w:style w:type="paragraph" w:styleId="BodyText2">
    <w:name w:val="Body Text 2"/>
    <w:basedOn w:val="Normal"/>
    <w:link w:val="BodyText2Char1"/>
    <w:uiPriority w:val="99"/>
    <w:rsid w:val="003351B3"/>
    <w:pPr>
      <w:spacing w:after="120" w:line="240" w:lineRule="auto"/>
      <w:ind w:left="283"/>
    </w:pPr>
    <w:rPr>
      <w:rFonts w:cs="Times New Roman"/>
      <w:sz w:val="24"/>
      <w:szCs w:val="24"/>
      <w:lang w:val="ru-RU" w:eastAsia="ru-RU"/>
    </w:rPr>
  </w:style>
  <w:style w:type="character" w:customStyle="1" w:styleId="BodyText2Char">
    <w:name w:val="Body Text 2 Char"/>
    <w:basedOn w:val="DefaultParagraphFont"/>
    <w:uiPriority w:val="99"/>
    <w:semiHidden/>
    <w:rsid w:val="00665EA0"/>
    <w:rPr>
      <w:rFonts w:cs="Calibri"/>
      <w:lang w:val="lv-LV" w:eastAsia="en-US"/>
    </w:rPr>
  </w:style>
  <w:style w:type="character" w:customStyle="1" w:styleId="BodyText2Char1">
    <w:name w:val="Body Text 2 Char1"/>
    <w:link w:val="BodyText2"/>
    <w:uiPriority w:val="99"/>
    <w:rsid w:val="003351B3"/>
    <w:rPr>
      <w:rFonts w:ascii="Times New Roman" w:hAnsi="Times New Roman" w:cs="Times New Roman"/>
      <w:sz w:val="24"/>
      <w:szCs w:val="24"/>
    </w:rPr>
  </w:style>
  <w:style w:type="character" w:styleId="CommentReference">
    <w:name w:val="annotation reference"/>
    <w:basedOn w:val="DefaultParagraphFont"/>
    <w:uiPriority w:val="99"/>
    <w:semiHidden/>
    <w:rsid w:val="00FA318D"/>
    <w:rPr>
      <w:sz w:val="16"/>
      <w:szCs w:val="16"/>
    </w:rPr>
  </w:style>
  <w:style w:type="paragraph" w:styleId="CommentText">
    <w:name w:val="annotation text"/>
    <w:basedOn w:val="Normal"/>
    <w:link w:val="CommentTextChar"/>
    <w:uiPriority w:val="99"/>
    <w:rsid w:val="00FA318D"/>
    <w:pPr>
      <w:spacing w:line="240" w:lineRule="auto"/>
    </w:pPr>
    <w:rPr>
      <w:sz w:val="20"/>
      <w:szCs w:val="20"/>
      <w:lang w:val="ru-RU" w:eastAsia="ru-RU"/>
    </w:rPr>
  </w:style>
  <w:style w:type="character" w:customStyle="1" w:styleId="CommentTextChar">
    <w:name w:val="Comment Text Char"/>
    <w:basedOn w:val="DefaultParagraphFont"/>
    <w:link w:val="CommentText"/>
    <w:uiPriority w:val="99"/>
    <w:rsid w:val="00FA318D"/>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A318D"/>
    <w:rPr>
      <w:b/>
      <w:bCs/>
    </w:rPr>
  </w:style>
  <w:style w:type="character" w:customStyle="1" w:styleId="CommentSubjectChar">
    <w:name w:val="Comment Subject Char"/>
    <w:basedOn w:val="CommentTextChar"/>
    <w:link w:val="CommentSubject"/>
    <w:uiPriority w:val="99"/>
    <w:semiHidden/>
    <w:rsid w:val="00FA318D"/>
    <w:rPr>
      <w:rFonts w:ascii="Calibri" w:hAnsi="Calibri" w:cs="Calibri"/>
      <w:b/>
      <w:bCs/>
      <w:sz w:val="20"/>
      <w:szCs w:val="20"/>
    </w:rPr>
  </w:style>
  <w:style w:type="paragraph" w:customStyle="1" w:styleId="naislab">
    <w:name w:val="naislab"/>
    <w:basedOn w:val="Normal"/>
    <w:uiPriority w:val="99"/>
    <w:rsid w:val="00512ABE"/>
    <w:pPr>
      <w:spacing w:before="75" w:after="75" w:line="240" w:lineRule="auto"/>
      <w:jc w:val="right"/>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2"/>
    <w:uiPriority w:val="99"/>
    <w:semiHidden/>
    <w:rsid w:val="00AD6647"/>
    <w:pPr>
      <w:spacing w:after="0" w:line="240" w:lineRule="auto"/>
    </w:pPr>
    <w:rPr>
      <w:sz w:val="20"/>
      <w:szCs w:val="20"/>
      <w:lang w:val="ru-RU" w:eastAsia="ru-RU"/>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uiPriority w:val="99"/>
    <w:rsid w:val="00735DC6"/>
    <w:rPr>
      <w:sz w:val="20"/>
      <w:szCs w:val="20"/>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link w:val="FootnoteText"/>
    <w:uiPriority w:val="99"/>
    <w:rsid w:val="00AD6647"/>
    <w:rPr>
      <w:rFonts w:ascii="Calibri" w:hAnsi="Calibri" w:cs="Calibri"/>
      <w:sz w:val="20"/>
      <w:szCs w:val="20"/>
    </w:rPr>
  </w:style>
  <w:style w:type="character" w:styleId="FootnoteReference">
    <w:name w:val="footnote reference"/>
    <w:aliases w:val="Footnote Reference Number,Footnote symbol,SUPERS,ftref,Footnote Refernece,stylish,BVI fnr,Fußnotenzeichen_Raxen,callout,Footnote Reference Superscript"/>
    <w:basedOn w:val="DefaultParagraphFont"/>
    <w:uiPriority w:val="99"/>
    <w:semiHidden/>
    <w:rsid w:val="00AD6647"/>
    <w:rPr>
      <w:vertAlign w:val="superscript"/>
    </w:rPr>
  </w:style>
  <w:style w:type="character" w:customStyle="1" w:styleId="naisfChar">
    <w:name w:val="naisf Char"/>
    <w:link w:val="naisf"/>
    <w:uiPriority w:val="99"/>
    <w:rsid w:val="00C53080"/>
    <w:rPr>
      <w:rFonts w:ascii="Times New Roman" w:hAnsi="Times New Roman" w:cs="Times New Roman"/>
      <w:sz w:val="24"/>
      <w:szCs w:val="24"/>
      <w:lang w:eastAsia="lv-LV"/>
    </w:rPr>
  </w:style>
  <w:style w:type="paragraph" w:styleId="TOC1">
    <w:name w:val="toc 1"/>
    <w:basedOn w:val="Normal"/>
    <w:next w:val="Normal"/>
    <w:autoRedefine/>
    <w:uiPriority w:val="39"/>
    <w:rsid w:val="005136E1"/>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5136E1"/>
    <w:pPr>
      <w:spacing w:after="0"/>
      <w:ind w:left="220"/>
    </w:pPr>
    <w:rPr>
      <w:rFonts w:asciiTheme="minorHAnsi" w:hAnsiTheme="minorHAnsi"/>
      <w:smallCaps/>
      <w:sz w:val="20"/>
      <w:szCs w:val="20"/>
    </w:rPr>
  </w:style>
  <w:style w:type="paragraph" w:styleId="TOC3">
    <w:name w:val="toc 3"/>
    <w:basedOn w:val="Normal"/>
    <w:next w:val="Normal"/>
    <w:autoRedefine/>
    <w:uiPriority w:val="99"/>
    <w:semiHidden/>
    <w:rsid w:val="005136E1"/>
    <w:pPr>
      <w:spacing w:after="0"/>
      <w:ind w:left="440"/>
    </w:pPr>
    <w:rPr>
      <w:rFonts w:asciiTheme="minorHAnsi" w:hAnsiTheme="minorHAnsi"/>
      <w:i/>
      <w:iCs/>
      <w:sz w:val="20"/>
      <w:szCs w:val="20"/>
    </w:rPr>
  </w:style>
  <w:style w:type="paragraph" w:styleId="TOC4">
    <w:name w:val="toc 4"/>
    <w:basedOn w:val="Normal"/>
    <w:next w:val="Normal"/>
    <w:autoRedefine/>
    <w:uiPriority w:val="99"/>
    <w:semiHidden/>
    <w:rsid w:val="005136E1"/>
    <w:pPr>
      <w:spacing w:after="0"/>
      <w:ind w:left="660"/>
    </w:pPr>
    <w:rPr>
      <w:rFonts w:asciiTheme="minorHAnsi" w:hAnsiTheme="minorHAnsi"/>
      <w:sz w:val="18"/>
      <w:szCs w:val="18"/>
    </w:rPr>
  </w:style>
  <w:style w:type="paragraph" w:styleId="TOC5">
    <w:name w:val="toc 5"/>
    <w:basedOn w:val="Normal"/>
    <w:next w:val="Normal"/>
    <w:autoRedefine/>
    <w:uiPriority w:val="99"/>
    <w:semiHidden/>
    <w:rsid w:val="005136E1"/>
    <w:pPr>
      <w:spacing w:after="0"/>
      <w:ind w:left="880"/>
    </w:pPr>
    <w:rPr>
      <w:rFonts w:asciiTheme="minorHAnsi" w:hAnsiTheme="minorHAnsi"/>
      <w:sz w:val="18"/>
      <w:szCs w:val="18"/>
    </w:rPr>
  </w:style>
  <w:style w:type="paragraph" w:styleId="TOC6">
    <w:name w:val="toc 6"/>
    <w:basedOn w:val="Normal"/>
    <w:next w:val="Normal"/>
    <w:autoRedefine/>
    <w:uiPriority w:val="99"/>
    <w:semiHidden/>
    <w:rsid w:val="005136E1"/>
    <w:pPr>
      <w:spacing w:after="0"/>
      <w:ind w:left="1100"/>
    </w:pPr>
    <w:rPr>
      <w:rFonts w:asciiTheme="minorHAnsi" w:hAnsiTheme="minorHAnsi"/>
      <w:sz w:val="18"/>
      <w:szCs w:val="18"/>
    </w:rPr>
  </w:style>
  <w:style w:type="paragraph" w:styleId="TOC7">
    <w:name w:val="toc 7"/>
    <w:basedOn w:val="Normal"/>
    <w:next w:val="Normal"/>
    <w:autoRedefine/>
    <w:uiPriority w:val="99"/>
    <w:semiHidden/>
    <w:rsid w:val="005136E1"/>
    <w:pPr>
      <w:spacing w:after="0"/>
      <w:ind w:left="1320"/>
    </w:pPr>
    <w:rPr>
      <w:rFonts w:asciiTheme="minorHAnsi" w:hAnsiTheme="minorHAnsi"/>
      <w:sz w:val="18"/>
      <w:szCs w:val="18"/>
    </w:rPr>
  </w:style>
  <w:style w:type="paragraph" w:styleId="TOC8">
    <w:name w:val="toc 8"/>
    <w:basedOn w:val="Normal"/>
    <w:next w:val="Normal"/>
    <w:autoRedefine/>
    <w:uiPriority w:val="99"/>
    <w:semiHidden/>
    <w:rsid w:val="005136E1"/>
    <w:pPr>
      <w:spacing w:after="0"/>
      <w:ind w:left="1540"/>
    </w:pPr>
    <w:rPr>
      <w:rFonts w:asciiTheme="minorHAnsi" w:hAnsiTheme="minorHAnsi"/>
      <w:sz w:val="18"/>
      <w:szCs w:val="18"/>
    </w:rPr>
  </w:style>
  <w:style w:type="paragraph" w:styleId="TOC9">
    <w:name w:val="toc 9"/>
    <w:basedOn w:val="Normal"/>
    <w:next w:val="Normal"/>
    <w:autoRedefine/>
    <w:uiPriority w:val="99"/>
    <w:semiHidden/>
    <w:rsid w:val="005136E1"/>
    <w:pPr>
      <w:spacing w:after="0"/>
      <w:ind w:left="1760"/>
    </w:pPr>
    <w:rPr>
      <w:rFonts w:asciiTheme="minorHAnsi" w:hAnsiTheme="minorHAnsi"/>
      <w:sz w:val="18"/>
      <w:szCs w:val="18"/>
    </w:rPr>
  </w:style>
  <w:style w:type="paragraph" w:styleId="BodyText">
    <w:name w:val="Body Text"/>
    <w:basedOn w:val="Normal"/>
    <w:link w:val="BodyTextChar"/>
    <w:uiPriority w:val="99"/>
    <w:semiHidden/>
    <w:rsid w:val="00A208EF"/>
    <w:pPr>
      <w:spacing w:after="120"/>
    </w:pPr>
    <w:rPr>
      <w:sz w:val="20"/>
      <w:szCs w:val="20"/>
      <w:lang w:val="ru-RU" w:eastAsia="ru-RU"/>
    </w:rPr>
  </w:style>
  <w:style w:type="character" w:customStyle="1" w:styleId="BodyTextChar">
    <w:name w:val="Body Text Char"/>
    <w:basedOn w:val="DefaultParagraphFont"/>
    <w:link w:val="BodyText"/>
    <w:uiPriority w:val="99"/>
    <w:semiHidden/>
    <w:rsid w:val="00A208EF"/>
    <w:rPr>
      <w:rFonts w:ascii="Calibri" w:hAnsi="Calibri" w:cs="Calibri"/>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6E47C4"/>
    <w:rPr>
      <w:rFonts w:ascii="Calibri" w:hAnsi="Calibri" w:cs="Calibri"/>
      <w:sz w:val="20"/>
      <w:szCs w:val="20"/>
    </w:rPr>
  </w:style>
  <w:style w:type="character" w:customStyle="1" w:styleId="field-content">
    <w:name w:val="field-content"/>
    <w:uiPriority w:val="99"/>
    <w:rsid w:val="000A2FCB"/>
  </w:style>
  <w:style w:type="paragraph" w:styleId="NoSpacing">
    <w:name w:val="No Spacing"/>
    <w:uiPriority w:val="99"/>
    <w:qFormat/>
    <w:rsid w:val="00A06AAB"/>
    <w:rPr>
      <w:rFonts w:cs="Calibri"/>
      <w:lang w:val="lv-LV" w:eastAsia="en-US"/>
    </w:rPr>
  </w:style>
  <w:style w:type="paragraph" w:styleId="EnvelopeAddress">
    <w:name w:val="envelope address"/>
    <w:basedOn w:val="Normal"/>
    <w:next w:val="Subtitle"/>
    <w:uiPriority w:val="99"/>
    <w:rsid w:val="00177CB7"/>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tv2131">
    <w:name w:val="tv2131"/>
    <w:basedOn w:val="Normal"/>
    <w:uiPriority w:val="99"/>
    <w:rsid w:val="00177CB7"/>
    <w:pPr>
      <w:spacing w:before="240" w:after="0" w:line="360" w:lineRule="auto"/>
      <w:ind w:firstLine="300"/>
      <w:jc w:val="both"/>
    </w:pPr>
    <w:rPr>
      <w:rFonts w:ascii="Verdana" w:eastAsia="Times New Roman" w:hAnsi="Verdana" w:cs="Verdana"/>
      <w:sz w:val="18"/>
      <w:szCs w:val="18"/>
      <w:lang w:eastAsia="lv-LV"/>
    </w:rPr>
  </w:style>
  <w:style w:type="paragraph" w:styleId="Subtitle">
    <w:name w:val="Subtitle"/>
    <w:basedOn w:val="Normal"/>
    <w:next w:val="Normal"/>
    <w:link w:val="SubtitleChar"/>
    <w:uiPriority w:val="99"/>
    <w:qFormat/>
    <w:rsid w:val="00177CB7"/>
    <w:pPr>
      <w:spacing w:after="60"/>
      <w:jc w:val="center"/>
      <w:outlineLvl w:val="1"/>
    </w:pPr>
    <w:rPr>
      <w:rFonts w:ascii="Cambria" w:eastAsia="Times New Roman" w:hAnsi="Cambria" w:cs="Cambria"/>
      <w:sz w:val="24"/>
      <w:szCs w:val="24"/>
      <w:lang w:val="ru-RU"/>
    </w:rPr>
  </w:style>
  <w:style w:type="character" w:customStyle="1" w:styleId="SubtitleChar">
    <w:name w:val="Subtitle Char"/>
    <w:basedOn w:val="DefaultParagraphFont"/>
    <w:link w:val="Subtitle"/>
    <w:uiPriority w:val="99"/>
    <w:rsid w:val="00177CB7"/>
    <w:rPr>
      <w:rFonts w:ascii="Cambria" w:hAnsi="Cambria" w:cs="Cambria"/>
      <w:sz w:val="24"/>
      <w:szCs w:val="24"/>
      <w:lang w:eastAsia="en-US"/>
    </w:rPr>
  </w:style>
  <w:style w:type="character" w:styleId="Emphasis">
    <w:name w:val="Emphasis"/>
    <w:basedOn w:val="DefaultParagraphFont"/>
    <w:uiPriority w:val="99"/>
    <w:qFormat/>
    <w:rsid w:val="00B04A2C"/>
    <w:rPr>
      <w:i/>
      <w:iCs/>
    </w:rPr>
  </w:style>
  <w:style w:type="character" w:customStyle="1" w:styleId="apple-converted-space">
    <w:name w:val="apple-converted-space"/>
    <w:uiPriority w:val="99"/>
    <w:rsid w:val="006E0DE2"/>
  </w:style>
  <w:style w:type="character" w:styleId="FollowedHyperlink">
    <w:name w:val="FollowedHyperlink"/>
    <w:basedOn w:val="DefaultParagraphFont"/>
    <w:uiPriority w:val="99"/>
    <w:semiHidden/>
    <w:rsid w:val="00316DE3"/>
    <w:rPr>
      <w:color w:val="800080"/>
      <w:u w:val="single"/>
    </w:rPr>
  </w:style>
  <w:style w:type="character" w:customStyle="1" w:styleId="hps">
    <w:name w:val="hps"/>
    <w:uiPriority w:val="99"/>
    <w:rsid w:val="00C73FD1"/>
  </w:style>
  <w:style w:type="paragraph" w:styleId="Revision">
    <w:name w:val="Revision"/>
    <w:hidden/>
    <w:uiPriority w:val="99"/>
    <w:semiHidden/>
    <w:rsid w:val="00BE5F13"/>
    <w:rPr>
      <w:rFonts w:cs="Calibri"/>
      <w:lang w:val="lv-LV" w:eastAsia="en-US"/>
    </w:rPr>
  </w:style>
  <w:style w:type="paragraph" w:customStyle="1" w:styleId="Default">
    <w:name w:val="Default"/>
    <w:uiPriority w:val="99"/>
    <w:rsid w:val="00A938E1"/>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tv213">
    <w:name w:val="tv213"/>
    <w:basedOn w:val="Normal"/>
    <w:uiPriority w:val="99"/>
    <w:rsid w:val="000C5C7C"/>
    <w:pPr>
      <w:spacing w:before="100" w:beforeAutospacing="1" w:after="100" w:afterAutospacing="1" w:line="240" w:lineRule="auto"/>
    </w:pPr>
    <w:rPr>
      <w:rFonts w:cs="Times New Roman"/>
      <w:sz w:val="24"/>
      <w:szCs w:val="24"/>
      <w:lang w:eastAsia="lv-LV"/>
    </w:rPr>
  </w:style>
  <w:style w:type="character" w:customStyle="1" w:styleId="st">
    <w:name w:val="st"/>
    <w:basedOn w:val="DefaultParagraphFont"/>
    <w:uiPriority w:val="99"/>
    <w:rsid w:val="00863702"/>
  </w:style>
  <w:style w:type="character" w:styleId="PageNumber">
    <w:name w:val="page number"/>
    <w:basedOn w:val="DefaultParagraphFont"/>
    <w:uiPriority w:val="99"/>
    <w:rsid w:val="00BF574A"/>
  </w:style>
  <w:style w:type="character" w:styleId="SubtleEmphasis">
    <w:name w:val="Subtle Emphasis"/>
    <w:basedOn w:val="DefaultParagraphFont"/>
    <w:uiPriority w:val="99"/>
    <w:qFormat/>
    <w:rsid w:val="00E36B51"/>
    <w:rPr>
      <w:i/>
      <w:iCs/>
      <w:color w:val="808080"/>
    </w:rPr>
  </w:style>
  <w:style w:type="character" w:customStyle="1" w:styleId="Heading8Char">
    <w:name w:val="Heading 8 Char"/>
    <w:basedOn w:val="DefaultParagraphFont"/>
    <w:link w:val="Heading8"/>
    <w:uiPriority w:val="9"/>
    <w:rsid w:val="008D2995"/>
    <w:rPr>
      <w:rFonts w:asciiTheme="majorHAnsi" w:eastAsiaTheme="majorEastAsia" w:hAnsiTheme="majorHAnsi" w:cstheme="majorBidi"/>
      <w:color w:val="404040" w:themeColor="text1" w:themeTint="BF"/>
      <w:sz w:val="20"/>
      <w:szCs w:val="20"/>
      <w:lang w:val="lv-LV" w:eastAsia="en-US"/>
    </w:rPr>
  </w:style>
  <w:style w:type="paragraph" w:styleId="Title">
    <w:name w:val="Title"/>
    <w:basedOn w:val="Normal"/>
    <w:link w:val="TitleChar"/>
    <w:qFormat/>
    <w:rsid w:val="007D52F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D52F9"/>
    <w:rPr>
      <w:rFonts w:ascii="Times New Roman" w:eastAsia="Times New Roman" w:hAnsi="Times New Roman"/>
      <w:sz w:val="28"/>
      <w:szCs w:val="20"/>
      <w:lang w:val="lv-LV" w:eastAsia="en-US"/>
    </w:rPr>
  </w:style>
  <w:style w:type="paragraph" w:styleId="BodyTextIndent2">
    <w:name w:val="Body Text Indent 2"/>
    <w:basedOn w:val="Normal"/>
    <w:link w:val="BodyTextIndent2Char"/>
    <w:uiPriority w:val="99"/>
    <w:semiHidden/>
    <w:unhideWhenUsed/>
    <w:rsid w:val="00D84770"/>
    <w:pPr>
      <w:spacing w:after="120" w:line="480" w:lineRule="auto"/>
      <w:ind w:left="283"/>
    </w:pPr>
  </w:style>
  <w:style w:type="character" w:customStyle="1" w:styleId="BodyTextIndent2Char">
    <w:name w:val="Body Text Indent 2 Char"/>
    <w:basedOn w:val="DefaultParagraphFont"/>
    <w:link w:val="BodyTextIndent2"/>
    <w:uiPriority w:val="99"/>
    <w:semiHidden/>
    <w:rsid w:val="00D84770"/>
    <w:rPr>
      <w:rFonts w:cs="Calibri"/>
      <w:lang w:val="lv-LV" w:eastAsia="en-US"/>
    </w:rPr>
  </w:style>
  <w:style w:type="paragraph" w:customStyle="1" w:styleId="naisc">
    <w:name w:val="naisc"/>
    <w:basedOn w:val="Normal"/>
    <w:rsid w:val="00873B92"/>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uiPriority="35" w:unhideWhenUsed="1" w:qFormat="1"/>
    <w:lsdException w:name="table of figure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06F5E"/>
    <w:pPr>
      <w:spacing w:after="200" w:line="276" w:lineRule="auto"/>
    </w:pPr>
    <w:rPr>
      <w:rFonts w:cs="Calibri"/>
      <w:lang w:val="lv-LV" w:eastAsia="en-US"/>
    </w:rPr>
  </w:style>
  <w:style w:type="paragraph" w:styleId="Heading1">
    <w:name w:val="heading 1"/>
    <w:basedOn w:val="Normal"/>
    <w:next w:val="Normal"/>
    <w:link w:val="Heading1Char"/>
    <w:uiPriority w:val="99"/>
    <w:qFormat/>
    <w:rsid w:val="0094256E"/>
    <w:pPr>
      <w:keepNext/>
      <w:keepLines/>
      <w:spacing w:before="480" w:after="0"/>
      <w:outlineLvl w:val="0"/>
    </w:pPr>
    <w:rPr>
      <w:rFonts w:ascii="Cambria" w:hAnsi="Cambria" w:cs="Cambria"/>
      <w:b/>
      <w:bCs/>
      <w:color w:val="365F91"/>
      <w:sz w:val="28"/>
      <w:szCs w:val="28"/>
      <w:lang w:val="ru-RU" w:eastAsia="ru-RU"/>
    </w:rPr>
  </w:style>
  <w:style w:type="paragraph" w:styleId="Heading2">
    <w:name w:val="heading 2"/>
    <w:basedOn w:val="Normal"/>
    <w:next w:val="Normal"/>
    <w:link w:val="Heading2Char"/>
    <w:uiPriority w:val="99"/>
    <w:qFormat/>
    <w:rsid w:val="005136E1"/>
    <w:pPr>
      <w:keepNext/>
      <w:keepLines/>
      <w:spacing w:before="200" w:after="0"/>
      <w:outlineLvl w:val="1"/>
    </w:pPr>
    <w:rPr>
      <w:rFonts w:ascii="Cambria" w:hAnsi="Cambria" w:cs="Cambria"/>
      <w:b/>
      <w:bCs/>
      <w:color w:val="4F81BD"/>
      <w:sz w:val="26"/>
      <w:szCs w:val="26"/>
      <w:lang w:val="ru-RU" w:eastAsia="ru-RU"/>
    </w:rPr>
  </w:style>
  <w:style w:type="paragraph" w:styleId="Heading3">
    <w:name w:val="heading 3"/>
    <w:basedOn w:val="Normal"/>
    <w:next w:val="Normal"/>
    <w:link w:val="Heading3Char"/>
    <w:uiPriority w:val="99"/>
    <w:qFormat/>
    <w:rsid w:val="00075D36"/>
    <w:pPr>
      <w:keepNext/>
      <w:keepLines/>
      <w:spacing w:before="200" w:after="0"/>
      <w:outlineLvl w:val="2"/>
    </w:pPr>
    <w:rPr>
      <w:rFonts w:ascii="Cambria" w:hAnsi="Cambria" w:cs="Cambria"/>
      <w:b/>
      <w:bCs/>
      <w:color w:val="4F81BD"/>
      <w:sz w:val="20"/>
      <w:szCs w:val="20"/>
      <w:lang w:val="ru-RU" w:eastAsia="ru-RU"/>
    </w:rPr>
  </w:style>
  <w:style w:type="paragraph" w:styleId="Heading4">
    <w:name w:val="heading 4"/>
    <w:basedOn w:val="Normal"/>
    <w:link w:val="Heading4Char"/>
    <w:uiPriority w:val="99"/>
    <w:qFormat/>
    <w:rsid w:val="00E039BD"/>
    <w:pPr>
      <w:spacing w:before="100" w:beforeAutospacing="1" w:after="100" w:afterAutospacing="1" w:line="240" w:lineRule="auto"/>
      <w:outlineLvl w:val="3"/>
    </w:pPr>
    <w:rPr>
      <w:rFonts w:cs="Times New Roman"/>
      <w:b/>
      <w:bCs/>
      <w:sz w:val="24"/>
      <w:szCs w:val="24"/>
      <w:lang w:val="ru-RU" w:eastAsia="lv-LV"/>
    </w:rPr>
  </w:style>
  <w:style w:type="paragraph" w:styleId="Heading5">
    <w:name w:val="heading 5"/>
    <w:basedOn w:val="Normal"/>
    <w:next w:val="Normal"/>
    <w:link w:val="Heading5Char"/>
    <w:uiPriority w:val="99"/>
    <w:qFormat/>
    <w:rsid w:val="00A208EF"/>
    <w:pPr>
      <w:keepNext/>
      <w:keepLines/>
      <w:spacing w:before="200" w:after="0"/>
      <w:outlineLvl w:val="4"/>
    </w:pPr>
    <w:rPr>
      <w:rFonts w:ascii="Cambria" w:hAnsi="Cambria" w:cs="Cambria"/>
      <w:color w:val="243F60"/>
      <w:sz w:val="20"/>
      <w:szCs w:val="20"/>
      <w:lang w:val="ru-RU" w:eastAsia="ru-RU"/>
    </w:rPr>
  </w:style>
  <w:style w:type="paragraph" w:styleId="Heading6">
    <w:name w:val="heading 6"/>
    <w:basedOn w:val="Normal"/>
    <w:next w:val="Normal"/>
    <w:link w:val="Heading6Char"/>
    <w:uiPriority w:val="99"/>
    <w:qFormat/>
    <w:rsid w:val="0093082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3082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
    <w:unhideWhenUsed/>
    <w:qFormat/>
    <w:rsid w:val="008D29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256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136E1"/>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075D36"/>
    <w:rPr>
      <w:rFonts w:ascii="Cambria" w:hAnsi="Cambria" w:cs="Cambria"/>
      <w:b/>
      <w:bCs/>
      <w:color w:val="4F81BD"/>
    </w:rPr>
  </w:style>
  <w:style w:type="character" w:customStyle="1" w:styleId="Heading4Char">
    <w:name w:val="Heading 4 Char"/>
    <w:basedOn w:val="DefaultParagraphFont"/>
    <w:link w:val="Heading4"/>
    <w:uiPriority w:val="99"/>
    <w:rsid w:val="00E039BD"/>
    <w:rPr>
      <w:rFonts w:ascii="Times New Roman" w:hAnsi="Times New Roman" w:cs="Times New Roman"/>
      <w:b/>
      <w:bCs/>
      <w:sz w:val="24"/>
      <w:szCs w:val="24"/>
      <w:lang w:eastAsia="lv-LV"/>
    </w:rPr>
  </w:style>
  <w:style w:type="character" w:customStyle="1" w:styleId="Heading5Char">
    <w:name w:val="Heading 5 Char"/>
    <w:basedOn w:val="DefaultParagraphFont"/>
    <w:link w:val="Heading5"/>
    <w:uiPriority w:val="99"/>
    <w:semiHidden/>
    <w:rsid w:val="00A208EF"/>
    <w:rPr>
      <w:rFonts w:ascii="Cambria" w:hAnsi="Cambria" w:cs="Cambria"/>
      <w:color w:val="243F60"/>
    </w:rPr>
  </w:style>
  <w:style w:type="character" w:customStyle="1" w:styleId="Heading6Char">
    <w:name w:val="Heading 6 Char"/>
    <w:basedOn w:val="DefaultParagraphFont"/>
    <w:link w:val="Heading6"/>
    <w:uiPriority w:val="99"/>
    <w:rsid w:val="00930820"/>
    <w:rPr>
      <w:rFonts w:ascii="Cambria" w:hAnsi="Cambria" w:cs="Cambria"/>
      <w:i/>
      <w:iCs/>
      <w:color w:val="243F60"/>
      <w:sz w:val="22"/>
      <w:szCs w:val="22"/>
      <w:lang w:eastAsia="en-US"/>
    </w:rPr>
  </w:style>
  <w:style w:type="character" w:customStyle="1" w:styleId="Heading7Char">
    <w:name w:val="Heading 7 Char"/>
    <w:basedOn w:val="DefaultParagraphFont"/>
    <w:link w:val="Heading7"/>
    <w:uiPriority w:val="99"/>
    <w:rsid w:val="00930820"/>
    <w:rPr>
      <w:rFonts w:ascii="Cambria" w:hAnsi="Cambria" w:cs="Cambria"/>
      <w:i/>
      <w:iCs/>
      <w:color w:val="404040"/>
      <w:sz w:val="22"/>
      <w:szCs w:val="22"/>
      <w:lang w:eastAsia="en-US"/>
    </w:rPr>
  </w:style>
  <w:style w:type="paragraph" w:styleId="ListParagraph">
    <w:name w:val="List Paragraph"/>
    <w:basedOn w:val="Normal"/>
    <w:uiPriority w:val="99"/>
    <w:qFormat/>
    <w:rsid w:val="00836348"/>
    <w:pPr>
      <w:ind w:left="720"/>
    </w:pPr>
  </w:style>
  <w:style w:type="paragraph" w:styleId="z-TopofForm">
    <w:name w:val="HTML Top of Form"/>
    <w:basedOn w:val="Normal"/>
    <w:next w:val="Normal"/>
    <w:link w:val="z-TopofFormChar"/>
    <w:hidden/>
    <w:uiPriority w:val="99"/>
    <w:semiHidden/>
    <w:rsid w:val="00836348"/>
    <w:pPr>
      <w:pBdr>
        <w:bottom w:val="single" w:sz="6" w:space="1" w:color="auto"/>
      </w:pBdr>
      <w:spacing w:after="0" w:line="240" w:lineRule="auto"/>
      <w:jc w:val="center"/>
    </w:pPr>
    <w:rPr>
      <w:rFonts w:ascii="Arial" w:hAnsi="Arial" w:cs="Arial"/>
      <w:vanish/>
      <w:sz w:val="16"/>
      <w:szCs w:val="16"/>
      <w:lang w:val="ru-RU" w:eastAsia="lv-LV"/>
    </w:rPr>
  </w:style>
  <w:style w:type="character" w:customStyle="1" w:styleId="z-TopofFormChar">
    <w:name w:val="z-Top of Form Char"/>
    <w:basedOn w:val="DefaultParagraphFont"/>
    <w:link w:val="z-TopofForm"/>
    <w:uiPriority w:val="99"/>
    <w:semiHidden/>
    <w:rsid w:val="00836348"/>
    <w:rPr>
      <w:rFonts w:ascii="Arial" w:hAnsi="Arial" w:cs="Arial"/>
      <w:vanish/>
      <w:sz w:val="16"/>
      <w:szCs w:val="16"/>
      <w:lang w:eastAsia="lv-LV"/>
    </w:rPr>
  </w:style>
  <w:style w:type="paragraph" w:styleId="z-BottomofForm">
    <w:name w:val="HTML Bottom of Form"/>
    <w:basedOn w:val="Normal"/>
    <w:next w:val="Normal"/>
    <w:link w:val="z-BottomofFormChar"/>
    <w:hidden/>
    <w:uiPriority w:val="99"/>
    <w:semiHidden/>
    <w:rsid w:val="00836348"/>
    <w:pPr>
      <w:pBdr>
        <w:top w:val="single" w:sz="6" w:space="1" w:color="auto"/>
      </w:pBdr>
      <w:spacing w:after="0" w:line="240" w:lineRule="auto"/>
      <w:jc w:val="center"/>
    </w:pPr>
    <w:rPr>
      <w:rFonts w:ascii="Arial" w:hAnsi="Arial" w:cs="Arial"/>
      <w:vanish/>
      <w:sz w:val="16"/>
      <w:szCs w:val="16"/>
      <w:lang w:val="ru-RU" w:eastAsia="lv-LV"/>
    </w:rPr>
  </w:style>
  <w:style w:type="character" w:customStyle="1" w:styleId="z-BottomofFormChar">
    <w:name w:val="z-Bottom of Form Char"/>
    <w:basedOn w:val="DefaultParagraphFont"/>
    <w:link w:val="z-BottomofForm"/>
    <w:uiPriority w:val="99"/>
    <w:semiHidden/>
    <w:rsid w:val="00836348"/>
    <w:rPr>
      <w:rFonts w:ascii="Arial" w:hAnsi="Arial" w:cs="Arial"/>
      <w:vanish/>
      <w:sz w:val="16"/>
      <w:szCs w:val="16"/>
      <w:lang w:eastAsia="lv-LV"/>
    </w:rPr>
  </w:style>
  <w:style w:type="character" w:customStyle="1" w:styleId="quenote">
    <w:name w:val="que_note"/>
    <w:basedOn w:val="DefaultParagraphFont"/>
    <w:uiPriority w:val="99"/>
    <w:rsid w:val="00836348"/>
  </w:style>
  <w:style w:type="table" w:styleId="TableGrid">
    <w:name w:val="Table Grid"/>
    <w:basedOn w:val="TableNormal"/>
    <w:uiPriority w:val="59"/>
    <w:rsid w:val="0021567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5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rsid w:val="00215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670"/>
  </w:style>
  <w:style w:type="paragraph" w:styleId="BalloonText">
    <w:name w:val="Balloon Text"/>
    <w:basedOn w:val="Normal"/>
    <w:link w:val="BalloonTextChar"/>
    <w:uiPriority w:val="99"/>
    <w:semiHidden/>
    <w:rsid w:val="00215670"/>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215670"/>
    <w:rPr>
      <w:rFonts w:ascii="Tahoma" w:hAnsi="Tahoma" w:cs="Tahoma"/>
      <w:sz w:val="16"/>
      <w:szCs w:val="16"/>
    </w:rPr>
  </w:style>
  <w:style w:type="character" w:styleId="Hyperlink">
    <w:name w:val="Hyperlink"/>
    <w:basedOn w:val="DefaultParagraphFont"/>
    <w:uiPriority w:val="99"/>
    <w:rsid w:val="006E0E69"/>
    <w:rPr>
      <w:color w:val="0000FF"/>
      <w:u w:val="single"/>
    </w:rPr>
  </w:style>
  <w:style w:type="paragraph" w:customStyle="1" w:styleId="naisf">
    <w:name w:val="naisf"/>
    <w:basedOn w:val="Normal"/>
    <w:link w:val="naisfChar"/>
    <w:uiPriority w:val="99"/>
    <w:rsid w:val="00807B54"/>
    <w:pPr>
      <w:spacing w:before="100" w:beforeAutospacing="1" w:after="100" w:afterAutospacing="1" w:line="240" w:lineRule="auto"/>
    </w:pPr>
    <w:rPr>
      <w:rFonts w:cs="Times New Roman"/>
      <w:sz w:val="24"/>
      <w:szCs w:val="24"/>
      <w:lang w:val="ru-RU" w:eastAsia="lv-LV"/>
    </w:rPr>
  </w:style>
  <w:style w:type="paragraph" w:customStyle="1" w:styleId="naispie">
    <w:name w:val="naispie"/>
    <w:basedOn w:val="Normal"/>
    <w:uiPriority w:val="99"/>
    <w:rsid w:val="00807B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07B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807B54"/>
    <w:pPr>
      <w:spacing w:before="75" w:after="75" w:line="240" w:lineRule="auto"/>
    </w:pPr>
    <w:rPr>
      <w:rFonts w:ascii="Times New Roman" w:eastAsia="Times New Roman" w:hAnsi="Times New Roman" w:cs="Times New Roman"/>
      <w:sz w:val="24"/>
      <w:szCs w:val="24"/>
      <w:lang w:eastAsia="lv-LV"/>
    </w:rPr>
  </w:style>
  <w:style w:type="paragraph" w:customStyle="1" w:styleId="naisvisr">
    <w:name w:val="naisvisr"/>
    <w:basedOn w:val="Normal"/>
    <w:uiPriority w:val="99"/>
    <w:rsid w:val="00807B54"/>
    <w:pPr>
      <w:spacing w:before="450" w:after="300" w:line="240" w:lineRule="auto"/>
      <w:jc w:val="center"/>
    </w:pPr>
    <w:rPr>
      <w:rFonts w:ascii="Times New Roman" w:eastAsia="Times New Roman" w:hAnsi="Times New Roman" w:cs="Times New Roman"/>
      <w:b/>
      <w:bCs/>
      <w:sz w:val="28"/>
      <w:szCs w:val="28"/>
      <w:lang w:eastAsia="lv-LV"/>
    </w:rPr>
  </w:style>
  <w:style w:type="character" w:styleId="Strong">
    <w:name w:val="Strong"/>
    <w:basedOn w:val="DefaultParagraphFont"/>
    <w:uiPriority w:val="99"/>
    <w:qFormat/>
    <w:rsid w:val="009B0BDF"/>
    <w:rPr>
      <w:b/>
      <w:bCs/>
    </w:rPr>
  </w:style>
  <w:style w:type="paragraph" w:styleId="TOCHeading">
    <w:name w:val="TOC Heading"/>
    <w:basedOn w:val="Heading1"/>
    <w:next w:val="Normal"/>
    <w:uiPriority w:val="99"/>
    <w:qFormat/>
    <w:rsid w:val="0094256E"/>
    <w:pPr>
      <w:outlineLvl w:val="9"/>
    </w:pPr>
    <w:rPr>
      <w:lang w:val="en-US" w:eastAsia="ja-JP"/>
    </w:rPr>
  </w:style>
  <w:style w:type="paragraph" w:styleId="BodyText2">
    <w:name w:val="Body Text 2"/>
    <w:basedOn w:val="Normal"/>
    <w:link w:val="BodyText2Char1"/>
    <w:uiPriority w:val="99"/>
    <w:rsid w:val="003351B3"/>
    <w:pPr>
      <w:spacing w:after="120" w:line="240" w:lineRule="auto"/>
      <w:ind w:left="283"/>
    </w:pPr>
    <w:rPr>
      <w:rFonts w:cs="Times New Roman"/>
      <w:sz w:val="24"/>
      <w:szCs w:val="24"/>
      <w:lang w:val="ru-RU" w:eastAsia="ru-RU"/>
    </w:rPr>
  </w:style>
  <w:style w:type="character" w:customStyle="1" w:styleId="BodyText2Char">
    <w:name w:val="Body Text 2 Char"/>
    <w:basedOn w:val="DefaultParagraphFont"/>
    <w:uiPriority w:val="99"/>
    <w:semiHidden/>
    <w:rsid w:val="00665EA0"/>
    <w:rPr>
      <w:rFonts w:cs="Calibri"/>
      <w:lang w:val="lv-LV" w:eastAsia="en-US"/>
    </w:rPr>
  </w:style>
  <w:style w:type="character" w:customStyle="1" w:styleId="BodyText2Char1">
    <w:name w:val="Body Text 2 Char1"/>
    <w:link w:val="BodyText2"/>
    <w:uiPriority w:val="99"/>
    <w:rsid w:val="003351B3"/>
    <w:rPr>
      <w:rFonts w:ascii="Times New Roman" w:hAnsi="Times New Roman" w:cs="Times New Roman"/>
      <w:sz w:val="24"/>
      <w:szCs w:val="24"/>
    </w:rPr>
  </w:style>
  <w:style w:type="character" w:styleId="CommentReference">
    <w:name w:val="annotation reference"/>
    <w:basedOn w:val="DefaultParagraphFont"/>
    <w:uiPriority w:val="99"/>
    <w:semiHidden/>
    <w:rsid w:val="00FA318D"/>
    <w:rPr>
      <w:sz w:val="16"/>
      <w:szCs w:val="16"/>
    </w:rPr>
  </w:style>
  <w:style w:type="paragraph" w:styleId="CommentText">
    <w:name w:val="annotation text"/>
    <w:basedOn w:val="Normal"/>
    <w:link w:val="CommentTextChar"/>
    <w:uiPriority w:val="99"/>
    <w:rsid w:val="00FA318D"/>
    <w:pPr>
      <w:spacing w:line="240" w:lineRule="auto"/>
    </w:pPr>
    <w:rPr>
      <w:sz w:val="20"/>
      <w:szCs w:val="20"/>
      <w:lang w:val="ru-RU" w:eastAsia="ru-RU"/>
    </w:rPr>
  </w:style>
  <w:style w:type="character" w:customStyle="1" w:styleId="CommentTextChar">
    <w:name w:val="Comment Text Char"/>
    <w:basedOn w:val="DefaultParagraphFont"/>
    <w:link w:val="CommentText"/>
    <w:uiPriority w:val="99"/>
    <w:rsid w:val="00FA318D"/>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A318D"/>
    <w:rPr>
      <w:b/>
      <w:bCs/>
    </w:rPr>
  </w:style>
  <w:style w:type="character" w:customStyle="1" w:styleId="CommentSubjectChar">
    <w:name w:val="Comment Subject Char"/>
    <w:basedOn w:val="CommentTextChar"/>
    <w:link w:val="CommentSubject"/>
    <w:uiPriority w:val="99"/>
    <w:semiHidden/>
    <w:rsid w:val="00FA318D"/>
    <w:rPr>
      <w:rFonts w:ascii="Calibri" w:hAnsi="Calibri" w:cs="Calibri"/>
      <w:b/>
      <w:bCs/>
      <w:sz w:val="20"/>
      <w:szCs w:val="20"/>
    </w:rPr>
  </w:style>
  <w:style w:type="paragraph" w:customStyle="1" w:styleId="naislab">
    <w:name w:val="naislab"/>
    <w:basedOn w:val="Normal"/>
    <w:uiPriority w:val="99"/>
    <w:rsid w:val="00512ABE"/>
    <w:pPr>
      <w:spacing w:before="75" w:after="75" w:line="240" w:lineRule="auto"/>
      <w:jc w:val="right"/>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2"/>
    <w:uiPriority w:val="99"/>
    <w:semiHidden/>
    <w:rsid w:val="00AD6647"/>
    <w:pPr>
      <w:spacing w:after="0" w:line="240" w:lineRule="auto"/>
    </w:pPr>
    <w:rPr>
      <w:sz w:val="20"/>
      <w:szCs w:val="20"/>
      <w:lang w:val="ru-RU" w:eastAsia="ru-RU"/>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uiPriority w:val="99"/>
    <w:rsid w:val="00735DC6"/>
    <w:rPr>
      <w:sz w:val="20"/>
      <w:szCs w:val="20"/>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link w:val="FootnoteText"/>
    <w:uiPriority w:val="99"/>
    <w:rsid w:val="00AD6647"/>
    <w:rPr>
      <w:rFonts w:ascii="Calibri" w:hAnsi="Calibri" w:cs="Calibri"/>
      <w:sz w:val="20"/>
      <w:szCs w:val="20"/>
    </w:rPr>
  </w:style>
  <w:style w:type="character" w:styleId="FootnoteReference">
    <w:name w:val="footnote reference"/>
    <w:aliases w:val="Footnote Reference Number,Footnote symbol,SUPERS,ftref,Footnote Refernece,stylish,BVI fnr,Fußnotenzeichen_Raxen,callout,Footnote Reference Superscript"/>
    <w:basedOn w:val="DefaultParagraphFont"/>
    <w:uiPriority w:val="99"/>
    <w:semiHidden/>
    <w:rsid w:val="00AD6647"/>
    <w:rPr>
      <w:vertAlign w:val="superscript"/>
    </w:rPr>
  </w:style>
  <w:style w:type="character" w:customStyle="1" w:styleId="naisfChar">
    <w:name w:val="naisf Char"/>
    <w:link w:val="naisf"/>
    <w:uiPriority w:val="99"/>
    <w:rsid w:val="00C53080"/>
    <w:rPr>
      <w:rFonts w:ascii="Times New Roman" w:hAnsi="Times New Roman" w:cs="Times New Roman"/>
      <w:sz w:val="24"/>
      <w:szCs w:val="24"/>
      <w:lang w:eastAsia="lv-LV"/>
    </w:rPr>
  </w:style>
  <w:style w:type="paragraph" w:styleId="TOC1">
    <w:name w:val="toc 1"/>
    <w:basedOn w:val="Normal"/>
    <w:next w:val="Normal"/>
    <w:autoRedefine/>
    <w:uiPriority w:val="39"/>
    <w:rsid w:val="005136E1"/>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5136E1"/>
    <w:pPr>
      <w:spacing w:after="0"/>
      <w:ind w:left="220"/>
    </w:pPr>
    <w:rPr>
      <w:rFonts w:asciiTheme="minorHAnsi" w:hAnsiTheme="minorHAnsi"/>
      <w:smallCaps/>
      <w:sz w:val="20"/>
      <w:szCs w:val="20"/>
    </w:rPr>
  </w:style>
  <w:style w:type="paragraph" w:styleId="TOC3">
    <w:name w:val="toc 3"/>
    <w:basedOn w:val="Normal"/>
    <w:next w:val="Normal"/>
    <w:autoRedefine/>
    <w:uiPriority w:val="99"/>
    <w:semiHidden/>
    <w:rsid w:val="005136E1"/>
    <w:pPr>
      <w:spacing w:after="0"/>
      <w:ind w:left="440"/>
    </w:pPr>
    <w:rPr>
      <w:rFonts w:asciiTheme="minorHAnsi" w:hAnsiTheme="minorHAnsi"/>
      <w:i/>
      <w:iCs/>
      <w:sz w:val="20"/>
      <w:szCs w:val="20"/>
    </w:rPr>
  </w:style>
  <w:style w:type="paragraph" w:styleId="TOC4">
    <w:name w:val="toc 4"/>
    <w:basedOn w:val="Normal"/>
    <w:next w:val="Normal"/>
    <w:autoRedefine/>
    <w:uiPriority w:val="99"/>
    <w:semiHidden/>
    <w:rsid w:val="005136E1"/>
    <w:pPr>
      <w:spacing w:after="0"/>
      <w:ind w:left="660"/>
    </w:pPr>
    <w:rPr>
      <w:rFonts w:asciiTheme="minorHAnsi" w:hAnsiTheme="minorHAnsi"/>
      <w:sz w:val="18"/>
      <w:szCs w:val="18"/>
    </w:rPr>
  </w:style>
  <w:style w:type="paragraph" w:styleId="TOC5">
    <w:name w:val="toc 5"/>
    <w:basedOn w:val="Normal"/>
    <w:next w:val="Normal"/>
    <w:autoRedefine/>
    <w:uiPriority w:val="99"/>
    <w:semiHidden/>
    <w:rsid w:val="005136E1"/>
    <w:pPr>
      <w:spacing w:after="0"/>
      <w:ind w:left="880"/>
    </w:pPr>
    <w:rPr>
      <w:rFonts w:asciiTheme="minorHAnsi" w:hAnsiTheme="minorHAnsi"/>
      <w:sz w:val="18"/>
      <w:szCs w:val="18"/>
    </w:rPr>
  </w:style>
  <w:style w:type="paragraph" w:styleId="TOC6">
    <w:name w:val="toc 6"/>
    <w:basedOn w:val="Normal"/>
    <w:next w:val="Normal"/>
    <w:autoRedefine/>
    <w:uiPriority w:val="99"/>
    <w:semiHidden/>
    <w:rsid w:val="005136E1"/>
    <w:pPr>
      <w:spacing w:after="0"/>
      <w:ind w:left="1100"/>
    </w:pPr>
    <w:rPr>
      <w:rFonts w:asciiTheme="minorHAnsi" w:hAnsiTheme="minorHAnsi"/>
      <w:sz w:val="18"/>
      <w:szCs w:val="18"/>
    </w:rPr>
  </w:style>
  <w:style w:type="paragraph" w:styleId="TOC7">
    <w:name w:val="toc 7"/>
    <w:basedOn w:val="Normal"/>
    <w:next w:val="Normal"/>
    <w:autoRedefine/>
    <w:uiPriority w:val="99"/>
    <w:semiHidden/>
    <w:rsid w:val="005136E1"/>
    <w:pPr>
      <w:spacing w:after="0"/>
      <w:ind w:left="1320"/>
    </w:pPr>
    <w:rPr>
      <w:rFonts w:asciiTheme="minorHAnsi" w:hAnsiTheme="minorHAnsi"/>
      <w:sz w:val="18"/>
      <w:szCs w:val="18"/>
    </w:rPr>
  </w:style>
  <w:style w:type="paragraph" w:styleId="TOC8">
    <w:name w:val="toc 8"/>
    <w:basedOn w:val="Normal"/>
    <w:next w:val="Normal"/>
    <w:autoRedefine/>
    <w:uiPriority w:val="99"/>
    <w:semiHidden/>
    <w:rsid w:val="005136E1"/>
    <w:pPr>
      <w:spacing w:after="0"/>
      <w:ind w:left="1540"/>
    </w:pPr>
    <w:rPr>
      <w:rFonts w:asciiTheme="minorHAnsi" w:hAnsiTheme="minorHAnsi"/>
      <w:sz w:val="18"/>
      <w:szCs w:val="18"/>
    </w:rPr>
  </w:style>
  <w:style w:type="paragraph" w:styleId="TOC9">
    <w:name w:val="toc 9"/>
    <w:basedOn w:val="Normal"/>
    <w:next w:val="Normal"/>
    <w:autoRedefine/>
    <w:uiPriority w:val="99"/>
    <w:semiHidden/>
    <w:rsid w:val="005136E1"/>
    <w:pPr>
      <w:spacing w:after="0"/>
      <w:ind w:left="1760"/>
    </w:pPr>
    <w:rPr>
      <w:rFonts w:asciiTheme="minorHAnsi" w:hAnsiTheme="minorHAnsi"/>
      <w:sz w:val="18"/>
      <w:szCs w:val="18"/>
    </w:rPr>
  </w:style>
  <w:style w:type="paragraph" w:styleId="BodyText">
    <w:name w:val="Body Text"/>
    <w:basedOn w:val="Normal"/>
    <w:link w:val="BodyTextChar"/>
    <w:uiPriority w:val="99"/>
    <w:semiHidden/>
    <w:rsid w:val="00A208EF"/>
    <w:pPr>
      <w:spacing w:after="120"/>
    </w:pPr>
    <w:rPr>
      <w:sz w:val="20"/>
      <w:szCs w:val="20"/>
      <w:lang w:val="ru-RU" w:eastAsia="ru-RU"/>
    </w:rPr>
  </w:style>
  <w:style w:type="character" w:customStyle="1" w:styleId="BodyTextChar">
    <w:name w:val="Body Text Char"/>
    <w:basedOn w:val="DefaultParagraphFont"/>
    <w:link w:val="BodyText"/>
    <w:uiPriority w:val="99"/>
    <w:semiHidden/>
    <w:rsid w:val="00A208EF"/>
    <w:rPr>
      <w:rFonts w:ascii="Calibri" w:hAnsi="Calibri" w:cs="Calibri"/>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6E47C4"/>
    <w:rPr>
      <w:rFonts w:ascii="Calibri" w:hAnsi="Calibri" w:cs="Calibri"/>
      <w:sz w:val="20"/>
      <w:szCs w:val="20"/>
    </w:rPr>
  </w:style>
  <w:style w:type="character" w:customStyle="1" w:styleId="field-content">
    <w:name w:val="field-content"/>
    <w:uiPriority w:val="99"/>
    <w:rsid w:val="000A2FCB"/>
  </w:style>
  <w:style w:type="paragraph" w:styleId="NoSpacing">
    <w:name w:val="No Spacing"/>
    <w:uiPriority w:val="99"/>
    <w:qFormat/>
    <w:rsid w:val="00A06AAB"/>
    <w:rPr>
      <w:rFonts w:cs="Calibri"/>
      <w:lang w:val="lv-LV" w:eastAsia="en-US"/>
    </w:rPr>
  </w:style>
  <w:style w:type="paragraph" w:styleId="EnvelopeAddress">
    <w:name w:val="envelope address"/>
    <w:basedOn w:val="Normal"/>
    <w:next w:val="Subtitle"/>
    <w:uiPriority w:val="99"/>
    <w:rsid w:val="00177CB7"/>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tv2131">
    <w:name w:val="tv2131"/>
    <w:basedOn w:val="Normal"/>
    <w:uiPriority w:val="99"/>
    <w:rsid w:val="00177CB7"/>
    <w:pPr>
      <w:spacing w:before="240" w:after="0" w:line="360" w:lineRule="auto"/>
      <w:ind w:firstLine="300"/>
      <w:jc w:val="both"/>
    </w:pPr>
    <w:rPr>
      <w:rFonts w:ascii="Verdana" w:eastAsia="Times New Roman" w:hAnsi="Verdana" w:cs="Verdana"/>
      <w:sz w:val="18"/>
      <w:szCs w:val="18"/>
      <w:lang w:eastAsia="lv-LV"/>
    </w:rPr>
  </w:style>
  <w:style w:type="paragraph" w:styleId="Subtitle">
    <w:name w:val="Subtitle"/>
    <w:basedOn w:val="Normal"/>
    <w:next w:val="Normal"/>
    <w:link w:val="SubtitleChar"/>
    <w:uiPriority w:val="99"/>
    <w:qFormat/>
    <w:rsid w:val="00177CB7"/>
    <w:pPr>
      <w:spacing w:after="60"/>
      <w:jc w:val="center"/>
      <w:outlineLvl w:val="1"/>
    </w:pPr>
    <w:rPr>
      <w:rFonts w:ascii="Cambria" w:eastAsia="Times New Roman" w:hAnsi="Cambria" w:cs="Cambria"/>
      <w:sz w:val="24"/>
      <w:szCs w:val="24"/>
      <w:lang w:val="ru-RU"/>
    </w:rPr>
  </w:style>
  <w:style w:type="character" w:customStyle="1" w:styleId="SubtitleChar">
    <w:name w:val="Subtitle Char"/>
    <w:basedOn w:val="DefaultParagraphFont"/>
    <w:link w:val="Subtitle"/>
    <w:uiPriority w:val="99"/>
    <w:rsid w:val="00177CB7"/>
    <w:rPr>
      <w:rFonts w:ascii="Cambria" w:hAnsi="Cambria" w:cs="Cambria"/>
      <w:sz w:val="24"/>
      <w:szCs w:val="24"/>
      <w:lang w:eastAsia="en-US"/>
    </w:rPr>
  </w:style>
  <w:style w:type="character" w:styleId="Emphasis">
    <w:name w:val="Emphasis"/>
    <w:basedOn w:val="DefaultParagraphFont"/>
    <w:uiPriority w:val="99"/>
    <w:qFormat/>
    <w:rsid w:val="00B04A2C"/>
    <w:rPr>
      <w:i/>
      <w:iCs/>
    </w:rPr>
  </w:style>
  <w:style w:type="character" w:customStyle="1" w:styleId="apple-converted-space">
    <w:name w:val="apple-converted-space"/>
    <w:uiPriority w:val="99"/>
    <w:rsid w:val="006E0DE2"/>
  </w:style>
  <w:style w:type="character" w:styleId="FollowedHyperlink">
    <w:name w:val="FollowedHyperlink"/>
    <w:basedOn w:val="DefaultParagraphFont"/>
    <w:uiPriority w:val="99"/>
    <w:semiHidden/>
    <w:rsid w:val="00316DE3"/>
    <w:rPr>
      <w:color w:val="800080"/>
      <w:u w:val="single"/>
    </w:rPr>
  </w:style>
  <w:style w:type="character" w:customStyle="1" w:styleId="hps">
    <w:name w:val="hps"/>
    <w:uiPriority w:val="99"/>
    <w:rsid w:val="00C73FD1"/>
  </w:style>
  <w:style w:type="paragraph" w:styleId="Revision">
    <w:name w:val="Revision"/>
    <w:hidden/>
    <w:uiPriority w:val="99"/>
    <w:semiHidden/>
    <w:rsid w:val="00BE5F13"/>
    <w:rPr>
      <w:rFonts w:cs="Calibri"/>
      <w:lang w:val="lv-LV" w:eastAsia="en-US"/>
    </w:rPr>
  </w:style>
  <w:style w:type="paragraph" w:customStyle="1" w:styleId="Default">
    <w:name w:val="Default"/>
    <w:uiPriority w:val="99"/>
    <w:rsid w:val="00A938E1"/>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tv213">
    <w:name w:val="tv213"/>
    <w:basedOn w:val="Normal"/>
    <w:uiPriority w:val="99"/>
    <w:rsid w:val="000C5C7C"/>
    <w:pPr>
      <w:spacing w:before="100" w:beforeAutospacing="1" w:after="100" w:afterAutospacing="1" w:line="240" w:lineRule="auto"/>
    </w:pPr>
    <w:rPr>
      <w:rFonts w:cs="Times New Roman"/>
      <w:sz w:val="24"/>
      <w:szCs w:val="24"/>
      <w:lang w:eastAsia="lv-LV"/>
    </w:rPr>
  </w:style>
  <w:style w:type="character" w:customStyle="1" w:styleId="st">
    <w:name w:val="st"/>
    <w:basedOn w:val="DefaultParagraphFont"/>
    <w:uiPriority w:val="99"/>
    <w:rsid w:val="00863702"/>
  </w:style>
  <w:style w:type="character" w:styleId="PageNumber">
    <w:name w:val="page number"/>
    <w:basedOn w:val="DefaultParagraphFont"/>
    <w:uiPriority w:val="99"/>
    <w:rsid w:val="00BF574A"/>
  </w:style>
  <w:style w:type="character" w:styleId="SubtleEmphasis">
    <w:name w:val="Subtle Emphasis"/>
    <w:basedOn w:val="DefaultParagraphFont"/>
    <w:uiPriority w:val="99"/>
    <w:qFormat/>
    <w:rsid w:val="00E36B51"/>
    <w:rPr>
      <w:i/>
      <w:iCs/>
      <w:color w:val="808080"/>
    </w:rPr>
  </w:style>
  <w:style w:type="character" w:customStyle="1" w:styleId="Heading8Char">
    <w:name w:val="Heading 8 Char"/>
    <w:basedOn w:val="DefaultParagraphFont"/>
    <w:link w:val="Heading8"/>
    <w:uiPriority w:val="9"/>
    <w:rsid w:val="008D2995"/>
    <w:rPr>
      <w:rFonts w:asciiTheme="majorHAnsi" w:eastAsiaTheme="majorEastAsia" w:hAnsiTheme="majorHAnsi" w:cstheme="majorBidi"/>
      <w:color w:val="404040" w:themeColor="text1" w:themeTint="BF"/>
      <w:sz w:val="20"/>
      <w:szCs w:val="20"/>
      <w:lang w:val="lv-LV" w:eastAsia="en-US"/>
    </w:rPr>
  </w:style>
  <w:style w:type="paragraph" w:styleId="Title">
    <w:name w:val="Title"/>
    <w:basedOn w:val="Normal"/>
    <w:link w:val="TitleChar"/>
    <w:qFormat/>
    <w:rsid w:val="007D52F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D52F9"/>
    <w:rPr>
      <w:rFonts w:ascii="Times New Roman" w:eastAsia="Times New Roman" w:hAnsi="Times New Roman"/>
      <w:sz w:val="28"/>
      <w:szCs w:val="20"/>
      <w:lang w:val="lv-LV" w:eastAsia="en-US"/>
    </w:rPr>
  </w:style>
  <w:style w:type="paragraph" w:styleId="BodyTextIndent2">
    <w:name w:val="Body Text Indent 2"/>
    <w:basedOn w:val="Normal"/>
    <w:link w:val="BodyTextIndent2Char"/>
    <w:uiPriority w:val="99"/>
    <w:semiHidden/>
    <w:unhideWhenUsed/>
    <w:rsid w:val="00D84770"/>
    <w:pPr>
      <w:spacing w:after="120" w:line="480" w:lineRule="auto"/>
      <w:ind w:left="283"/>
    </w:pPr>
  </w:style>
  <w:style w:type="character" w:customStyle="1" w:styleId="BodyTextIndent2Char">
    <w:name w:val="Body Text Indent 2 Char"/>
    <w:basedOn w:val="DefaultParagraphFont"/>
    <w:link w:val="BodyTextIndent2"/>
    <w:uiPriority w:val="99"/>
    <w:semiHidden/>
    <w:rsid w:val="00D84770"/>
    <w:rPr>
      <w:rFonts w:cs="Calibri"/>
      <w:lang w:val="lv-LV" w:eastAsia="en-US"/>
    </w:rPr>
  </w:style>
  <w:style w:type="paragraph" w:customStyle="1" w:styleId="naisc">
    <w:name w:val="naisc"/>
    <w:basedOn w:val="Normal"/>
    <w:rsid w:val="00873B9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122">
      <w:bodyDiv w:val="1"/>
      <w:marLeft w:val="0"/>
      <w:marRight w:val="0"/>
      <w:marTop w:val="0"/>
      <w:marBottom w:val="0"/>
      <w:divBdr>
        <w:top w:val="none" w:sz="0" w:space="0" w:color="auto"/>
        <w:left w:val="none" w:sz="0" w:space="0" w:color="auto"/>
        <w:bottom w:val="none" w:sz="0" w:space="0" w:color="auto"/>
        <w:right w:val="none" w:sz="0" w:space="0" w:color="auto"/>
      </w:divBdr>
    </w:div>
    <w:div w:id="872689509">
      <w:bodyDiv w:val="1"/>
      <w:marLeft w:val="0"/>
      <w:marRight w:val="0"/>
      <w:marTop w:val="0"/>
      <w:marBottom w:val="0"/>
      <w:divBdr>
        <w:top w:val="none" w:sz="0" w:space="0" w:color="auto"/>
        <w:left w:val="none" w:sz="0" w:space="0" w:color="auto"/>
        <w:bottom w:val="none" w:sz="0" w:space="0" w:color="auto"/>
        <w:right w:val="none" w:sz="0" w:space="0" w:color="auto"/>
      </w:divBdr>
    </w:div>
    <w:div w:id="1346205366">
      <w:bodyDiv w:val="1"/>
      <w:marLeft w:val="0"/>
      <w:marRight w:val="0"/>
      <w:marTop w:val="0"/>
      <w:marBottom w:val="0"/>
      <w:divBdr>
        <w:top w:val="none" w:sz="0" w:space="0" w:color="auto"/>
        <w:left w:val="none" w:sz="0" w:space="0" w:color="auto"/>
        <w:bottom w:val="none" w:sz="0" w:space="0" w:color="auto"/>
        <w:right w:val="none" w:sz="0" w:space="0" w:color="auto"/>
      </w:divBdr>
    </w:div>
    <w:div w:id="1685204878">
      <w:bodyDiv w:val="1"/>
      <w:marLeft w:val="0"/>
      <w:marRight w:val="0"/>
      <w:marTop w:val="0"/>
      <w:marBottom w:val="0"/>
      <w:divBdr>
        <w:top w:val="none" w:sz="0" w:space="0" w:color="auto"/>
        <w:left w:val="none" w:sz="0" w:space="0" w:color="auto"/>
        <w:bottom w:val="none" w:sz="0" w:space="0" w:color="auto"/>
        <w:right w:val="none" w:sz="0" w:space="0" w:color="auto"/>
      </w:divBdr>
    </w:div>
    <w:div w:id="1719167158">
      <w:bodyDiv w:val="1"/>
      <w:marLeft w:val="0"/>
      <w:marRight w:val="0"/>
      <w:marTop w:val="0"/>
      <w:marBottom w:val="0"/>
      <w:divBdr>
        <w:top w:val="none" w:sz="0" w:space="0" w:color="auto"/>
        <w:left w:val="none" w:sz="0" w:space="0" w:color="auto"/>
        <w:bottom w:val="none" w:sz="0" w:space="0" w:color="auto"/>
        <w:right w:val="none" w:sz="0" w:space="0" w:color="auto"/>
      </w:divBdr>
    </w:div>
    <w:div w:id="1758748071">
      <w:bodyDiv w:val="1"/>
      <w:marLeft w:val="0"/>
      <w:marRight w:val="0"/>
      <w:marTop w:val="0"/>
      <w:marBottom w:val="0"/>
      <w:divBdr>
        <w:top w:val="none" w:sz="0" w:space="0" w:color="auto"/>
        <w:left w:val="none" w:sz="0" w:space="0" w:color="auto"/>
        <w:bottom w:val="none" w:sz="0" w:space="0" w:color="auto"/>
        <w:right w:val="none" w:sz="0" w:space="0" w:color="auto"/>
      </w:divBdr>
    </w:div>
    <w:div w:id="2033603430">
      <w:bodyDiv w:val="1"/>
      <w:marLeft w:val="0"/>
      <w:marRight w:val="0"/>
      <w:marTop w:val="0"/>
      <w:marBottom w:val="0"/>
      <w:divBdr>
        <w:top w:val="none" w:sz="0" w:space="0" w:color="auto"/>
        <w:left w:val="none" w:sz="0" w:space="0" w:color="auto"/>
        <w:bottom w:val="none" w:sz="0" w:space="0" w:color="auto"/>
        <w:right w:val="none" w:sz="0" w:space="0" w:color="auto"/>
      </w:divBdr>
    </w:div>
    <w:div w:id="2100364632">
      <w:marLeft w:val="0"/>
      <w:marRight w:val="0"/>
      <w:marTop w:val="0"/>
      <w:marBottom w:val="0"/>
      <w:divBdr>
        <w:top w:val="none" w:sz="0" w:space="0" w:color="auto"/>
        <w:left w:val="none" w:sz="0" w:space="0" w:color="auto"/>
        <w:bottom w:val="none" w:sz="0" w:space="0" w:color="auto"/>
        <w:right w:val="none" w:sz="0" w:space="0" w:color="auto"/>
      </w:divBdr>
    </w:div>
    <w:div w:id="2100364633">
      <w:marLeft w:val="0"/>
      <w:marRight w:val="0"/>
      <w:marTop w:val="0"/>
      <w:marBottom w:val="0"/>
      <w:divBdr>
        <w:top w:val="none" w:sz="0" w:space="0" w:color="auto"/>
        <w:left w:val="none" w:sz="0" w:space="0" w:color="auto"/>
        <w:bottom w:val="none" w:sz="0" w:space="0" w:color="auto"/>
        <w:right w:val="none" w:sz="0" w:space="0" w:color="auto"/>
      </w:divBdr>
    </w:div>
    <w:div w:id="2100364636">
      <w:marLeft w:val="0"/>
      <w:marRight w:val="0"/>
      <w:marTop w:val="0"/>
      <w:marBottom w:val="0"/>
      <w:divBdr>
        <w:top w:val="none" w:sz="0" w:space="0" w:color="auto"/>
        <w:left w:val="none" w:sz="0" w:space="0" w:color="auto"/>
        <w:bottom w:val="none" w:sz="0" w:space="0" w:color="auto"/>
        <w:right w:val="none" w:sz="0" w:space="0" w:color="auto"/>
      </w:divBdr>
      <w:divsChild>
        <w:div w:id="2100364671">
          <w:marLeft w:val="720"/>
          <w:marRight w:val="0"/>
          <w:marTop w:val="130"/>
          <w:marBottom w:val="0"/>
          <w:divBdr>
            <w:top w:val="none" w:sz="0" w:space="0" w:color="auto"/>
            <w:left w:val="none" w:sz="0" w:space="0" w:color="auto"/>
            <w:bottom w:val="none" w:sz="0" w:space="0" w:color="auto"/>
            <w:right w:val="none" w:sz="0" w:space="0" w:color="auto"/>
          </w:divBdr>
        </w:div>
        <w:div w:id="2100364796">
          <w:marLeft w:val="720"/>
          <w:marRight w:val="0"/>
          <w:marTop w:val="130"/>
          <w:marBottom w:val="0"/>
          <w:divBdr>
            <w:top w:val="none" w:sz="0" w:space="0" w:color="auto"/>
            <w:left w:val="none" w:sz="0" w:space="0" w:color="auto"/>
            <w:bottom w:val="none" w:sz="0" w:space="0" w:color="auto"/>
            <w:right w:val="none" w:sz="0" w:space="0" w:color="auto"/>
          </w:divBdr>
        </w:div>
      </w:divsChild>
    </w:div>
    <w:div w:id="2100364638">
      <w:marLeft w:val="0"/>
      <w:marRight w:val="0"/>
      <w:marTop w:val="0"/>
      <w:marBottom w:val="0"/>
      <w:divBdr>
        <w:top w:val="none" w:sz="0" w:space="0" w:color="auto"/>
        <w:left w:val="none" w:sz="0" w:space="0" w:color="auto"/>
        <w:bottom w:val="none" w:sz="0" w:space="0" w:color="auto"/>
        <w:right w:val="none" w:sz="0" w:space="0" w:color="auto"/>
      </w:divBdr>
    </w:div>
    <w:div w:id="2100364639">
      <w:marLeft w:val="0"/>
      <w:marRight w:val="0"/>
      <w:marTop w:val="0"/>
      <w:marBottom w:val="0"/>
      <w:divBdr>
        <w:top w:val="none" w:sz="0" w:space="0" w:color="auto"/>
        <w:left w:val="none" w:sz="0" w:space="0" w:color="auto"/>
        <w:bottom w:val="none" w:sz="0" w:space="0" w:color="auto"/>
        <w:right w:val="none" w:sz="0" w:space="0" w:color="auto"/>
      </w:divBdr>
    </w:div>
    <w:div w:id="2100364643">
      <w:marLeft w:val="0"/>
      <w:marRight w:val="0"/>
      <w:marTop w:val="0"/>
      <w:marBottom w:val="0"/>
      <w:divBdr>
        <w:top w:val="none" w:sz="0" w:space="0" w:color="auto"/>
        <w:left w:val="none" w:sz="0" w:space="0" w:color="auto"/>
        <w:bottom w:val="none" w:sz="0" w:space="0" w:color="auto"/>
        <w:right w:val="none" w:sz="0" w:space="0" w:color="auto"/>
      </w:divBdr>
      <w:divsChild>
        <w:div w:id="2100364653">
          <w:marLeft w:val="0"/>
          <w:marRight w:val="0"/>
          <w:marTop w:val="0"/>
          <w:marBottom w:val="0"/>
          <w:divBdr>
            <w:top w:val="none" w:sz="0" w:space="0" w:color="auto"/>
            <w:left w:val="none" w:sz="0" w:space="0" w:color="auto"/>
            <w:bottom w:val="none" w:sz="0" w:space="0" w:color="auto"/>
            <w:right w:val="none" w:sz="0" w:space="0" w:color="auto"/>
          </w:divBdr>
          <w:divsChild>
            <w:div w:id="2100364641">
              <w:marLeft w:val="0"/>
              <w:marRight w:val="0"/>
              <w:marTop w:val="0"/>
              <w:marBottom w:val="0"/>
              <w:divBdr>
                <w:top w:val="none" w:sz="0" w:space="0" w:color="auto"/>
                <w:left w:val="none" w:sz="0" w:space="0" w:color="auto"/>
                <w:bottom w:val="none" w:sz="0" w:space="0" w:color="auto"/>
                <w:right w:val="none" w:sz="0" w:space="0" w:color="auto"/>
              </w:divBdr>
              <w:divsChild>
                <w:div w:id="2100364640">
                  <w:marLeft w:val="0"/>
                  <w:marRight w:val="0"/>
                  <w:marTop w:val="0"/>
                  <w:marBottom w:val="0"/>
                  <w:divBdr>
                    <w:top w:val="none" w:sz="0" w:space="0" w:color="auto"/>
                    <w:left w:val="none" w:sz="0" w:space="0" w:color="auto"/>
                    <w:bottom w:val="none" w:sz="0" w:space="0" w:color="auto"/>
                    <w:right w:val="none" w:sz="0" w:space="0" w:color="auto"/>
                  </w:divBdr>
                  <w:divsChild>
                    <w:div w:id="2100364645">
                      <w:marLeft w:val="0"/>
                      <w:marRight w:val="0"/>
                      <w:marTop w:val="0"/>
                      <w:marBottom w:val="0"/>
                      <w:divBdr>
                        <w:top w:val="none" w:sz="0" w:space="0" w:color="auto"/>
                        <w:left w:val="none" w:sz="0" w:space="0" w:color="auto"/>
                        <w:bottom w:val="none" w:sz="0" w:space="0" w:color="auto"/>
                        <w:right w:val="none" w:sz="0" w:space="0" w:color="auto"/>
                      </w:divBdr>
                    </w:div>
                    <w:div w:id="2100364667">
                      <w:marLeft w:val="0"/>
                      <w:marRight w:val="0"/>
                      <w:marTop w:val="0"/>
                      <w:marBottom w:val="0"/>
                      <w:divBdr>
                        <w:top w:val="none" w:sz="0" w:space="0" w:color="auto"/>
                        <w:left w:val="none" w:sz="0" w:space="0" w:color="auto"/>
                        <w:bottom w:val="none" w:sz="0" w:space="0" w:color="auto"/>
                        <w:right w:val="none" w:sz="0" w:space="0" w:color="auto"/>
                      </w:divBdr>
                    </w:div>
                  </w:divsChild>
                </w:div>
                <w:div w:id="2100364675">
                  <w:marLeft w:val="0"/>
                  <w:marRight w:val="0"/>
                  <w:marTop w:val="0"/>
                  <w:marBottom w:val="0"/>
                  <w:divBdr>
                    <w:top w:val="none" w:sz="0" w:space="0" w:color="auto"/>
                    <w:left w:val="none" w:sz="0" w:space="0" w:color="auto"/>
                    <w:bottom w:val="none" w:sz="0" w:space="0" w:color="auto"/>
                    <w:right w:val="none" w:sz="0" w:space="0" w:color="auto"/>
                  </w:divBdr>
                </w:div>
                <w:div w:id="21003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646">
      <w:marLeft w:val="0"/>
      <w:marRight w:val="0"/>
      <w:marTop w:val="0"/>
      <w:marBottom w:val="0"/>
      <w:divBdr>
        <w:top w:val="none" w:sz="0" w:space="0" w:color="auto"/>
        <w:left w:val="none" w:sz="0" w:space="0" w:color="auto"/>
        <w:bottom w:val="none" w:sz="0" w:space="0" w:color="auto"/>
        <w:right w:val="none" w:sz="0" w:space="0" w:color="auto"/>
      </w:divBdr>
    </w:div>
    <w:div w:id="2100364651">
      <w:marLeft w:val="0"/>
      <w:marRight w:val="0"/>
      <w:marTop w:val="0"/>
      <w:marBottom w:val="0"/>
      <w:divBdr>
        <w:top w:val="none" w:sz="0" w:space="0" w:color="auto"/>
        <w:left w:val="none" w:sz="0" w:space="0" w:color="auto"/>
        <w:bottom w:val="none" w:sz="0" w:space="0" w:color="auto"/>
        <w:right w:val="none" w:sz="0" w:space="0" w:color="auto"/>
      </w:divBdr>
    </w:div>
    <w:div w:id="2100364652">
      <w:marLeft w:val="0"/>
      <w:marRight w:val="0"/>
      <w:marTop w:val="0"/>
      <w:marBottom w:val="0"/>
      <w:divBdr>
        <w:top w:val="none" w:sz="0" w:space="0" w:color="auto"/>
        <w:left w:val="none" w:sz="0" w:space="0" w:color="auto"/>
        <w:bottom w:val="none" w:sz="0" w:space="0" w:color="auto"/>
        <w:right w:val="none" w:sz="0" w:space="0" w:color="auto"/>
      </w:divBdr>
    </w:div>
    <w:div w:id="2100364655">
      <w:marLeft w:val="0"/>
      <w:marRight w:val="0"/>
      <w:marTop w:val="0"/>
      <w:marBottom w:val="0"/>
      <w:divBdr>
        <w:top w:val="none" w:sz="0" w:space="0" w:color="auto"/>
        <w:left w:val="none" w:sz="0" w:space="0" w:color="auto"/>
        <w:bottom w:val="none" w:sz="0" w:space="0" w:color="auto"/>
        <w:right w:val="none" w:sz="0" w:space="0" w:color="auto"/>
      </w:divBdr>
      <w:divsChild>
        <w:div w:id="2100364800">
          <w:marLeft w:val="0"/>
          <w:marRight w:val="0"/>
          <w:marTop w:val="0"/>
          <w:marBottom w:val="0"/>
          <w:divBdr>
            <w:top w:val="none" w:sz="0" w:space="0" w:color="auto"/>
            <w:left w:val="none" w:sz="0" w:space="0" w:color="auto"/>
            <w:bottom w:val="none" w:sz="0" w:space="0" w:color="auto"/>
            <w:right w:val="none" w:sz="0" w:space="0" w:color="auto"/>
          </w:divBdr>
          <w:divsChild>
            <w:div w:id="2100364789">
              <w:marLeft w:val="0"/>
              <w:marRight w:val="0"/>
              <w:marTop w:val="0"/>
              <w:marBottom w:val="0"/>
              <w:divBdr>
                <w:top w:val="none" w:sz="0" w:space="0" w:color="auto"/>
                <w:left w:val="none" w:sz="0" w:space="0" w:color="auto"/>
                <w:bottom w:val="single" w:sz="6" w:space="4" w:color="B2B2B2"/>
                <w:right w:val="none" w:sz="0" w:space="0" w:color="auto"/>
              </w:divBdr>
              <w:divsChild>
                <w:div w:id="2100364772">
                  <w:marLeft w:val="0"/>
                  <w:marRight w:val="0"/>
                  <w:marTop w:val="0"/>
                  <w:marBottom w:val="0"/>
                  <w:divBdr>
                    <w:top w:val="none" w:sz="0" w:space="0" w:color="auto"/>
                    <w:left w:val="none" w:sz="0" w:space="0" w:color="auto"/>
                    <w:bottom w:val="none" w:sz="0" w:space="0" w:color="auto"/>
                    <w:right w:val="none" w:sz="0" w:space="0" w:color="auto"/>
                  </w:divBdr>
                  <w:divsChild>
                    <w:div w:id="2100364665">
                      <w:marLeft w:val="0"/>
                      <w:marRight w:val="0"/>
                      <w:marTop w:val="0"/>
                      <w:marBottom w:val="0"/>
                      <w:divBdr>
                        <w:top w:val="none" w:sz="0" w:space="0" w:color="auto"/>
                        <w:left w:val="none" w:sz="0" w:space="0" w:color="auto"/>
                        <w:bottom w:val="none" w:sz="0" w:space="0" w:color="auto"/>
                        <w:right w:val="none" w:sz="0" w:space="0" w:color="auto"/>
                      </w:divBdr>
                      <w:divsChild>
                        <w:div w:id="2100364764">
                          <w:marLeft w:val="0"/>
                          <w:marRight w:val="0"/>
                          <w:marTop w:val="0"/>
                          <w:marBottom w:val="0"/>
                          <w:divBdr>
                            <w:top w:val="none" w:sz="0" w:space="0" w:color="auto"/>
                            <w:left w:val="none" w:sz="0" w:space="0" w:color="auto"/>
                            <w:bottom w:val="none" w:sz="0" w:space="0" w:color="auto"/>
                            <w:right w:val="none" w:sz="0" w:space="0" w:color="auto"/>
                          </w:divBdr>
                          <w:divsChild>
                            <w:div w:id="2100364797">
                              <w:marLeft w:val="0"/>
                              <w:marRight w:val="0"/>
                              <w:marTop w:val="0"/>
                              <w:marBottom w:val="0"/>
                              <w:divBdr>
                                <w:top w:val="none" w:sz="0" w:space="0" w:color="auto"/>
                                <w:left w:val="none" w:sz="0" w:space="0" w:color="auto"/>
                                <w:bottom w:val="none" w:sz="0" w:space="0" w:color="auto"/>
                                <w:right w:val="none" w:sz="0" w:space="0" w:color="auto"/>
                              </w:divBdr>
                              <w:divsChild>
                                <w:div w:id="2100364644">
                                  <w:marLeft w:val="-6225"/>
                                  <w:marRight w:val="0"/>
                                  <w:marTop w:val="0"/>
                                  <w:marBottom w:val="0"/>
                                  <w:divBdr>
                                    <w:top w:val="none" w:sz="0" w:space="0" w:color="auto"/>
                                    <w:left w:val="none" w:sz="0" w:space="0" w:color="auto"/>
                                    <w:bottom w:val="none" w:sz="0" w:space="0" w:color="auto"/>
                                    <w:right w:val="none" w:sz="0" w:space="0" w:color="auto"/>
                                  </w:divBdr>
                                  <w:divsChild>
                                    <w:div w:id="2100364654">
                                      <w:marLeft w:val="0"/>
                                      <w:marRight w:val="0"/>
                                      <w:marTop w:val="0"/>
                                      <w:marBottom w:val="0"/>
                                      <w:divBdr>
                                        <w:top w:val="none" w:sz="0" w:space="0" w:color="auto"/>
                                        <w:left w:val="none" w:sz="0" w:space="0" w:color="auto"/>
                                        <w:bottom w:val="none" w:sz="0" w:space="0" w:color="auto"/>
                                        <w:right w:val="none" w:sz="0" w:space="0" w:color="auto"/>
                                      </w:divBdr>
                                      <w:divsChild>
                                        <w:div w:id="2100364650">
                                          <w:marLeft w:val="6225"/>
                                          <w:marRight w:val="0"/>
                                          <w:marTop w:val="0"/>
                                          <w:marBottom w:val="0"/>
                                          <w:divBdr>
                                            <w:top w:val="none" w:sz="0" w:space="0" w:color="auto"/>
                                            <w:left w:val="none" w:sz="0" w:space="0" w:color="auto"/>
                                            <w:bottom w:val="none" w:sz="0" w:space="0" w:color="auto"/>
                                            <w:right w:val="none" w:sz="0" w:space="0" w:color="auto"/>
                                          </w:divBdr>
                                          <w:divsChild>
                                            <w:div w:id="2100364786">
                                              <w:marLeft w:val="0"/>
                                              <w:marRight w:val="0"/>
                                              <w:marTop w:val="0"/>
                                              <w:marBottom w:val="0"/>
                                              <w:divBdr>
                                                <w:top w:val="none" w:sz="0" w:space="0" w:color="auto"/>
                                                <w:left w:val="none" w:sz="0" w:space="0" w:color="auto"/>
                                                <w:bottom w:val="none" w:sz="0" w:space="0" w:color="auto"/>
                                                <w:right w:val="none" w:sz="0" w:space="0" w:color="auto"/>
                                              </w:divBdr>
                                              <w:divsChild>
                                                <w:div w:id="2100364635">
                                                  <w:marLeft w:val="0"/>
                                                  <w:marRight w:val="0"/>
                                                  <w:marTop w:val="0"/>
                                                  <w:marBottom w:val="0"/>
                                                  <w:divBdr>
                                                    <w:top w:val="none" w:sz="0" w:space="0" w:color="auto"/>
                                                    <w:left w:val="none" w:sz="0" w:space="0" w:color="auto"/>
                                                    <w:bottom w:val="none" w:sz="0" w:space="0" w:color="auto"/>
                                                    <w:right w:val="none" w:sz="0" w:space="0" w:color="auto"/>
                                                  </w:divBdr>
                                                  <w:divsChild>
                                                    <w:div w:id="2100364658">
                                                      <w:marLeft w:val="0"/>
                                                      <w:marRight w:val="0"/>
                                                      <w:marTop w:val="0"/>
                                                      <w:marBottom w:val="0"/>
                                                      <w:divBdr>
                                                        <w:top w:val="none" w:sz="0" w:space="0" w:color="auto"/>
                                                        <w:left w:val="none" w:sz="0" w:space="0" w:color="auto"/>
                                                        <w:bottom w:val="none" w:sz="0" w:space="0" w:color="auto"/>
                                                        <w:right w:val="none" w:sz="0" w:space="0" w:color="auto"/>
                                                      </w:divBdr>
                                                      <w:divsChild>
                                                        <w:div w:id="2100364776">
                                                          <w:marLeft w:val="0"/>
                                                          <w:marRight w:val="0"/>
                                                          <w:marTop w:val="0"/>
                                                          <w:marBottom w:val="0"/>
                                                          <w:divBdr>
                                                            <w:top w:val="none" w:sz="0" w:space="0" w:color="auto"/>
                                                            <w:left w:val="none" w:sz="0" w:space="0" w:color="auto"/>
                                                            <w:bottom w:val="none" w:sz="0" w:space="0" w:color="auto"/>
                                                            <w:right w:val="none" w:sz="0" w:space="0" w:color="auto"/>
                                                          </w:divBdr>
                                                          <w:divsChild>
                                                            <w:div w:id="2100364791">
                                                              <w:marLeft w:val="0"/>
                                                              <w:marRight w:val="0"/>
                                                              <w:marTop w:val="0"/>
                                                              <w:marBottom w:val="0"/>
                                                              <w:divBdr>
                                                                <w:top w:val="none" w:sz="0" w:space="0" w:color="auto"/>
                                                                <w:left w:val="none" w:sz="0" w:space="0" w:color="auto"/>
                                                                <w:bottom w:val="none" w:sz="0" w:space="0" w:color="auto"/>
                                                                <w:right w:val="none" w:sz="0" w:space="0" w:color="auto"/>
                                                              </w:divBdr>
                                                              <w:divsChild>
                                                                <w:div w:id="2100364763">
                                                                  <w:marLeft w:val="0"/>
                                                                  <w:marRight w:val="0"/>
                                                                  <w:marTop w:val="0"/>
                                                                  <w:marBottom w:val="0"/>
                                                                  <w:divBdr>
                                                                    <w:top w:val="none" w:sz="0" w:space="0" w:color="auto"/>
                                                                    <w:left w:val="none" w:sz="0" w:space="0" w:color="auto"/>
                                                                    <w:bottom w:val="none" w:sz="0" w:space="0" w:color="auto"/>
                                                                    <w:right w:val="none" w:sz="0" w:space="0" w:color="auto"/>
                                                                  </w:divBdr>
                                                                  <w:divsChild>
                                                                    <w:div w:id="2100364637">
                                                                      <w:marLeft w:val="0"/>
                                                                      <w:marRight w:val="0"/>
                                                                      <w:marTop w:val="0"/>
                                                                      <w:marBottom w:val="0"/>
                                                                      <w:divBdr>
                                                                        <w:top w:val="none" w:sz="0" w:space="0" w:color="auto"/>
                                                                        <w:left w:val="none" w:sz="0" w:space="0" w:color="auto"/>
                                                                        <w:bottom w:val="none" w:sz="0" w:space="0" w:color="auto"/>
                                                                        <w:right w:val="none" w:sz="0" w:space="0" w:color="auto"/>
                                                                      </w:divBdr>
                                                                      <w:divsChild>
                                                                        <w:div w:id="2100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64656">
      <w:marLeft w:val="0"/>
      <w:marRight w:val="0"/>
      <w:marTop w:val="0"/>
      <w:marBottom w:val="0"/>
      <w:divBdr>
        <w:top w:val="none" w:sz="0" w:space="0" w:color="auto"/>
        <w:left w:val="none" w:sz="0" w:space="0" w:color="auto"/>
        <w:bottom w:val="none" w:sz="0" w:space="0" w:color="auto"/>
        <w:right w:val="none" w:sz="0" w:space="0" w:color="auto"/>
      </w:divBdr>
    </w:div>
    <w:div w:id="2100364659">
      <w:marLeft w:val="0"/>
      <w:marRight w:val="0"/>
      <w:marTop w:val="0"/>
      <w:marBottom w:val="0"/>
      <w:divBdr>
        <w:top w:val="none" w:sz="0" w:space="0" w:color="auto"/>
        <w:left w:val="none" w:sz="0" w:space="0" w:color="auto"/>
        <w:bottom w:val="none" w:sz="0" w:space="0" w:color="auto"/>
        <w:right w:val="none" w:sz="0" w:space="0" w:color="auto"/>
      </w:divBdr>
    </w:div>
    <w:div w:id="2100364660">
      <w:marLeft w:val="0"/>
      <w:marRight w:val="0"/>
      <w:marTop w:val="0"/>
      <w:marBottom w:val="0"/>
      <w:divBdr>
        <w:top w:val="none" w:sz="0" w:space="0" w:color="auto"/>
        <w:left w:val="none" w:sz="0" w:space="0" w:color="auto"/>
        <w:bottom w:val="none" w:sz="0" w:space="0" w:color="auto"/>
        <w:right w:val="none" w:sz="0" w:space="0" w:color="auto"/>
      </w:divBdr>
      <w:divsChild>
        <w:div w:id="2100364657">
          <w:marLeft w:val="432"/>
          <w:marRight w:val="0"/>
          <w:marTop w:val="120"/>
          <w:marBottom w:val="0"/>
          <w:divBdr>
            <w:top w:val="none" w:sz="0" w:space="0" w:color="auto"/>
            <w:left w:val="none" w:sz="0" w:space="0" w:color="auto"/>
            <w:bottom w:val="none" w:sz="0" w:space="0" w:color="auto"/>
            <w:right w:val="none" w:sz="0" w:space="0" w:color="auto"/>
          </w:divBdr>
        </w:div>
        <w:div w:id="2100364792">
          <w:marLeft w:val="432"/>
          <w:marRight w:val="0"/>
          <w:marTop w:val="120"/>
          <w:marBottom w:val="0"/>
          <w:divBdr>
            <w:top w:val="none" w:sz="0" w:space="0" w:color="auto"/>
            <w:left w:val="none" w:sz="0" w:space="0" w:color="auto"/>
            <w:bottom w:val="none" w:sz="0" w:space="0" w:color="auto"/>
            <w:right w:val="none" w:sz="0" w:space="0" w:color="auto"/>
          </w:divBdr>
        </w:div>
      </w:divsChild>
    </w:div>
    <w:div w:id="2100364661">
      <w:marLeft w:val="0"/>
      <w:marRight w:val="0"/>
      <w:marTop w:val="0"/>
      <w:marBottom w:val="0"/>
      <w:divBdr>
        <w:top w:val="none" w:sz="0" w:space="0" w:color="auto"/>
        <w:left w:val="none" w:sz="0" w:space="0" w:color="auto"/>
        <w:bottom w:val="none" w:sz="0" w:space="0" w:color="auto"/>
        <w:right w:val="none" w:sz="0" w:space="0" w:color="auto"/>
      </w:divBdr>
    </w:div>
    <w:div w:id="2100364666">
      <w:marLeft w:val="0"/>
      <w:marRight w:val="0"/>
      <w:marTop w:val="0"/>
      <w:marBottom w:val="0"/>
      <w:divBdr>
        <w:top w:val="none" w:sz="0" w:space="0" w:color="auto"/>
        <w:left w:val="none" w:sz="0" w:space="0" w:color="auto"/>
        <w:bottom w:val="none" w:sz="0" w:space="0" w:color="auto"/>
        <w:right w:val="none" w:sz="0" w:space="0" w:color="auto"/>
      </w:divBdr>
    </w:div>
    <w:div w:id="2100364668">
      <w:marLeft w:val="0"/>
      <w:marRight w:val="0"/>
      <w:marTop w:val="0"/>
      <w:marBottom w:val="0"/>
      <w:divBdr>
        <w:top w:val="none" w:sz="0" w:space="0" w:color="auto"/>
        <w:left w:val="none" w:sz="0" w:space="0" w:color="auto"/>
        <w:bottom w:val="none" w:sz="0" w:space="0" w:color="auto"/>
        <w:right w:val="none" w:sz="0" w:space="0" w:color="auto"/>
      </w:divBdr>
    </w:div>
    <w:div w:id="2100364670">
      <w:marLeft w:val="0"/>
      <w:marRight w:val="0"/>
      <w:marTop w:val="0"/>
      <w:marBottom w:val="0"/>
      <w:divBdr>
        <w:top w:val="none" w:sz="0" w:space="0" w:color="auto"/>
        <w:left w:val="none" w:sz="0" w:space="0" w:color="auto"/>
        <w:bottom w:val="none" w:sz="0" w:space="0" w:color="auto"/>
        <w:right w:val="none" w:sz="0" w:space="0" w:color="auto"/>
      </w:divBdr>
      <w:divsChild>
        <w:div w:id="2100364790">
          <w:marLeft w:val="432"/>
          <w:marRight w:val="0"/>
          <w:marTop w:val="120"/>
          <w:marBottom w:val="0"/>
          <w:divBdr>
            <w:top w:val="none" w:sz="0" w:space="0" w:color="auto"/>
            <w:left w:val="none" w:sz="0" w:space="0" w:color="auto"/>
            <w:bottom w:val="none" w:sz="0" w:space="0" w:color="auto"/>
            <w:right w:val="none" w:sz="0" w:space="0" w:color="auto"/>
          </w:divBdr>
        </w:div>
      </w:divsChild>
    </w:div>
    <w:div w:id="2100364674">
      <w:marLeft w:val="0"/>
      <w:marRight w:val="0"/>
      <w:marTop w:val="0"/>
      <w:marBottom w:val="0"/>
      <w:divBdr>
        <w:top w:val="none" w:sz="0" w:space="0" w:color="auto"/>
        <w:left w:val="none" w:sz="0" w:space="0" w:color="auto"/>
        <w:bottom w:val="none" w:sz="0" w:space="0" w:color="auto"/>
        <w:right w:val="none" w:sz="0" w:space="0" w:color="auto"/>
      </w:divBdr>
      <w:divsChild>
        <w:div w:id="2100364676">
          <w:marLeft w:val="432"/>
          <w:marRight w:val="0"/>
          <w:marTop w:val="120"/>
          <w:marBottom w:val="0"/>
          <w:divBdr>
            <w:top w:val="none" w:sz="0" w:space="0" w:color="auto"/>
            <w:left w:val="none" w:sz="0" w:space="0" w:color="auto"/>
            <w:bottom w:val="none" w:sz="0" w:space="0" w:color="auto"/>
            <w:right w:val="none" w:sz="0" w:space="0" w:color="auto"/>
          </w:divBdr>
        </w:div>
        <w:div w:id="2100364784">
          <w:marLeft w:val="432"/>
          <w:marRight w:val="0"/>
          <w:marTop w:val="120"/>
          <w:marBottom w:val="0"/>
          <w:divBdr>
            <w:top w:val="none" w:sz="0" w:space="0" w:color="auto"/>
            <w:left w:val="none" w:sz="0" w:space="0" w:color="auto"/>
            <w:bottom w:val="none" w:sz="0" w:space="0" w:color="auto"/>
            <w:right w:val="none" w:sz="0" w:space="0" w:color="auto"/>
          </w:divBdr>
        </w:div>
      </w:divsChild>
    </w:div>
    <w:div w:id="2100364677">
      <w:marLeft w:val="0"/>
      <w:marRight w:val="0"/>
      <w:marTop w:val="0"/>
      <w:marBottom w:val="0"/>
      <w:divBdr>
        <w:top w:val="none" w:sz="0" w:space="0" w:color="auto"/>
        <w:left w:val="none" w:sz="0" w:space="0" w:color="auto"/>
        <w:bottom w:val="none" w:sz="0" w:space="0" w:color="auto"/>
        <w:right w:val="none" w:sz="0" w:space="0" w:color="auto"/>
      </w:divBdr>
    </w:div>
    <w:div w:id="2100364679">
      <w:marLeft w:val="0"/>
      <w:marRight w:val="0"/>
      <w:marTop w:val="0"/>
      <w:marBottom w:val="0"/>
      <w:divBdr>
        <w:top w:val="none" w:sz="0" w:space="0" w:color="auto"/>
        <w:left w:val="none" w:sz="0" w:space="0" w:color="auto"/>
        <w:bottom w:val="none" w:sz="0" w:space="0" w:color="auto"/>
        <w:right w:val="none" w:sz="0" w:space="0" w:color="auto"/>
      </w:divBdr>
    </w:div>
    <w:div w:id="2100364680">
      <w:marLeft w:val="0"/>
      <w:marRight w:val="0"/>
      <w:marTop w:val="0"/>
      <w:marBottom w:val="0"/>
      <w:divBdr>
        <w:top w:val="none" w:sz="0" w:space="0" w:color="auto"/>
        <w:left w:val="none" w:sz="0" w:space="0" w:color="auto"/>
        <w:bottom w:val="none" w:sz="0" w:space="0" w:color="auto"/>
        <w:right w:val="none" w:sz="0" w:space="0" w:color="auto"/>
      </w:divBdr>
    </w:div>
    <w:div w:id="2100364681">
      <w:marLeft w:val="0"/>
      <w:marRight w:val="0"/>
      <w:marTop w:val="0"/>
      <w:marBottom w:val="0"/>
      <w:divBdr>
        <w:top w:val="none" w:sz="0" w:space="0" w:color="auto"/>
        <w:left w:val="none" w:sz="0" w:space="0" w:color="auto"/>
        <w:bottom w:val="none" w:sz="0" w:space="0" w:color="auto"/>
        <w:right w:val="none" w:sz="0" w:space="0" w:color="auto"/>
      </w:divBdr>
      <w:divsChild>
        <w:div w:id="2100364736">
          <w:marLeft w:val="432"/>
          <w:marRight w:val="0"/>
          <w:marTop w:val="96"/>
          <w:marBottom w:val="200"/>
          <w:divBdr>
            <w:top w:val="none" w:sz="0" w:space="0" w:color="auto"/>
            <w:left w:val="none" w:sz="0" w:space="0" w:color="auto"/>
            <w:bottom w:val="none" w:sz="0" w:space="0" w:color="auto"/>
            <w:right w:val="none" w:sz="0" w:space="0" w:color="auto"/>
          </w:divBdr>
        </w:div>
      </w:divsChild>
    </w:div>
    <w:div w:id="2100364695">
      <w:marLeft w:val="0"/>
      <w:marRight w:val="0"/>
      <w:marTop w:val="0"/>
      <w:marBottom w:val="0"/>
      <w:divBdr>
        <w:top w:val="none" w:sz="0" w:space="0" w:color="auto"/>
        <w:left w:val="none" w:sz="0" w:space="0" w:color="auto"/>
        <w:bottom w:val="none" w:sz="0" w:space="0" w:color="auto"/>
        <w:right w:val="none" w:sz="0" w:space="0" w:color="auto"/>
      </w:divBdr>
      <w:divsChild>
        <w:div w:id="2100364689">
          <w:marLeft w:val="0"/>
          <w:marRight w:val="0"/>
          <w:marTop w:val="0"/>
          <w:marBottom w:val="0"/>
          <w:divBdr>
            <w:top w:val="none" w:sz="0" w:space="0" w:color="auto"/>
            <w:left w:val="none" w:sz="0" w:space="0" w:color="auto"/>
            <w:bottom w:val="none" w:sz="0" w:space="0" w:color="auto"/>
            <w:right w:val="none" w:sz="0" w:space="0" w:color="auto"/>
          </w:divBdr>
        </w:div>
      </w:divsChild>
    </w:div>
    <w:div w:id="2100364698">
      <w:marLeft w:val="0"/>
      <w:marRight w:val="0"/>
      <w:marTop w:val="0"/>
      <w:marBottom w:val="0"/>
      <w:divBdr>
        <w:top w:val="none" w:sz="0" w:space="0" w:color="auto"/>
        <w:left w:val="none" w:sz="0" w:space="0" w:color="auto"/>
        <w:bottom w:val="none" w:sz="0" w:space="0" w:color="auto"/>
        <w:right w:val="none" w:sz="0" w:space="0" w:color="auto"/>
      </w:divBdr>
    </w:div>
    <w:div w:id="2100364700">
      <w:marLeft w:val="0"/>
      <w:marRight w:val="0"/>
      <w:marTop w:val="0"/>
      <w:marBottom w:val="0"/>
      <w:divBdr>
        <w:top w:val="none" w:sz="0" w:space="0" w:color="auto"/>
        <w:left w:val="none" w:sz="0" w:space="0" w:color="auto"/>
        <w:bottom w:val="none" w:sz="0" w:space="0" w:color="auto"/>
        <w:right w:val="none" w:sz="0" w:space="0" w:color="auto"/>
      </w:divBdr>
    </w:div>
    <w:div w:id="2100364703">
      <w:marLeft w:val="0"/>
      <w:marRight w:val="0"/>
      <w:marTop w:val="0"/>
      <w:marBottom w:val="0"/>
      <w:divBdr>
        <w:top w:val="none" w:sz="0" w:space="0" w:color="auto"/>
        <w:left w:val="none" w:sz="0" w:space="0" w:color="auto"/>
        <w:bottom w:val="none" w:sz="0" w:space="0" w:color="auto"/>
        <w:right w:val="none" w:sz="0" w:space="0" w:color="auto"/>
      </w:divBdr>
      <w:divsChild>
        <w:div w:id="2100364686">
          <w:marLeft w:val="0"/>
          <w:marRight w:val="0"/>
          <w:marTop w:val="0"/>
          <w:marBottom w:val="0"/>
          <w:divBdr>
            <w:top w:val="none" w:sz="0" w:space="0" w:color="auto"/>
            <w:left w:val="none" w:sz="0" w:space="0" w:color="auto"/>
            <w:bottom w:val="none" w:sz="0" w:space="0" w:color="auto"/>
            <w:right w:val="none" w:sz="0" w:space="0" w:color="auto"/>
          </w:divBdr>
        </w:div>
        <w:div w:id="2100364690">
          <w:marLeft w:val="0"/>
          <w:marRight w:val="0"/>
          <w:marTop w:val="0"/>
          <w:marBottom w:val="0"/>
          <w:divBdr>
            <w:top w:val="none" w:sz="0" w:space="0" w:color="auto"/>
            <w:left w:val="none" w:sz="0" w:space="0" w:color="auto"/>
            <w:bottom w:val="none" w:sz="0" w:space="0" w:color="auto"/>
            <w:right w:val="none" w:sz="0" w:space="0" w:color="auto"/>
          </w:divBdr>
        </w:div>
        <w:div w:id="2100364699">
          <w:marLeft w:val="0"/>
          <w:marRight w:val="0"/>
          <w:marTop w:val="0"/>
          <w:marBottom w:val="0"/>
          <w:divBdr>
            <w:top w:val="none" w:sz="0" w:space="0" w:color="auto"/>
            <w:left w:val="none" w:sz="0" w:space="0" w:color="auto"/>
            <w:bottom w:val="none" w:sz="0" w:space="0" w:color="auto"/>
            <w:right w:val="none" w:sz="0" w:space="0" w:color="auto"/>
          </w:divBdr>
        </w:div>
        <w:div w:id="2100364710">
          <w:marLeft w:val="0"/>
          <w:marRight w:val="0"/>
          <w:marTop w:val="0"/>
          <w:marBottom w:val="0"/>
          <w:divBdr>
            <w:top w:val="none" w:sz="0" w:space="0" w:color="auto"/>
            <w:left w:val="none" w:sz="0" w:space="0" w:color="auto"/>
            <w:bottom w:val="none" w:sz="0" w:space="0" w:color="auto"/>
            <w:right w:val="none" w:sz="0" w:space="0" w:color="auto"/>
          </w:divBdr>
        </w:div>
        <w:div w:id="2100364738">
          <w:marLeft w:val="0"/>
          <w:marRight w:val="0"/>
          <w:marTop w:val="0"/>
          <w:marBottom w:val="0"/>
          <w:divBdr>
            <w:top w:val="none" w:sz="0" w:space="0" w:color="auto"/>
            <w:left w:val="none" w:sz="0" w:space="0" w:color="auto"/>
            <w:bottom w:val="none" w:sz="0" w:space="0" w:color="auto"/>
            <w:right w:val="none" w:sz="0" w:space="0" w:color="auto"/>
          </w:divBdr>
        </w:div>
      </w:divsChild>
    </w:div>
    <w:div w:id="2100364704">
      <w:marLeft w:val="0"/>
      <w:marRight w:val="0"/>
      <w:marTop w:val="0"/>
      <w:marBottom w:val="0"/>
      <w:divBdr>
        <w:top w:val="none" w:sz="0" w:space="0" w:color="auto"/>
        <w:left w:val="none" w:sz="0" w:space="0" w:color="auto"/>
        <w:bottom w:val="none" w:sz="0" w:space="0" w:color="auto"/>
        <w:right w:val="none" w:sz="0" w:space="0" w:color="auto"/>
      </w:divBdr>
      <w:divsChild>
        <w:div w:id="2100364684">
          <w:marLeft w:val="0"/>
          <w:marRight w:val="0"/>
          <w:marTop w:val="0"/>
          <w:marBottom w:val="0"/>
          <w:divBdr>
            <w:top w:val="none" w:sz="0" w:space="0" w:color="auto"/>
            <w:left w:val="none" w:sz="0" w:space="0" w:color="auto"/>
            <w:bottom w:val="none" w:sz="0" w:space="0" w:color="auto"/>
            <w:right w:val="none" w:sz="0" w:space="0" w:color="auto"/>
          </w:divBdr>
        </w:div>
        <w:div w:id="2100364691">
          <w:marLeft w:val="0"/>
          <w:marRight w:val="0"/>
          <w:marTop w:val="0"/>
          <w:marBottom w:val="0"/>
          <w:divBdr>
            <w:top w:val="none" w:sz="0" w:space="0" w:color="auto"/>
            <w:left w:val="none" w:sz="0" w:space="0" w:color="auto"/>
            <w:bottom w:val="none" w:sz="0" w:space="0" w:color="auto"/>
            <w:right w:val="none" w:sz="0" w:space="0" w:color="auto"/>
          </w:divBdr>
        </w:div>
        <w:div w:id="2100364692">
          <w:marLeft w:val="0"/>
          <w:marRight w:val="0"/>
          <w:marTop w:val="0"/>
          <w:marBottom w:val="0"/>
          <w:divBdr>
            <w:top w:val="none" w:sz="0" w:space="0" w:color="auto"/>
            <w:left w:val="none" w:sz="0" w:space="0" w:color="auto"/>
            <w:bottom w:val="none" w:sz="0" w:space="0" w:color="auto"/>
            <w:right w:val="none" w:sz="0" w:space="0" w:color="auto"/>
          </w:divBdr>
        </w:div>
        <w:div w:id="2100364694">
          <w:marLeft w:val="0"/>
          <w:marRight w:val="0"/>
          <w:marTop w:val="0"/>
          <w:marBottom w:val="0"/>
          <w:divBdr>
            <w:top w:val="none" w:sz="0" w:space="0" w:color="auto"/>
            <w:left w:val="none" w:sz="0" w:space="0" w:color="auto"/>
            <w:bottom w:val="none" w:sz="0" w:space="0" w:color="auto"/>
            <w:right w:val="none" w:sz="0" w:space="0" w:color="auto"/>
          </w:divBdr>
        </w:div>
        <w:div w:id="2100364696">
          <w:marLeft w:val="0"/>
          <w:marRight w:val="0"/>
          <w:marTop w:val="0"/>
          <w:marBottom w:val="0"/>
          <w:divBdr>
            <w:top w:val="none" w:sz="0" w:space="0" w:color="auto"/>
            <w:left w:val="none" w:sz="0" w:space="0" w:color="auto"/>
            <w:bottom w:val="none" w:sz="0" w:space="0" w:color="auto"/>
            <w:right w:val="none" w:sz="0" w:space="0" w:color="auto"/>
          </w:divBdr>
        </w:div>
        <w:div w:id="2100364711">
          <w:marLeft w:val="0"/>
          <w:marRight w:val="0"/>
          <w:marTop w:val="0"/>
          <w:marBottom w:val="0"/>
          <w:divBdr>
            <w:top w:val="none" w:sz="0" w:space="0" w:color="auto"/>
            <w:left w:val="none" w:sz="0" w:space="0" w:color="auto"/>
            <w:bottom w:val="none" w:sz="0" w:space="0" w:color="auto"/>
            <w:right w:val="none" w:sz="0" w:space="0" w:color="auto"/>
          </w:divBdr>
        </w:div>
        <w:div w:id="2100364724">
          <w:marLeft w:val="0"/>
          <w:marRight w:val="0"/>
          <w:marTop w:val="0"/>
          <w:marBottom w:val="0"/>
          <w:divBdr>
            <w:top w:val="none" w:sz="0" w:space="0" w:color="auto"/>
            <w:left w:val="none" w:sz="0" w:space="0" w:color="auto"/>
            <w:bottom w:val="none" w:sz="0" w:space="0" w:color="auto"/>
            <w:right w:val="none" w:sz="0" w:space="0" w:color="auto"/>
          </w:divBdr>
        </w:div>
        <w:div w:id="2100364730">
          <w:marLeft w:val="0"/>
          <w:marRight w:val="0"/>
          <w:marTop w:val="0"/>
          <w:marBottom w:val="0"/>
          <w:divBdr>
            <w:top w:val="none" w:sz="0" w:space="0" w:color="auto"/>
            <w:left w:val="none" w:sz="0" w:space="0" w:color="auto"/>
            <w:bottom w:val="none" w:sz="0" w:space="0" w:color="auto"/>
            <w:right w:val="none" w:sz="0" w:space="0" w:color="auto"/>
          </w:divBdr>
        </w:div>
      </w:divsChild>
    </w:div>
    <w:div w:id="2100364706">
      <w:marLeft w:val="0"/>
      <w:marRight w:val="0"/>
      <w:marTop w:val="0"/>
      <w:marBottom w:val="0"/>
      <w:divBdr>
        <w:top w:val="none" w:sz="0" w:space="0" w:color="auto"/>
        <w:left w:val="none" w:sz="0" w:space="0" w:color="auto"/>
        <w:bottom w:val="none" w:sz="0" w:space="0" w:color="auto"/>
        <w:right w:val="none" w:sz="0" w:space="0" w:color="auto"/>
      </w:divBdr>
      <w:divsChild>
        <w:div w:id="2100364718">
          <w:marLeft w:val="0"/>
          <w:marRight w:val="0"/>
          <w:marTop w:val="0"/>
          <w:marBottom w:val="0"/>
          <w:divBdr>
            <w:top w:val="none" w:sz="0" w:space="0" w:color="auto"/>
            <w:left w:val="none" w:sz="0" w:space="0" w:color="auto"/>
            <w:bottom w:val="none" w:sz="0" w:space="0" w:color="auto"/>
            <w:right w:val="none" w:sz="0" w:space="0" w:color="auto"/>
          </w:divBdr>
        </w:div>
      </w:divsChild>
    </w:div>
    <w:div w:id="2100364712">
      <w:marLeft w:val="0"/>
      <w:marRight w:val="0"/>
      <w:marTop w:val="0"/>
      <w:marBottom w:val="0"/>
      <w:divBdr>
        <w:top w:val="none" w:sz="0" w:space="0" w:color="auto"/>
        <w:left w:val="none" w:sz="0" w:space="0" w:color="auto"/>
        <w:bottom w:val="none" w:sz="0" w:space="0" w:color="auto"/>
        <w:right w:val="none" w:sz="0" w:space="0" w:color="auto"/>
      </w:divBdr>
    </w:div>
    <w:div w:id="2100364713">
      <w:marLeft w:val="0"/>
      <w:marRight w:val="0"/>
      <w:marTop w:val="0"/>
      <w:marBottom w:val="0"/>
      <w:divBdr>
        <w:top w:val="none" w:sz="0" w:space="0" w:color="auto"/>
        <w:left w:val="none" w:sz="0" w:space="0" w:color="auto"/>
        <w:bottom w:val="none" w:sz="0" w:space="0" w:color="auto"/>
        <w:right w:val="none" w:sz="0" w:space="0" w:color="auto"/>
      </w:divBdr>
      <w:divsChild>
        <w:div w:id="2100364688">
          <w:marLeft w:val="432"/>
          <w:marRight w:val="0"/>
          <w:marTop w:val="96"/>
          <w:marBottom w:val="200"/>
          <w:divBdr>
            <w:top w:val="none" w:sz="0" w:space="0" w:color="auto"/>
            <w:left w:val="none" w:sz="0" w:space="0" w:color="auto"/>
            <w:bottom w:val="none" w:sz="0" w:space="0" w:color="auto"/>
            <w:right w:val="none" w:sz="0" w:space="0" w:color="auto"/>
          </w:divBdr>
        </w:div>
      </w:divsChild>
    </w:div>
    <w:div w:id="2100364715">
      <w:marLeft w:val="0"/>
      <w:marRight w:val="0"/>
      <w:marTop w:val="0"/>
      <w:marBottom w:val="0"/>
      <w:divBdr>
        <w:top w:val="none" w:sz="0" w:space="0" w:color="auto"/>
        <w:left w:val="none" w:sz="0" w:space="0" w:color="auto"/>
        <w:bottom w:val="none" w:sz="0" w:space="0" w:color="auto"/>
        <w:right w:val="none" w:sz="0" w:space="0" w:color="auto"/>
      </w:divBdr>
      <w:divsChild>
        <w:div w:id="2100364693">
          <w:marLeft w:val="432"/>
          <w:marRight w:val="0"/>
          <w:marTop w:val="96"/>
          <w:marBottom w:val="200"/>
          <w:divBdr>
            <w:top w:val="none" w:sz="0" w:space="0" w:color="auto"/>
            <w:left w:val="none" w:sz="0" w:space="0" w:color="auto"/>
            <w:bottom w:val="none" w:sz="0" w:space="0" w:color="auto"/>
            <w:right w:val="none" w:sz="0" w:space="0" w:color="auto"/>
          </w:divBdr>
        </w:div>
        <w:div w:id="2100364714">
          <w:marLeft w:val="432"/>
          <w:marRight w:val="0"/>
          <w:marTop w:val="96"/>
          <w:marBottom w:val="200"/>
          <w:divBdr>
            <w:top w:val="none" w:sz="0" w:space="0" w:color="auto"/>
            <w:left w:val="none" w:sz="0" w:space="0" w:color="auto"/>
            <w:bottom w:val="none" w:sz="0" w:space="0" w:color="auto"/>
            <w:right w:val="none" w:sz="0" w:space="0" w:color="auto"/>
          </w:divBdr>
        </w:div>
        <w:div w:id="2100364719">
          <w:marLeft w:val="432"/>
          <w:marRight w:val="0"/>
          <w:marTop w:val="96"/>
          <w:marBottom w:val="200"/>
          <w:divBdr>
            <w:top w:val="none" w:sz="0" w:space="0" w:color="auto"/>
            <w:left w:val="none" w:sz="0" w:space="0" w:color="auto"/>
            <w:bottom w:val="none" w:sz="0" w:space="0" w:color="auto"/>
            <w:right w:val="none" w:sz="0" w:space="0" w:color="auto"/>
          </w:divBdr>
        </w:div>
      </w:divsChild>
    </w:div>
    <w:div w:id="2100364717">
      <w:marLeft w:val="0"/>
      <w:marRight w:val="0"/>
      <w:marTop w:val="0"/>
      <w:marBottom w:val="0"/>
      <w:divBdr>
        <w:top w:val="none" w:sz="0" w:space="0" w:color="auto"/>
        <w:left w:val="none" w:sz="0" w:space="0" w:color="auto"/>
        <w:bottom w:val="none" w:sz="0" w:space="0" w:color="auto"/>
        <w:right w:val="none" w:sz="0" w:space="0" w:color="auto"/>
      </w:divBdr>
    </w:div>
    <w:div w:id="2100364721">
      <w:marLeft w:val="0"/>
      <w:marRight w:val="0"/>
      <w:marTop w:val="0"/>
      <w:marBottom w:val="0"/>
      <w:divBdr>
        <w:top w:val="none" w:sz="0" w:space="0" w:color="auto"/>
        <w:left w:val="none" w:sz="0" w:space="0" w:color="auto"/>
        <w:bottom w:val="none" w:sz="0" w:space="0" w:color="auto"/>
        <w:right w:val="none" w:sz="0" w:space="0" w:color="auto"/>
      </w:divBdr>
    </w:div>
    <w:div w:id="2100364725">
      <w:marLeft w:val="0"/>
      <w:marRight w:val="0"/>
      <w:marTop w:val="0"/>
      <w:marBottom w:val="0"/>
      <w:divBdr>
        <w:top w:val="none" w:sz="0" w:space="0" w:color="auto"/>
        <w:left w:val="none" w:sz="0" w:space="0" w:color="auto"/>
        <w:bottom w:val="none" w:sz="0" w:space="0" w:color="auto"/>
        <w:right w:val="none" w:sz="0" w:space="0" w:color="auto"/>
      </w:divBdr>
      <w:divsChild>
        <w:div w:id="2100364685">
          <w:marLeft w:val="0"/>
          <w:marRight w:val="0"/>
          <w:marTop w:val="0"/>
          <w:marBottom w:val="0"/>
          <w:divBdr>
            <w:top w:val="none" w:sz="0" w:space="0" w:color="auto"/>
            <w:left w:val="none" w:sz="0" w:space="0" w:color="auto"/>
            <w:bottom w:val="none" w:sz="0" w:space="0" w:color="auto"/>
            <w:right w:val="none" w:sz="0" w:space="0" w:color="auto"/>
          </w:divBdr>
          <w:divsChild>
            <w:div w:id="2100364687">
              <w:marLeft w:val="0"/>
              <w:marRight w:val="0"/>
              <w:marTop w:val="0"/>
              <w:marBottom w:val="0"/>
              <w:divBdr>
                <w:top w:val="none" w:sz="0" w:space="0" w:color="auto"/>
                <w:left w:val="none" w:sz="0" w:space="0" w:color="auto"/>
                <w:bottom w:val="none" w:sz="0" w:space="0" w:color="auto"/>
                <w:right w:val="none" w:sz="0" w:space="0" w:color="auto"/>
              </w:divBdr>
            </w:div>
            <w:div w:id="2100364701">
              <w:marLeft w:val="0"/>
              <w:marRight w:val="0"/>
              <w:marTop w:val="0"/>
              <w:marBottom w:val="0"/>
              <w:divBdr>
                <w:top w:val="none" w:sz="0" w:space="0" w:color="auto"/>
                <w:left w:val="none" w:sz="0" w:space="0" w:color="auto"/>
                <w:bottom w:val="none" w:sz="0" w:space="0" w:color="auto"/>
                <w:right w:val="none" w:sz="0" w:space="0" w:color="auto"/>
              </w:divBdr>
            </w:div>
            <w:div w:id="2100364707">
              <w:marLeft w:val="0"/>
              <w:marRight w:val="0"/>
              <w:marTop w:val="0"/>
              <w:marBottom w:val="0"/>
              <w:divBdr>
                <w:top w:val="none" w:sz="0" w:space="0" w:color="auto"/>
                <w:left w:val="none" w:sz="0" w:space="0" w:color="auto"/>
                <w:bottom w:val="none" w:sz="0" w:space="0" w:color="auto"/>
                <w:right w:val="none" w:sz="0" w:space="0" w:color="auto"/>
              </w:divBdr>
            </w:div>
            <w:div w:id="2100364723">
              <w:marLeft w:val="0"/>
              <w:marRight w:val="0"/>
              <w:marTop w:val="0"/>
              <w:marBottom w:val="0"/>
              <w:divBdr>
                <w:top w:val="none" w:sz="0" w:space="0" w:color="auto"/>
                <w:left w:val="none" w:sz="0" w:space="0" w:color="auto"/>
                <w:bottom w:val="none" w:sz="0" w:space="0" w:color="auto"/>
                <w:right w:val="none" w:sz="0" w:space="0" w:color="auto"/>
              </w:divBdr>
            </w:div>
            <w:div w:id="2100364728">
              <w:marLeft w:val="0"/>
              <w:marRight w:val="0"/>
              <w:marTop w:val="0"/>
              <w:marBottom w:val="0"/>
              <w:divBdr>
                <w:top w:val="none" w:sz="0" w:space="0" w:color="auto"/>
                <w:left w:val="none" w:sz="0" w:space="0" w:color="auto"/>
                <w:bottom w:val="none" w:sz="0" w:space="0" w:color="auto"/>
                <w:right w:val="none" w:sz="0" w:space="0" w:color="auto"/>
              </w:divBdr>
            </w:div>
            <w:div w:id="2100364731">
              <w:marLeft w:val="0"/>
              <w:marRight w:val="0"/>
              <w:marTop w:val="0"/>
              <w:marBottom w:val="0"/>
              <w:divBdr>
                <w:top w:val="none" w:sz="0" w:space="0" w:color="auto"/>
                <w:left w:val="none" w:sz="0" w:space="0" w:color="auto"/>
                <w:bottom w:val="none" w:sz="0" w:space="0" w:color="auto"/>
                <w:right w:val="none" w:sz="0" w:space="0" w:color="auto"/>
              </w:divBdr>
            </w:div>
            <w:div w:id="2100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4726">
      <w:marLeft w:val="0"/>
      <w:marRight w:val="0"/>
      <w:marTop w:val="0"/>
      <w:marBottom w:val="0"/>
      <w:divBdr>
        <w:top w:val="none" w:sz="0" w:space="0" w:color="auto"/>
        <w:left w:val="none" w:sz="0" w:space="0" w:color="auto"/>
        <w:bottom w:val="none" w:sz="0" w:space="0" w:color="auto"/>
        <w:right w:val="none" w:sz="0" w:space="0" w:color="auto"/>
      </w:divBdr>
    </w:div>
    <w:div w:id="2100364727">
      <w:marLeft w:val="0"/>
      <w:marRight w:val="0"/>
      <w:marTop w:val="0"/>
      <w:marBottom w:val="0"/>
      <w:divBdr>
        <w:top w:val="none" w:sz="0" w:space="0" w:color="auto"/>
        <w:left w:val="none" w:sz="0" w:space="0" w:color="auto"/>
        <w:bottom w:val="none" w:sz="0" w:space="0" w:color="auto"/>
        <w:right w:val="none" w:sz="0" w:space="0" w:color="auto"/>
      </w:divBdr>
    </w:div>
    <w:div w:id="2100364733">
      <w:marLeft w:val="0"/>
      <w:marRight w:val="0"/>
      <w:marTop w:val="0"/>
      <w:marBottom w:val="0"/>
      <w:divBdr>
        <w:top w:val="none" w:sz="0" w:space="0" w:color="auto"/>
        <w:left w:val="none" w:sz="0" w:space="0" w:color="auto"/>
        <w:bottom w:val="none" w:sz="0" w:space="0" w:color="auto"/>
        <w:right w:val="none" w:sz="0" w:space="0" w:color="auto"/>
      </w:divBdr>
      <w:divsChild>
        <w:div w:id="2100364716">
          <w:marLeft w:val="432"/>
          <w:marRight w:val="0"/>
          <w:marTop w:val="96"/>
          <w:marBottom w:val="200"/>
          <w:divBdr>
            <w:top w:val="none" w:sz="0" w:space="0" w:color="auto"/>
            <w:left w:val="none" w:sz="0" w:space="0" w:color="auto"/>
            <w:bottom w:val="none" w:sz="0" w:space="0" w:color="auto"/>
            <w:right w:val="none" w:sz="0" w:space="0" w:color="auto"/>
          </w:divBdr>
        </w:div>
        <w:div w:id="2100364720">
          <w:marLeft w:val="432"/>
          <w:marRight w:val="0"/>
          <w:marTop w:val="96"/>
          <w:marBottom w:val="200"/>
          <w:divBdr>
            <w:top w:val="none" w:sz="0" w:space="0" w:color="auto"/>
            <w:left w:val="none" w:sz="0" w:space="0" w:color="auto"/>
            <w:bottom w:val="none" w:sz="0" w:space="0" w:color="auto"/>
            <w:right w:val="none" w:sz="0" w:space="0" w:color="auto"/>
          </w:divBdr>
        </w:div>
        <w:div w:id="2100364722">
          <w:marLeft w:val="432"/>
          <w:marRight w:val="0"/>
          <w:marTop w:val="96"/>
          <w:marBottom w:val="200"/>
          <w:divBdr>
            <w:top w:val="none" w:sz="0" w:space="0" w:color="auto"/>
            <w:left w:val="none" w:sz="0" w:space="0" w:color="auto"/>
            <w:bottom w:val="none" w:sz="0" w:space="0" w:color="auto"/>
            <w:right w:val="none" w:sz="0" w:space="0" w:color="auto"/>
          </w:divBdr>
        </w:div>
        <w:div w:id="2100364734">
          <w:marLeft w:val="432"/>
          <w:marRight w:val="0"/>
          <w:marTop w:val="96"/>
          <w:marBottom w:val="200"/>
          <w:divBdr>
            <w:top w:val="none" w:sz="0" w:space="0" w:color="auto"/>
            <w:left w:val="none" w:sz="0" w:space="0" w:color="auto"/>
            <w:bottom w:val="none" w:sz="0" w:space="0" w:color="auto"/>
            <w:right w:val="none" w:sz="0" w:space="0" w:color="auto"/>
          </w:divBdr>
        </w:div>
      </w:divsChild>
    </w:div>
    <w:div w:id="2100364737">
      <w:marLeft w:val="0"/>
      <w:marRight w:val="0"/>
      <w:marTop w:val="0"/>
      <w:marBottom w:val="0"/>
      <w:divBdr>
        <w:top w:val="none" w:sz="0" w:space="0" w:color="auto"/>
        <w:left w:val="none" w:sz="0" w:space="0" w:color="auto"/>
        <w:bottom w:val="none" w:sz="0" w:space="0" w:color="auto"/>
        <w:right w:val="none" w:sz="0" w:space="0" w:color="auto"/>
      </w:divBdr>
      <w:divsChild>
        <w:div w:id="2100364708">
          <w:marLeft w:val="0"/>
          <w:marRight w:val="0"/>
          <w:marTop w:val="2160"/>
          <w:marBottom w:val="0"/>
          <w:divBdr>
            <w:top w:val="none" w:sz="0" w:space="0" w:color="auto"/>
            <w:left w:val="none" w:sz="0" w:space="0" w:color="auto"/>
            <w:bottom w:val="none" w:sz="0" w:space="0" w:color="auto"/>
            <w:right w:val="none" w:sz="0" w:space="0" w:color="auto"/>
          </w:divBdr>
          <w:divsChild>
            <w:div w:id="2100364702">
              <w:marLeft w:val="0"/>
              <w:marRight w:val="0"/>
              <w:marTop w:val="120"/>
              <w:marBottom w:val="480"/>
              <w:divBdr>
                <w:top w:val="none" w:sz="0" w:space="0" w:color="auto"/>
                <w:left w:val="none" w:sz="0" w:space="0" w:color="auto"/>
                <w:bottom w:val="none" w:sz="0" w:space="0" w:color="auto"/>
                <w:right w:val="none" w:sz="0" w:space="0" w:color="auto"/>
              </w:divBdr>
              <w:divsChild>
                <w:div w:id="2100364705">
                  <w:marLeft w:val="0"/>
                  <w:marRight w:val="0"/>
                  <w:marTop w:val="120"/>
                  <w:marBottom w:val="120"/>
                  <w:divBdr>
                    <w:top w:val="none" w:sz="0" w:space="0" w:color="auto"/>
                    <w:left w:val="none" w:sz="0" w:space="0" w:color="auto"/>
                    <w:bottom w:val="none" w:sz="0" w:space="0" w:color="auto"/>
                    <w:right w:val="none" w:sz="0" w:space="0" w:color="auto"/>
                  </w:divBdr>
                  <w:divsChild>
                    <w:div w:id="2100364682">
                      <w:marLeft w:val="0"/>
                      <w:marRight w:val="0"/>
                      <w:marTop w:val="0"/>
                      <w:marBottom w:val="0"/>
                      <w:divBdr>
                        <w:top w:val="none" w:sz="0" w:space="0" w:color="auto"/>
                        <w:left w:val="none" w:sz="0" w:space="0" w:color="auto"/>
                        <w:bottom w:val="none" w:sz="0" w:space="0" w:color="auto"/>
                        <w:right w:val="none" w:sz="0" w:space="0" w:color="auto"/>
                      </w:divBdr>
                      <w:divsChild>
                        <w:div w:id="2100364709">
                          <w:marLeft w:val="0"/>
                          <w:marRight w:val="0"/>
                          <w:marTop w:val="0"/>
                          <w:marBottom w:val="0"/>
                          <w:divBdr>
                            <w:top w:val="none" w:sz="0" w:space="0" w:color="auto"/>
                            <w:left w:val="none" w:sz="0" w:space="0" w:color="auto"/>
                            <w:bottom w:val="none" w:sz="0" w:space="0" w:color="auto"/>
                            <w:right w:val="none" w:sz="0" w:space="0" w:color="auto"/>
                          </w:divBdr>
                          <w:divsChild>
                            <w:div w:id="2100364739">
                              <w:marLeft w:val="0"/>
                              <w:marRight w:val="0"/>
                              <w:marTop w:val="0"/>
                              <w:marBottom w:val="0"/>
                              <w:divBdr>
                                <w:top w:val="none" w:sz="0" w:space="0" w:color="auto"/>
                                <w:left w:val="none" w:sz="0" w:space="0" w:color="auto"/>
                                <w:bottom w:val="none" w:sz="0" w:space="0" w:color="auto"/>
                                <w:right w:val="none" w:sz="0" w:space="0" w:color="auto"/>
                              </w:divBdr>
                            </w:div>
                          </w:divsChild>
                        </w:div>
                        <w:div w:id="2100364732">
                          <w:marLeft w:val="0"/>
                          <w:marRight w:val="0"/>
                          <w:marTop w:val="0"/>
                          <w:marBottom w:val="0"/>
                          <w:divBdr>
                            <w:top w:val="none" w:sz="0" w:space="0" w:color="auto"/>
                            <w:left w:val="none" w:sz="0" w:space="0" w:color="auto"/>
                            <w:bottom w:val="none" w:sz="0" w:space="0" w:color="auto"/>
                            <w:right w:val="none" w:sz="0" w:space="0" w:color="auto"/>
                          </w:divBdr>
                          <w:divsChild>
                            <w:div w:id="21003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4683">
                      <w:marLeft w:val="0"/>
                      <w:marRight w:val="0"/>
                      <w:marTop w:val="0"/>
                      <w:marBottom w:val="240"/>
                      <w:divBdr>
                        <w:top w:val="none" w:sz="0" w:space="0" w:color="auto"/>
                        <w:left w:val="none" w:sz="0" w:space="0" w:color="auto"/>
                        <w:bottom w:val="none" w:sz="0" w:space="0" w:color="auto"/>
                        <w:right w:val="none" w:sz="0" w:space="0" w:color="auto"/>
                      </w:divBdr>
                      <w:divsChild>
                        <w:div w:id="2100364740">
                          <w:marLeft w:val="0"/>
                          <w:marRight w:val="0"/>
                          <w:marTop w:val="0"/>
                          <w:marBottom w:val="0"/>
                          <w:divBdr>
                            <w:top w:val="none" w:sz="0" w:space="0" w:color="auto"/>
                            <w:left w:val="none" w:sz="0" w:space="0" w:color="auto"/>
                            <w:bottom w:val="none" w:sz="0" w:space="0" w:color="auto"/>
                            <w:right w:val="none" w:sz="0" w:space="0" w:color="auto"/>
                          </w:divBdr>
                        </w:div>
                      </w:divsChild>
                    </w:div>
                    <w:div w:id="2100364729">
                      <w:marLeft w:val="0"/>
                      <w:marRight w:val="0"/>
                      <w:marTop w:val="0"/>
                      <w:marBottom w:val="240"/>
                      <w:divBdr>
                        <w:top w:val="none" w:sz="0" w:space="0" w:color="auto"/>
                        <w:left w:val="none" w:sz="0" w:space="0" w:color="auto"/>
                        <w:bottom w:val="single" w:sz="12" w:space="12" w:color="999999"/>
                        <w:right w:val="none" w:sz="0" w:space="0" w:color="auto"/>
                      </w:divBdr>
                      <w:divsChild>
                        <w:div w:id="2100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4749">
      <w:marLeft w:val="0"/>
      <w:marRight w:val="0"/>
      <w:marTop w:val="0"/>
      <w:marBottom w:val="0"/>
      <w:divBdr>
        <w:top w:val="none" w:sz="0" w:space="0" w:color="auto"/>
        <w:left w:val="none" w:sz="0" w:space="0" w:color="auto"/>
        <w:bottom w:val="none" w:sz="0" w:space="0" w:color="auto"/>
        <w:right w:val="none" w:sz="0" w:space="0" w:color="auto"/>
      </w:divBdr>
      <w:divsChild>
        <w:div w:id="2100364752">
          <w:marLeft w:val="0"/>
          <w:marRight w:val="0"/>
          <w:marTop w:val="0"/>
          <w:marBottom w:val="0"/>
          <w:divBdr>
            <w:top w:val="none" w:sz="0" w:space="0" w:color="auto"/>
            <w:left w:val="none" w:sz="0" w:space="0" w:color="auto"/>
            <w:bottom w:val="none" w:sz="0" w:space="0" w:color="auto"/>
            <w:right w:val="none" w:sz="0" w:space="0" w:color="auto"/>
          </w:divBdr>
          <w:divsChild>
            <w:div w:id="2100364744">
              <w:marLeft w:val="0"/>
              <w:marRight w:val="0"/>
              <w:marTop w:val="0"/>
              <w:marBottom w:val="0"/>
              <w:divBdr>
                <w:top w:val="none" w:sz="0" w:space="0" w:color="auto"/>
                <w:left w:val="none" w:sz="0" w:space="0" w:color="auto"/>
                <w:bottom w:val="single" w:sz="6" w:space="4" w:color="B2B2B2"/>
                <w:right w:val="none" w:sz="0" w:space="0" w:color="auto"/>
              </w:divBdr>
              <w:divsChild>
                <w:div w:id="2100364755">
                  <w:marLeft w:val="0"/>
                  <w:marRight w:val="0"/>
                  <w:marTop w:val="0"/>
                  <w:marBottom w:val="0"/>
                  <w:divBdr>
                    <w:top w:val="none" w:sz="0" w:space="0" w:color="auto"/>
                    <w:left w:val="none" w:sz="0" w:space="0" w:color="auto"/>
                    <w:bottom w:val="none" w:sz="0" w:space="0" w:color="auto"/>
                    <w:right w:val="none" w:sz="0" w:space="0" w:color="auto"/>
                  </w:divBdr>
                  <w:divsChild>
                    <w:div w:id="2100364745">
                      <w:marLeft w:val="0"/>
                      <w:marRight w:val="0"/>
                      <w:marTop w:val="0"/>
                      <w:marBottom w:val="0"/>
                      <w:divBdr>
                        <w:top w:val="none" w:sz="0" w:space="0" w:color="auto"/>
                        <w:left w:val="none" w:sz="0" w:space="0" w:color="auto"/>
                        <w:bottom w:val="none" w:sz="0" w:space="0" w:color="auto"/>
                        <w:right w:val="none" w:sz="0" w:space="0" w:color="auto"/>
                      </w:divBdr>
                      <w:divsChild>
                        <w:div w:id="2100364750">
                          <w:marLeft w:val="0"/>
                          <w:marRight w:val="0"/>
                          <w:marTop w:val="0"/>
                          <w:marBottom w:val="0"/>
                          <w:divBdr>
                            <w:top w:val="none" w:sz="0" w:space="0" w:color="auto"/>
                            <w:left w:val="none" w:sz="0" w:space="0" w:color="auto"/>
                            <w:bottom w:val="none" w:sz="0" w:space="0" w:color="auto"/>
                            <w:right w:val="none" w:sz="0" w:space="0" w:color="auto"/>
                          </w:divBdr>
                          <w:divsChild>
                            <w:div w:id="2100364759">
                              <w:marLeft w:val="0"/>
                              <w:marRight w:val="0"/>
                              <w:marTop w:val="0"/>
                              <w:marBottom w:val="0"/>
                              <w:divBdr>
                                <w:top w:val="none" w:sz="0" w:space="0" w:color="auto"/>
                                <w:left w:val="none" w:sz="0" w:space="0" w:color="auto"/>
                                <w:bottom w:val="none" w:sz="0" w:space="0" w:color="auto"/>
                                <w:right w:val="none" w:sz="0" w:space="0" w:color="auto"/>
                              </w:divBdr>
                              <w:divsChild>
                                <w:div w:id="2100364743">
                                  <w:marLeft w:val="-6949"/>
                                  <w:marRight w:val="0"/>
                                  <w:marTop w:val="0"/>
                                  <w:marBottom w:val="0"/>
                                  <w:divBdr>
                                    <w:top w:val="none" w:sz="0" w:space="0" w:color="auto"/>
                                    <w:left w:val="none" w:sz="0" w:space="0" w:color="auto"/>
                                    <w:bottom w:val="none" w:sz="0" w:space="0" w:color="auto"/>
                                    <w:right w:val="none" w:sz="0" w:space="0" w:color="auto"/>
                                  </w:divBdr>
                                  <w:divsChild>
                                    <w:div w:id="2100364747">
                                      <w:marLeft w:val="0"/>
                                      <w:marRight w:val="0"/>
                                      <w:marTop w:val="0"/>
                                      <w:marBottom w:val="0"/>
                                      <w:divBdr>
                                        <w:top w:val="none" w:sz="0" w:space="0" w:color="auto"/>
                                        <w:left w:val="none" w:sz="0" w:space="0" w:color="auto"/>
                                        <w:bottom w:val="none" w:sz="0" w:space="0" w:color="auto"/>
                                        <w:right w:val="none" w:sz="0" w:space="0" w:color="auto"/>
                                      </w:divBdr>
                                      <w:divsChild>
                                        <w:div w:id="2100364756">
                                          <w:marLeft w:val="6949"/>
                                          <w:marRight w:val="0"/>
                                          <w:marTop w:val="0"/>
                                          <w:marBottom w:val="0"/>
                                          <w:divBdr>
                                            <w:top w:val="none" w:sz="0" w:space="0" w:color="auto"/>
                                            <w:left w:val="none" w:sz="0" w:space="0" w:color="auto"/>
                                            <w:bottom w:val="none" w:sz="0" w:space="0" w:color="auto"/>
                                            <w:right w:val="none" w:sz="0" w:space="0" w:color="auto"/>
                                          </w:divBdr>
                                          <w:divsChild>
                                            <w:div w:id="2100364758">
                                              <w:marLeft w:val="0"/>
                                              <w:marRight w:val="0"/>
                                              <w:marTop w:val="0"/>
                                              <w:marBottom w:val="0"/>
                                              <w:divBdr>
                                                <w:top w:val="none" w:sz="0" w:space="0" w:color="auto"/>
                                                <w:left w:val="none" w:sz="0" w:space="0" w:color="auto"/>
                                                <w:bottom w:val="none" w:sz="0" w:space="0" w:color="auto"/>
                                                <w:right w:val="none" w:sz="0" w:space="0" w:color="auto"/>
                                              </w:divBdr>
                                              <w:divsChild>
                                                <w:div w:id="2100364751">
                                                  <w:marLeft w:val="0"/>
                                                  <w:marRight w:val="0"/>
                                                  <w:marTop w:val="0"/>
                                                  <w:marBottom w:val="0"/>
                                                  <w:divBdr>
                                                    <w:top w:val="none" w:sz="0" w:space="0" w:color="auto"/>
                                                    <w:left w:val="none" w:sz="0" w:space="0" w:color="auto"/>
                                                    <w:bottom w:val="none" w:sz="0" w:space="0" w:color="auto"/>
                                                    <w:right w:val="none" w:sz="0" w:space="0" w:color="auto"/>
                                                  </w:divBdr>
                                                  <w:divsChild>
                                                    <w:div w:id="2100364753">
                                                      <w:marLeft w:val="0"/>
                                                      <w:marRight w:val="0"/>
                                                      <w:marTop w:val="0"/>
                                                      <w:marBottom w:val="0"/>
                                                      <w:divBdr>
                                                        <w:top w:val="none" w:sz="0" w:space="0" w:color="auto"/>
                                                        <w:left w:val="none" w:sz="0" w:space="0" w:color="auto"/>
                                                        <w:bottom w:val="none" w:sz="0" w:space="0" w:color="auto"/>
                                                        <w:right w:val="none" w:sz="0" w:space="0" w:color="auto"/>
                                                      </w:divBdr>
                                                      <w:divsChild>
                                                        <w:div w:id="2100364748">
                                                          <w:marLeft w:val="0"/>
                                                          <w:marRight w:val="0"/>
                                                          <w:marTop w:val="0"/>
                                                          <w:marBottom w:val="0"/>
                                                          <w:divBdr>
                                                            <w:top w:val="none" w:sz="0" w:space="0" w:color="auto"/>
                                                            <w:left w:val="none" w:sz="0" w:space="0" w:color="auto"/>
                                                            <w:bottom w:val="none" w:sz="0" w:space="0" w:color="auto"/>
                                                            <w:right w:val="none" w:sz="0" w:space="0" w:color="auto"/>
                                                          </w:divBdr>
                                                          <w:divsChild>
                                                            <w:div w:id="2100364746">
                                                              <w:marLeft w:val="0"/>
                                                              <w:marRight w:val="0"/>
                                                              <w:marTop w:val="0"/>
                                                              <w:marBottom w:val="0"/>
                                                              <w:divBdr>
                                                                <w:top w:val="none" w:sz="0" w:space="0" w:color="auto"/>
                                                                <w:left w:val="none" w:sz="0" w:space="0" w:color="auto"/>
                                                                <w:bottom w:val="none" w:sz="0" w:space="0" w:color="auto"/>
                                                                <w:right w:val="none" w:sz="0" w:space="0" w:color="auto"/>
                                                              </w:divBdr>
                                                              <w:divsChild>
                                                                <w:div w:id="2100364757">
                                                                  <w:marLeft w:val="0"/>
                                                                  <w:marRight w:val="0"/>
                                                                  <w:marTop w:val="0"/>
                                                                  <w:marBottom w:val="0"/>
                                                                  <w:divBdr>
                                                                    <w:top w:val="none" w:sz="0" w:space="0" w:color="auto"/>
                                                                    <w:left w:val="none" w:sz="0" w:space="0" w:color="auto"/>
                                                                    <w:bottom w:val="none" w:sz="0" w:space="0" w:color="auto"/>
                                                                    <w:right w:val="none" w:sz="0" w:space="0" w:color="auto"/>
                                                                  </w:divBdr>
                                                                  <w:divsChild>
                                                                    <w:div w:id="2100364754">
                                                                      <w:marLeft w:val="0"/>
                                                                      <w:marRight w:val="0"/>
                                                                      <w:marTop w:val="0"/>
                                                                      <w:marBottom w:val="0"/>
                                                                      <w:divBdr>
                                                                        <w:top w:val="none" w:sz="0" w:space="0" w:color="auto"/>
                                                                        <w:left w:val="none" w:sz="0" w:space="0" w:color="auto"/>
                                                                        <w:bottom w:val="none" w:sz="0" w:space="0" w:color="auto"/>
                                                                        <w:right w:val="none" w:sz="0" w:space="0" w:color="auto"/>
                                                                      </w:divBdr>
                                                                      <w:divsChild>
                                                                        <w:div w:id="21003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64760">
      <w:marLeft w:val="0"/>
      <w:marRight w:val="0"/>
      <w:marTop w:val="0"/>
      <w:marBottom w:val="0"/>
      <w:divBdr>
        <w:top w:val="none" w:sz="0" w:space="0" w:color="auto"/>
        <w:left w:val="none" w:sz="0" w:space="0" w:color="auto"/>
        <w:bottom w:val="none" w:sz="0" w:space="0" w:color="auto"/>
        <w:right w:val="none" w:sz="0" w:space="0" w:color="auto"/>
      </w:divBdr>
    </w:div>
    <w:div w:id="2100364761">
      <w:marLeft w:val="0"/>
      <w:marRight w:val="0"/>
      <w:marTop w:val="0"/>
      <w:marBottom w:val="0"/>
      <w:divBdr>
        <w:top w:val="none" w:sz="0" w:space="0" w:color="auto"/>
        <w:left w:val="none" w:sz="0" w:space="0" w:color="auto"/>
        <w:bottom w:val="none" w:sz="0" w:space="0" w:color="auto"/>
        <w:right w:val="none" w:sz="0" w:space="0" w:color="auto"/>
      </w:divBdr>
    </w:div>
    <w:div w:id="2100364762">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0364768">
      <w:marLeft w:val="0"/>
      <w:marRight w:val="0"/>
      <w:marTop w:val="0"/>
      <w:marBottom w:val="0"/>
      <w:divBdr>
        <w:top w:val="none" w:sz="0" w:space="0" w:color="auto"/>
        <w:left w:val="none" w:sz="0" w:space="0" w:color="auto"/>
        <w:bottom w:val="none" w:sz="0" w:space="0" w:color="auto"/>
        <w:right w:val="none" w:sz="0" w:space="0" w:color="auto"/>
      </w:divBdr>
    </w:div>
    <w:div w:id="2100364773">
      <w:marLeft w:val="0"/>
      <w:marRight w:val="0"/>
      <w:marTop w:val="0"/>
      <w:marBottom w:val="0"/>
      <w:divBdr>
        <w:top w:val="none" w:sz="0" w:space="0" w:color="auto"/>
        <w:left w:val="none" w:sz="0" w:space="0" w:color="auto"/>
        <w:bottom w:val="none" w:sz="0" w:space="0" w:color="auto"/>
        <w:right w:val="none" w:sz="0" w:space="0" w:color="auto"/>
      </w:divBdr>
      <w:divsChild>
        <w:div w:id="2100364663">
          <w:marLeft w:val="432"/>
          <w:marRight w:val="0"/>
          <w:marTop w:val="130"/>
          <w:marBottom w:val="0"/>
          <w:divBdr>
            <w:top w:val="none" w:sz="0" w:space="0" w:color="auto"/>
            <w:left w:val="none" w:sz="0" w:space="0" w:color="auto"/>
            <w:bottom w:val="none" w:sz="0" w:space="0" w:color="auto"/>
            <w:right w:val="none" w:sz="0" w:space="0" w:color="auto"/>
          </w:divBdr>
        </w:div>
      </w:divsChild>
    </w:div>
    <w:div w:id="2100364774">
      <w:marLeft w:val="0"/>
      <w:marRight w:val="0"/>
      <w:marTop w:val="0"/>
      <w:marBottom w:val="0"/>
      <w:divBdr>
        <w:top w:val="none" w:sz="0" w:space="0" w:color="auto"/>
        <w:left w:val="none" w:sz="0" w:space="0" w:color="auto"/>
        <w:bottom w:val="none" w:sz="0" w:space="0" w:color="auto"/>
        <w:right w:val="none" w:sz="0" w:space="0" w:color="auto"/>
      </w:divBdr>
    </w:div>
    <w:div w:id="2100364775">
      <w:marLeft w:val="0"/>
      <w:marRight w:val="0"/>
      <w:marTop w:val="0"/>
      <w:marBottom w:val="0"/>
      <w:divBdr>
        <w:top w:val="none" w:sz="0" w:space="0" w:color="auto"/>
        <w:left w:val="none" w:sz="0" w:space="0" w:color="auto"/>
        <w:bottom w:val="none" w:sz="0" w:space="0" w:color="auto"/>
        <w:right w:val="none" w:sz="0" w:space="0" w:color="auto"/>
      </w:divBdr>
    </w:div>
    <w:div w:id="2100364777">
      <w:marLeft w:val="0"/>
      <w:marRight w:val="0"/>
      <w:marTop w:val="0"/>
      <w:marBottom w:val="0"/>
      <w:divBdr>
        <w:top w:val="none" w:sz="0" w:space="0" w:color="auto"/>
        <w:left w:val="none" w:sz="0" w:space="0" w:color="auto"/>
        <w:bottom w:val="none" w:sz="0" w:space="0" w:color="auto"/>
        <w:right w:val="none" w:sz="0" w:space="0" w:color="auto"/>
      </w:divBdr>
    </w:div>
    <w:div w:id="2100364778">
      <w:marLeft w:val="0"/>
      <w:marRight w:val="0"/>
      <w:marTop w:val="0"/>
      <w:marBottom w:val="0"/>
      <w:divBdr>
        <w:top w:val="none" w:sz="0" w:space="0" w:color="auto"/>
        <w:left w:val="none" w:sz="0" w:space="0" w:color="auto"/>
        <w:bottom w:val="none" w:sz="0" w:space="0" w:color="auto"/>
        <w:right w:val="none" w:sz="0" w:space="0" w:color="auto"/>
      </w:divBdr>
    </w:div>
    <w:div w:id="2100364779">
      <w:marLeft w:val="0"/>
      <w:marRight w:val="0"/>
      <w:marTop w:val="0"/>
      <w:marBottom w:val="0"/>
      <w:divBdr>
        <w:top w:val="none" w:sz="0" w:space="0" w:color="auto"/>
        <w:left w:val="none" w:sz="0" w:space="0" w:color="auto"/>
        <w:bottom w:val="none" w:sz="0" w:space="0" w:color="auto"/>
        <w:right w:val="none" w:sz="0" w:space="0" w:color="auto"/>
      </w:divBdr>
    </w:div>
    <w:div w:id="2100364780">
      <w:marLeft w:val="0"/>
      <w:marRight w:val="0"/>
      <w:marTop w:val="0"/>
      <w:marBottom w:val="0"/>
      <w:divBdr>
        <w:top w:val="none" w:sz="0" w:space="0" w:color="auto"/>
        <w:left w:val="none" w:sz="0" w:space="0" w:color="auto"/>
        <w:bottom w:val="none" w:sz="0" w:space="0" w:color="auto"/>
        <w:right w:val="none" w:sz="0" w:space="0" w:color="auto"/>
      </w:divBdr>
    </w:div>
    <w:div w:id="2100364782">
      <w:marLeft w:val="0"/>
      <w:marRight w:val="0"/>
      <w:marTop w:val="0"/>
      <w:marBottom w:val="0"/>
      <w:divBdr>
        <w:top w:val="none" w:sz="0" w:space="0" w:color="auto"/>
        <w:left w:val="none" w:sz="0" w:space="0" w:color="auto"/>
        <w:bottom w:val="none" w:sz="0" w:space="0" w:color="auto"/>
        <w:right w:val="none" w:sz="0" w:space="0" w:color="auto"/>
      </w:divBdr>
    </w:div>
    <w:div w:id="2100364783">
      <w:marLeft w:val="0"/>
      <w:marRight w:val="0"/>
      <w:marTop w:val="0"/>
      <w:marBottom w:val="0"/>
      <w:divBdr>
        <w:top w:val="none" w:sz="0" w:space="0" w:color="auto"/>
        <w:left w:val="none" w:sz="0" w:space="0" w:color="auto"/>
        <w:bottom w:val="none" w:sz="0" w:space="0" w:color="auto"/>
        <w:right w:val="none" w:sz="0" w:space="0" w:color="auto"/>
      </w:divBdr>
    </w:div>
    <w:div w:id="2100364788">
      <w:marLeft w:val="0"/>
      <w:marRight w:val="0"/>
      <w:marTop w:val="0"/>
      <w:marBottom w:val="0"/>
      <w:divBdr>
        <w:top w:val="none" w:sz="0" w:space="0" w:color="auto"/>
        <w:left w:val="none" w:sz="0" w:space="0" w:color="auto"/>
        <w:bottom w:val="none" w:sz="0" w:space="0" w:color="auto"/>
        <w:right w:val="none" w:sz="0" w:space="0" w:color="auto"/>
      </w:divBdr>
      <w:divsChild>
        <w:div w:id="2100364785">
          <w:marLeft w:val="432"/>
          <w:marRight w:val="0"/>
          <w:marTop w:val="130"/>
          <w:marBottom w:val="0"/>
          <w:divBdr>
            <w:top w:val="none" w:sz="0" w:space="0" w:color="auto"/>
            <w:left w:val="none" w:sz="0" w:space="0" w:color="auto"/>
            <w:bottom w:val="none" w:sz="0" w:space="0" w:color="auto"/>
            <w:right w:val="none" w:sz="0" w:space="0" w:color="auto"/>
          </w:divBdr>
        </w:div>
      </w:divsChild>
    </w:div>
    <w:div w:id="2100364793">
      <w:marLeft w:val="0"/>
      <w:marRight w:val="0"/>
      <w:marTop w:val="0"/>
      <w:marBottom w:val="0"/>
      <w:divBdr>
        <w:top w:val="none" w:sz="0" w:space="0" w:color="auto"/>
        <w:left w:val="none" w:sz="0" w:space="0" w:color="auto"/>
        <w:bottom w:val="none" w:sz="0" w:space="0" w:color="auto"/>
        <w:right w:val="none" w:sz="0" w:space="0" w:color="auto"/>
      </w:divBdr>
      <w:divsChild>
        <w:div w:id="2100364647">
          <w:marLeft w:val="0"/>
          <w:marRight w:val="0"/>
          <w:marTop w:val="0"/>
          <w:marBottom w:val="0"/>
          <w:divBdr>
            <w:top w:val="none" w:sz="0" w:space="0" w:color="auto"/>
            <w:left w:val="none" w:sz="0" w:space="0" w:color="auto"/>
            <w:bottom w:val="none" w:sz="0" w:space="0" w:color="auto"/>
            <w:right w:val="none" w:sz="0" w:space="0" w:color="auto"/>
          </w:divBdr>
          <w:divsChild>
            <w:div w:id="2100364672">
              <w:marLeft w:val="0"/>
              <w:marRight w:val="0"/>
              <w:marTop w:val="0"/>
              <w:marBottom w:val="0"/>
              <w:divBdr>
                <w:top w:val="none" w:sz="0" w:space="0" w:color="auto"/>
                <w:left w:val="none" w:sz="0" w:space="0" w:color="auto"/>
                <w:bottom w:val="single" w:sz="6" w:space="4" w:color="B2B2B2"/>
                <w:right w:val="none" w:sz="0" w:space="0" w:color="auto"/>
              </w:divBdr>
              <w:divsChild>
                <w:div w:id="2100364634">
                  <w:marLeft w:val="0"/>
                  <w:marRight w:val="0"/>
                  <w:marTop w:val="0"/>
                  <w:marBottom w:val="0"/>
                  <w:divBdr>
                    <w:top w:val="none" w:sz="0" w:space="0" w:color="auto"/>
                    <w:left w:val="none" w:sz="0" w:space="0" w:color="auto"/>
                    <w:bottom w:val="none" w:sz="0" w:space="0" w:color="auto"/>
                    <w:right w:val="none" w:sz="0" w:space="0" w:color="auto"/>
                  </w:divBdr>
                  <w:divsChild>
                    <w:div w:id="2100364787">
                      <w:marLeft w:val="0"/>
                      <w:marRight w:val="0"/>
                      <w:marTop w:val="0"/>
                      <w:marBottom w:val="0"/>
                      <w:divBdr>
                        <w:top w:val="none" w:sz="0" w:space="0" w:color="auto"/>
                        <w:left w:val="none" w:sz="0" w:space="0" w:color="auto"/>
                        <w:bottom w:val="none" w:sz="0" w:space="0" w:color="auto"/>
                        <w:right w:val="none" w:sz="0" w:space="0" w:color="auto"/>
                      </w:divBdr>
                      <w:divsChild>
                        <w:div w:id="2100364669">
                          <w:marLeft w:val="0"/>
                          <w:marRight w:val="0"/>
                          <w:marTop w:val="0"/>
                          <w:marBottom w:val="0"/>
                          <w:divBdr>
                            <w:top w:val="none" w:sz="0" w:space="0" w:color="auto"/>
                            <w:left w:val="none" w:sz="0" w:space="0" w:color="auto"/>
                            <w:bottom w:val="none" w:sz="0" w:space="0" w:color="auto"/>
                            <w:right w:val="none" w:sz="0" w:space="0" w:color="auto"/>
                          </w:divBdr>
                          <w:divsChild>
                            <w:div w:id="2100364770">
                              <w:marLeft w:val="0"/>
                              <w:marRight w:val="0"/>
                              <w:marTop w:val="0"/>
                              <w:marBottom w:val="0"/>
                              <w:divBdr>
                                <w:top w:val="none" w:sz="0" w:space="0" w:color="auto"/>
                                <w:left w:val="none" w:sz="0" w:space="0" w:color="auto"/>
                                <w:bottom w:val="none" w:sz="0" w:space="0" w:color="auto"/>
                                <w:right w:val="none" w:sz="0" w:space="0" w:color="auto"/>
                              </w:divBdr>
                              <w:divsChild>
                                <w:div w:id="2100364649">
                                  <w:marLeft w:val="-6225"/>
                                  <w:marRight w:val="0"/>
                                  <w:marTop w:val="0"/>
                                  <w:marBottom w:val="0"/>
                                  <w:divBdr>
                                    <w:top w:val="none" w:sz="0" w:space="0" w:color="auto"/>
                                    <w:left w:val="none" w:sz="0" w:space="0" w:color="auto"/>
                                    <w:bottom w:val="none" w:sz="0" w:space="0" w:color="auto"/>
                                    <w:right w:val="none" w:sz="0" w:space="0" w:color="auto"/>
                                  </w:divBdr>
                                  <w:divsChild>
                                    <w:div w:id="2100364642">
                                      <w:marLeft w:val="0"/>
                                      <w:marRight w:val="0"/>
                                      <w:marTop w:val="0"/>
                                      <w:marBottom w:val="0"/>
                                      <w:divBdr>
                                        <w:top w:val="none" w:sz="0" w:space="0" w:color="auto"/>
                                        <w:left w:val="none" w:sz="0" w:space="0" w:color="auto"/>
                                        <w:bottom w:val="none" w:sz="0" w:space="0" w:color="auto"/>
                                        <w:right w:val="none" w:sz="0" w:space="0" w:color="auto"/>
                                      </w:divBdr>
                                      <w:divsChild>
                                        <w:div w:id="2100364771">
                                          <w:marLeft w:val="6225"/>
                                          <w:marRight w:val="0"/>
                                          <w:marTop w:val="0"/>
                                          <w:marBottom w:val="0"/>
                                          <w:divBdr>
                                            <w:top w:val="none" w:sz="0" w:space="0" w:color="auto"/>
                                            <w:left w:val="none" w:sz="0" w:space="0" w:color="auto"/>
                                            <w:bottom w:val="none" w:sz="0" w:space="0" w:color="auto"/>
                                            <w:right w:val="none" w:sz="0" w:space="0" w:color="auto"/>
                                          </w:divBdr>
                                          <w:divsChild>
                                            <w:div w:id="2100364767">
                                              <w:marLeft w:val="0"/>
                                              <w:marRight w:val="0"/>
                                              <w:marTop w:val="0"/>
                                              <w:marBottom w:val="0"/>
                                              <w:divBdr>
                                                <w:top w:val="none" w:sz="0" w:space="0" w:color="auto"/>
                                                <w:left w:val="none" w:sz="0" w:space="0" w:color="auto"/>
                                                <w:bottom w:val="none" w:sz="0" w:space="0" w:color="auto"/>
                                                <w:right w:val="none" w:sz="0" w:space="0" w:color="auto"/>
                                              </w:divBdr>
                                              <w:divsChild>
                                                <w:div w:id="2100364664">
                                                  <w:marLeft w:val="0"/>
                                                  <w:marRight w:val="0"/>
                                                  <w:marTop w:val="0"/>
                                                  <w:marBottom w:val="0"/>
                                                  <w:divBdr>
                                                    <w:top w:val="none" w:sz="0" w:space="0" w:color="auto"/>
                                                    <w:left w:val="none" w:sz="0" w:space="0" w:color="auto"/>
                                                    <w:bottom w:val="none" w:sz="0" w:space="0" w:color="auto"/>
                                                    <w:right w:val="none" w:sz="0" w:space="0" w:color="auto"/>
                                                  </w:divBdr>
                                                  <w:divsChild>
                                                    <w:div w:id="2100364678">
                                                      <w:marLeft w:val="0"/>
                                                      <w:marRight w:val="0"/>
                                                      <w:marTop w:val="0"/>
                                                      <w:marBottom w:val="0"/>
                                                      <w:divBdr>
                                                        <w:top w:val="none" w:sz="0" w:space="0" w:color="auto"/>
                                                        <w:left w:val="none" w:sz="0" w:space="0" w:color="auto"/>
                                                        <w:bottom w:val="none" w:sz="0" w:space="0" w:color="auto"/>
                                                        <w:right w:val="none" w:sz="0" w:space="0" w:color="auto"/>
                                                      </w:divBdr>
                                                      <w:divsChild>
                                                        <w:div w:id="2100364662">
                                                          <w:marLeft w:val="0"/>
                                                          <w:marRight w:val="0"/>
                                                          <w:marTop w:val="0"/>
                                                          <w:marBottom w:val="0"/>
                                                          <w:divBdr>
                                                            <w:top w:val="none" w:sz="0" w:space="0" w:color="auto"/>
                                                            <w:left w:val="none" w:sz="0" w:space="0" w:color="auto"/>
                                                            <w:bottom w:val="none" w:sz="0" w:space="0" w:color="auto"/>
                                                            <w:right w:val="none" w:sz="0" w:space="0" w:color="auto"/>
                                                          </w:divBdr>
                                                          <w:divsChild>
                                                            <w:div w:id="2100364781">
                                                              <w:marLeft w:val="0"/>
                                                              <w:marRight w:val="0"/>
                                                              <w:marTop w:val="0"/>
                                                              <w:marBottom w:val="0"/>
                                                              <w:divBdr>
                                                                <w:top w:val="none" w:sz="0" w:space="0" w:color="auto"/>
                                                                <w:left w:val="none" w:sz="0" w:space="0" w:color="auto"/>
                                                                <w:bottom w:val="none" w:sz="0" w:space="0" w:color="auto"/>
                                                                <w:right w:val="none" w:sz="0" w:space="0" w:color="auto"/>
                                                              </w:divBdr>
                                                              <w:divsChild>
                                                                <w:div w:id="2100364673">
                                                                  <w:marLeft w:val="0"/>
                                                                  <w:marRight w:val="0"/>
                                                                  <w:marTop w:val="0"/>
                                                                  <w:marBottom w:val="0"/>
                                                                  <w:divBdr>
                                                                    <w:top w:val="none" w:sz="0" w:space="0" w:color="auto"/>
                                                                    <w:left w:val="none" w:sz="0" w:space="0" w:color="auto"/>
                                                                    <w:bottom w:val="none" w:sz="0" w:space="0" w:color="auto"/>
                                                                    <w:right w:val="none" w:sz="0" w:space="0" w:color="auto"/>
                                                                  </w:divBdr>
                                                                  <w:divsChild>
                                                                    <w:div w:id="2100364648">
                                                                      <w:marLeft w:val="0"/>
                                                                      <w:marRight w:val="0"/>
                                                                      <w:marTop w:val="0"/>
                                                                      <w:marBottom w:val="0"/>
                                                                      <w:divBdr>
                                                                        <w:top w:val="none" w:sz="0" w:space="0" w:color="auto"/>
                                                                        <w:left w:val="none" w:sz="0" w:space="0" w:color="auto"/>
                                                                        <w:bottom w:val="none" w:sz="0" w:space="0" w:color="auto"/>
                                                                        <w:right w:val="none" w:sz="0" w:space="0" w:color="auto"/>
                                                                      </w:divBdr>
                                                                      <w:divsChild>
                                                                        <w:div w:id="21003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64794">
      <w:marLeft w:val="0"/>
      <w:marRight w:val="0"/>
      <w:marTop w:val="0"/>
      <w:marBottom w:val="0"/>
      <w:divBdr>
        <w:top w:val="none" w:sz="0" w:space="0" w:color="auto"/>
        <w:left w:val="none" w:sz="0" w:space="0" w:color="auto"/>
        <w:bottom w:val="none" w:sz="0" w:space="0" w:color="auto"/>
        <w:right w:val="none" w:sz="0" w:space="0" w:color="auto"/>
      </w:divBdr>
    </w:div>
    <w:div w:id="2100364798">
      <w:marLeft w:val="0"/>
      <w:marRight w:val="0"/>
      <w:marTop w:val="0"/>
      <w:marBottom w:val="0"/>
      <w:divBdr>
        <w:top w:val="none" w:sz="0" w:space="0" w:color="auto"/>
        <w:left w:val="none" w:sz="0" w:space="0" w:color="auto"/>
        <w:bottom w:val="none" w:sz="0" w:space="0" w:color="auto"/>
        <w:right w:val="none" w:sz="0" w:space="0" w:color="auto"/>
      </w:divBdr>
    </w:div>
    <w:div w:id="2100364799">
      <w:marLeft w:val="0"/>
      <w:marRight w:val="0"/>
      <w:marTop w:val="0"/>
      <w:marBottom w:val="0"/>
      <w:divBdr>
        <w:top w:val="none" w:sz="0" w:space="0" w:color="auto"/>
        <w:left w:val="none" w:sz="0" w:space="0" w:color="auto"/>
        <w:bottom w:val="none" w:sz="0" w:space="0" w:color="auto"/>
        <w:right w:val="none" w:sz="0" w:space="0" w:color="auto"/>
      </w:divBdr>
    </w:div>
    <w:div w:id="2100364801">
      <w:marLeft w:val="0"/>
      <w:marRight w:val="0"/>
      <w:marTop w:val="0"/>
      <w:marBottom w:val="0"/>
      <w:divBdr>
        <w:top w:val="none" w:sz="0" w:space="0" w:color="auto"/>
        <w:left w:val="none" w:sz="0" w:space="0" w:color="auto"/>
        <w:bottom w:val="none" w:sz="0" w:space="0" w:color="auto"/>
        <w:right w:val="none" w:sz="0" w:space="0" w:color="auto"/>
      </w:divBdr>
    </w:div>
    <w:div w:id="2100364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hyperlink" Target="mailto:evija.kula@lm.gov.l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mailto:maruta.pavasare@l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hl/monitoring/socialcharter/conclusions/State/LatviaXIX4_en.pdf" TargetMode="External"/><Relationship Id="rId13" Type="http://schemas.openxmlformats.org/officeDocument/2006/relationships/hyperlink" Target="http://appsso.eurostat.ec.europa.eu/nui/submitViewTableAction.do;jsessionid=9ea7d07e30d741b24d40726e4b14bff3b23ec098baa3.e34OaN8Pc3mMc40Lc3aMaNyTb38Se0" TargetMode="External"/><Relationship Id="rId3" Type="http://schemas.openxmlformats.org/officeDocument/2006/relationships/hyperlink" Target="http://www.vmnvd.gov.lv/lv/petijumi-un-zinojumi/iedzvotju-apmierintba-ar-veselbas-aprpes-pakalpojumiem-un-to-saemanas-iespjm" TargetMode="External"/><Relationship Id="rId7" Type="http://schemas.openxmlformats.org/officeDocument/2006/relationships/hyperlink" Target="http://polsis.mk.gov.lv/view.do?id=3518" TargetMode="External"/><Relationship Id="rId12" Type="http://schemas.openxmlformats.org/officeDocument/2006/relationships/hyperlink" Target="http://ifsw.org/policies/definition-of-social-work/" TargetMode="External"/><Relationship Id="rId2" Type="http://schemas.openxmlformats.org/officeDocument/2006/relationships/hyperlink" Target="http://polsis.mk.gov.lv/view.do?id=3883" TargetMode="External"/><Relationship Id="rId16" Type="http://schemas.openxmlformats.org/officeDocument/2006/relationships/hyperlink" Target="http://www.csb.gov.lv/statistikas-temas/termini/mediana-39000.html" TargetMode="External"/><Relationship Id="rId1" Type="http://schemas.openxmlformats.org/officeDocument/2006/relationships/hyperlink" Target="http://www.likumi.lv" TargetMode="External"/><Relationship Id="rId6" Type="http://schemas.openxmlformats.org/officeDocument/2006/relationships/hyperlink" Target="http://www-wds.worldbank.org/servlet/WDSContentServer/WDSP/IB/2010/04/27/000158349_20100427143536/Rendered/PDF/WPS5284.pdf.%20Skat&#299;ts%2024.05.2013" TargetMode="External"/><Relationship Id="rId11" Type="http://schemas.openxmlformats.org/officeDocument/2006/relationships/hyperlink" Target="http://ec.europa.eu/social/main.jsp?catId=815&amp;langId=en" TargetMode="External"/><Relationship Id="rId5" Type="http://schemas.openxmlformats.org/officeDocument/2006/relationships/hyperlink" Target="http://www.csb.gov.lv/statistikas-temas/metodologija/nabadzibas-ienakumu-nevienlidziba-36833.html" TargetMode="External"/><Relationship Id="rId15" Type="http://schemas.openxmlformats.org/officeDocument/2006/relationships/hyperlink" Target="http://www.csb.gov.lv/statistikas-temas/metodologija/materiala-nenodrosinatiba-37053.html" TargetMode="External"/><Relationship Id="rId10" Type="http://schemas.openxmlformats.org/officeDocument/2006/relationships/hyperlink" Target="http://www.ined.fr/fichier/t_publication/1572/publi_pdf1_174.pdf" TargetMode="External"/><Relationship Id="rId4" Type="http://schemas.openxmlformats.org/officeDocument/2006/relationships/hyperlink" Target="http://epp.eurostat.ec.europa.eu/portal/page/portal/income_social_inclusion_living_conditions/data/database" TargetMode="External"/><Relationship Id="rId9" Type="http://schemas.openxmlformats.org/officeDocument/2006/relationships/hyperlink" Target="http://www.osce.org/" TargetMode="External"/><Relationship Id="rId14" Type="http://schemas.openxmlformats.org/officeDocument/2006/relationships/hyperlink" Target="http://www.mk.gov.lv/lv/mk/tap/?pid=40285926&amp;mode=mk&amp;date=2013-05-2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vijam\AppData\Local\Temp\II0090.xm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vijam\AppData\Local\Temp\NI0050.xm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vijam\AppData\Local\Temp\NI0030.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vijam\AppData\Local\Temp\MN0030.xm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vijam\AppData\Local\Temp\MB0140.xm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orage\data$\SHARED\SISDP\00_SOC%20IEKLAUS\Nabadziba\Indikatori\EU-SILC\2012%20par%202010\monetara_nabadziba\slieksnu%20apmeri_2007-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vijam\AppData\Local\Temp\NI0090.xm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orage\data$\SHARED\SISDP\00_SOC%20IEKLAUS\Nabadziba\Indikatori\EU-SILC\2012%20par%202010\monetara_nabadziba\8_relativa_plais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vijam\AppData\Local\Temp\NI0110.xm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vijam\AppData\Local\Temp\NI0020.xm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vijam\AppData\Local\Temp\II0100.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t>Mājsaimniecību rīcībā esošie ienākumi kvintiļu grupās LVL mēnesī (uz ekvivalento</a:t>
            </a:r>
            <a:r>
              <a:rPr lang="lv-LV" sz="1100" baseline="0"/>
              <a:t> patērētāju) 2004-2011</a:t>
            </a:r>
            <a:endParaRPr lang="lv-LV" sz="1100"/>
          </a:p>
        </c:rich>
      </c:tx>
      <c:layout/>
      <c:overlay val="0"/>
    </c:title>
    <c:autoTitleDeleted val="0"/>
    <c:plotArea>
      <c:layout/>
      <c:lineChart>
        <c:grouping val="standard"/>
        <c:varyColors val="0"/>
        <c:ser>
          <c:idx val="0"/>
          <c:order val="0"/>
          <c:tx>
            <c:strRef>
              <c:f>'II0090'!$A$6</c:f>
              <c:strCache>
                <c:ptCount val="1"/>
                <c:pt idx="0">
                  <c:v>1</c:v>
                </c:pt>
              </c:strCache>
            </c:strRef>
          </c:tx>
          <c:cat>
            <c:strRef>
              <c:f>'II0090'!$B$5:$I$5</c:f>
              <c:strCache>
                <c:ptCount val="8"/>
                <c:pt idx="0">
                  <c:v>2004</c:v>
                </c:pt>
                <c:pt idx="1">
                  <c:v>2005</c:v>
                </c:pt>
                <c:pt idx="2">
                  <c:v>2006</c:v>
                </c:pt>
                <c:pt idx="3">
                  <c:v>2007</c:v>
                </c:pt>
                <c:pt idx="4">
                  <c:v>2008</c:v>
                </c:pt>
                <c:pt idx="5">
                  <c:v>2009</c:v>
                </c:pt>
                <c:pt idx="6">
                  <c:v>2010</c:v>
                </c:pt>
                <c:pt idx="7">
                  <c:v>2011</c:v>
                </c:pt>
              </c:strCache>
            </c:strRef>
          </c:cat>
          <c:val>
            <c:numRef>
              <c:f>'II0090'!$B$6:$I$6</c:f>
              <c:numCache>
                <c:formatCode>General</c:formatCode>
                <c:ptCount val="8"/>
                <c:pt idx="0">
                  <c:v>56.54</c:v>
                </c:pt>
                <c:pt idx="1">
                  <c:v>64.55</c:v>
                </c:pt>
                <c:pt idx="2">
                  <c:v>92.59</c:v>
                </c:pt>
                <c:pt idx="3">
                  <c:v>109.2</c:v>
                </c:pt>
                <c:pt idx="4">
                  <c:v>126.6</c:v>
                </c:pt>
                <c:pt idx="5">
                  <c:v>117.33</c:v>
                </c:pt>
                <c:pt idx="6">
                  <c:v>112.85</c:v>
                </c:pt>
                <c:pt idx="7">
                  <c:v>121.34</c:v>
                </c:pt>
              </c:numCache>
            </c:numRef>
          </c:val>
          <c:smooth val="0"/>
        </c:ser>
        <c:ser>
          <c:idx val="1"/>
          <c:order val="1"/>
          <c:tx>
            <c:strRef>
              <c:f>'II0090'!$A$7</c:f>
              <c:strCache>
                <c:ptCount val="1"/>
                <c:pt idx="0">
                  <c:v>2</c:v>
                </c:pt>
              </c:strCache>
            </c:strRef>
          </c:tx>
          <c:cat>
            <c:strRef>
              <c:f>'II0090'!$B$5:$I$5</c:f>
              <c:strCache>
                <c:ptCount val="8"/>
                <c:pt idx="0">
                  <c:v>2004</c:v>
                </c:pt>
                <c:pt idx="1">
                  <c:v>2005</c:v>
                </c:pt>
                <c:pt idx="2">
                  <c:v>2006</c:v>
                </c:pt>
                <c:pt idx="3">
                  <c:v>2007</c:v>
                </c:pt>
                <c:pt idx="4">
                  <c:v>2008</c:v>
                </c:pt>
                <c:pt idx="5">
                  <c:v>2009</c:v>
                </c:pt>
                <c:pt idx="6">
                  <c:v>2010</c:v>
                </c:pt>
                <c:pt idx="7">
                  <c:v>2011</c:v>
                </c:pt>
              </c:strCache>
            </c:strRef>
          </c:cat>
          <c:val>
            <c:numRef>
              <c:f>'II0090'!$B$7:$I$7</c:f>
              <c:numCache>
                <c:formatCode>General</c:formatCode>
                <c:ptCount val="8"/>
                <c:pt idx="0">
                  <c:v>96.67</c:v>
                </c:pt>
                <c:pt idx="1">
                  <c:v>105.39</c:v>
                </c:pt>
                <c:pt idx="2">
                  <c:v>139.37</c:v>
                </c:pt>
                <c:pt idx="3">
                  <c:v>180.58</c:v>
                </c:pt>
                <c:pt idx="4">
                  <c:v>206.74</c:v>
                </c:pt>
                <c:pt idx="5">
                  <c:v>215.47</c:v>
                </c:pt>
                <c:pt idx="6">
                  <c:v>211.44</c:v>
                </c:pt>
                <c:pt idx="7">
                  <c:v>214.18</c:v>
                </c:pt>
              </c:numCache>
            </c:numRef>
          </c:val>
          <c:smooth val="0"/>
        </c:ser>
        <c:ser>
          <c:idx val="2"/>
          <c:order val="2"/>
          <c:tx>
            <c:strRef>
              <c:f>'II0090'!$A$8</c:f>
              <c:strCache>
                <c:ptCount val="1"/>
                <c:pt idx="0">
                  <c:v>3</c:v>
                </c:pt>
              </c:strCache>
            </c:strRef>
          </c:tx>
          <c:cat>
            <c:strRef>
              <c:f>'II0090'!$B$5:$I$5</c:f>
              <c:strCache>
                <c:ptCount val="8"/>
                <c:pt idx="0">
                  <c:v>2004</c:v>
                </c:pt>
                <c:pt idx="1">
                  <c:v>2005</c:v>
                </c:pt>
                <c:pt idx="2">
                  <c:v>2006</c:v>
                </c:pt>
                <c:pt idx="3">
                  <c:v>2007</c:v>
                </c:pt>
                <c:pt idx="4">
                  <c:v>2008</c:v>
                </c:pt>
                <c:pt idx="5">
                  <c:v>2009</c:v>
                </c:pt>
                <c:pt idx="6">
                  <c:v>2010</c:v>
                </c:pt>
                <c:pt idx="7">
                  <c:v>2011</c:v>
                </c:pt>
              </c:strCache>
            </c:strRef>
          </c:cat>
          <c:val>
            <c:numRef>
              <c:f>'II0090'!$B$8:$I$8</c:f>
              <c:numCache>
                <c:formatCode>General</c:formatCode>
                <c:ptCount val="8"/>
                <c:pt idx="0">
                  <c:v>122.99</c:v>
                </c:pt>
                <c:pt idx="1">
                  <c:v>148.01</c:v>
                </c:pt>
                <c:pt idx="2">
                  <c:v>197.35</c:v>
                </c:pt>
                <c:pt idx="3">
                  <c:v>272.92</c:v>
                </c:pt>
                <c:pt idx="4">
                  <c:v>308.49</c:v>
                </c:pt>
                <c:pt idx="5">
                  <c:v>269.89</c:v>
                </c:pt>
                <c:pt idx="6">
                  <c:v>260.42</c:v>
                </c:pt>
                <c:pt idx="7">
                  <c:v>268.19</c:v>
                </c:pt>
              </c:numCache>
            </c:numRef>
          </c:val>
          <c:smooth val="0"/>
        </c:ser>
        <c:ser>
          <c:idx val="3"/>
          <c:order val="3"/>
          <c:tx>
            <c:strRef>
              <c:f>'II0090'!$A$9</c:f>
              <c:strCache>
                <c:ptCount val="1"/>
                <c:pt idx="0">
                  <c:v>4</c:v>
                </c:pt>
              </c:strCache>
            </c:strRef>
          </c:tx>
          <c:cat>
            <c:strRef>
              <c:f>'II0090'!$B$5:$I$5</c:f>
              <c:strCache>
                <c:ptCount val="8"/>
                <c:pt idx="0">
                  <c:v>2004</c:v>
                </c:pt>
                <c:pt idx="1">
                  <c:v>2005</c:v>
                </c:pt>
                <c:pt idx="2">
                  <c:v>2006</c:v>
                </c:pt>
                <c:pt idx="3">
                  <c:v>2007</c:v>
                </c:pt>
                <c:pt idx="4">
                  <c:v>2008</c:v>
                </c:pt>
                <c:pt idx="5">
                  <c:v>2009</c:v>
                </c:pt>
                <c:pt idx="6">
                  <c:v>2010</c:v>
                </c:pt>
                <c:pt idx="7">
                  <c:v>2011</c:v>
                </c:pt>
              </c:strCache>
            </c:strRef>
          </c:cat>
          <c:val>
            <c:numRef>
              <c:f>'II0090'!$B$9:$I$9</c:f>
              <c:numCache>
                <c:formatCode>General</c:formatCode>
                <c:ptCount val="8"/>
                <c:pt idx="0">
                  <c:v>175.21</c:v>
                </c:pt>
                <c:pt idx="1">
                  <c:v>216.61</c:v>
                </c:pt>
                <c:pt idx="2">
                  <c:v>284.87</c:v>
                </c:pt>
                <c:pt idx="3">
                  <c:v>401.13</c:v>
                </c:pt>
                <c:pt idx="4">
                  <c:v>452.19</c:v>
                </c:pt>
                <c:pt idx="5">
                  <c:v>380.94</c:v>
                </c:pt>
                <c:pt idx="6">
                  <c:v>360.54</c:v>
                </c:pt>
                <c:pt idx="7">
                  <c:v>374.05</c:v>
                </c:pt>
              </c:numCache>
            </c:numRef>
          </c:val>
          <c:smooth val="0"/>
        </c:ser>
        <c:ser>
          <c:idx val="4"/>
          <c:order val="4"/>
          <c:tx>
            <c:strRef>
              <c:f>'II0090'!$A$10</c:f>
              <c:strCache>
                <c:ptCount val="1"/>
                <c:pt idx="0">
                  <c:v>5</c:v>
                </c:pt>
              </c:strCache>
            </c:strRef>
          </c:tx>
          <c:cat>
            <c:strRef>
              <c:f>'II0090'!$B$5:$I$5</c:f>
              <c:strCache>
                <c:ptCount val="8"/>
                <c:pt idx="0">
                  <c:v>2004</c:v>
                </c:pt>
                <c:pt idx="1">
                  <c:v>2005</c:v>
                </c:pt>
                <c:pt idx="2">
                  <c:v>2006</c:v>
                </c:pt>
                <c:pt idx="3">
                  <c:v>2007</c:v>
                </c:pt>
                <c:pt idx="4">
                  <c:v>2008</c:v>
                </c:pt>
                <c:pt idx="5">
                  <c:v>2009</c:v>
                </c:pt>
                <c:pt idx="6">
                  <c:v>2010</c:v>
                </c:pt>
                <c:pt idx="7">
                  <c:v>2011</c:v>
                </c:pt>
              </c:strCache>
            </c:strRef>
          </c:cat>
          <c:val>
            <c:numRef>
              <c:f>'II0090'!$B$10:$I$10</c:f>
              <c:numCache>
                <c:formatCode>General</c:formatCode>
                <c:ptCount val="8"/>
                <c:pt idx="0">
                  <c:v>329.08</c:v>
                </c:pt>
                <c:pt idx="1">
                  <c:v>425.6</c:v>
                </c:pt>
                <c:pt idx="2">
                  <c:v>505.12</c:v>
                </c:pt>
                <c:pt idx="3">
                  <c:v>743.72</c:v>
                </c:pt>
                <c:pt idx="4">
                  <c:v>823.71</c:v>
                </c:pt>
                <c:pt idx="5">
                  <c:v>685.45</c:v>
                </c:pt>
                <c:pt idx="6">
                  <c:v>632.71</c:v>
                </c:pt>
                <c:pt idx="7">
                  <c:v>694.05</c:v>
                </c:pt>
              </c:numCache>
            </c:numRef>
          </c:val>
          <c:smooth val="0"/>
        </c:ser>
        <c:dLbls>
          <c:showLegendKey val="0"/>
          <c:showVal val="0"/>
          <c:showCatName val="0"/>
          <c:showSerName val="0"/>
          <c:showPercent val="0"/>
          <c:showBubbleSize val="0"/>
        </c:dLbls>
        <c:marker val="1"/>
        <c:smooth val="0"/>
        <c:axId val="106755584"/>
        <c:axId val="106757120"/>
      </c:lineChart>
      <c:catAx>
        <c:axId val="106755584"/>
        <c:scaling>
          <c:orientation val="minMax"/>
        </c:scaling>
        <c:delete val="0"/>
        <c:axPos val="b"/>
        <c:majorTickMark val="none"/>
        <c:minorTickMark val="none"/>
        <c:tickLblPos val="nextTo"/>
        <c:crossAx val="106757120"/>
        <c:crosses val="autoZero"/>
        <c:auto val="1"/>
        <c:lblAlgn val="ctr"/>
        <c:lblOffset val="100"/>
        <c:noMultiLvlLbl val="0"/>
      </c:catAx>
      <c:valAx>
        <c:axId val="106757120"/>
        <c:scaling>
          <c:orientation val="minMax"/>
        </c:scaling>
        <c:delete val="0"/>
        <c:axPos val="l"/>
        <c:majorGridlines/>
        <c:numFmt formatCode="General" sourceLinked="1"/>
        <c:majorTickMark val="none"/>
        <c:minorTickMark val="none"/>
        <c:tickLblPos val="nextTo"/>
        <c:crossAx val="106755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lv-LV" sz="1200"/>
              <a:t>Nabadzības riska indekss pēc mājsaimniecību veida 2011.gadā (%)</a:t>
            </a:r>
          </a:p>
        </c:rich>
      </c:tx>
      <c:layout/>
      <c:overlay val="0"/>
    </c:title>
    <c:autoTitleDeleted val="0"/>
    <c:plotArea>
      <c:layout/>
      <c:barChart>
        <c:barDir val="bar"/>
        <c:grouping val="clustered"/>
        <c:varyColors val="0"/>
        <c:ser>
          <c:idx val="0"/>
          <c:order val="0"/>
          <c:invertIfNegative val="0"/>
          <c:dLbls>
            <c:txPr>
              <a:bodyPr/>
              <a:lstStyle/>
              <a:p>
                <a:pPr>
                  <a:defRPr sz="900"/>
                </a:pPr>
                <a:endParaRPr lang="lv-LV"/>
              </a:p>
            </c:txPr>
            <c:dLblPos val="outEnd"/>
            <c:showLegendKey val="0"/>
            <c:showVal val="1"/>
            <c:showCatName val="0"/>
            <c:showSerName val="0"/>
            <c:showPercent val="0"/>
            <c:showBubbleSize val="0"/>
            <c:showLeaderLines val="0"/>
          </c:dLbls>
          <c:cat>
            <c:strRef>
              <c:f>'NI0050'!$A$5:$A$11</c:f>
              <c:strCache>
                <c:ptCount val="7"/>
                <c:pt idx="0">
                  <c:v>Pavisam</c:v>
                </c:pt>
                <c:pt idx="1">
                  <c:v>1 personas mājsaimniecība</c:v>
                </c:pt>
                <c:pt idx="2">
                  <c:v>2 pieaugušie bez bērniem</c:v>
                </c:pt>
                <c:pt idx="3">
                  <c:v>Nepilna ģimene (vismaz viens bērns)</c:v>
                </c:pt>
                <c:pt idx="4">
                  <c:v>2 pieaugušie, 1 bērns</c:v>
                </c:pt>
                <c:pt idx="5">
                  <c:v>2 pieaugušie, 2 bērni</c:v>
                </c:pt>
                <c:pt idx="6">
                  <c:v>2 pieaugušie, 3 un vairāk bērni</c:v>
                </c:pt>
              </c:strCache>
            </c:strRef>
          </c:cat>
          <c:val>
            <c:numRef>
              <c:f>'NI0050'!$B$5:$B$11</c:f>
              <c:numCache>
                <c:formatCode>General</c:formatCode>
                <c:ptCount val="7"/>
                <c:pt idx="0">
                  <c:v>19.2</c:v>
                </c:pt>
                <c:pt idx="1">
                  <c:v>27.6</c:v>
                </c:pt>
                <c:pt idx="2">
                  <c:v>16</c:v>
                </c:pt>
                <c:pt idx="3">
                  <c:v>41.5</c:v>
                </c:pt>
                <c:pt idx="4">
                  <c:v>16.8</c:v>
                </c:pt>
                <c:pt idx="5">
                  <c:v>18.7</c:v>
                </c:pt>
                <c:pt idx="6">
                  <c:v>35.9</c:v>
                </c:pt>
              </c:numCache>
            </c:numRef>
          </c:val>
        </c:ser>
        <c:dLbls>
          <c:showLegendKey val="0"/>
          <c:showVal val="0"/>
          <c:showCatName val="0"/>
          <c:showSerName val="0"/>
          <c:showPercent val="0"/>
          <c:showBubbleSize val="0"/>
        </c:dLbls>
        <c:gapWidth val="75"/>
        <c:overlap val="40"/>
        <c:axId val="106706048"/>
        <c:axId val="106707584"/>
      </c:barChart>
      <c:catAx>
        <c:axId val="106706048"/>
        <c:scaling>
          <c:orientation val="minMax"/>
        </c:scaling>
        <c:delete val="0"/>
        <c:axPos val="l"/>
        <c:majorTickMark val="none"/>
        <c:minorTickMark val="none"/>
        <c:tickLblPos val="nextTo"/>
        <c:crossAx val="106707584"/>
        <c:crosses val="autoZero"/>
        <c:auto val="1"/>
        <c:lblAlgn val="ctr"/>
        <c:lblOffset val="100"/>
        <c:noMultiLvlLbl val="0"/>
      </c:catAx>
      <c:valAx>
        <c:axId val="106707584"/>
        <c:scaling>
          <c:orientation val="minMax"/>
        </c:scaling>
        <c:delete val="0"/>
        <c:axPos val="b"/>
        <c:majorGridlines/>
        <c:numFmt formatCode="General" sourceLinked="1"/>
        <c:majorTickMark val="none"/>
        <c:minorTickMark val="none"/>
        <c:tickLblPos val="nextTo"/>
        <c:crossAx val="1067060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t>Nabadzības riska indekss pēc vecuma 2008.-2011.gadā</a:t>
            </a:r>
            <a:r>
              <a:rPr lang="lv-LV" sz="1200" baseline="0"/>
              <a:t> (%)</a:t>
            </a:r>
            <a:endParaRPr lang="lv-LV" sz="1200"/>
          </a:p>
        </c:rich>
      </c:tx>
      <c:layout/>
      <c:overlay val="0"/>
    </c:title>
    <c:autoTitleDeleted val="0"/>
    <c:plotArea>
      <c:layout/>
      <c:barChart>
        <c:barDir val="col"/>
        <c:grouping val="clustered"/>
        <c:varyColors val="0"/>
        <c:ser>
          <c:idx val="0"/>
          <c:order val="0"/>
          <c:tx>
            <c:strRef>
              <c:f>'NI0030'!$A$6</c:f>
              <c:strCache>
                <c:ptCount val="1"/>
                <c:pt idx="0">
                  <c:v>2008</c:v>
                </c:pt>
              </c:strCache>
            </c:strRef>
          </c:tx>
          <c:invertIfNegative val="0"/>
          <c:cat>
            <c:strRef>
              <c:f>'NI0030'!$B$5:$H$5</c:f>
              <c:strCache>
                <c:ptCount val="7"/>
                <c:pt idx="0">
                  <c:v>0–17</c:v>
                </c:pt>
                <c:pt idx="1">
                  <c:v>18–24</c:v>
                </c:pt>
                <c:pt idx="2">
                  <c:v>25–49</c:v>
                </c:pt>
                <c:pt idx="3">
                  <c:v>50–64</c:v>
                </c:pt>
                <c:pt idx="4">
                  <c:v>60+</c:v>
                </c:pt>
                <c:pt idx="5">
                  <c:v>65+</c:v>
                </c:pt>
                <c:pt idx="6">
                  <c:v>75+</c:v>
                </c:pt>
              </c:strCache>
            </c:strRef>
          </c:cat>
          <c:val>
            <c:numRef>
              <c:f>'NI0030'!$B$6:$H$6</c:f>
              <c:numCache>
                <c:formatCode>General</c:formatCode>
                <c:ptCount val="7"/>
                <c:pt idx="0">
                  <c:v>26.3</c:v>
                </c:pt>
                <c:pt idx="1">
                  <c:v>19.399999999999999</c:v>
                </c:pt>
                <c:pt idx="2">
                  <c:v>19.100000000000001</c:v>
                </c:pt>
                <c:pt idx="3">
                  <c:v>23.9</c:v>
                </c:pt>
                <c:pt idx="4">
                  <c:v>43.5</c:v>
                </c:pt>
                <c:pt idx="5">
                  <c:v>47.6</c:v>
                </c:pt>
                <c:pt idx="6">
                  <c:v>55.6</c:v>
                </c:pt>
              </c:numCache>
            </c:numRef>
          </c:val>
        </c:ser>
        <c:ser>
          <c:idx val="1"/>
          <c:order val="1"/>
          <c:tx>
            <c:strRef>
              <c:f>'NI0030'!$A$7</c:f>
              <c:strCache>
                <c:ptCount val="1"/>
                <c:pt idx="0">
                  <c:v>2009</c:v>
                </c:pt>
              </c:strCache>
            </c:strRef>
          </c:tx>
          <c:invertIfNegative val="0"/>
          <c:cat>
            <c:strRef>
              <c:f>'NI0030'!$B$5:$H$5</c:f>
              <c:strCache>
                <c:ptCount val="7"/>
                <c:pt idx="0">
                  <c:v>0–17</c:v>
                </c:pt>
                <c:pt idx="1">
                  <c:v>18–24</c:v>
                </c:pt>
                <c:pt idx="2">
                  <c:v>25–49</c:v>
                </c:pt>
                <c:pt idx="3">
                  <c:v>50–64</c:v>
                </c:pt>
                <c:pt idx="4">
                  <c:v>60+</c:v>
                </c:pt>
                <c:pt idx="5">
                  <c:v>65+</c:v>
                </c:pt>
                <c:pt idx="6">
                  <c:v>75+</c:v>
                </c:pt>
              </c:strCache>
            </c:strRef>
          </c:cat>
          <c:val>
            <c:numRef>
              <c:f>'NI0030'!$B$7:$H$7</c:f>
              <c:numCache>
                <c:formatCode>General</c:formatCode>
                <c:ptCount val="7"/>
                <c:pt idx="0">
                  <c:v>26.3</c:v>
                </c:pt>
                <c:pt idx="1">
                  <c:v>21</c:v>
                </c:pt>
                <c:pt idx="2">
                  <c:v>19.899999999999999</c:v>
                </c:pt>
                <c:pt idx="3">
                  <c:v>21</c:v>
                </c:pt>
                <c:pt idx="4">
                  <c:v>18.3</c:v>
                </c:pt>
                <c:pt idx="5">
                  <c:v>17.2</c:v>
                </c:pt>
                <c:pt idx="6">
                  <c:v>16.7</c:v>
                </c:pt>
              </c:numCache>
            </c:numRef>
          </c:val>
        </c:ser>
        <c:ser>
          <c:idx val="2"/>
          <c:order val="2"/>
          <c:tx>
            <c:strRef>
              <c:f>'NI0030'!$A$8</c:f>
              <c:strCache>
                <c:ptCount val="1"/>
                <c:pt idx="0">
                  <c:v>2010</c:v>
                </c:pt>
              </c:strCache>
            </c:strRef>
          </c:tx>
          <c:invertIfNegative val="0"/>
          <c:cat>
            <c:strRef>
              <c:f>'NI0030'!$B$5:$H$5</c:f>
              <c:strCache>
                <c:ptCount val="7"/>
                <c:pt idx="0">
                  <c:v>0–17</c:v>
                </c:pt>
                <c:pt idx="1">
                  <c:v>18–24</c:v>
                </c:pt>
                <c:pt idx="2">
                  <c:v>25–49</c:v>
                </c:pt>
                <c:pt idx="3">
                  <c:v>50–64</c:v>
                </c:pt>
                <c:pt idx="4">
                  <c:v>60+</c:v>
                </c:pt>
                <c:pt idx="5">
                  <c:v>65+</c:v>
                </c:pt>
                <c:pt idx="6">
                  <c:v>75+</c:v>
                </c:pt>
              </c:strCache>
            </c:strRef>
          </c:cat>
          <c:val>
            <c:numRef>
              <c:f>'NI0030'!$B$8:$H$8</c:f>
              <c:numCache>
                <c:formatCode>General</c:formatCode>
                <c:ptCount val="7"/>
                <c:pt idx="0">
                  <c:v>24.7</c:v>
                </c:pt>
                <c:pt idx="1">
                  <c:v>22.3</c:v>
                </c:pt>
                <c:pt idx="2">
                  <c:v>19.3</c:v>
                </c:pt>
                <c:pt idx="3">
                  <c:v>20.9</c:v>
                </c:pt>
                <c:pt idx="4">
                  <c:v>10.9</c:v>
                </c:pt>
                <c:pt idx="5">
                  <c:v>9.1</c:v>
                </c:pt>
                <c:pt idx="6">
                  <c:v>8.6</c:v>
                </c:pt>
              </c:numCache>
            </c:numRef>
          </c:val>
        </c:ser>
        <c:ser>
          <c:idx val="3"/>
          <c:order val="3"/>
          <c:tx>
            <c:strRef>
              <c:f>'NI0030'!$A$9</c:f>
              <c:strCache>
                <c:ptCount val="1"/>
                <c:pt idx="0">
                  <c:v>2011</c:v>
                </c:pt>
              </c:strCache>
            </c:strRef>
          </c:tx>
          <c:invertIfNegative val="0"/>
          <c:cat>
            <c:strRef>
              <c:f>'NI0030'!$B$5:$H$5</c:f>
              <c:strCache>
                <c:ptCount val="7"/>
                <c:pt idx="0">
                  <c:v>0–17</c:v>
                </c:pt>
                <c:pt idx="1">
                  <c:v>18–24</c:v>
                </c:pt>
                <c:pt idx="2">
                  <c:v>25–49</c:v>
                </c:pt>
                <c:pt idx="3">
                  <c:v>50–64</c:v>
                </c:pt>
                <c:pt idx="4">
                  <c:v>60+</c:v>
                </c:pt>
                <c:pt idx="5">
                  <c:v>65+</c:v>
                </c:pt>
                <c:pt idx="6">
                  <c:v>75+</c:v>
                </c:pt>
              </c:strCache>
            </c:strRef>
          </c:cat>
          <c:val>
            <c:numRef>
              <c:f>'NI0030'!$B$9:$H$9</c:f>
              <c:numCache>
                <c:formatCode>General</c:formatCode>
                <c:ptCount val="7"/>
                <c:pt idx="0">
                  <c:v>24.4</c:v>
                </c:pt>
                <c:pt idx="1">
                  <c:v>20.100000000000001</c:v>
                </c:pt>
                <c:pt idx="2">
                  <c:v>18.7</c:v>
                </c:pt>
                <c:pt idx="3">
                  <c:v>20.100000000000001</c:v>
                </c:pt>
                <c:pt idx="4">
                  <c:v>14.8</c:v>
                </c:pt>
                <c:pt idx="5">
                  <c:v>13.9</c:v>
                </c:pt>
                <c:pt idx="6">
                  <c:v>12</c:v>
                </c:pt>
              </c:numCache>
            </c:numRef>
          </c:val>
        </c:ser>
        <c:dLbls>
          <c:showLegendKey val="0"/>
          <c:showVal val="0"/>
          <c:showCatName val="0"/>
          <c:showSerName val="0"/>
          <c:showPercent val="0"/>
          <c:showBubbleSize val="0"/>
        </c:dLbls>
        <c:gapWidth val="150"/>
        <c:axId val="106742912"/>
        <c:axId val="106744448"/>
      </c:barChart>
      <c:catAx>
        <c:axId val="106742912"/>
        <c:scaling>
          <c:orientation val="minMax"/>
        </c:scaling>
        <c:delete val="0"/>
        <c:axPos val="b"/>
        <c:majorTickMark val="none"/>
        <c:minorTickMark val="none"/>
        <c:tickLblPos val="nextTo"/>
        <c:crossAx val="106744448"/>
        <c:crosses val="autoZero"/>
        <c:auto val="1"/>
        <c:lblAlgn val="ctr"/>
        <c:lblOffset val="100"/>
        <c:noMultiLvlLbl val="0"/>
      </c:catAx>
      <c:valAx>
        <c:axId val="106744448"/>
        <c:scaling>
          <c:orientation val="minMax"/>
        </c:scaling>
        <c:delete val="0"/>
        <c:axPos val="l"/>
        <c:majorGridlines/>
        <c:title>
          <c:tx>
            <c:rich>
              <a:bodyPr/>
              <a:lstStyle/>
              <a:p>
                <a:pPr>
                  <a:defRPr/>
                </a:pPr>
                <a:r>
                  <a:rPr lang="lv-LV"/>
                  <a:t>LVL</a:t>
                </a:r>
              </a:p>
            </c:rich>
          </c:tx>
          <c:layout>
            <c:manualLayout>
              <c:xMode val="edge"/>
              <c:yMode val="edge"/>
              <c:x val="2.4668514409617381E-2"/>
              <c:y val="0.35768242542268763"/>
            </c:manualLayout>
          </c:layout>
          <c:overlay val="0"/>
        </c:title>
        <c:numFmt formatCode="General" sourceLinked="1"/>
        <c:majorTickMark val="none"/>
        <c:minorTickMark val="none"/>
        <c:tickLblPos val="nextTo"/>
        <c:crossAx val="106742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lv-LV" sz="1050"/>
              <a:t>Mājsaimniecību īpatsvars kvintilēs, kuras naudas trūkuma dēļ nevarēja atļauties segt atsevišķas izmaksas</a:t>
            </a:r>
            <a:r>
              <a:rPr lang="lv-LV" sz="1050" baseline="0"/>
              <a:t> (%), 2012</a:t>
            </a:r>
            <a:endParaRPr lang="lv-LV" sz="1050"/>
          </a:p>
        </c:rich>
      </c:tx>
      <c:layout/>
      <c:overlay val="0"/>
    </c:title>
    <c:autoTitleDeleted val="0"/>
    <c:plotArea>
      <c:layout/>
      <c:barChart>
        <c:barDir val="bar"/>
        <c:grouping val="clustered"/>
        <c:varyColors val="0"/>
        <c:ser>
          <c:idx val="0"/>
          <c:order val="0"/>
          <c:tx>
            <c:strRef>
              <c:f>'MN0030'!$B$4:$B$5</c:f>
              <c:strCache>
                <c:ptCount val="1"/>
                <c:pt idx="0">
                  <c:v>Segt komunālo pakalpojumu rēķinus, īri vai atmaksāt kredītu</c:v>
                </c:pt>
              </c:strCache>
            </c:strRef>
          </c:tx>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'MN0030'!$A$6:$A$10</c:f>
              <c:strCache>
                <c:ptCount val="5"/>
                <c:pt idx="0">
                  <c:v>1</c:v>
                </c:pt>
                <c:pt idx="1">
                  <c:v>2</c:v>
                </c:pt>
                <c:pt idx="2">
                  <c:v>3</c:v>
                </c:pt>
                <c:pt idx="3">
                  <c:v>4</c:v>
                </c:pt>
                <c:pt idx="4">
                  <c:v>5</c:v>
                </c:pt>
              </c:strCache>
            </c:strRef>
          </c:cat>
          <c:val>
            <c:numRef>
              <c:f>'MN0030'!$B$6:$B$10</c:f>
              <c:numCache>
                <c:formatCode>General</c:formatCode>
                <c:ptCount val="5"/>
                <c:pt idx="0">
                  <c:v>43.8</c:v>
                </c:pt>
                <c:pt idx="1">
                  <c:v>24.2</c:v>
                </c:pt>
                <c:pt idx="2">
                  <c:v>17.5</c:v>
                </c:pt>
                <c:pt idx="3">
                  <c:v>16</c:v>
                </c:pt>
                <c:pt idx="4">
                  <c:v>11.2</c:v>
                </c:pt>
              </c:numCache>
            </c:numRef>
          </c:val>
        </c:ser>
        <c:ser>
          <c:idx val="1"/>
          <c:order val="1"/>
          <c:tx>
            <c:strRef>
              <c:f>'MN0030'!$C$4:$C$5</c:f>
              <c:strCache>
                <c:ptCount val="1"/>
                <c:pt idx="0">
                  <c:v>Uzturēt mājokli siltu</c:v>
                </c:pt>
              </c:strCache>
            </c:strRef>
          </c:tx>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'MN0030'!$A$6:$A$10</c:f>
              <c:strCache>
                <c:ptCount val="5"/>
                <c:pt idx="0">
                  <c:v>1</c:v>
                </c:pt>
                <c:pt idx="1">
                  <c:v>2</c:v>
                </c:pt>
                <c:pt idx="2">
                  <c:v>3</c:v>
                </c:pt>
                <c:pt idx="3">
                  <c:v>4</c:v>
                </c:pt>
                <c:pt idx="4">
                  <c:v>5</c:v>
                </c:pt>
              </c:strCache>
            </c:strRef>
          </c:cat>
          <c:val>
            <c:numRef>
              <c:f>'MN0030'!$C$6:$C$10</c:f>
              <c:numCache>
                <c:formatCode>General</c:formatCode>
                <c:ptCount val="5"/>
                <c:pt idx="0">
                  <c:v>37</c:v>
                </c:pt>
                <c:pt idx="1">
                  <c:v>27.1</c:v>
                </c:pt>
                <c:pt idx="2">
                  <c:v>22.9</c:v>
                </c:pt>
                <c:pt idx="3">
                  <c:v>16.7</c:v>
                </c:pt>
                <c:pt idx="4">
                  <c:v>8</c:v>
                </c:pt>
              </c:numCache>
            </c:numRef>
          </c:val>
        </c:ser>
        <c:ser>
          <c:idx val="2"/>
          <c:order val="2"/>
          <c:tx>
            <c:strRef>
              <c:f>'MN0030'!$D$4:$D$5</c:f>
              <c:strCache>
                <c:ptCount val="1"/>
                <c:pt idx="0">
                  <c:v>Segt neparedzētus izdevumus</c:v>
                </c:pt>
              </c:strCache>
            </c:strRef>
          </c:tx>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'MN0030'!$A$6:$A$10</c:f>
              <c:strCache>
                <c:ptCount val="5"/>
                <c:pt idx="0">
                  <c:v>1</c:v>
                </c:pt>
                <c:pt idx="1">
                  <c:v>2</c:v>
                </c:pt>
                <c:pt idx="2">
                  <c:v>3</c:v>
                </c:pt>
                <c:pt idx="3">
                  <c:v>4</c:v>
                </c:pt>
                <c:pt idx="4">
                  <c:v>5</c:v>
                </c:pt>
              </c:strCache>
            </c:strRef>
          </c:cat>
          <c:val>
            <c:numRef>
              <c:f>'MN0030'!$D$6:$D$10</c:f>
              <c:numCache>
                <c:formatCode>General</c:formatCode>
                <c:ptCount val="5"/>
                <c:pt idx="0">
                  <c:v>91.8</c:v>
                </c:pt>
                <c:pt idx="1">
                  <c:v>87.9</c:v>
                </c:pt>
                <c:pt idx="2">
                  <c:v>81.599999999999994</c:v>
                </c:pt>
                <c:pt idx="3">
                  <c:v>71.7</c:v>
                </c:pt>
                <c:pt idx="4">
                  <c:v>44.5</c:v>
                </c:pt>
              </c:numCache>
            </c:numRef>
          </c:val>
        </c:ser>
        <c:ser>
          <c:idx val="3"/>
          <c:order val="3"/>
          <c:tx>
            <c:strRef>
              <c:f>'MN0030'!$E$4:$E$5</c:f>
              <c:strCache>
                <c:ptCount val="1"/>
                <c:pt idx="0">
                  <c:v>Katru gadu vienu nedēļu doties brīvdienās ārpus mājām</c:v>
                </c:pt>
              </c:strCache>
            </c:strRef>
          </c:tx>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'MN0030'!$A$6:$A$10</c:f>
              <c:strCache>
                <c:ptCount val="5"/>
                <c:pt idx="0">
                  <c:v>1</c:v>
                </c:pt>
                <c:pt idx="1">
                  <c:v>2</c:v>
                </c:pt>
                <c:pt idx="2">
                  <c:v>3</c:v>
                </c:pt>
                <c:pt idx="3">
                  <c:v>4</c:v>
                </c:pt>
                <c:pt idx="4">
                  <c:v>5</c:v>
                </c:pt>
              </c:strCache>
            </c:strRef>
          </c:cat>
          <c:val>
            <c:numRef>
              <c:f>'MN0030'!$E$6:$E$10</c:f>
              <c:numCache>
                <c:formatCode>General</c:formatCode>
                <c:ptCount val="5"/>
                <c:pt idx="0">
                  <c:v>82.5</c:v>
                </c:pt>
                <c:pt idx="1">
                  <c:v>78.2</c:v>
                </c:pt>
                <c:pt idx="2">
                  <c:v>72.2</c:v>
                </c:pt>
                <c:pt idx="3">
                  <c:v>55.7</c:v>
                </c:pt>
                <c:pt idx="4">
                  <c:v>30.8</c:v>
                </c:pt>
              </c:numCache>
            </c:numRef>
          </c:val>
        </c:ser>
        <c:ser>
          <c:idx val="4"/>
          <c:order val="4"/>
          <c:tx>
            <c:strRef>
              <c:f>'MN0030'!$F$4:$F$5</c:f>
              <c:strCache>
                <c:ptCount val="1"/>
                <c:pt idx="0">
                  <c:v>Ēst gaļu, putnu gaļu vai zivis katru otro dienu</c:v>
                </c:pt>
              </c:strCache>
            </c:strRef>
          </c:tx>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'MN0030'!$A$6:$A$10</c:f>
              <c:strCache>
                <c:ptCount val="5"/>
                <c:pt idx="0">
                  <c:v>1</c:v>
                </c:pt>
                <c:pt idx="1">
                  <c:v>2</c:v>
                </c:pt>
                <c:pt idx="2">
                  <c:v>3</c:v>
                </c:pt>
                <c:pt idx="3">
                  <c:v>4</c:v>
                </c:pt>
                <c:pt idx="4">
                  <c:v>5</c:v>
                </c:pt>
              </c:strCache>
            </c:strRef>
          </c:cat>
          <c:val>
            <c:numRef>
              <c:f>'MN0030'!$F$6:$F$10</c:f>
              <c:numCache>
                <c:formatCode>General</c:formatCode>
                <c:ptCount val="5"/>
                <c:pt idx="0">
                  <c:v>45.8</c:v>
                </c:pt>
                <c:pt idx="1">
                  <c:v>34.799999999999997</c:v>
                </c:pt>
                <c:pt idx="2">
                  <c:v>31.1</c:v>
                </c:pt>
                <c:pt idx="3">
                  <c:v>20.2</c:v>
                </c:pt>
                <c:pt idx="4">
                  <c:v>8.3000000000000007</c:v>
                </c:pt>
              </c:numCache>
            </c:numRef>
          </c:val>
        </c:ser>
        <c:dLbls>
          <c:dLblPos val="outEnd"/>
          <c:showLegendKey val="0"/>
          <c:showVal val="1"/>
          <c:showCatName val="0"/>
          <c:showSerName val="0"/>
          <c:showPercent val="0"/>
          <c:showBubbleSize val="0"/>
        </c:dLbls>
        <c:gapWidth val="150"/>
        <c:axId val="24603264"/>
        <c:axId val="24605056"/>
      </c:barChart>
      <c:catAx>
        <c:axId val="24603264"/>
        <c:scaling>
          <c:orientation val="minMax"/>
        </c:scaling>
        <c:delete val="0"/>
        <c:axPos val="l"/>
        <c:majorTickMark val="out"/>
        <c:minorTickMark val="none"/>
        <c:tickLblPos val="nextTo"/>
        <c:crossAx val="24605056"/>
        <c:crosses val="autoZero"/>
        <c:auto val="1"/>
        <c:lblAlgn val="ctr"/>
        <c:lblOffset val="100"/>
        <c:noMultiLvlLbl val="0"/>
      </c:catAx>
      <c:valAx>
        <c:axId val="24605056"/>
        <c:scaling>
          <c:orientation val="minMax"/>
        </c:scaling>
        <c:delete val="0"/>
        <c:axPos val="b"/>
        <c:majorGridlines/>
        <c:numFmt formatCode="General" sourceLinked="1"/>
        <c:majorTickMark val="out"/>
        <c:minorTickMark val="none"/>
        <c:tickLblPos val="nextTo"/>
        <c:crossAx val="24603264"/>
        <c:crosses val="autoZero"/>
        <c:crossBetween val="between"/>
      </c:valAx>
    </c:plotArea>
    <c:legend>
      <c:legendPos val="r"/>
      <c:layout/>
      <c:overlay val="0"/>
      <c:txPr>
        <a:bodyPr/>
        <a:lstStyle/>
        <a:p>
          <a:pPr>
            <a:defRPr sz="800"/>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lv-LV" sz="900"/>
              <a:t>Izdevumi  mājoklim, ūdenim, elektroenerģijai, gāzei u.c. kurināmajam kvintiļu grupās vidēji uz vienu mājsaimniecības locekli mēnesī, 2012 (kvintiļu vidējo ienākumu robeža LVL 2011)</a:t>
            </a:r>
          </a:p>
        </c:rich>
      </c:tx>
      <c:layout/>
      <c:overlay val="0"/>
    </c:title>
    <c:autoTitleDeleted val="0"/>
    <c:plotArea>
      <c:layout>
        <c:manualLayout>
          <c:layoutTarget val="inner"/>
          <c:xMode val="edge"/>
          <c:yMode val="edge"/>
          <c:x val="3.5603867849248585E-2"/>
          <c:y val="0.38220800524934384"/>
          <c:w val="0.92879226430150286"/>
          <c:h val="0.4151301399825022"/>
        </c:manualLayout>
      </c:layout>
      <c:barChart>
        <c:barDir val="col"/>
        <c:grouping val="clustered"/>
        <c:varyColors val="0"/>
        <c:ser>
          <c:idx val="0"/>
          <c:order val="0"/>
          <c:tx>
            <c:strRef>
              <c:f>'MB0140'!$B$6</c:f>
              <c:strCache>
                <c:ptCount val="1"/>
                <c:pt idx="0">
                  <c:v>Latos</c:v>
                </c:pt>
              </c:strCache>
            </c:strRef>
          </c:tx>
          <c:invertIfNegative val="0"/>
          <c:dLbls>
            <c:txPr>
              <a:bodyPr/>
              <a:lstStyle/>
              <a:p>
                <a:pPr>
                  <a:defRPr sz="800"/>
                </a:pPr>
                <a:endParaRPr lang="lv-LV"/>
              </a:p>
            </c:txPr>
            <c:showLegendKey val="0"/>
            <c:showVal val="1"/>
            <c:showCatName val="0"/>
            <c:showSerName val="0"/>
            <c:showPercent val="0"/>
            <c:showBubbleSize val="0"/>
            <c:showLeaderLines val="0"/>
          </c:dLbls>
          <c:cat>
            <c:strRef>
              <c:f>'MB0140'!$A$7:$A$11</c:f>
              <c:strCache>
                <c:ptCount val="5"/>
                <c:pt idx="0">
                  <c:v>1 
(73 LVL)</c:v>
                </c:pt>
                <c:pt idx="1">
                  <c:v>2 
(140 LVL)</c:v>
                </c:pt>
                <c:pt idx="2">
                  <c:v>3 
(183 LVL)</c:v>
                </c:pt>
                <c:pt idx="3">
                  <c:v>4 
(247 LVL)</c:v>
                </c:pt>
                <c:pt idx="4">
                  <c:v>5 
(479 LVL)</c:v>
                </c:pt>
              </c:strCache>
            </c:strRef>
          </c:cat>
          <c:val>
            <c:numRef>
              <c:f>'MB0140'!$B$7:$B$11</c:f>
              <c:numCache>
                <c:formatCode>General</c:formatCode>
                <c:ptCount val="5"/>
                <c:pt idx="0">
                  <c:v>21.87</c:v>
                </c:pt>
                <c:pt idx="1">
                  <c:v>28.05</c:v>
                </c:pt>
                <c:pt idx="2">
                  <c:v>36.11</c:v>
                </c:pt>
                <c:pt idx="3">
                  <c:v>36.630000000000003</c:v>
                </c:pt>
                <c:pt idx="4">
                  <c:v>49.83</c:v>
                </c:pt>
              </c:numCache>
            </c:numRef>
          </c:val>
        </c:ser>
        <c:ser>
          <c:idx val="1"/>
          <c:order val="1"/>
          <c:tx>
            <c:strRef>
              <c:f>'MB0140'!$C$6</c:f>
              <c:strCache>
                <c:ptCount val="1"/>
                <c:pt idx="0">
                  <c:v>%</c:v>
                </c:pt>
              </c:strCache>
            </c:strRef>
          </c:tx>
          <c:invertIfNegative val="0"/>
          <c:dLbls>
            <c:txPr>
              <a:bodyPr/>
              <a:lstStyle/>
              <a:p>
                <a:pPr>
                  <a:defRPr sz="800"/>
                </a:pPr>
                <a:endParaRPr lang="lv-LV"/>
              </a:p>
            </c:txPr>
            <c:showLegendKey val="0"/>
            <c:showVal val="1"/>
            <c:showCatName val="0"/>
            <c:showSerName val="0"/>
            <c:showPercent val="0"/>
            <c:showBubbleSize val="0"/>
            <c:showLeaderLines val="0"/>
          </c:dLbls>
          <c:cat>
            <c:strRef>
              <c:f>'MB0140'!$A$7:$A$11</c:f>
              <c:strCache>
                <c:ptCount val="5"/>
                <c:pt idx="0">
                  <c:v>1 
(73 LVL)</c:v>
                </c:pt>
                <c:pt idx="1">
                  <c:v>2 
(140 LVL)</c:v>
                </c:pt>
                <c:pt idx="2">
                  <c:v>3 
(183 LVL)</c:v>
                </c:pt>
                <c:pt idx="3">
                  <c:v>4 
(247 LVL)</c:v>
                </c:pt>
                <c:pt idx="4">
                  <c:v>5 
(479 LVL)</c:v>
                </c:pt>
              </c:strCache>
            </c:strRef>
          </c:cat>
          <c:val>
            <c:numRef>
              <c:f>'MB0140'!$C$7:$C$11</c:f>
              <c:numCache>
                <c:formatCode>General</c:formatCode>
                <c:ptCount val="5"/>
                <c:pt idx="0">
                  <c:v>19.5</c:v>
                </c:pt>
                <c:pt idx="1">
                  <c:v>18.899999999999999</c:v>
                </c:pt>
                <c:pt idx="2">
                  <c:v>19.3</c:v>
                </c:pt>
                <c:pt idx="3">
                  <c:v>16.100000000000001</c:v>
                </c:pt>
                <c:pt idx="4">
                  <c:v>13.8</c:v>
                </c:pt>
              </c:numCache>
            </c:numRef>
          </c:val>
        </c:ser>
        <c:dLbls>
          <c:showLegendKey val="0"/>
          <c:showVal val="1"/>
          <c:showCatName val="0"/>
          <c:showSerName val="0"/>
          <c:showPercent val="0"/>
          <c:showBubbleSize val="0"/>
        </c:dLbls>
        <c:gapWidth val="150"/>
        <c:overlap val="-25"/>
        <c:axId val="24615168"/>
        <c:axId val="24625152"/>
      </c:barChart>
      <c:catAx>
        <c:axId val="24615168"/>
        <c:scaling>
          <c:orientation val="minMax"/>
        </c:scaling>
        <c:delete val="0"/>
        <c:axPos val="b"/>
        <c:majorTickMark val="none"/>
        <c:minorTickMark val="none"/>
        <c:tickLblPos val="nextTo"/>
        <c:txPr>
          <a:bodyPr/>
          <a:lstStyle/>
          <a:p>
            <a:pPr>
              <a:defRPr sz="900"/>
            </a:pPr>
            <a:endParaRPr lang="lv-LV"/>
          </a:p>
        </c:txPr>
        <c:crossAx val="24625152"/>
        <c:crosses val="autoZero"/>
        <c:auto val="1"/>
        <c:lblAlgn val="ctr"/>
        <c:lblOffset val="100"/>
        <c:noMultiLvlLbl val="0"/>
      </c:catAx>
      <c:valAx>
        <c:axId val="24625152"/>
        <c:scaling>
          <c:orientation val="minMax"/>
        </c:scaling>
        <c:delete val="1"/>
        <c:axPos val="l"/>
        <c:numFmt formatCode="General" sourceLinked="1"/>
        <c:majorTickMark val="none"/>
        <c:minorTickMark val="none"/>
        <c:tickLblPos val="nextTo"/>
        <c:crossAx val="24615168"/>
        <c:crosses val="autoZero"/>
        <c:crossBetween val="between"/>
      </c:valAx>
    </c:plotArea>
    <c:legend>
      <c:legendPos val="t"/>
      <c:layout>
        <c:manualLayout>
          <c:xMode val="edge"/>
          <c:yMode val="edge"/>
          <c:x val="0.40487324988244411"/>
          <c:y val="0.3121877734033246"/>
          <c:w val="0.19672703964278296"/>
          <c:h val="0.125575787401574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lv-LV" sz="1000"/>
              <a:t>Minimālo ienākumu/nabadzības riska sliekšņu apmēri Latvijā </a:t>
            </a:r>
          </a:p>
          <a:p>
            <a:pPr>
              <a:defRPr sz="1000" b="1" i="0" u="none" strike="noStrike" baseline="0">
                <a:solidFill>
                  <a:srgbClr val="000000"/>
                </a:solidFill>
                <a:latin typeface="Calibri"/>
                <a:ea typeface="Calibri"/>
                <a:cs typeface="Calibri"/>
              </a:defRPr>
            </a:pPr>
            <a:r>
              <a:rPr lang="lv-LV" sz="1000"/>
              <a:t>(2007-2013), Ls mēnesī</a:t>
            </a:r>
          </a:p>
        </c:rich>
      </c:tx>
      <c:layout>
        <c:manualLayout>
          <c:xMode val="edge"/>
          <c:yMode val="edge"/>
          <c:x val="0.14252217716249702"/>
          <c:y val="6.7591108633544591E-4"/>
        </c:manualLayout>
      </c:layout>
      <c:overlay val="0"/>
      <c:spPr>
        <a:noFill/>
        <a:ln w="25400">
          <a:noFill/>
        </a:ln>
      </c:spPr>
    </c:title>
    <c:autoTitleDeleted val="0"/>
    <c:plotArea>
      <c:layout>
        <c:manualLayout>
          <c:layoutTarget val="inner"/>
          <c:xMode val="edge"/>
          <c:yMode val="edge"/>
          <c:x val="9.2499999999999999E-2"/>
          <c:y val="0.13827668841265384"/>
          <c:w val="0.59750000000000003"/>
          <c:h val="0.6953914620172591"/>
        </c:manualLayout>
      </c:layout>
      <c:lineChart>
        <c:grouping val="standard"/>
        <c:varyColors val="0"/>
        <c:ser>
          <c:idx val="0"/>
          <c:order val="0"/>
          <c:tx>
            <c:strRef>
              <c:f>Sheet1!$A$2</c:f>
              <c:strCache>
                <c:ptCount val="1"/>
                <c:pt idx="0">
                  <c:v>GMI līmenis</c:v>
                </c:pt>
              </c:strCache>
            </c:strRef>
          </c:tx>
          <c:dLbls>
            <c:dLbl>
              <c:idx val="0"/>
              <c:delete val="1"/>
            </c:dLbl>
            <c:dLbl>
              <c:idx val="1"/>
              <c:delete val="1"/>
            </c:dLbl>
            <c:dLbl>
              <c:idx val="2"/>
              <c:layout>
                <c:manualLayout>
                  <c:x val="-2.9491968896656401E-3"/>
                  <c:y val="-4.955193779315083E-3"/>
                </c:manualLayout>
              </c:layout>
              <c:dLblPos val="r"/>
              <c:showLegendKey val="0"/>
              <c:showVal val="1"/>
              <c:showCatName val="0"/>
              <c:showSerName val="0"/>
              <c:showPercent val="0"/>
              <c:showBubbleSize val="0"/>
            </c:dLbl>
            <c:dLbl>
              <c:idx val="5"/>
              <c:layout>
                <c:manualLayout>
                  <c:x val="-2.2770567020768257E-2"/>
                  <c:y val="3.5125005760584527E-2"/>
                </c:manualLayout>
              </c:layout>
              <c:dLblPos val="r"/>
              <c:showLegendKey val="0"/>
              <c:showVal val="1"/>
              <c:showCatName val="0"/>
              <c:showSerName val="0"/>
              <c:showPercent val="0"/>
              <c:showBubbleSize val="0"/>
            </c:dLbl>
            <c:dLbl>
              <c:idx val="6"/>
              <c:layout>
                <c:manualLayout>
                  <c:x val="-2.4377646762359172E-2"/>
                  <c:y val="3.1237192901408636E-2"/>
                </c:manualLayout>
              </c:layout>
              <c:dLblPos val="r"/>
              <c:showLegendKey val="0"/>
              <c:showVal val="1"/>
              <c:showCatName val="0"/>
              <c:showSerName val="0"/>
              <c:showPercent val="0"/>
              <c:showBubbleSize val="0"/>
            </c:dLbl>
            <c:spPr>
              <a:noFill/>
              <a:ln w="25400">
                <a:noFill/>
              </a:ln>
            </c:spPr>
            <c:txPr>
              <a:bodyPr/>
              <a:lstStyle/>
              <a:p>
                <a:pPr>
                  <a:defRPr sz="1000"/>
                </a:pPr>
                <a:endParaRPr lang="lv-LV"/>
              </a:p>
            </c:txPr>
            <c:dLblPos val="t"/>
            <c:showLegendKey val="0"/>
            <c:showVal val="1"/>
            <c:showCatName val="0"/>
            <c:showSerName val="0"/>
            <c:showPercent val="0"/>
            <c:showBubbleSize val="0"/>
            <c:showLeaderLines val="0"/>
          </c:dLbls>
          <c:cat>
            <c:numRef>
              <c:f>(Sheet1!$B$1:$F$1;Sheet1!$L$1;Sheet1!$N$1)</c:f>
              <c:numCache>
                <c:formatCode>General</c:formatCode>
                <c:ptCount val="7"/>
                <c:pt idx="0">
                  <c:v>2007</c:v>
                </c:pt>
                <c:pt idx="1">
                  <c:v>2008</c:v>
                </c:pt>
                <c:pt idx="2">
                  <c:v>2009</c:v>
                </c:pt>
                <c:pt idx="3">
                  <c:v>2010</c:v>
                </c:pt>
                <c:pt idx="4">
                  <c:v>2011</c:v>
                </c:pt>
                <c:pt idx="5">
                  <c:v>2012</c:v>
                </c:pt>
                <c:pt idx="6">
                  <c:v>2013</c:v>
                </c:pt>
              </c:numCache>
            </c:numRef>
          </c:cat>
          <c:val>
            <c:numRef>
              <c:f>(Sheet1!$B$2:$F$2;Sheet1!$L$2;Sheet1!$N$2)</c:f>
              <c:numCache>
                <c:formatCode>General</c:formatCode>
                <c:ptCount val="7"/>
                <c:pt idx="0">
                  <c:v>27</c:v>
                </c:pt>
                <c:pt idx="1">
                  <c:v>27</c:v>
                </c:pt>
                <c:pt idx="2">
                  <c:v>40</c:v>
                </c:pt>
                <c:pt idx="3">
                  <c:v>45</c:v>
                </c:pt>
                <c:pt idx="4">
                  <c:v>45</c:v>
                </c:pt>
                <c:pt idx="5">
                  <c:v>40</c:v>
                </c:pt>
                <c:pt idx="6">
                  <c:v>35</c:v>
                </c:pt>
              </c:numCache>
            </c:numRef>
          </c:val>
          <c:smooth val="0"/>
        </c:ser>
        <c:ser>
          <c:idx val="1"/>
          <c:order val="1"/>
          <c:tx>
            <c:strRef>
              <c:f>Sheet1!$A$3</c:f>
              <c:strCache>
                <c:ptCount val="1"/>
                <c:pt idx="0">
                  <c:v>Trūcīga persona </c:v>
                </c:pt>
              </c:strCache>
            </c:strRef>
          </c:tx>
          <c:dLbls>
            <c:spPr>
              <a:noFill/>
              <a:ln w="25400">
                <a:noFill/>
              </a:ln>
            </c:spPr>
            <c:txPr>
              <a:bodyPr/>
              <a:lstStyle/>
              <a:p>
                <a:pPr>
                  <a:defRPr sz="1000"/>
                </a:pPr>
                <a:endParaRPr lang="lv-LV"/>
              </a:p>
            </c:txPr>
            <c:dLblPos val="t"/>
            <c:showLegendKey val="0"/>
            <c:showVal val="1"/>
            <c:showCatName val="0"/>
            <c:showSerName val="0"/>
            <c:showPercent val="0"/>
            <c:showBubbleSize val="0"/>
            <c:showLeaderLines val="0"/>
          </c:dLbls>
          <c:cat>
            <c:numRef>
              <c:f>(Sheet1!$B$1:$F$1;Sheet1!$L$1;Sheet1!$N$1)</c:f>
              <c:numCache>
                <c:formatCode>General</c:formatCode>
                <c:ptCount val="7"/>
                <c:pt idx="0">
                  <c:v>2007</c:v>
                </c:pt>
                <c:pt idx="1">
                  <c:v>2008</c:v>
                </c:pt>
                <c:pt idx="2">
                  <c:v>2009</c:v>
                </c:pt>
                <c:pt idx="3">
                  <c:v>2010</c:v>
                </c:pt>
                <c:pt idx="4">
                  <c:v>2011</c:v>
                </c:pt>
                <c:pt idx="5">
                  <c:v>2012</c:v>
                </c:pt>
                <c:pt idx="6">
                  <c:v>2013</c:v>
                </c:pt>
              </c:numCache>
            </c:numRef>
          </c:cat>
          <c:val>
            <c:numRef>
              <c:f>(Sheet1!$B$3:$F$3;Sheet1!$L$3;Sheet1!$N$3)</c:f>
              <c:numCache>
                <c:formatCode>General</c:formatCode>
                <c:ptCount val="7"/>
                <c:pt idx="0">
                  <c:v>60</c:v>
                </c:pt>
                <c:pt idx="1">
                  <c:v>80</c:v>
                </c:pt>
                <c:pt idx="2">
                  <c:v>90</c:v>
                </c:pt>
                <c:pt idx="3">
                  <c:v>90</c:v>
                </c:pt>
                <c:pt idx="4">
                  <c:v>90</c:v>
                </c:pt>
                <c:pt idx="5">
                  <c:v>90</c:v>
                </c:pt>
                <c:pt idx="6">
                  <c:v>90</c:v>
                </c:pt>
              </c:numCache>
            </c:numRef>
          </c:val>
          <c:smooth val="0"/>
        </c:ser>
        <c:ser>
          <c:idx val="2"/>
          <c:order val="2"/>
          <c:tx>
            <c:strRef>
              <c:f>Sheet1!$A$4</c:f>
              <c:strCache>
                <c:ptCount val="1"/>
                <c:pt idx="0">
                  <c:v>Nabadzības riska slieksnis </c:v>
                </c:pt>
              </c:strCache>
            </c:strRef>
          </c:tx>
          <c:dLbls>
            <c:dLbl>
              <c:idx val="2"/>
              <c:layout>
                <c:manualLayout>
                  <c:x val="-2.7949196889665569E-2"/>
                  <c:y val="-1.8289929122240181E-3"/>
                </c:manualLayout>
              </c:layout>
              <c:dLblPos val="r"/>
              <c:showLegendKey val="0"/>
              <c:showVal val="1"/>
              <c:showCatName val="0"/>
              <c:showSerName val="0"/>
              <c:showPercent val="0"/>
              <c:showBubbleSize val="0"/>
            </c:dLbl>
            <c:dLbl>
              <c:idx val="3"/>
              <c:layout>
                <c:manualLayout>
                  <c:x val="-3.0806276631256457E-2"/>
                  <c:y val="-2.5965290306210604E-2"/>
                </c:manualLayout>
              </c:layout>
              <c:dLblPos val="r"/>
              <c:showLegendKey val="0"/>
              <c:showVal val="1"/>
              <c:showCatName val="0"/>
              <c:showSerName val="0"/>
              <c:showPercent val="0"/>
              <c:showBubbleSize val="0"/>
            </c:dLbl>
            <c:dLbl>
              <c:idx val="4"/>
              <c:layout>
                <c:manualLayout>
                  <c:x val="-3.1163356372847395E-2"/>
                  <c:y val="-1.8189664587858773E-2"/>
                </c:manualLayout>
              </c:layout>
              <c:dLblPos val="r"/>
              <c:showLegendKey val="0"/>
              <c:showVal val="1"/>
              <c:showCatName val="0"/>
              <c:showSerName val="0"/>
              <c:showPercent val="0"/>
              <c:showBubbleSize val="0"/>
            </c:dLbl>
            <c:spPr>
              <a:noFill/>
              <a:ln w="25400">
                <a:noFill/>
              </a:ln>
            </c:spPr>
            <c:txPr>
              <a:bodyPr/>
              <a:lstStyle/>
              <a:p>
                <a:pPr>
                  <a:defRPr sz="900"/>
                </a:pPr>
                <a:endParaRPr lang="lv-LV"/>
              </a:p>
            </c:txPr>
            <c:dLblPos val="t"/>
            <c:showLegendKey val="0"/>
            <c:showVal val="1"/>
            <c:showCatName val="0"/>
            <c:showSerName val="0"/>
            <c:showPercent val="0"/>
            <c:showBubbleSize val="0"/>
            <c:showLeaderLines val="0"/>
          </c:dLbls>
          <c:cat>
            <c:numRef>
              <c:f>(Sheet1!$B$1:$F$1;Sheet1!$L$1;Sheet1!$N$1)</c:f>
              <c:numCache>
                <c:formatCode>General</c:formatCode>
                <c:ptCount val="7"/>
                <c:pt idx="0">
                  <c:v>2007</c:v>
                </c:pt>
                <c:pt idx="1">
                  <c:v>2008</c:v>
                </c:pt>
                <c:pt idx="2">
                  <c:v>2009</c:v>
                </c:pt>
                <c:pt idx="3">
                  <c:v>2010</c:v>
                </c:pt>
                <c:pt idx="4">
                  <c:v>2011</c:v>
                </c:pt>
                <c:pt idx="5">
                  <c:v>2012</c:v>
                </c:pt>
                <c:pt idx="6">
                  <c:v>2013</c:v>
                </c:pt>
              </c:numCache>
            </c:numRef>
          </c:cat>
          <c:val>
            <c:numRef>
              <c:f>Sheet1!$B$4:$F$4</c:f>
              <c:numCache>
                <c:formatCode>General</c:formatCode>
                <c:ptCount val="5"/>
                <c:pt idx="0">
                  <c:v>167</c:v>
                </c:pt>
                <c:pt idx="1">
                  <c:v>188</c:v>
                </c:pt>
                <c:pt idx="2">
                  <c:v>158</c:v>
                </c:pt>
                <c:pt idx="3">
                  <c:v>147</c:v>
                </c:pt>
                <c:pt idx="4">
                  <c:v>156</c:v>
                </c:pt>
              </c:numCache>
            </c:numRef>
          </c:val>
          <c:smooth val="0"/>
        </c:ser>
        <c:ser>
          <c:idx val="4"/>
          <c:order val="3"/>
          <c:spPr>
            <a:ln>
              <a:solidFill>
                <a:schemeClr val="accent1"/>
              </a:solidFill>
            </a:ln>
          </c:spPr>
          <c:marker>
            <c:spPr>
              <a:ln>
                <a:solidFill>
                  <a:schemeClr val="accent1"/>
                </a:solidFill>
              </a:ln>
            </c:spPr>
          </c:marker>
          <c:dLbls>
            <c:dLbl>
              <c:idx val="0"/>
              <c:delete val="1"/>
            </c:dLbl>
            <c:dLbl>
              <c:idx val="1"/>
              <c:delete val="1"/>
            </c:dLbl>
            <c:dLbl>
              <c:idx val="2"/>
              <c:layout>
                <c:manualLayout>
                  <c:x val="-2.2949196889665603E-2"/>
                  <c:y val="3.6800209180815426E-2"/>
                </c:manualLayout>
              </c:layout>
              <c:dLblPos val="r"/>
              <c:showLegendKey val="0"/>
              <c:showVal val="1"/>
              <c:showCatName val="0"/>
              <c:showSerName val="0"/>
              <c:showPercent val="0"/>
              <c:showBubbleSize val="0"/>
            </c:dLbl>
            <c:dLbl>
              <c:idx val="3"/>
              <c:delete val="1"/>
            </c:dLbl>
            <c:dLbl>
              <c:idx val="4"/>
              <c:delete val="1"/>
            </c:dLbl>
            <c:dLbl>
              <c:idx val="5"/>
              <c:layout>
                <c:manualLayout>
                  <c:x val="-2.6520567020768288E-2"/>
                  <c:y val="-4.7159610391023843E-2"/>
                </c:manualLayout>
              </c:layout>
              <c:dLblPos val="r"/>
              <c:showLegendKey val="0"/>
              <c:showVal val="1"/>
              <c:showCatName val="0"/>
              <c:showSerName val="0"/>
              <c:showPercent val="0"/>
              <c:showBubbleSize val="0"/>
            </c:dLbl>
            <c:spPr>
              <a:noFill/>
              <a:ln w="25400">
                <a:noFill/>
              </a:ln>
            </c:spPr>
            <c:txPr>
              <a:bodyPr/>
              <a:lstStyle/>
              <a:p>
                <a:pPr>
                  <a:defRPr sz="1000"/>
                </a:pPr>
                <a:endParaRPr lang="lv-LV"/>
              </a:p>
            </c:txPr>
            <c:showLegendKey val="0"/>
            <c:showVal val="1"/>
            <c:showCatName val="0"/>
            <c:showSerName val="0"/>
            <c:showPercent val="0"/>
            <c:showBubbleSize val="0"/>
            <c:showLeaderLines val="0"/>
          </c:dLbls>
          <c:cat>
            <c:numRef>
              <c:f>(Sheet1!$B$1:$F$1;Sheet1!$L$1;Sheet1!$N$1)</c:f>
              <c:numCache>
                <c:formatCode>General</c:formatCode>
                <c:ptCount val="7"/>
                <c:pt idx="0">
                  <c:v>2007</c:v>
                </c:pt>
                <c:pt idx="1">
                  <c:v>2008</c:v>
                </c:pt>
                <c:pt idx="2">
                  <c:v>2009</c:v>
                </c:pt>
                <c:pt idx="3">
                  <c:v>2010</c:v>
                </c:pt>
                <c:pt idx="4">
                  <c:v>2011</c:v>
                </c:pt>
                <c:pt idx="5">
                  <c:v>2012</c:v>
                </c:pt>
                <c:pt idx="6">
                  <c:v>2013</c:v>
                </c:pt>
              </c:numCache>
            </c:numRef>
          </c:cat>
          <c:val>
            <c:numRef>
              <c:f>(Sheet1!$G$2:$K$2;Sheet1!$M$2)</c:f>
              <c:numCache>
                <c:formatCode>General</c:formatCode>
                <c:ptCount val="6"/>
                <c:pt idx="0">
                  <c:v>27</c:v>
                </c:pt>
                <c:pt idx="1">
                  <c:v>27</c:v>
                </c:pt>
                <c:pt idx="2">
                  <c:v>37</c:v>
                </c:pt>
                <c:pt idx="3">
                  <c:v>40</c:v>
                </c:pt>
                <c:pt idx="4">
                  <c:v>40</c:v>
                </c:pt>
                <c:pt idx="5">
                  <c:v>45</c:v>
                </c:pt>
              </c:numCache>
            </c:numRef>
          </c:val>
          <c:smooth val="0"/>
        </c:ser>
        <c:ser>
          <c:idx val="5"/>
          <c:order val="4"/>
          <c:spPr>
            <a:ln>
              <a:solidFill>
                <a:schemeClr val="accent1"/>
              </a:solidFill>
            </a:ln>
          </c:spPr>
          <c:marker>
            <c:symbol val="diamond"/>
            <c:size val="7"/>
            <c:spPr>
              <a:solidFill>
                <a:srgbClr val="0070C0"/>
              </a:solidFill>
            </c:spPr>
          </c:marker>
          <c:dLbls>
            <c:dLbl>
              <c:idx val="2"/>
              <c:layout>
                <c:manualLayout>
                  <c:x val="-2.6699196889665634E-2"/>
                  <c:y val="-3.9143570483043899E-2"/>
                </c:manualLayout>
              </c:layout>
              <c:dLblPos val="r"/>
              <c:showLegendKey val="0"/>
              <c:showVal val="1"/>
              <c:showCatName val="0"/>
              <c:showSerName val="0"/>
              <c:showPercent val="0"/>
              <c:showBubbleSize val="0"/>
            </c:dLbl>
            <c:spPr>
              <a:noFill/>
              <a:ln w="25400">
                <a:noFill/>
              </a:ln>
            </c:spPr>
            <c:txPr>
              <a:bodyPr/>
              <a:lstStyle/>
              <a:p>
                <a:pPr>
                  <a:defRPr sz="1000"/>
                </a:pPr>
                <a:endParaRPr lang="lv-LV"/>
              </a:p>
            </c:txPr>
            <c:dLblPos val="b"/>
            <c:showLegendKey val="0"/>
            <c:showVal val="1"/>
            <c:showCatName val="0"/>
            <c:showSerName val="0"/>
            <c:showPercent val="0"/>
            <c:showBubbleSize val="0"/>
            <c:showLeaderLines val="0"/>
          </c:dLbls>
          <c:cat>
            <c:numRef>
              <c:f>(Sheet1!$B$1:$F$1;Sheet1!$L$1;Sheet1!$N$1)</c:f>
              <c:numCache>
                <c:formatCode>General</c:formatCode>
                <c:ptCount val="7"/>
                <c:pt idx="0">
                  <c:v>2007</c:v>
                </c:pt>
                <c:pt idx="1">
                  <c:v>2008</c:v>
                </c:pt>
                <c:pt idx="2">
                  <c:v>2009</c:v>
                </c:pt>
                <c:pt idx="3">
                  <c:v>2010</c:v>
                </c:pt>
                <c:pt idx="4">
                  <c:v>2011</c:v>
                </c:pt>
                <c:pt idx="5">
                  <c:v>2012</c:v>
                </c:pt>
                <c:pt idx="6">
                  <c:v>2013</c:v>
                </c:pt>
              </c:numCache>
            </c:numRef>
          </c:cat>
          <c:val>
            <c:numRef>
              <c:f>Sheet1!$G$3:$K$3</c:f>
              <c:numCache>
                <c:formatCode>General</c:formatCode>
                <c:ptCount val="5"/>
                <c:pt idx="0">
                  <c:v>27</c:v>
                </c:pt>
                <c:pt idx="1">
                  <c:v>27</c:v>
                </c:pt>
                <c:pt idx="2">
                  <c:v>45</c:v>
                </c:pt>
                <c:pt idx="3">
                  <c:v>40</c:v>
                </c:pt>
                <c:pt idx="4">
                  <c:v>40</c:v>
                </c:pt>
              </c:numCache>
            </c:numRef>
          </c:val>
          <c:smooth val="0"/>
        </c:ser>
        <c:dLbls>
          <c:showLegendKey val="0"/>
          <c:showVal val="0"/>
          <c:showCatName val="0"/>
          <c:showSerName val="0"/>
          <c:showPercent val="0"/>
          <c:showBubbleSize val="0"/>
        </c:dLbls>
        <c:marker val="1"/>
        <c:smooth val="0"/>
        <c:axId val="24691456"/>
        <c:axId val="24692992"/>
      </c:lineChart>
      <c:catAx>
        <c:axId val="24691456"/>
        <c:scaling>
          <c:orientation val="minMax"/>
        </c:scaling>
        <c:delete val="0"/>
        <c:axPos val="b"/>
        <c:numFmt formatCode="General" sourceLinked="1"/>
        <c:majorTickMark val="out"/>
        <c:minorTickMark val="none"/>
        <c:tickLblPos val="nextTo"/>
        <c:txPr>
          <a:bodyPr rot="0" vert="horz"/>
          <a:lstStyle/>
          <a:p>
            <a:pPr>
              <a:defRPr/>
            </a:pPr>
            <a:endParaRPr lang="lv-LV"/>
          </a:p>
        </c:txPr>
        <c:crossAx val="24692992"/>
        <c:crosses val="autoZero"/>
        <c:auto val="1"/>
        <c:lblAlgn val="ctr"/>
        <c:lblOffset val="100"/>
        <c:tickLblSkip val="1"/>
        <c:tickMarkSkip val="1"/>
        <c:noMultiLvlLbl val="0"/>
      </c:catAx>
      <c:valAx>
        <c:axId val="24692992"/>
        <c:scaling>
          <c:orientation val="minMax"/>
        </c:scaling>
        <c:delete val="0"/>
        <c:axPos val="l"/>
        <c:majorGridlines/>
        <c:title>
          <c:tx>
            <c:rich>
              <a:bodyPr/>
              <a:lstStyle/>
              <a:p>
                <a:pPr>
                  <a:defRPr/>
                </a:pPr>
                <a:r>
                  <a:rPr lang="lv-LV" b="0"/>
                  <a:t>Ls</a:t>
                </a:r>
              </a:p>
            </c:rich>
          </c:tx>
          <c:layout>
            <c:manualLayout>
              <c:xMode val="edge"/>
              <c:yMode val="edge"/>
              <c:x val="0"/>
              <c:y val="0.4740780946862313"/>
            </c:manualLayout>
          </c:layout>
          <c:overlay val="0"/>
          <c:spPr>
            <a:noFill/>
            <a:ln w="25400">
              <a:noFill/>
            </a:ln>
          </c:spPr>
        </c:title>
        <c:numFmt formatCode="General" sourceLinked="1"/>
        <c:majorTickMark val="out"/>
        <c:minorTickMark val="none"/>
        <c:tickLblPos val="nextTo"/>
        <c:txPr>
          <a:bodyPr rot="0" vert="horz"/>
          <a:lstStyle/>
          <a:p>
            <a:pPr>
              <a:defRPr/>
            </a:pPr>
            <a:endParaRPr lang="lv-LV"/>
          </a:p>
        </c:txPr>
        <c:crossAx val="24691456"/>
        <c:crosses val="autoZero"/>
        <c:crossBetween val="between"/>
      </c:valAx>
    </c:plotArea>
    <c:legend>
      <c:legendPos val="r"/>
      <c:legendEntry>
        <c:idx val="3"/>
        <c:delete val="1"/>
      </c:legendEntry>
      <c:legendEntry>
        <c:idx val="4"/>
        <c:delete val="1"/>
      </c:legendEntry>
      <c:layout>
        <c:manualLayout>
          <c:xMode val="edge"/>
          <c:yMode val="edge"/>
          <c:x val="0.71625000000000005"/>
          <c:y val="0.36272587169088832"/>
          <c:w val="0.26"/>
          <c:h val="0.40479849194444545"/>
        </c:manualLayout>
      </c:layout>
      <c:overlay val="0"/>
      <c:txPr>
        <a:bodyPr/>
        <a:lstStyle/>
        <a:p>
          <a:pPr>
            <a:defRPr sz="900"/>
          </a:pPr>
          <a:endParaRPr lang="lv-LV"/>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lv-LV" sz="1000"/>
              <a:t>Nabadzības riska indekss pirms un pēc sociālajiem transfertiem 2004-2011 (%)</a:t>
            </a:r>
          </a:p>
        </c:rich>
      </c:tx>
      <c:layout/>
      <c:overlay val="0"/>
    </c:title>
    <c:autoTitleDeleted val="0"/>
    <c:plotArea>
      <c:layout>
        <c:manualLayout>
          <c:layoutTarget val="inner"/>
          <c:xMode val="edge"/>
          <c:yMode val="edge"/>
          <c:x val="0.1409545917457192"/>
          <c:y val="0.23778055387307356"/>
          <c:w val="0.53862535536943745"/>
          <c:h val="0.64821446598021404"/>
        </c:manualLayout>
      </c:layout>
      <c:lineChart>
        <c:grouping val="standard"/>
        <c:varyColors val="0"/>
        <c:ser>
          <c:idx val="0"/>
          <c:order val="0"/>
          <c:tx>
            <c:strRef>
              <c:f>'NI0090'!$C$5</c:f>
              <c:strCache>
                <c:ptCount val="1"/>
                <c:pt idx="0">
                  <c:v>Pirms visiem sociālajiem transfertiem</c:v>
                </c:pt>
              </c:strCache>
            </c:strRef>
          </c:tx>
          <c:dLbls>
            <c:txPr>
              <a:bodyPr/>
              <a:lstStyle/>
              <a:p>
                <a:pPr>
                  <a:defRPr sz="900"/>
                </a:pPr>
                <a:endParaRPr lang="lv-LV"/>
              </a:p>
            </c:txPr>
            <c:dLblPos val="t"/>
            <c:showLegendKey val="0"/>
            <c:showVal val="1"/>
            <c:showCatName val="0"/>
            <c:showSerName val="0"/>
            <c:showPercent val="0"/>
            <c:showBubbleSize val="0"/>
            <c:showLeaderLines val="0"/>
          </c:dLbls>
          <c:cat>
            <c:strRef>
              <c:f>'NI0090'!$A$6:$B$13</c:f>
              <c:strCache>
                <c:ptCount val="8"/>
                <c:pt idx="0">
                  <c:v>2004</c:v>
                </c:pt>
                <c:pt idx="1">
                  <c:v>2005</c:v>
                </c:pt>
                <c:pt idx="2">
                  <c:v>2006</c:v>
                </c:pt>
                <c:pt idx="3">
                  <c:v>2007</c:v>
                </c:pt>
                <c:pt idx="4">
                  <c:v>2008</c:v>
                </c:pt>
                <c:pt idx="5">
                  <c:v>2009</c:v>
                </c:pt>
                <c:pt idx="6">
                  <c:v>2010</c:v>
                </c:pt>
                <c:pt idx="7">
                  <c:v>2011</c:v>
                </c:pt>
              </c:strCache>
            </c:strRef>
          </c:cat>
          <c:val>
            <c:numRef>
              <c:f>'NI0090'!$C$6:$C$13</c:f>
              <c:numCache>
                <c:formatCode>General</c:formatCode>
                <c:ptCount val="8"/>
                <c:pt idx="0">
                  <c:v>40.299999999999997</c:v>
                </c:pt>
                <c:pt idx="1">
                  <c:v>40.6</c:v>
                </c:pt>
                <c:pt idx="2">
                  <c:v>39</c:v>
                </c:pt>
                <c:pt idx="3">
                  <c:v>37.700000000000003</c:v>
                </c:pt>
                <c:pt idx="4">
                  <c:v>39.1</c:v>
                </c:pt>
                <c:pt idx="5">
                  <c:v>44.8</c:v>
                </c:pt>
                <c:pt idx="6">
                  <c:v>46.8</c:v>
                </c:pt>
                <c:pt idx="7">
                  <c:v>44.6</c:v>
                </c:pt>
              </c:numCache>
            </c:numRef>
          </c:val>
          <c:smooth val="0"/>
        </c:ser>
        <c:ser>
          <c:idx val="1"/>
          <c:order val="1"/>
          <c:tx>
            <c:strRef>
              <c:f>'NI0090'!$D$5</c:f>
              <c:strCache>
                <c:ptCount val="1"/>
                <c:pt idx="0">
                  <c:v>Ņemot vērā visus sociālos transfertus</c:v>
                </c:pt>
              </c:strCache>
            </c:strRef>
          </c:tx>
          <c:dLbls>
            <c:txPr>
              <a:bodyPr/>
              <a:lstStyle/>
              <a:p>
                <a:pPr>
                  <a:defRPr sz="900"/>
                </a:pPr>
                <a:endParaRPr lang="lv-LV"/>
              </a:p>
            </c:txPr>
            <c:dLblPos val="b"/>
            <c:showLegendKey val="0"/>
            <c:showVal val="1"/>
            <c:showCatName val="0"/>
            <c:showSerName val="0"/>
            <c:showPercent val="0"/>
            <c:showBubbleSize val="0"/>
            <c:showLeaderLines val="0"/>
          </c:dLbls>
          <c:cat>
            <c:strRef>
              <c:f>'NI0090'!$A$6:$B$13</c:f>
              <c:strCache>
                <c:ptCount val="8"/>
                <c:pt idx="0">
                  <c:v>2004</c:v>
                </c:pt>
                <c:pt idx="1">
                  <c:v>2005</c:v>
                </c:pt>
                <c:pt idx="2">
                  <c:v>2006</c:v>
                </c:pt>
                <c:pt idx="3">
                  <c:v>2007</c:v>
                </c:pt>
                <c:pt idx="4">
                  <c:v>2008</c:v>
                </c:pt>
                <c:pt idx="5">
                  <c:v>2009</c:v>
                </c:pt>
                <c:pt idx="6">
                  <c:v>2010</c:v>
                </c:pt>
                <c:pt idx="7">
                  <c:v>2011</c:v>
                </c:pt>
              </c:strCache>
            </c:strRef>
          </c:cat>
          <c:val>
            <c:numRef>
              <c:f>'NI0090'!$D$6:$D$13</c:f>
              <c:numCache>
                <c:formatCode>General</c:formatCode>
                <c:ptCount val="8"/>
                <c:pt idx="0">
                  <c:v>19.399999999999999</c:v>
                </c:pt>
                <c:pt idx="1">
                  <c:v>23.5</c:v>
                </c:pt>
                <c:pt idx="2">
                  <c:v>21.2</c:v>
                </c:pt>
                <c:pt idx="3">
                  <c:v>25.9</c:v>
                </c:pt>
                <c:pt idx="4">
                  <c:v>26.4</c:v>
                </c:pt>
                <c:pt idx="5">
                  <c:v>20.9</c:v>
                </c:pt>
                <c:pt idx="6">
                  <c:v>19</c:v>
                </c:pt>
                <c:pt idx="7">
                  <c:v>19.2</c:v>
                </c:pt>
              </c:numCache>
            </c:numRef>
          </c:val>
          <c:smooth val="0"/>
        </c:ser>
        <c:dLbls>
          <c:dLblPos val="ctr"/>
          <c:showLegendKey val="0"/>
          <c:showVal val="1"/>
          <c:showCatName val="0"/>
          <c:showSerName val="0"/>
          <c:showPercent val="0"/>
          <c:showBubbleSize val="0"/>
        </c:dLbls>
        <c:marker val="1"/>
        <c:smooth val="0"/>
        <c:axId val="32429184"/>
        <c:axId val="32430720"/>
      </c:lineChart>
      <c:catAx>
        <c:axId val="32429184"/>
        <c:scaling>
          <c:orientation val="minMax"/>
        </c:scaling>
        <c:delete val="0"/>
        <c:axPos val="b"/>
        <c:majorTickMark val="out"/>
        <c:minorTickMark val="none"/>
        <c:tickLblPos val="nextTo"/>
        <c:txPr>
          <a:bodyPr/>
          <a:lstStyle/>
          <a:p>
            <a:pPr>
              <a:defRPr sz="800"/>
            </a:pPr>
            <a:endParaRPr lang="lv-LV"/>
          </a:p>
        </c:txPr>
        <c:crossAx val="32430720"/>
        <c:crosses val="autoZero"/>
        <c:auto val="1"/>
        <c:lblAlgn val="ctr"/>
        <c:lblOffset val="100"/>
        <c:noMultiLvlLbl val="0"/>
      </c:catAx>
      <c:valAx>
        <c:axId val="32430720"/>
        <c:scaling>
          <c:orientation val="minMax"/>
        </c:scaling>
        <c:delete val="0"/>
        <c:axPos val="l"/>
        <c:majorGridlines/>
        <c:title>
          <c:tx>
            <c:rich>
              <a:bodyPr rot="0" vert="wordArtVert"/>
              <a:lstStyle/>
              <a:p>
                <a:pPr>
                  <a:defRPr/>
                </a:pPr>
                <a:r>
                  <a:rPr lang="lv-LV"/>
                  <a:t>%</a:t>
                </a:r>
              </a:p>
            </c:rich>
          </c:tx>
          <c:layout/>
          <c:overlay val="0"/>
        </c:title>
        <c:numFmt formatCode="General" sourceLinked="1"/>
        <c:majorTickMark val="out"/>
        <c:minorTickMark val="none"/>
        <c:tickLblPos val="nextTo"/>
        <c:crossAx val="32429184"/>
        <c:crosses val="autoZero"/>
        <c:crossBetween val="between"/>
      </c:valAx>
    </c:plotArea>
    <c:legend>
      <c:legendPos val="r"/>
      <c:layout>
        <c:manualLayout>
          <c:xMode val="edge"/>
          <c:yMode val="edge"/>
          <c:x val="0.73595734908136479"/>
          <c:y val="0.2994502770487022"/>
          <c:w val="0.26126487314085739"/>
          <c:h val="0.49304389034703994"/>
        </c:manualLayout>
      </c:layout>
      <c:overlay val="0"/>
      <c:txPr>
        <a:bodyPr/>
        <a:lstStyle/>
        <a:p>
          <a:pPr>
            <a:defRPr sz="900"/>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b="1"/>
            </a:pPr>
            <a:r>
              <a:rPr lang="lv-LV" sz="1000" b="1"/>
              <a:t>Relatīvā mediānas nabadzības riska plaisa 2004-2011, %</a:t>
            </a:r>
          </a:p>
        </c:rich>
      </c:tx>
      <c:layout>
        <c:manualLayout>
          <c:xMode val="edge"/>
          <c:yMode val="edge"/>
          <c:x val="0.24380638661897069"/>
          <c:y val="4.7731504104013701E-2"/>
        </c:manualLayout>
      </c:layout>
      <c:overlay val="0"/>
    </c:title>
    <c:autoTitleDeleted val="0"/>
    <c:plotArea>
      <c:layout>
        <c:manualLayout>
          <c:layoutTarget val="inner"/>
          <c:xMode val="edge"/>
          <c:yMode val="edge"/>
          <c:x val="0.12612634805452572"/>
          <c:y val="0.18691645649720265"/>
          <c:w val="0.84865014190973731"/>
          <c:h val="0.63240067781553555"/>
        </c:manualLayout>
      </c:layout>
      <c:areaChart>
        <c:grouping val="standard"/>
        <c:varyColors val="0"/>
        <c:ser>
          <c:idx val="0"/>
          <c:order val="0"/>
          <c:tx>
            <c:strRef>
              <c:f>'8_relativa_plaisa'!$A$23</c:f>
              <c:strCache>
                <c:ptCount val="1"/>
                <c:pt idx="0">
                  <c:v>Pavisam</c:v>
                </c:pt>
              </c:strCache>
            </c:strRef>
          </c:tx>
          <c:cat>
            <c:strRef>
              <c:f>'8_relativa_plaisa'!$B$22:$I$22</c:f>
              <c:strCache>
                <c:ptCount val="8"/>
                <c:pt idx="0">
                  <c:v>2004</c:v>
                </c:pt>
                <c:pt idx="1">
                  <c:v>2005</c:v>
                </c:pt>
                <c:pt idx="2">
                  <c:v>2006</c:v>
                </c:pt>
                <c:pt idx="3">
                  <c:v>2007</c:v>
                </c:pt>
                <c:pt idx="4">
                  <c:v>2008</c:v>
                </c:pt>
                <c:pt idx="5">
                  <c:v>2009</c:v>
                </c:pt>
                <c:pt idx="6">
                  <c:v>2010</c:v>
                </c:pt>
                <c:pt idx="7">
                  <c:v>2011</c:v>
                </c:pt>
              </c:strCache>
            </c:strRef>
          </c:cat>
          <c:val>
            <c:numRef>
              <c:f>'8_relativa_plaisa'!$B$23:$I$23</c:f>
              <c:numCache>
                <c:formatCode>General</c:formatCode>
                <c:ptCount val="8"/>
                <c:pt idx="0">
                  <c:v>27.5</c:v>
                </c:pt>
                <c:pt idx="1">
                  <c:v>24.4</c:v>
                </c:pt>
                <c:pt idx="2">
                  <c:v>24.8</c:v>
                </c:pt>
                <c:pt idx="3">
                  <c:v>28.6</c:v>
                </c:pt>
                <c:pt idx="4">
                  <c:v>29</c:v>
                </c:pt>
                <c:pt idx="5">
                  <c:v>28.9</c:v>
                </c:pt>
                <c:pt idx="6">
                  <c:v>31.7</c:v>
                </c:pt>
                <c:pt idx="7">
                  <c:v>28.6</c:v>
                </c:pt>
              </c:numCache>
            </c:numRef>
          </c:val>
        </c:ser>
        <c:dLbls>
          <c:showLegendKey val="0"/>
          <c:showVal val="0"/>
          <c:showCatName val="0"/>
          <c:showSerName val="0"/>
          <c:showPercent val="0"/>
          <c:showBubbleSize val="0"/>
        </c:dLbls>
        <c:axId val="32632832"/>
        <c:axId val="32634368"/>
      </c:areaChart>
      <c:catAx>
        <c:axId val="32632832"/>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32634368"/>
        <c:crosses val="autoZero"/>
        <c:auto val="1"/>
        <c:lblAlgn val="ctr"/>
        <c:lblOffset val="100"/>
        <c:tickMarkSkip val="1"/>
        <c:noMultiLvlLbl val="0"/>
      </c:catAx>
      <c:valAx>
        <c:axId val="32634368"/>
        <c:scaling>
          <c:orientation val="minMax"/>
        </c:scaling>
        <c:delete val="0"/>
        <c:axPos val="l"/>
        <c:majorGridlines/>
        <c:numFmt formatCode="General" sourceLinked="1"/>
        <c:majorTickMark val="out"/>
        <c:minorTickMark val="none"/>
        <c:tickLblPos val="nextTo"/>
        <c:txPr>
          <a:bodyPr rot="0" vert="horz"/>
          <a:lstStyle/>
          <a:p>
            <a:pPr>
              <a:defRPr/>
            </a:pPr>
            <a:endParaRPr lang="lv-LV"/>
          </a:p>
        </c:txPr>
        <c:crossAx val="32632832"/>
        <c:crosses val="autoZero"/>
        <c:crossBetween val="midCat"/>
        <c:majorUnit val="5"/>
      </c:valAx>
      <c:dTable>
        <c:showHorzBorder val="1"/>
        <c:showVertBorder val="1"/>
        <c:showOutline val="1"/>
        <c:showKeys val="0"/>
        <c:txPr>
          <a:bodyPr/>
          <a:lstStyle/>
          <a:p>
            <a:pPr rtl="0">
              <a:defRPr sz="800"/>
            </a:pPr>
            <a:endParaRPr lang="lv-LV"/>
          </a:p>
        </c:txPr>
      </c:dTable>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00"/>
            </a:pPr>
            <a:r>
              <a:rPr lang="lv-LV" sz="1000"/>
              <a:t>S80/S20 ienākumu kvintiļu attiecības indekss </a:t>
            </a:r>
          </a:p>
          <a:p>
            <a:pPr>
              <a:defRPr sz="1000"/>
            </a:pPr>
            <a:r>
              <a:rPr lang="lv-LV" sz="1000"/>
              <a:t>2004-2011</a:t>
            </a:r>
            <a:endParaRPr lang="en-US" sz="1000"/>
          </a:p>
        </c:rich>
      </c:tx>
      <c:layout/>
      <c:overlay val="0"/>
    </c:title>
    <c:autoTitleDeleted val="0"/>
    <c:plotArea>
      <c:layout/>
      <c:barChart>
        <c:barDir val="bar"/>
        <c:grouping val="clustered"/>
        <c:varyColors val="0"/>
        <c:ser>
          <c:idx val="0"/>
          <c:order val="0"/>
          <c:tx>
            <c:strRef>
              <c:f>'NI0110'!$A$5</c:f>
              <c:strCache>
                <c:ptCount val="1"/>
                <c:pt idx="0">
                  <c:v>Pavisam</c:v>
                </c:pt>
              </c:strCache>
            </c:strRef>
          </c:tx>
          <c:invertIfNegative val="0"/>
          <c:dLbls>
            <c:txPr>
              <a:bodyPr/>
              <a:lstStyle/>
              <a:p>
                <a:pPr>
                  <a:defRPr sz="900"/>
                </a:pPr>
                <a:endParaRPr lang="lv-LV"/>
              </a:p>
            </c:txPr>
            <c:dLblPos val="outEnd"/>
            <c:showLegendKey val="0"/>
            <c:showVal val="1"/>
            <c:showCatName val="0"/>
            <c:showSerName val="0"/>
            <c:showPercent val="0"/>
            <c:showBubbleSize val="0"/>
            <c:showLeaderLines val="0"/>
          </c:dLbls>
          <c:cat>
            <c:strRef>
              <c:f>'NI0110'!$B$4:$I$4</c:f>
              <c:strCache>
                <c:ptCount val="8"/>
                <c:pt idx="0">
                  <c:v>2004</c:v>
                </c:pt>
                <c:pt idx="1">
                  <c:v>2005</c:v>
                </c:pt>
                <c:pt idx="2">
                  <c:v>2006</c:v>
                </c:pt>
                <c:pt idx="3">
                  <c:v>2007</c:v>
                </c:pt>
                <c:pt idx="4">
                  <c:v>2008</c:v>
                </c:pt>
                <c:pt idx="5">
                  <c:v>2009</c:v>
                </c:pt>
                <c:pt idx="6">
                  <c:v>2010</c:v>
                </c:pt>
                <c:pt idx="7">
                  <c:v>2011</c:v>
                </c:pt>
              </c:strCache>
            </c:strRef>
          </c:cat>
          <c:val>
            <c:numRef>
              <c:f>'NI0110'!$B$5:$I$5</c:f>
              <c:numCache>
                <c:formatCode>General</c:formatCode>
                <c:ptCount val="8"/>
                <c:pt idx="0">
                  <c:v>6.7</c:v>
                </c:pt>
                <c:pt idx="1">
                  <c:v>7.8</c:v>
                </c:pt>
                <c:pt idx="2">
                  <c:v>6.4</c:v>
                </c:pt>
                <c:pt idx="3">
                  <c:v>7.3</c:v>
                </c:pt>
                <c:pt idx="4">
                  <c:v>7.4</c:v>
                </c:pt>
                <c:pt idx="5">
                  <c:v>6.8</c:v>
                </c:pt>
                <c:pt idx="6">
                  <c:v>6.5</c:v>
                </c:pt>
                <c:pt idx="7">
                  <c:v>6.5</c:v>
                </c:pt>
              </c:numCache>
            </c:numRef>
          </c:val>
        </c:ser>
        <c:dLbls>
          <c:dLblPos val="outEnd"/>
          <c:showLegendKey val="0"/>
          <c:showVal val="1"/>
          <c:showCatName val="0"/>
          <c:showSerName val="0"/>
          <c:showPercent val="0"/>
          <c:showBubbleSize val="0"/>
        </c:dLbls>
        <c:gapWidth val="150"/>
        <c:axId val="89712896"/>
        <c:axId val="106566784"/>
      </c:barChart>
      <c:catAx>
        <c:axId val="89712896"/>
        <c:scaling>
          <c:orientation val="minMax"/>
        </c:scaling>
        <c:delete val="0"/>
        <c:axPos val="l"/>
        <c:majorTickMark val="out"/>
        <c:minorTickMark val="none"/>
        <c:tickLblPos val="nextTo"/>
        <c:txPr>
          <a:bodyPr/>
          <a:lstStyle/>
          <a:p>
            <a:pPr>
              <a:defRPr sz="900"/>
            </a:pPr>
            <a:endParaRPr lang="lv-LV"/>
          </a:p>
        </c:txPr>
        <c:crossAx val="106566784"/>
        <c:crosses val="autoZero"/>
        <c:auto val="1"/>
        <c:lblAlgn val="ctr"/>
        <c:lblOffset val="100"/>
        <c:noMultiLvlLbl val="0"/>
      </c:catAx>
      <c:valAx>
        <c:axId val="106566784"/>
        <c:scaling>
          <c:orientation val="minMax"/>
        </c:scaling>
        <c:delete val="0"/>
        <c:axPos val="b"/>
        <c:majorGridlines/>
        <c:numFmt formatCode="General" sourceLinked="1"/>
        <c:majorTickMark val="out"/>
        <c:minorTickMark val="none"/>
        <c:tickLblPos val="nextTo"/>
        <c:crossAx val="897128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lv-LV" sz="1100"/>
              <a:t>Nabadzības riska slieksnis LVL gadā 2004-2011</a:t>
            </a:r>
          </a:p>
        </c:rich>
      </c:tx>
      <c:layout/>
      <c:overlay val="0"/>
    </c:title>
    <c:autoTitleDeleted val="0"/>
    <c:plotArea>
      <c:layout/>
      <c:lineChart>
        <c:grouping val="standard"/>
        <c:varyColors val="0"/>
        <c:ser>
          <c:idx val="0"/>
          <c:order val="0"/>
          <c:tx>
            <c:strRef>
              <c:f>'NI0020'!$A$6</c:f>
              <c:strCache>
                <c:ptCount val="1"/>
                <c:pt idx="0">
                  <c:v>1 personas mājsaimniecība</c:v>
                </c:pt>
              </c:strCache>
            </c:strRef>
          </c:tx>
          <c:dLbls>
            <c:txPr>
              <a:bodyPr/>
              <a:lstStyle/>
              <a:p>
                <a:pPr>
                  <a:defRPr sz="900"/>
                </a:pPr>
                <a:endParaRPr lang="lv-LV"/>
              </a:p>
            </c:txPr>
            <c:dLblPos val="b"/>
            <c:showLegendKey val="0"/>
            <c:showVal val="1"/>
            <c:showCatName val="0"/>
            <c:showSerName val="0"/>
            <c:showPercent val="0"/>
            <c:showBubbleSize val="0"/>
            <c:showLeaderLines val="0"/>
          </c:dLbls>
          <c:cat>
            <c:strRef>
              <c:f>'NI0020'!$B$5:$I$5</c:f>
              <c:strCache>
                <c:ptCount val="8"/>
                <c:pt idx="0">
                  <c:v>2004</c:v>
                </c:pt>
                <c:pt idx="1">
                  <c:v>2005</c:v>
                </c:pt>
                <c:pt idx="2">
                  <c:v>2006</c:v>
                </c:pt>
                <c:pt idx="3">
                  <c:v>2007</c:v>
                </c:pt>
                <c:pt idx="4">
                  <c:v>2008</c:v>
                </c:pt>
                <c:pt idx="5">
                  <c:v>2009</c:v>
                </c:pt>
                <c:pt idx="6">
                  <c:v>2010</c:v>
                </c:pt>
                <c:pt idx="7">
                  <c:v>2011</c:v>
                </c:pt>
              </c:strCache>
            </c:strRef>
          </c:cat>
          <c:val>
            <c:numRef>
              <c:f>'NI0020'!$B$6:$I$6</c:f>
              <c:numCache>
                <c:formatCode>General</c:formatCode>
                <c:ptCount val="8"/>
                <c:pt idx="0">
                  <c:v>877</c:v>
                </c:pt>
                <c:pt idx="1">
                  <c:v>1067</c:v>
                </c:pt>
                <c:pt idx="2">
                  <c:v>1419</c:v>
                </c:pt>
                <c:pt idx="3">
                  <c:v>1999</c:v>
                </c:pt>
                <c:pt idx="4">
                  <c:v>2258</c:v>
                </c:pt>
                <c:pt idx="5">
                  <c:v>1892</c:v>
                </c:pt>
                <c:pt idx="6">
                  <c:v>1769</c:v>
                </c:pt>
                <c:pt idx="7">
                  <c:v>1877</c:v>
                </c:pt>
              </c:numCache>
            </c:numRef>
          </c:val>
          <c:smooth val="0"/>
        </c:ser>
        <c:ser>
          <c:idx val="1"/>
          <c:order val="1"/>
          <c:tx>
            <c:strRef>
              <c:f>'NI0020'!$A$7</c:f>
              <c:strCache>
                <c:ptCount val="1"/>
                <c:pt idx="0">
                  <c:v>2 pieaugušie un 2 bērni jaunāki par 14 gadiem</c:v>
                </c:pt>
              </c:strCache>
            </c:strRef>
          </c:tx>
          <c:dLbls>
            <c:txPr>
              <a:bodyPr/>
              <a:lstStyle/>
              <a:p>
                <a:pPr>
                  <a:defRPr sz="900"/>
                </a:pPr>
                <a:endParaRPr lang="lv-LV"/>
              </a:p>
            </c:txPr>
            <c:dLblPos val="b"/>
            <c:showLegendKey val="0"/>
            <c:showVal val="1"/>
            <c:showCatName val="0"/>
            <c:showSerName val="0"/>
            <c:showPercent val="0"/>
            <c:showBubbleSize val="0"/>
            <c:showLeaderLines val="0"/>
          </c:dLbls>
          <c:cat>
            <c:strRef>
              <c:f>'NI0020'!$B$5:$I$5</c:f>
              <c:strCache>
                <c:ptCount val="8"/>
                <c:pt idx="0">
                  <c:v>2004</c:v>
                </c:pt>
                <c:pt idx="1">
                  <c:v>2005</c:v>
                </c:pt>
                <c:pt idx="2">
                  <c:v>2006</c:v>
                </c:pt>
                <c:pt idx="3">
                  <c:v>2007</c:v>
                </c:pt>
                <c:pt idx="4">
                  <c:v>2008</c:v>
                </c:pt>
                <c:pt idx="5">
                  <c:v>2009</c:v>
                </c:pt>
                <c:pt idx="6">
                  <c:v>2010</c:v>
                </c:pt>
                <c:pt idx="7">
                  <c:v>2011</c:v>
                </c:pt>
              </c:strCache>
            </c:strRef>
          </c:cat>
          <c:val>
            <c:numRef>
              <c:f>'NI0020'!$B$7:$I$7</c:f>
              <c:numCache>
                <c:formatCode>General</c:formatCode>
                <c:ptCount val="8"/>
                <c:pt idx="0">
                  <c:v>1842</c:v>
                </c:pt>
                <c:pt idx="1">
                  <c:v>2240</c:v>
                </c:pt>
                <c:pt idx="2">
                  <c:v>2980</c:v>
                </c:pt>
                <c:pt idx="3">
                  <c:v>4197</c:v>
                </c:pt>
                <c:pt idx="4">
                  <c:v>4742</c:v>
                </c:pt>
                <c:pt idx="5">
                  <c:v>3974</c:v>
                </c:pt>
                <c:pt idx="6">
                  <c:v>3715</c:v>
                </c:pt>
                <c:pt idx="7">
                  <c:v>3941</c:v>
                </c:pt>
              </c:numCache>
            </c:numRef>
          </c:val>
          <c:smooth val="0"/>
        </c:ser>
        <c:dLbls>
          <c:showLegendKey val="0"/>
          <c:showVal val="1"/>
          <c:showCatName val="0"/>
          <c:showSerName val="0"/>
          <c:showPercent val="0"/>
          <c:showBubbleSize val="0"/>
        </c:dLbls>
        <c:marker val="1"/>
        <c:smooth val="0"/>
        <c:axId val="106576128"/>
        <c:axId val="106582016"/>
      </c:lineChart>
      <c:catAx>
        <c:axId val="106576128"/>
        <c:scaling>
          <c:orientation val="minMax"/>
        </c:scaling>
        <c:delete val="0"/>
        <c:axPos val="b"/>
        <c:majorTickMark val="none"/>
        <c:minorTickMark val="none"/>
        <c:tickLblPos val="nextTo"/>
        <c:txPr>
          <a:bodyPr/>
          <a:lstStyle/>
          <a:p>
            <a:pPr>
              <a:defRPr sz="900"/>
            </a:pPr>
            <a:endParaRPr lang="lv-LV"/>
          </a:p>
        </c:txPr>
        <c:crossAx val="106582016"/>
        <c:crosses val="autoZero"/>
        <c:auto val="1"/>
        <c:lblAlgn val="ctr"/>
        <c:lblOffset val="100"/>
        <c:noMultiLvlLbl val="0"/>
      </c:catAx>
      <c:valAx>
        <c:axId val="106582016"/>
        <c:scaling>
          <c:orientation val="minMax"/>
        </c:scaling>
        <c:delete val="1"/>
        <c:axPos val="l"/>
        <c:numFmt formatCode="General" sourceLinked="1"/>
        <c:majorTickMark val="out"/>
        <c:minorTickMark val="none"/>
        <c:tickLblPos val="nextTo"/>
        <c:crossAx val="106576128"/>
        <c:crosses val="autoZero"/>
        <c:crossBetween val="between"/>
      </c:valAx>
    </c:plotArea>
    <c:legend>
      <c:legendPos val="b"/>
      <c:layout/>
      <c:overlay val="0"/>
      <c:txPr>
        <a:bodyPr/>
        <a:lstStyle/>
        <a:p>
          <a:pPr>
            <a:defRPr sz="800"/>
          </a:pPr>
          <a:endParaRPr lang="lv-LV"/>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'II0100'!$A$6</c:f>
              <c:strCache>
                <c:ptCount val="1"/>
                <c:pt idx="0">
                  <c:v>2008</c:v>
                </c:pt>
              </c:strCache>
            </c:strRef>
          </c:tx>
          <c:invertIfNegative val="0"/>
          <c:cat>
            <c:strRef>
              <c:f>'II0100'!$B$5:$I$5</c:f>
              <c:strCache>
                <c:ptCount val="8"/>
                <c:pt idx="0">
                  <c:v>Pavisam</c:v>
                </c:pt>
                <c:pt idx="1">
                  <c:v>0–15</c:v>
                </c:pt>
                <c:pt idx="2">
                  <c:v>16–24</c:v>
                </c:pt>
                <c:pt idx="3">
                  <c:v>25–34</c:v>
                </c:pt>
                <c:pt idx="4">
                  <c:v>35–44</c:v>
                </c:pt>
                <c:pt idx="5">
                  <c:v>45–54</c:v>
                </c:pt>
                <c:pt idx="6">
                  <c:v>55–64</c:v>
                </c:pt>
                <c:pt idx="7">
                  <c:v>65+</c:v>
                </c:pt>
              </c:strCache>
            </c:strRef>
          </c:cat>
          <c:val>
            <c:numRef>
              <c:f>'II0100'!$B$6:$I$6</c:f>
              <c:numCache>
                <c:formatCode>General</c:formatCode>
                <c:ptCount val="8"/>
                <c:pt idx="0">
                  <c:v>379.43</c:v>
                </c:pt>
                <c:pt idx="1">
                  <c:v>373.25</c:v>
                </c:pt>
                <c:pt idx="2">
                  <c:v>386.49</c:v>
                </c:pt>
                <c:pt idx="3">
                  <c:v>460.28</c:v>
                </c:pt>
                <c:pt idx="4">
                  <c:v>388.43</c:v>
                </c:pt>
                <c:pt idx="5">
                  <c:v>422.92</c:v>
                </c:pt>
                <c:pt idx="6">
                  <c:v>377.25</c:v>
                </c:pt>
                <c:pt idx="7">
                  <c:v>275.66000000000003</c:v>
                </c:pt>
              </c:numCache>
            </c:numRef>
          </c:val>
        </c:ser>
        <c:ser>
          <c:idx val="1"/>
          <c:order val="1"/>
          <c:tx>
            <c:strRef>
              <c:f>'II0100'!$A$7</c:f>
              <c:strCache>
                <c:ptCount val="1"/>
                <c:pt idx="0">
                  <c:v>2009</c:v>
                </c:pt>
              </c:strCache>
            </c:strRef>
          </c:tx>
          <c:invertIfNegative val="0"/>
          <c:cat>
            <c:strRef>
              <c:f>'II0100'!$B$5:$I$5</c:f>
              <c:strCache>
                <c:ptCount val="8"/>
                <c:pt idx="0">
                  <c:v>Pavisam</c:v>
                </c:pt>
                <c:pt idx="1">
                  <c:v>0–15</c:v>
                </c:pt>
                <c:pt idx="2">
                  <c:v>16–24</c:v>
                </c:pt>
                <c:pt idx="3">
                  <c:v>25–34</c:v>
                </c:pt>
                <c:pt idx="4">
                  <c:v>35–44</c:v>
                </c:pt>
                <c:pt idx="5">
                  <c:v>45–54</c:v>
                </c:pt>
                <c:pt idx="6">
                  <c:v>55–64</c:v>
                </c:pt>
                <c:pt idx="7">
                  <c:v>65+</c:v>
                </c:pt>
              </c:strCache>
            </c:strRef>
          </c:cat>
          <c:val>
            <c:numRef>
              <c:f>'II0100'!$B$7:$I$7</c:f>
              <c:numCache>
                <c:formatCode>General</c:formatCode>
                <c:ptCount val="8"/>
                <c:pt idx="0">
                  <c:v>320.10000000000002</c:v>
                </c:pt>
                <c:pt idx="1">
                  <c:v>315.76</c:v>
                </c:pt>
                <c:pt idx="2">
                  <c:v>301.89</c:v>
                </c:pt>
                <c:pt idx="3">
                  <c:v>379.19</c:v>
                </c:pt>
                <c:pt idx="4">
                  <c:v>331.22</c:v>
                </c:pt>
                <c:pt idx="5">
                  <c:v>336.71</c:v>
                </c:pt>
                <c:pt idx="6">
                  <c:v>327.56</c:v>
                </c:pt>
                <c:pt idx="7">
                  <c:v>265.47000000000003</c:v>
                </c:pt>
              </c:numCache>
            </c:numRef>
          </c:val>
        </c:ser>
        <c:ser>
          <c:idx val="2"/>
          <c:order val="2"/>
          <c:tx>
            <c:strRef>
              <c:f>'II0100'!$A$8</c:f>
              <c:strCache>
                <c:ptCount val="1"/>
                <c:pt idx="0">
                  <c:v>2010</c:v>
                </c:pt>
              </c:strCache>
            </c:strRef>
          </c:tx>
          <c:invertIfNegative val="0"/>
          <c:cat>
            <c:strRef>
              <c:f>'II0100'!$B$5:$I$5</c:f>
              <c:strCache>
                <c:ptCount val="8"/>
                <c:pt idx="0">
                  <c:v>Pavisam</c:v>
                </c:pt>
                <c:pt idx="1">
                  <c:v>0–15</c:v>
                </c:pt>
                <c:pt idx="2">
                  <c:v>16–24</c:v>
                </c:pt>
                <c:pt idx="3">
                  <c:v>25–34</c:v>
                </c:pt>
                <c:pt idx="4">
                  <c:v>35–44</c:v>
                </c:pt>
                <c:pt idx="5">
                  <c:v>45–54</c:v>
                </c:pt>
                <c:pt idx="6">
                  <c:v>55–64</c:v>
                </c:pt>
                <c:pt idx="7">
                  <c:v>65+</c:v>
                </c:pt>
              </c:strCache>
            </c:strRef>
          </c:cat>
          <c:val>
            <c:numRef>
              <c:f>'II0100'!$B$8:$I$8</c:f>
              <c:numCache>
                <c:formatCode>General</c:formatCode>
                <c:ptCount val="8"/>
                <c:pt idx="0">
                  <c:v>300.51</c:v>
                </c:pt>
                <c:pt idx="1">
                  <c:v>305.70999999999998</c:v>
                </c:pt>
                <c:pt idx="2">
                  <c:v>272.91000000000003</c:v>
                </c:pt>
                <c:pt idx="3">
                  <c:v>350.27</c:v>
                </c:pt>
                <c:pt idx="4">
                  <c:v>318.22000000000003</c:v>
                </c:pt>
                <c:pt idx="5">
                  <c:v>297.55</c:v>
                </c:pt>
                <c:pt idx="6">
                  <c:v>303.45</c:v>
                </c:pt>
                <c:pt idx="7">
                  <c:v>265.02</c:v>
                </c:pt>
              </c:numCache>
            </c:numRef>
          </c:val>
        </c:ser>
        <c:ser>
          <c:idx val="3"/>
          <c:order val="3"/>
          <c:tx>
            <c:strRef>
              <c:f>'II0100'!$A$9</c:f>
              <c:strCache>
                <c:ptCount val="1"/>
                <c:pt idx="0">
                  <c:v>2011</c:v>
                </c:pt>
              </c:strCache>
            </c:strRef>
          </c:tx>
          <c:invertIfNegative val="0"/>
          <c:cat>
            <c:strRef>
              <c:f>'II0100'!$B$5:$I$5</c:f>
              <c:strCache>
                <c:ptCount val="8"/>
                <c:pt idx="0">
                  <c:v>Pavisam</c:v>
                </c:pt>
                <c:pt idx="1">
                  <c:v>0–15</c:v>
                </c:pt>
                <c:pt idx="2">
                  <c:v>16–24</c:v>
                </c:pt>
                <c:pt idx="3">
                  <c:v>25–34</c:v>
                </c:pt>
                <c:pt idx="4">
                  <c:v>35–44</c:v>
                </c:pt>
                <c:pt idx="5">
                  <c:v>45–54</c:v>
                </c:pt>
                <c:pt idx="6">
                  <c:v>55–64</c:v>
                </c:pt>
                <c:pt idx="7">
                  <c:v>65+</c:v>
                </c:pt>
              </c:strCache>
            </c:strRef>
          </c:cat>
          <c:val>
            <c:numRef>
              <c:f>'II0100'!$B$9:$I$9</c:f>
              <c:numCache>
                <c:formatCode>General</c:formatCode>
                <c:ptCount val="8"/>
                <c:pt idx="0">
                  <c:v>319.94</c:v>
                </c:pt>
                <c:pt idx="1">
                  <c:v>324.43</c:v>
                </c:pt>
                <c:pt idx="2">
                  <c:v>302.24</c:v>
                </c:pt>
                <c:pt idx="3">
                  <c:v>374.35</c:v>
                </c:pt>
                <c:pt idx="4">
                  <c:v>341.92</c:v>
                </c:pt>
                <c:pt idx="5">
                  <c:v>315.89999999999998</c:v>
                </c:pt>
                <c:pt idx="6">
                  <c:v>331.67</c:v>
                </c:pt>
                <c:pt idx="7">
                  <c:v>266.19</c:v>
                </c:pt>
              </c:numCache>
            </c:numRef>
          </c:val>
        </c:ser>
        <c:dLbls>
          <c:showLegendKey val="0"/>
          <c:showVal val="0"/>
          <c:showCatName val="0"/>
          <c:showSerName val="0"/>
          <c:showPercent val="0"/>
          <c:showBubbleSize val="0"/>
        </c:dLbls>
        <c:gapWidth val="150"/>
        <c:axId val="106613376"/>
        <c:axId val="106619264"/>
      </c:barChart>
      <c:catAx>
        <c:axId val="106613376"/>
        <c:scaling>
          <c:orientation val="minMax"/>
        </c:scaling>
        <c:delete val="0"/>
        <c:axPos val="l"/>
        <c:majorTickMark val="none"/>
        <c:minorTickMark val="none"/>
        <c:tickLblPos val="nextTo"/>
        <c:crossAx val="106619264"/>
        <c:crosses val="autoZero"/>
        <c:auto val="1"/>
        <c:lblAlgn val="ctr"/>
        <c:lblOffset val="100"/>
        <c:noMultiLvlLbl val="0"/>
      </c:catAx>
      <c:valAx>
        <c:axId val="106619264"/>
        <c:scaling>
          <c:orientation val="minMax"/>
        </c:scaling>
        <c:delete val="0"/>
        <c:axPos val="b"/>
        <c:majorGridlines/>
        <c:numFmt formatCode="General" sourceLinked="1"/>
        <c:majorTickMark val="none"/>
        <c:minorTickMark val="none"/>
        <c:tickLblPos val="nextTo"/>
        <c:crossAx val="106613376"/>
        <c:crosses val="autoZero"/>
        <c:crossBetween val="between"/>
      </c:valAx>
      <c:dTable>
        <c:showHorzBorder val="1"/>
        <c:showVertBorder val="1"/>
        <c:showOutline val="1"/>
        <c:showKeys val="1"/>
        <c:txPr>
          <a:bodyPr/>
          <a:lstStyle/>
          <a:p>
            <a:pPr rtl="0">
              <a:defRPr sz="900"/>
            </a:pPr>
            <a:endParaRPr lang="lv-LV"/>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DB79-FE64-4235-A0DA-230037A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66</Pages>
  <Words>19877</Words>
  <Characters>139509</Characters>
  <Application>Microsoft Office Word</Application>
  <DocSecurity>0</DocSecurity>
  <Lines>1162</Lines>
  <Paragraphs>318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159068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Evija Meiere</dc:creator>
  <cp:lastModifiedBy>Maruta Pavasare</cp:lastModifiedBy>
  <cp:revision>27</cp:revision>
  <cp:lastPrinted>2013-11-11T14:02:00Z</cp:lastPrinted>
  <dcterms:created xsi:type="dcterms:W3CDTF">2013-11-12T09:24:00Z</dcterms:created>
  <dcterms:modified xsi:type="dcterms:W3CDTF">2013-11-21T13:55:00Z</dcterms:modified>
</cp:coreProperties>
</file>