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99" w:rsidRPr="009C1695" w:rsidRDefault="009A2399" w:rsidP="0071121A">
      <w:pPr>
        <w:jc w:val="center"/>
        <w:rPr>
          <w:b/>
          <w:bCs/>
        </w:rPr>
      </w:pPr>
      <w:r w:rsidRPr="009C1695">
        <w:rPr>
          <w:b/>
          <w:bCs/>
          <w:sz w:val="28"/>
          <w:szCs w:val="28"/>
        </w:rPr>
        <w:t xml:space="preserve">Ministru kabineta noteikumu projekta „Grozījumi Ministru kabineta </w:t>
      </w:r>
      <w:r>
        <w:rPr>
          <w:b/>
          <w:bCs/>
          <w:sz w:val="28"/>
          <w:szCs w:val="28"/>
        </w:rPr>
        <w:t>2011</w:t>
      </w:r>
      <w:r w:rsidRPr="009C1695">
        <w:rPr>
          <w:b/>
          <w:bCs/>
          <w:sz w:val="28"/>
          <w:szCs w:val="28"/>
        </w:rPr>
        <w:t xml:space="preserve">.gada </w:t>
      </w:r>
      <w:r>
        <w:rPr>
          <w:b/>
          <w:bCs/>
          <w:sz w:val="28"/>
          <w:szCs w:val="28"/>
        </w:rPr>
        <w:t>4.oktobra</w:t>
      </w:r>
      <w:r w:rsidRPr="009C1695">
        <w:rPr>
          <w:b/>
          <w:bCs/>
          <w:sz w:val="28"/>
          <w:szCs w:val="28"/>
        </w:rPr>
        <w:t xml:space="preserve"> noteikumos Nr.</w:t>
      </w:r>
      <w:r>
        <w:rPr>
          <w:b/>
          <w:bCs/>
          <w:sz w:val="28"/>
          <w:szCs w:val="28"/>
        </w:rPr>
        <w:t>763 „Noteikumi par bāriņtiesas ikgadējā pārskata veidlapas paraugu un pārskata iesniegšanas un aizpildīšanas kārtību</w:t>
      </w:r>
      <w:r w:rsidRPr="009C1695">
        <w:rPr>
          <w:b/>
          <w:bCs/>
          <w:sz w:val="28"/>
          <w:szCs w:val="28"/>
        </w:rPr>
        <w:t>””</w:t>
      </w:r>
      <w:r>
        <w:rPr>
          <w:b/>
          <w:bCs/>
          <w:sz w:val="28"/>
          <w:szCs w:val="28"/>
        </w:rPr>
        <w:t xml:space="preserve"> </w:t>
      </w:r>
      <w:r w:rsidRPr="009C1695">
        <w:rPr>
          <w:b/>
          <w:bCs/>
          <w:sz w:val="28"/>
          <w:szCs w:val="28"/>
        </w:rPr>
        <w:t>sākotnējās ietekmes novērtējuma ziņojums (anotācija)</w:t>
      </w:r>
      <w:r w:rsidRPr="009C1695">
        <w:rPr>
          <w:b/>
          <w:bCs/>
          <w:sz w:val="28"/>
          <w:szCs w:val="28"/>
        </w:rPr>
        <w:tab/>
      </w:r>
    </w:p>
    <w:p w:rsidR="009A2399" w:rsidRDefault="009A2399" w:rsidP="000864C1">
      <w:pPr>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72"/>
        <w:gridCol w:w="5819"/>
      </w:tblGrid>
      <w:tr w:rsidR="009A2399" w:rsidRPr="00B76D85">
        <w:tc>
          <w:tcPr>
            <w:tcW w:w="5000" w:type="pct"/>
            <w:gridSpan w:val="3"/>
          </w:tcPr>
          <w:p w:rsidR="009A2399" w:rsidRPr="00E10C41" w:rsidRDefault="009A2399" w:rsidP="00E10C41">
            <w:pPr>
              <w:jc w:val="center"/>
              <w:rPr>
                <w:b/>
                <w:bCs/>
              </w:rPr>
            </w:pPr>
            <w:r w:rsidRPr="00E10C41">
              <w:rPr>
                <w:b/>
                <w:bCs/>
              </w:rPr>
              <w:t>I Tiesību akta projekta izstrādes nepieciešamība</w:t>
            </w:r>
          </w:p>
        </w:tc>
      </w:tr>
      <w:tr w:rsidR="009A2399" w:rsidRPr="003F27FC">
        <w:tc>
          <w:tcPr>
            <w:tcW w:w="213" w:type="pct"/>
          </w:tcPr>
          <w:p w:rsidR="009A2399" w:rsidRPr="00716E2F" w:rsidRDefault="009A2399" w:rsidP="00955BA3">
            <w:r w:rsidRPr="00716E2F">
              <w:t>1.</w:t>
            </w:r>
          </w:p>
        </w:tc>
        <w:tc>
          <w:tcPr>
            <w:tcW w:w="1654" w:type="pct"/>
          </w:tcPr>
          <w:p w:rsidR="009A2399" w:rsidRPr="00716E2F" w:rsidRDefault="009A2399" w:rsidP="00955BA3">
            <w:r w:rsidRPr="00716E2F">
              <w:t>Pamatojums</w:t>
            </w:r>
          </w:p>
        </w:tc>
        <w:tc>
          <w:tcPr>
            <w:tcW w:w="3133" w:type="pct"/>
          </w:tcPr>
          <w:p w:rsidR="009A2399" w:rsidRPr="00E8093E" w:rsidRDefault="009A2399" w:rsidP="00792532">
            <w:pPr>
              <w:pStyle w:val="BodyText"/>
              <w:spacing w:after="120"/>
              <w:outlineLvl w:val="0"/>
              <w:rPr>
                <w:sz w:val="24"/>
                <w:szCs w:val="24"/>
              </w:rPr>
            </w:pPr>
            <w:r w:rsidRPr="00350A72">
              <w:rPr>
                <w:sz w:val="24"/>
                <w:szCs w:val="24"/>
              </w:rPr>
              <w:t>Saskaņā ar Ministru kabinets 2012.gada 10.aprīļa protokollēmuma Nr.19 39.§ „Par Ministru kabineta 2011.gada 15.novembra sēdes pro</w:t>
            </w:r>
            <w:r>
              <w:rPr>
                <w:sz w:val="24"/>
                <w:szCs w:val="24"/>
              </w:rPr>
              <w:t>tokollēmuma (prot. Nr.67 45.§) „Likumprojekts „Grozījumi Civillikumā””</w:t>
            </w:r>
            <w:r w:rsidRPr="00350A72">
              <w:rPr>
                <w:sz w:val="24"/>
                <w:szCs w:val="24"/>
              </w:rPr>
              <w:t xml:space="preserve"> un pro</w:t>
            </w:r>
            <w:r>
              <w:rPr>
                <w:sz w:val="24"/>
                <w:szCs w:val="24"/>
              </w:rPr>
              <w:t>tokollēmuma (prot. Nr.67 46.§) „Likumprojekts „Grozījumi Civilprocesa likumā””</w:t>
            </w:r>
            <w:r w:rsidRPr="00350A72">
              <w:rPr>
                <w:sz w:val="24"/>
                <w:szCs w:val="24"/>
              </w:rPr>
              <w:t xml:space="preserve"> izpildi (TA-715)” 2. punktu</w:t>
            </w:r>
            <w:r>
              <w:rPr>
                <w:sz w:val="24"/>
                <w:szCs w:val="24"/>
              </w:rPr>
              <w:t xml:space="preserve">, </w:t>
            </w:r>
            <w:r w:rsidRPr="00E8093E">
              <w:rPr>
                <w:sz w:val="24"/>
                <w:szCs w:val="24"/>
              </w:rPr>
              <w:t>l</w:t>
            </w:r>
            <w:r w:rsidRPr="00E8093E">
              <w:rPr>
                <w:rStyle w:val="spelle"/>
                <w:sz w:val="24"/>
                <w:szCs w:val="24"/>
              </w:rPr>
              <w:t>ai ieviestu tiesisko regulējumu visos normatīvajos aktos atbilstoši Ministru kabineta 2011.gada 15.novembra sēd</w:t>
            </w:r>
            <w:r>
              <w:rPr>
                <w:rStyle w:val="spelle"/>
                <w:sz w:val="24"/>
                <w:szCs w:val="24"/>
              </w:rPr>
              <w:t>ē atbalstītajos likumprojektos „Grozījumi Civillikumā”, „</w:t>
            </w:r>
            <w:r w:rsidRPr="00E8093E">
              <w:rPr>
                <w:rStyle w:val="spelle"/>
                <w:sz w:val="24"/>
                <w:szCs w:val="24"/>
              </w:rPr>
              <w:t>Grozījumi Civilprocesa</w:t>
            </w:r>
            <w:r>
              <w:rPr>
                <w:rStyle w:val="spelle"/>
                <w:sz w:val="24"/>
                <w:szCs w:val="24"/>
              </w:rPr>
              <w:t xml:space="preserve"> likumā” un „</w:t>
            </w:r>
            <w:r w:rsidRPr="00E8093E">
              <w:rPr>
                <w:rStyle w:val="spelle"/>
                <w:sz w:val="24"/>
                <w:szCs w:val="24"/>
              </w:rPr>
              <w:t>Grozījumi Bāriņtiesu likumā</w:t>
            </w:r>
            <w:r>
              <w:rPr>
                <w:rStyle w:val="spelle"/>
                <w:sz w:val="24"/>
                <w:szCs w:val="24"/>
              </w:rPr>
              <w:t>”</w:t>
            </w:r>
            <w:r w:rsidRPr="00E8093E">
              <w:rPr>
                <w:rStyle w:val="spelle"/>
                <w:sz w:val="24"/>
                <w:szCs w:val="24"/>
              </w:rPr>
              <w:t xml:space="preserve"> (prot. Nr.67 45., 46. un 47.§) paredzētajām izmaiņām rīcības spējas tiesiskajā regulējumā, kā arī Apvienoto Nāciju Organizācijas Konvencijai par personu ar invaliditāti tiesībām, visām ministrijām atbilstoši to kompetencei sešu mēnešu laikā no </w:t>
            </w:r>
            <w:r>
              <w:rPr>
                <w:rStyle w:val="spelle"/>
                <w:sz w:val="24"/>
                <w:szCs w:val="24"/>
              </w:rPr>
              <w:t xml:space="preserve">minēto </w:t>
            </w:r>
            <w:r w:rsidRPr="00E8093E">
              <w:rPr>
                <w:rStyle w:val="spelle"/>
                <w:sz w:val="24"/>
                <w:szCs w:val="24"/>
              </w:rPr>
              <w:t>likumprojektu stāšanās spēkā sagatavot un iesniegt noteiktā kārtībā Ministru kabinetā attiecīgus normatīvo aktu projektus</w:t>
            </w:r>
            <w:r>
              <w:rPr>
                <w:rStyle w:val="spelle"/>
                <w:sz w:val="24"/>
                <w:szCs w:val="24"/>
              </w:rPr>
              <w:t>.</w:t>
            </w:r>
          </w:p>
          <w:p w:rsidR="009A2399" w:rsidRDefault="009A2399" w:rsidP="00792532">
            <w:pPr>
              <w:spacing w:after="120"/>
              <w:jc w:val="both"/>
            </w:pPr>
            <w:r w:rsidRPr="00350A72">
              <w:t xml:space="preserve">Vienlaikus </w:t>
            </w:r>
            <w:r>
              <w:t xml:space="preserve">saskaņā ar </w:t>
            </w:r>
            <w:r w:rsidRPr="00350A72">
              <w:t>Tieslietu ministrijas informatīv</w:t>
            </w:r>
            <w:r>
              <w:t>ā ziņojuma</w:t>
            </w:r>
            <w:r w:rsidRPr="00350A72">
              <w:t xml:space="preserve"> „Par priekšlikumiem grozījumiem normatīvajos aktos rīcības spējas tiesiskā regulējuma ieviešanai”</w:t>
            </w:r>
            <w:r>
              <w:t xml:space="preserve"> </w:t>
            </w:r>
            <w:r w:rsidRPr="00350A72">
              <w:t>2.8.</w:t>
            </w:r>
            <w:r>
              <w:t>apakšpunktu</w:t>
            </w:r>
            <w:r w:rsidRPr="00350A72">
              <w:t xml:space="preserve"> Labklājības ministrijai </w:t>
            </w:r>
            <w:r>
              <w:t xml:space="preserve">uzdots </w:t>
            </w:r>
            <w:r w:rsidRPr="00350A72">
              <w:t>izstrādāt grozījumus Ministru kabineta 2011.gada 4.oktobra noteikumos Nr.763 „Noteikumi par bāriņtiesas ikgadējā pārskata veidlapas paraugu un pārskata iesniegšanas un aizpildīšanas kārtību” (turpmāk – Noteikumi).</w:t>
            </w:r>
          </w:p>
          <w:p w:rsidR="009A2399" w:rsidRPr="00350A72" w:rsidRDefault="009A2399" w:rsidP="00792532">
            <w:pPr>
              <w:spacing w:after="120"/>
              <w:jc w:val="both"/>
            </w:pPr>
            <w:r>
              <w:t>Tāpat 2013.gada 4.jūlijā spēkā stājās grozījumi Bērnu tiesību aizsardzības likuma 33.panta otrajā daļā, tādejādi Noteikumos esošā terminoloģiju nepieciešams precizēt atbilstoši grozījumiem.</w:t>
            </w:r>
          </w:p>
        </w:tc>
      </w:tr>
      <w:tr w:rsidR="009A2399" w:rsidRPr="003F27FC">
        <w:tc>
          <w:tcPr>
            <w:tcW w:w="213" w:type="pct"/>
          </w:tcPr>
          <w:p w:rsidR="009A2399" w:rsidRPr="00716E2F" w:rsidRDefault="009A2399" w:rsidP="00955BA3">
            <w:r w:rsidRPr="00716E2F">
              <w:t xml:space="preserve">2. </w:t>
            </w:r>
          </w:p>
        </w:tc>
        <w:tc>
          <w:tcPr>
            <w:tcW w:w="1654" w:type="pct"/>
          </w:tcPr>
          <w:p w:rsidR="009A2399" w:rsidRPr="00716E2F" w:rsidRDefault="009A2399" w:rsidP="00955BA3">
            <w:r w:rsidRPr="00716E2F">
              <w:t>Pašreizējā situācija un problēmas</w:t>
            </w:r>
          </w:p>
        </w:tc>
        <w:tc>
          <w:tcPr>
            <w:tcW w:w="3133" w:type="pct"/>
          </w:tcPr>
          <w:p w:rsidR="009A2399" w:rsidRPr="00C81F9D" w:rsidRDefault="009A2399" w:rsidP="00BC4139">
            <w:pPr>
              <w:spacing w:after="120"/>
              <w:jc w:val="both"/>
              <w:rPr>
                <w:color w:val="000000"/>
              </w:rPr>
            </w:pPr>
            <w:r w:rsidRPr="00C81F9D">
              <w:t>2013.gada 1.janvārī spēkā stājās grozījumi Latv</w:t>
            </w:r>
            <w:r>
              <w:t>ijas Republikas Civillikuma Ģimenes tiesību daļā</w:t>
            </w:r>
            <w:r w:rsidRPr="00C81F9D">
              <w:t xml:space="preserve">, paredzot, ka turpmāk </w:t>
            </w:r>
            <w:r>
              <w:t>bāriņtiesa varēs pieņemt lēmumu par bērna „aizgādības tiesību pārtraukšanu”</w:t>
            </w:r>
            <w:r w:rsidRPr="00C81F9D">
              <w:t xml:space="preserve"> vecākiem</w:t>
            </w:r>
            <w:r>
              <w:t>. Līdz grozījumu spēkā stāšanās brīdim bāriņtiesu lēmumos tika lietots termins bērna „aprūpes tiesību atņemšana” vecākiem</w:t>
            </w:r>
            <w:r w:rsidRPr="00C81F9D">
              <w:t xml:space="preserve">. </w:t>
            </w:r>
            <w:r>
              <w:t xml:space="preserve">Vienlaikus </w:t>
            </w:r>
            <w:r w:rsidRPr="00C81F9D">
              <w:t>Latvijas Repub</w:t>
            </w:r>
            <w:r>
              <w:t xml:space="preserve">likas Civillikumā arī </w:t>
            </w:r>
            <w:r w:rsidRPr="00C81F9D">
              <w:t>356.</w:t>
            </w:r>
            <w:r w:rsidRPr="00C81F9D">
              <w:rPr>
                <w:vertAlign w:val="superscript"/>
              </w:rPr>
              <w:t>1</w:t>
            </w:r>
            <w:r w:rsidRPr="00C81F9D">
              <w:t xml:space="preserve"> pant</w:t>
            </w:r>
            <w:r>
              <w:t xml:space="preserve">ā stājās spēkā grozījumi, kas paredz, ka </w:t>
            </w:r>
            <w:r w:rsidRPr="00C81F9D">
              <w:t>persona nav ierobežojama personiskajās nemantiskajās tiesībās, kā arī aizstāvēt savas tiesības un likumiskās intereses iestādēs un tiesā saistībā ar tās rīcībspējas un brīvības ierobežojumiem, domstarpībām, strīdiem ar aizgādni un aizgādņa iecelšanu un atcelšanu.</w:t>
            </w:r>
            <w:r>
              <w:t xml:space="preserve"> Tāpat saskaņā ar grozījumiem </w:t>
            </w:r>
            <w:r w:rsidRPr="00C81F9D">
              <w:rPr>
                <w:color w:val="000000"/>
              </w:rPr>
              <w:t>Latvijas</w:t>
            </w:r>
            <w:r>
              <w:rPr>
                <w:color w:val="000000"/>
              </w:rPr>
              <w:t xml:space="preserve"> Republikas Civillikumā </w:t>
            </w:r>
            <w:r w:rsidRPr="00C81F9D">
              <w:rPr>
                <w:color w:val="000000"/>
              </w:rPr>
              <w:t xml:space="preserve">personas rīcībspēja nav ierobežojama pilnībā un persona nav atzīstama par rīcībnespējīgu, bet nepieciešams vērtēt personas rīcībspējas ierobežojumus, ja persona ar savu rīcību kaitē sev vai citām personām, vienlaikus neierobežojot personu viņas personiskajās tiesībās. </w:t>
            </w:r>
            <w:r>
              <w:rPr>
                <w:color w:val="000000"/>
              </w:rPr>
              <w:t>Tādejādi k</w:t>
            </w:r>
            <w:r>
              <w:t xml:space="preserve">opš 2013.gada 1.janvāra Noteikumos tiek lietota terminoloģija, kas vairs neatbilst spēkā esošajam normatīvajam regulējuma. </w:t>
            </w:r>
          </w:p>
          <w:p w:rsidR="009A2399" w:rsidRDefault="009A2399" w:rsidP="00BC4139">
            <w:pPr>
              <w:spacing w:after="120"/>
              <w:jc w:val="both"/>
            </w:pPr>
            <w:r>
              <w:t>Savukārt 2013.gada 4.jūlijā spēkā stājās grozījumi Bērnu tiesību aizsardzības likuma 33.panta otrajā daļā. Tie paredz, ka gadījumos, ja bērnam, kas nodots aizbildnībā vai audžuģimenē vai ievietots bērnu aprūpes iestādē, personisku attiecību un tiešu kontaktu uzturēšana ar vecākiem, brāļiem, māsām, vecvecākiem vai personām, ar kurām bērns ilgu laiku ir dzīvojis nedalītā saimniecībā, kaitē veselībai, attīstībai un drošībai vai rada draudus aizbildņiem, audžuģimenēm, bērnu aprūpes iestāžu darbiniekiem vai citiem bērniem, bāriņtiesa, kura pieņēmusi lēmumu par bērna ārpusģimenes aprūpi, var atteikties paziņot bērna atrašanās vietu vai pieņemt lēmumu par personisku attiecību un tiešu kontaktu uzturēšanas tiesību ierobežošanu. Noteikumu 1.pielikuma 1.2.3.ailē minēts termins „aizliegums satikties”, kas neatbilst spēkā esošajam normatīvajam regulējumam.</w:t>
            </w:r>
          </w:p>
          <w:p w:rsidR="009A2399" w:rsidRDefault="009A2399" w:rsidP="00393506">
            <w:pPr>
              <w:spacing w:after="120"/>
              <w:jc w:val="both"/>
            </w:pPr>
            <w:r w:rsidRPr="00C81F9D">
              <w:t xml:space="preserve">Bāriņtiesu likuma 26.panta pirmās daļas 7.punkts paredz, ka bāriņtiesa lemj par aizbildnības nodibināšanu un aizbildņa iecelšanu bērnam, ja radušās būtiskas domstarpības bērna un vecāku attiecībās. Latvijas Republikas Civillikuma 185.panta trešajā daļā noteikts, ka domstarpību atrisināšanai, ja nepieciešams, bērnam ieceļams aizbildnis. Saskaņā ar Ministru kabineta 2006.gada 19.decembra noteikumu Nr.1036 „Audžuģimenes noteikumi” 28.punkta 28.6.apakšpunktu, bāriņtiesa var ievietot bērnu audžuģimenē gadījumos, kad izveidojusies konfliktsituācija starp bērnu un vecākiem vai aizbildni. Līdz šim minētie gadījumi valsts statistikas pārskatā netika apkopoti, lai arī bāriņtiesas telefoniski ir informējušas inspekciju par šādiem gadījumiem. </w:t>
            </w:r>
          </w:p>
          <w:p w:rsidR="009A2399" w:rsidRPr="00C81F9D" w:rsidRDefault="009A2399" w:rsidP="009E44D7">
            <w:pPr>
              <w:spacing w:after="120"/>
              <w:jc w:val="both"/>
            </w:pPr>
            <w:r>
              <w:t xml:space="preserve">Inspekcijai rīcībā ir informācija, ka bāriņtiesas </w:t>
            </w:r>
            <w:r w:rsidRPr="00C81F9D">
              <w:t>valsts statistikas pārskatu</w:t>
            </w:r>
            <w:r>
              <w:t xml:space="preserve"> aizpildīšanas laikā salīdzinoši bieži norāda uz par problemātiku </w:t>
            </w:r>
            <w:r w:rsidRPr="00C81F9D">
              <w:t>veidlapas parauga 7.2.1. un 7.2.2.</w:t>
            </w:r>
            <w:r>
              <w:t>aiļu aizpildīšanā</w:t>
            </w:r>
            <w:r w:rsidRPr="00C81F9D">
              <w:t>. Praksē bāriņtiesu pieņemtie atzinumi pēc tiesas pieprasījuma lielākoties ir gan par bērna saskarsmes tiesības izmantošanas kārtības noteikšanu, gan viena vecāka atsevišķas aizgādības noteikšanu un to precīza izdalīšana pēc valsts statistikas pārskata veidlapas 7.2.1. un 7.2.2.</w:t>
            </w:r>
            <w:r>
              <w:t>ailēs</w:t>
            </w:r>
            <w:r w:rsidRPr="00C81F9D">
              <w:t xml:space="preserve"> dotā definējuma nav iespējama, līdz ar to bāriņtiesu sniegtā informācija nav precīza. Inspekcijas ieskatā valsts statistikas pārskatu veidlapas parauga 7.2. ailē ietvertā informācija ir pietiekama, lai sniegtu nepieciešamo informāciju par bāriņtiesu darbību lietās par atzinuma sniegšanu pēc tiesas pieprasījuma attiecībā uz bērna aizgādības tiesību un saskarsmes tiesības izmantošanas kārtības noteikšanu. </w:t>
            </w:r>
          </w:p>
        </w:tc>
      </w:tr>
      <w:tr w:rsidR="009A2399" w:rsidRPr="003F27FC">
        <w:tc>
          <w:tcPr>
            <w:tcW w:w="213" w:type="pct"/>
          </w:tcPr>
          <w:p w:rsidR="009A2399" w:rsidRPr="00716E2F" w:rsidRDefault="009A2399" w:rsidP="00955BA3">
            <w:r w:rsidRPr="00716E2F">
              <w:t xml:space="preserve">3. </w:t>
            </w:r>
          </w:p>
        </w:tc>
        <w:tc>
          <w:tcPr>
            <w:tcW w:w="1654" w:type="pct"/>
          </w:tcPr>
          <w:p w:rsidR="009A2399" w:rsidRPr="00716E2F" w:rsidRDefault="009A2399" w:rsidP="00955BA3">
            <w:r w:rsidRPr="00716E2F">
              <w:t>Saistītie politikas ietekmes novērtējumi un pētījumi</w:t>
            </w:r>
          </w:p>
        </w:tc>
        <w:tc>
          <w:tcPr>
            <w:tcW w:w="3133" w:type="pct"/>
          </w:tcPr>
          <w:p w:rsidR="009A2399" w:rsidRPr="00716E2F" w:rsidRDefault="009A2399" w:rsidP="00E10C41">
            <w:pPr>
              <w:jc w:val="both"/>
            </w:pPr>
            <w:r w:rsidRPr="00716E2F">
              <w:t>Nav attiecināms.</w:t>
            </w:r>
          </w:p>
        </w:tc>
      </w:tr>
      <w:tr w:rsidR="009A2399" w:rsidRPr="003F27FC">
        <w:tc>
          <w:tcPr>
            <w:tcW w:w="213" w:type="pct"/>
          </w:tcPr>
          <w:p w:rsidR="009A2399" w:rsidRPr="00716E2F" w:rsidRDefault="009A2399" w:rsidP="00955BA3">
            <w:r w:rsidRPr="00716E2F">
              <w:t>4.</w:t>
            </w:r>
          </w:p>
        </w:tc>
        <w:tc>
          <w:tcPr>
            <w:tcW w:w="1654" w:type="pct"/>
          </w:tcPr>
          <w:p w:rsidR="009A2399" w:rsidRPr="00716E2F" w:rsidRDefault="009A2399" w:rsidP="00955BA3">
            <w:r w:rsidRPr="00716E2F">
              <w:t>Tiesiskā regulējuma mērķis un būtība</w:t>
            </w:r>
          </w:p>
        </w:tc>
        <w:tc>
          <w:tcPr>
            <w:tcW w:w="3133" w:type="pct"/>
          </w:tcPr>
          <w:p w:rsidR="009A2399" w:rsidRPr="00170EBA" w:rsidRDefault="009A2399" w:rsidP="00170EBA">
            <w:pPr>
              <w:tabs>
                <w:tab w:val="left" w:pos="252"/>
              </w:tabs>
              <w:spacing w:after="120"/>
              <w:jc w:val="both"/>
            </w:pPr>
            <w:r w:rsidRPr="00170EBA">
              <w:t>Lai novērstu spēkā esošajā normatīvajā regulējumā esošās un Ministru kabineta noteikumu projekta „Grozījumi Ministru kabineta 2011.gada 4.oktobra noteikumos Nr.763 „Noteikumi par bāriņtiesas ikgadējā pārskata veidlapas paraugu un pārskata iesniegšanas un aizpildīšanas kārtību”” (turpmāk – Noteikumu projekts) sākotnējās ietekmes novērtējuma ziņojuma (anotācija) I.sadaļas 2.punktā „Pašreizējā situācija un problēmas” minētās problēmas, izstrādāts Noteikumu projekts, kura:</w:t>
            </w:r>
          </w:p>
          <w:p w:rsidR="009A2399" w:rsidRDefault="009A2399" w:rsidP="00170EBA">
            <w:pPr>
              <w:numPr>
                <w:ilvl w:val="0"/>
                <w:numId w:val="2"/>
              </w:numPr>
              <w:tabs>
                <w:tab w:val="clear" w:pos="720"/>
                <w:tab w:val="left" w:pos="252"/>
              </w:tabs>
              <w:spacing w:after="120"/>
              <w:ind w:left="0" w:firstLine="0"/>
              <w:jc w:val="both"/>
            </w:pPr>
            <w:r>
              <w:t>1.1., 1.2., 1.3., 1.4., 1.5.,</w:t>
            </w:r>
            <w:r w:rsidRPr="00170EBA">
              <w:t xml:space="preserve"> </w:t>
            </w:r>
            <w:r>
              <w:t>1.</w:t>
            </w:r>
            <w:r w:rsidRPr="00170EBA">
              <w:t>1</w:t>
            </w:r>
            <w:r>
              <w:t>1</w:t>
            </w:r>
            <w:r w:rsidRPr="00170EBA">
              <w:t xml:space="preserve">. un </w:t>
            </w:r>
            <w:r>
              <w:t>1.</w:t>
            </w:r>
            <w:r w:rsidRPr="00170EBA">
              <w:t>1</w:t>
            </w:r>
            <w:r>
              <w:t>2</w:t>
            </w:r>
            <w:r w:rsidRPr="00170EBA">
              <w:t>.</w:t>
            </w:r>
            <w:r>
              <w:t>apakšpunkts</w:t>
            </w:r>
            <w:r w:rsidRPr="00170EBA">
              <w:t xml:space="preserve"> paredz precizēt Noteikumos terminoloģiju atbilstoši spēkā esošajiem normatīvajiem aktiem;</w:t>
            </w:r>
          </w:p>
          <w:p w:rsidR="009A2399" w:rsidRDefault="009A2399" w:rsidP="008E36DE">
            <w:pPr>
              <w:numPr>
                <w:ilvl w:val="0"/>
                <w:numId w:val="2"/>
              </w:numPr>
              <w:tabs>
                <w:tab w:val="left" w:pos="252"/>
                <w:tab w:val="left" w:pos="993"/>
              </w:tabs>
              <w:spacing w:after="120"/>
              <w:ind w:left="0" w:firstLine="0"/>
              <w:jc w:val="both"/>
            </w:pPr>
            <w:r>
              <w:t xml:space="preserve">lai nodrošinātu valsts statistikas pārskatos informācijas apspoguļošanu par bāriņtiesas pieņemtajiem lēmumiem attiecībā uz bērna ievietošanu audžuģimenē </w:t>
            </w:r>
            <w:r w:rsidRPr="00C81F9D">
              <w:t>gadījumos, kad izveidojusies konfliktsituācija starp bērnu un vecākiem vai aizbildni</w:t>
            </w:r>
            <w:r>
              <w:t xml:space="preserve">, 1.3.apakšpunktā paredzēts </w:t>
            </w:r>
            <w:r w:rsidRPr="00170EBA">
              <w:t xml:space="preserve">valsts statistikas pārskata veidlapas </w:t>
            </w:r>
            <w:r>
              <w:t xml:space="preserve">2.3.1.3.aili izteikt jaunā redakcijā, </w:t>
            </w:r>
            <w:r w:rsidRPr="00170EBA">
              <w:t>kas atspoguļotu bērnu skaitu, kuriem ārpusģimenes aprūpe nodrošināta dēļ būtiskām domstarp</w:t>
            </w:r>
            <w:r>
              <w:t xml:space="preserve">ībām bērna un vecāku attiecībās. Vienlaikus 1.3.apakšpunkts paredz arī </w:t>
            </w:r>
            <w:r w:rsidRPr="00170EBA">
              <w:t xml:space="preserve">papildināt valsts statistikas pārskata paraugu ar </w:t>
            </w:r>
            <w:r>
              <w:t>2.3.5.8.</w:t>
            </w:r>
            <w:r w:rsidRPr="00170EBA">
              <w:t xml:space="preserve"> </w:t>
            </w:r>
            <w:r>
              <w:t xml:space="preserve">aili </w:t>
            </w:r>
            <w:r w:rsidRPr="00170EBA">
              <w:t xml:space="preserve">„no tā vecāku aprūpē nodoto bērnu skaits pēc būtisku domstarpību atrisināšanas” un </w:t>
            </w:r>
            <w:r>
              <w:t>2.3.6.8.</w:t>
            </w:r>
            <w:r w:rsidRPr="00170EBA">
              <w:t xml:space="preserve"> aili </w:t>
            </w:r>
            <w:r>
              <w:t>„</w:t>
            </w:r>
            <w:r w:rsidRPr="00170EBA">
              <w:t>no tā vecāku aprūpē nodoto bērnu skaits pēc būt</w:t>
            </w:r>
            <w:r>
              <w:t>isku domstarpību atrisināšanas”, attiecīgi mainot turpmāko pielikumu punktu numerāciju;</w:t>
            </w:r>
          </w:p>
          <w:p w:rsidR="009A2399" w:rsidRDefault="009A2399" w:rsidP="008E36DE">
            <w:pPr>
              <w:numPr>
                <w:ilvl w:val="0"/>
                <w:numId w:val="2"/>
              </w:numPr>
              <w:tabs>
                <w:tab w:val="left" w:pos="252"/>
                <w:tab w:val="left" w:pos="993"/>
              </w:tabs>
              <w:spacing w:after="120"/>
              <w:ind w:left="0" w:firstLine="0"/>
              <w:jc w:val="both"/>
            </w:pPr>
            <w:r>
              <w:t>1.6.apakšpunkts paredz v</w:t>
            </w:r>
            <w:r w:rsidRPr="00170EBA">
              <w:t xml:space="preserve">alsts statistikas pārskata veidlapas paraugu papildināt ar </w:t>
            </w:r>
            <w:r>
              <w:t>4.2.4.</w:t>
            </w:r>
            <w:r w:rsidRPr="00170EBA">
              <w:t>aili</w:t>
            </w:r>
            <w:r>
              <w:t xml:space="preserve"> „</w:t>
            </w:r>
            <w:r w:rsidRPr="00170EBA">
              <w:t xml:space="preserve">no tā audžuģimeņu skaits, par kuru pārkāpumiem, pildot audžuģimenes pienākumus, bāriņtiesa pārskata gadā informējusi tiesībaizsardzības iestādes (piemēram, policiju, prokuratūru)”. Šie dati var sniegt būtisku ieskatu par problēmām bērnu tiesību aizsardzības nodrošināšanā ārpusģimenes aprūpē, kā arī identificēt problēmas, lai uzlabotu bāriņtiesu darbību audžuģimeņu izvērtēšanā un pārraudzībā. </w:t>
            </w:r>
            <w:r>
              <w:t>Līdz šim a</w:t>
            </w:r>
            <w:r w:rsidRPr="00170EBA">
              <w:t xml:space="preserve">nalogi dati valsts statistikas pārskatā tiek iegūti par aizbildņiem un aizgādņiem, kā arī vecākiem, kuriem </w:t>
            </w:r>
            <w:r>
              <w:t>pārtrauktas aizgādības tiesības;</w:t>
            </w:r>
          </w:p>
          <w:p w:rsidR="009A2399" w:rsidRDefault="009A2399" w:rsidP="008E36DE">
            <w:pPr>
              <w:numPr>
                <w:ilvl w:val="0"/>
                <w:numId w:val="2"/>
              </w:numPr>
              <w:tabs>
                <w:tab w:val="left" w:pos="252"/>
                <w:tab w:val="left" w:pos="993"/>
              </w:tabs>
              <w:spacing w:after="120"/>
              <w:ind w:left="0" w:firstLine="0"/>
              <w:jc w:val="both"/>
            </w:pPr>
            <w:r>
              <w:t>1.7.apakšpunkts paredz v</w:t>
            </w:r>
            <w:r w:rsidRPr="00170EBA">
              <w:t>alsts statistikas pārskata veidlapas parauga 6.1.2.2.ail</w:t>
            </w:r>
            <w:r>
              <w:t>i</w:t>
            </w:r>
            <w:r w:rsidRPr="00170EBA">
              <w:t xml:space="preserve"> </w:t>
            </w:r>
            <w:r>
              <w:t>papildināt</w:t>
            </w:r>
            <w:r w:rsidRPr="00170EBA">
              <w:t xml:space="preserve"> ar apakšsadaļām – tajā skaitā </w:t>
            </w:r>
            <w:r>
              <w:t>sievietes, tajā skaitā vīrieši – nodrošinot iegūstamās statistiskās informācijas konsekventu uzskaiti. Tādā pat sadalījumā patlaban statistika tiek apkopota par 6.1.2.1.ailē minēto „no tā aizgādņu skaits, kuri ir personas ar ierobežotu rīcībspēju radinieki”;</w:t>
            </w:r>
          </w:p>
          <w:p w:rsidR="009A2399" w:rsidRDefault="009A2399" w:rsidP="007F3F6E">
            <w:pPr>
              <w:numPr>
                <w:ilvl w:val="0"/>
                <w:numId w:val="2"/>
              </w:numPr>
              <w:tabs>
                <w:tab w:val="left" w:pos="252"/>
                <w:tab w:val="left" w:pos="993"/>
              </w:tabs>
              <w:spacing w:after="120"/>
              <w:ind w:left="0" w:firstLine="0"/>
              <w:jc w:val="both"/>
            </w:pPr>
            <w:r>
              <w:t xml:space="preserve">1.8.apakšpunkts pielāgo juridisko terminoloģiju atbilstoši </w:t>
            </w:r>
            <w:r w:rsidRPr="00170EBA">
              <w:t xml:space="preserve">Latvijas Republikas Civillikuma </w:t>
            </w:r>
            <w:r>
              <w:t xml:space="preserve">181.pantam, kas paredz, </w:t>
            </w:r>
            <w:r w:rsidRPr="00170EBA">
              <w:t>ka bērnam ir tiesības uzturēt personiskas attiecības un tiešus kontaktus ar jebkuru no vecākiem (saskarsmes tiesība)</w:t>
            </w:r>
            <w:r>
              <w:t xml:space="preserve"> - </w:t>
            </w:r>
            <w:r w:rsidRPr="00170EBA">
              <w:t>saskarsmes tiesība tiek lietota vienskaitlī</w:t>
            </w:r>
            <w:r>
              <w:t xml:space="preserve">; </w:t>
            </w:r>
          </w:p>
          <w:p w:rsidR="009A2399" w:rsidRPr="00170EBA" w:rsidRDefault="009A2399" w:rsidP="007F3F6E">
            <w:pPr>
              <w:numPr>
                <w:ilvl w:val="0"/>
                <w:numId w:val="2"/>
              </w:numPr>
              <w:tabs>
                <w:tab w:val="left" w:pos="252"/>
                <w:tab w:val="left" w:pos="993"/>
              </w:tabs>
              <w:spacing w:after="120"/>
              <w:ind w:left="0" w:firstLine="0"/>
              <w:jc w:val="both"/>
            </w:pPr>
            <w:r>
              <w:t xml:space="preserve">1.9.apkašpunkts paredz </w:t>
            </w:r>
            <w:r w:rsidRPr="00170EBA">
              <w:t xml:space="preserve">svītrot valsts statistikas pārskata veidlapas paraugā 7.2.1. un 7.2.2. </w:t>
            </w:r>
            <w:r>
              <w:t>aili</w:t>
            </w:r>
            <w:r w:rsidRPr="00170EBA">
              <w:t>.</w:t>
            </w:r>
            <w:r>
              <w:t xml:space="preserve"> </w:t>
            </w:r>
            <w:r w:rsidRPr="00170EBA">
              <w:t>Inspekcijas ieskatā valsts statistikas pārskatu veidlapas parauga 7.2. ailē ietvertā informācija ir pietiekama, lai sniegtu nepieciešamo informāciju par bāriņtiesu darbību lietās par atzinuma sniegšanu pēc tiesas pieprasījuma attiecībā uz bērna aizgādības tiesību un saskarsmes tiesības iz</w:t>
            </w:r>
            <w:r>
              <w:t xml:space="preserve">mantošanas kārtības noteikšanu. </w:t>
            </w:r>
          </w:p>
        </w:tc>
      </w:tr>
      <w:tr w:rsidR="009A2399" w:rsidRPr="003F27FC">
        <w:tc>
          <w:tcPr>
            <w:tcW w:w="213" w:type="pct"/>
          </w:tcPr>
          <w:p w:rsidR="009A2399" w:rsidRPr="00716E2F" w:rsidRDefault="009A2399" w:rsidP="00955BA3">
            <w:r w:rsidRPr="00716E2F">
              <w:t>5.</w:t>
            </w:r>
          </w:p>
        </w:tc>
        <w:tc>
          <w:tcPr>
            <w:tcW w:w="1654" w:type="pct"/>
          </w:tcPr>
          <w:p w:rsidR="009A2399" w:rsidRPr="00716E2F" w:rsidRDefault="009A2399" w:rsidP="00955BA3">
            <w:r w:rsidRPr="00716E2F">
              <w:t>Projekta izstrādē iesaistītās institūcijas</w:t>
            </w:r>
          </w:p>
        </w:tc>
        <w:tc>
          <w:tcPr>
            <w:tcW w:w="3133" w:type="pct"/>
          </w:tcPr>
          <w:p w:rsidR="009A2399" w:rsidRPr="008F285C" w:rsidRDefault="009A2399" w:rsidP="00E10C41">
            <w:pPr>
              <w:jc w:val="both"/>
            </w:pPr>
            <w:r>
              <w:t>Inspekcija.</w:t>
            </w:r>
          </w:p>
        </w:tc>
      </w:tr>
      <w:tr w:rsidR="009A2399" w:rsidRPr="003F27FC">
        <w:tc>
          <w:tcPr>
            <w:tcW w:w="213" w:type="pct"/>
          </w:tcPr>
          <w:p w:rsidR="009A2399" w:rsidRPr="00716E2F" w:rsidRDefault="009A2399" w:rsidP="00955BA3">
            <w:r w:rsidRPr="00716E2F">
              <w:t>6.</w:t>
            </w:r>
          </w:p>
        </w:tc>
        <w:tc>
          <w:tcPr>
            <w:tcW w:w="1654" w:type="pct"/>
          </w:tcPr>
          <w:p w:rsidR="009A2399" w:rsidRPr="00716E2F" w:rsidRDefault="009A2399" w:rsidP="00955BA3">
            <w:r w:rsidRPr="00716E2F">
              <w:t>Iemesli, kādēļ netika nodrošināta sabiedrības līdzdalība</w:t>
            </w:r>
          </w:p>
        </w:tc>
        <w:tc>
          <w:tcPr>
            <w:tcW w:w="3133" w:type="pct"/>
          </w:tcPr>
          <w:p w:rsidR="009A2399" w:rsidRPr="008F285C" w:rsidRDefault="009A2399" w:rsidP="00E10C41">
            <w:pPr>
              <w:jc w:val="both"/>
            </w:pPr>
            <w:r w:rsidRPr="008F285C">
              <w:t>Sabiedrības līdzdalība projekta izstrādē netika nodrošināta, jo projekts nemainīs pastāvošo tiesisko regulējumu pēc būtības.</w:t>
            </w:r>
          </w:p>
        </w:tc>
      </w:tr>
      <w:tr w:rsidR="009A2399" w:rsidRPr="003F27FC">
        <w:tc>
          <w:tcPr>
            <w:tcW w:w="213" w:type="pct"/>
          </w:tcPr>
          <w:p w:rsidR="009A2399" w:rsidRPr="00716E2F" w:rsidRDefault="009A2399" w:rsidP="00955BA3">
            <w:r w:rsidRPr="00716E2F">
              <w:t xml:space="preserve">7. </w:t>
            </w:r>
          </w:p>
        </w:tc>
        <w:tc>
          <w:tcPr>
            <w:tcW w:w="1654" w:type="pct"/>
          </w:tcPr>
          <w:p w:rsidR="009A2399" w:rsidRPr="00716E2F" w:rsidRDefault="009A2399" w:rsidP="00955BA3">
            <w:r w:rsidRPr="00716E2F">
              <w:t>Cita informācija</w:t>
            </w:r>
          </w:p>
        </w:tc>
        <w:tc>
          <w:tcPr>
            <w:tcW w:w="3133" w:type="pct"/>
          </w:tcPr>
          <w:p w:rsidR="009A2399" w:rsidRPr="00E10C41" w:rsidRDefault="009A2399" w:rsidP="00E10C41">
            <w:pPr>
              <w:jc w:val="both"/>
              <w:rPr>
                <w:color w:val="FF0000"/>
              </w:rPr>
            </w:pPr>
            <w:r>
              <w:t xml:space="preserve">Saskaņā ar Noteikumu 2.punktu bāriņtiesa apkopo veidlapas paraugā noradīto informāciju, pamatojoties uz pārskata gadā izskatītajām lietām un pieņemtajiem lēmumiem, aizpilda veidlapu un līdz kārtējā gada 1.februārim to iesniedz Valsts bērnu tiesību aizsardzības inspekcijā. Tādejādi, lai nodrošinātu pareizas informācijas atspoguļošanu pārskatu veidlapās un bāriņtiesām būtu skaidri un savlaicīgi saprotams, kādu informāciju nepieciešams apkopot pārskatu veidlapās atbilstoši spēkā esošajiem normatīvajiem aktiem, nepieciešams, lai Noteikumu projekts stātos spēkā 2014.gada 1.janvārī. </w:t>
            </w:r>
          </w:p>
        </w:tc>
      </w:tr>
    </w:tbl>
    <w:p w:rsidR="009A2399" w:rsidRDefault="009A2399" w:rsidP="000864C1">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72"/>
        <w:gridCol w:w="5819"/>
      </w:tblGrid>
      <w:tr w:rsidR="009A2399" w:rsidRPr="007765F0">
        <w:tc>
          <w:tcPr>
            <w:tcW w:w="9287" w:type="dxa"/>
            <w:gridSpan w:val="3"/>
          </w:tcPr>
          <w:p w:rsidR="009A2399" w:rsidRPr="00F17558" w:rsidRDefault="009A2399" w:rsidP="00A04F37">
            <w:pPr>
              <w:jc w:val="center"/>
              <w:rPr>
                <w:b/>
                <w:bCs/>
              </w:rPr>
            </w:pPr>
            <w:r w:rsidRPr="00F17558">
              <w:rPr>
                <w:b/>
                <w:bCs/>
              </w:rPr>
              <w:t>II Tiesību akta projekta ietekme uz sabiedrību</w:t>
            </w:r>
          </w:p>
        </w:tc>
      </w:tr>
      <w:tr w:rsidR="009A2399" w:rsidRPr="007765F0">
        <w:tc>
          <w:tcPr>
            <w:tcW w:w="396" w:type="dxa"/>
          </w:tcPr>
          <w:p w:rsidR="009A2399" w:rsidRPr="007765F0" w:rsidRDefault="009A2399" w:rsidP="00A04F37">
            <w:r w:rsidRPr="007765F0">
              <w:t>1.</w:t>
            </w:r>
          </w:p>
        </w:tc>
        <w:tc>
          <w:tcPr>
            <w:tcW w:w="3072" w:type="dxa"/>
          </w:tcPr>
          <w:p w:rsidR="009A2399" w:rsidRPr="007765F0" w:rsidRDefault="009A2399" w:rsidP="00A04F37">
            <w:r w:rsidRPr="007765F0">
              <w:t>Sabiedrības mērķgrupa</w:t>
            </w:r>
          </w:p>
        </w:tc>
        <w:tc>
          <w:tcPr>
            <w:tcW w:w="5819" w:type="dxa"/>
          </w:tcPr>
          <w:p w:rsidR="009A2399" w:rsidRPr="00F17558" w:rsidRDefault="009A2399" w:rsidP="004D0541">
            <w:pPr>
              <w:spacing w:after="120"/>
              <w:jc w:val="both"/>
            </w:pPr>
            <w:r w:rsidRPr="00F17558">
              <w:t xml:space="preserve">Noteikumu projekts attiecas uz bāriņtiesām. </w:t>
            </w:r>
            <w:r>
              <w:t xml:space="preserve">Patlaban valstī ir 146 bāriņtiesa.  </w:t>
            </w:r>
          </w:p>
        </w:tc>
      </w:tr>
      <w:tr w:rsidR="009A2399" w:rsidRPr="007765F0">
        <w:tc>
          <w:tcPr>
            <w:tcW w:w="396" w:type="dxa"/>
          </w:tcPr>
          <w:p w:rsidR="009A2399" w:rsidRPr="007765F0" w:rsidRDefault="009A2399" w:rsidP="00A04F37">
            <w:r w:rsidRPr="007765F0">
              <w:t xml:space="preserve">2. </w:t>
            </w:r>
          </w:p>
        </w:tc>
        <w:tc>
          <w:tcPr>
            <w:tcW w:w="3072" w:type="dxa"/>
          </w:tcPr>
          <w:p w:rsidR="009A2399" w:rsidRPr="007765F0" w:rsidRDefault="009A2399" w:rsidP="00A04F37">
            <w:r w:rsidRPr="007765F0">
              <w:t>Citas sabiedrības grupas (bez mērķgrupas), kuras tiesiskais regulējuma arī ietekmē vai varētu ietekmēt</w:t>
            </w:r>
          </w:p>
        </w:tc>
        <w:tc>
          <w:tcPr>
            <w:tcW w:w="5819" w:type="dxa"/>
          </w:tcPr>
          <w:p w:rsidR="009A2399" w:rsidRDefault="009A2399" w:rsidP="00767922">
            <w:pPr>
              <w:spacing w:after="120"/>
              <w:jc w:val="both"/>
            </w:pPr>
            <w:r w:rsidRPr="007A5B7D">
              <w:t>Saskaņā ar bāriņtiesu darbīb</w:t>
            </w:r>
            <w:r>
              <w:t>as</w:t>
            </w:r>
            <w:r w:rsidRPr="007A5B7D">
              <w:t xml:space="preserve"> pārskatiem </w:t>
            </w:r>
            <w:r>
              <w:t>2013.gada 1.janvārī</w:t>
            </w:r>
            <w:r w:rsidRPr="007A5B7D">
              <w:t xml:space="preserve"> Latvijā</w:t>
            </w:r>
            <w:r>
              <w:t xml:space="preserve"> </w:t>
            </w:r>
            <w:r w:rsidRPr="007A5B7D">
              <w:t xml:space="preserve">ārpusģimenes aprūpē kopumā atradās </w:t>
            </w:r>
            <w:r>
              <w:t>8095</w:t>
            </w:r>
            <w:r w:rsidRPr="007A5B7D">
              <w:t xml:space="preserve"> bērni, no tiem audžuģimenē </w:t>
            </w:r>
            <w:r>
              <w:t>1155</w:t>
            </w:r>
            <w:r w:rsidRPr="007A5B7D">
              <w:t xml:space="preserve">, aizbildnībā </w:t>
            </w:r>
            <w:r>
              <w:t>5051</w:t>
            </w:r>
            <w:r w:rsidRPr="007A5B7D">
              <w:t xml:space="preserve"> un ārpusģimenes aprūpes iestādē </w:t>
            </w:r>
            <w:r>
              <w:t>1889, no kuriem daļai ir iespēja tikt ievietotiem audžuģimenēs un aizbildnībā. Savukārt aizgādnībā atradās 2906 personas.</w:t>
            </w:r>
          </w:p>
          <w:p w:rsidR="009A2399" w:rsidRDefault="009A2399" w:rsidP="00767922">
            <w:pPr>
              <w:tabs>
                <w:tab w:val="num" w:pos="252"/>
              </w:tabs>
              <w:spacing w:after="120"/>
              <w:jc w:val="both"/>
            </w:pPr>
            <w:r>
              <w:t>Kopumā 2013.gada 1.janvārī Latvijā bija 4083 aizbildņi, 2711 aizgādņi, savukārt 582 ģimenēm bija piešķirts audžuģimeņu statuss.</w:t>
            </w:r>
          </w:p>
          <w:p w:rsidR="009A2399" w:rsidRPr="007765F0" w:rsidRDefault="009A2399" w:rsidP="004D0541">
            <w:pPr>
              <w:spacing w:after="120"/>
              <w:jc w:val="both"/>
            </w:pPr>
            <w:r>
              <w:t>Vienlaikus kā cita sabiedrības grupa var tikt uzskatīta arī pašvaldības - gan tajās esošās pārvaldes institūcijas, gan tās iedzīvotāji.</w:t>
            </w:r>
          </w:p>
        </w:tc>
        <w:bookmarkStart w:id="0" w:name="_GoBack"/>
        <w:bookmarkEnd w:id="0"/>
      </w:tr>
      <w:tr w:rsidR="009A2399" w:rsidRPr="007765F0">
        <w:tc>
          <w:tcPr>
            <w:tcW w:w="396" w:type="dxa"/>
          </w:tcPr>
          <w:p w:rsidR="009A2399" w:rsidRPr="007765F0" w:rsidRDefault="009A2399" w:rsidP="00A04F37">
            <w:r w:rsidRPr="007765F0">
              <w:t xml:space="preserve">3. </w:t>
            </w:r>
          </w:p>
        </w:tc>
        <w:tc>
          <w:tcPr>
            <w:tcW w:w="3072" w:type="dxa"/>
          </w:tcPr>
          <w:p w:rsidR="009A2399" w:rsidRPr="007765F0" w:rsidRDefault="009A2399" w:rsidP="00A04F37">
            <w:r w:rsidRPr="007765F0">
              <w:t>Tiesiskā regulējuma finansiālā ietekme</w:t>
            </w:r>
          </w:p>
        </w:tc>
        <w:tc>
          <w:tcPr>
            <w:tcW w:w="5819" w:type="dxa"/>
          </w:tcPr>
          <w:p w:rsidR="009A2399" w:rsidRPr="007765F0" w:rsidRDefault="009A2399" w:rsidP="004D0541">
            <w:pPr>
              <w:spacing w:after="120"/>
              <w:jc w:val="both"/>
            </w:pPr>
            <w:r w:rsidRPr="00F17558">
              <w:t>Projekts šo jomu neskar.</w:t>
            </w:r>
          </w:p>
        </w:tc>
      </w:tr>
      <w:tr w:rsidR="009A2399" w:rsidRPr="007765F0">
        <w:tc>
          <w:tcPr>
            <w:tcW w:w="396" w:type="dxa"/>
          </w:tcPr>
          <w:p w:rsidR="009A2399" w:rsidRPr="007765F0" w:rsidRDefault="009A2399" w:rsidP="00A04F37">
            <w:r w:rsidRPr="007765F0">
              <w:t>4.</w:t>
            </w:r>
          </w:p>
        </w:tc>
        <w:tc>
          <w:tcPr>
            <w:tcW w:w="3072" w:type="dxa"/>
          </w:tcPr>
          <w:p w:rsidR="009A2399" w:rsidRPr="007765F0" w:rsidRDefault="009A2399" w:rsidP="00A04F37">
            <w:r w:rsidRPr="007765F0">
              <w:t>Tiesiskā regulējuma nefinansiālā ietekme</w:t>
            </w:r>
          </w:p>
        </w:tc>
        <w:tc>
          <w:tcPr>
            <w:tcW w:w="5819" w:type="dxa"/>
          </w:tcPr>
          <w:p w:rsidR="009A2399" w:rsidRDefault="009A2399" w:rsidP="004D0541">
            <w:pPr>
              <w:spacing w:after="120"/>
              <w:jc w:val="both"/>
            </w:pPr>
            <w:r>
              <w:t>Ļoti apjomīgas izmaiņas bāriņtiesu sagatavotajos statistikas pārskatos Noteikumu projekts neieviesīs, jo galvenokārt tiek precizēta juridiskā terminoloģija.</w:t>
            </w:r>
          </w:p>
          <w:p w:rsidR="009A2399" w:rsidRPr="007765F0" w:rsidRDefault="009A2399" w:rsidP="004D0541">
            <w:pPr>
              <w:spacing w:after="120"/>
              <w:jc w:val="both"/>
            </w:pPr>
            <w:r>
              <w:t xml:space="preserve">Vienlaikus bāriņtiesu locekļiem, kuru pienākums ir sagatavot bāriņtiesu ikgadējo pārskatu, būs jānorāda informācija par dažiem lēmumu veidiem, kas līdz šim netika iekļauti pārskata veidlapā, kas nedaudz var palielināt informācijas apstrādes apjomu. Tomēr, ņemot vērā, ka statistika ir nepieciešama, lai varētu veidot kvalitatīvu bāriņtiesu darba uzraudzības un metodiskās vadības politiku, ir nepieciešama informācija arī par bāriņtiesu pārskatā līdz šim nebijušu lēmumu veidiem, piemēram, par lēmumiem, kas saistīti ar </w:t>
            </w:r>
            <w:r w:rsidRPr="00170EBA">
              <w:t xml:space="preserve">audžuģimeņu pārkāpumiem, pildot audžuģimenes pienākumus, </w:t>
            </w:r>
            <w:r>
              <w:t xml:space="preserve">un par kuriem </w:t>
            </w:r>
            <w:r w:rsidRPr="00170EBA">
              <w:t>bāriņtiesa pārskata gadā informējusi tiesībaizsardzības iestādes (piemēram, policiju, prokuratūru)</w:t>
            </w:r>
            <w:r>
              <w:t>. Turklāt pārskatā papildus iekļautie punkti nav jauni lēmumu veidi, bet gan līdz šim neuzskaitīti, tādejādi tas bāriņtiesas darbu būtiski nesarežģīs. Vienlaikus bāriņtiesai jau šobrīd šādai informācijai ir jābūt pieejamai, lai nodrošinātu pilnvērtīgu iekšējo bāriņtiesas darba uzskaiti, analīzi un plānošanu, tādejādi minētās informācijas atspoguļošanai bāriņtiesu pārskatā nav jāiegulda papildus jauni administratīvie resursi. Vienlaikus, iekļaujot minēto informāciju statistikas pārskatā, būs pieejama pilnvērtīga informācija par bāriņtiesu darbību, kas ļaus efektīvāk vērtēt situāciju valstī.</w:t>
            </w:r>
          </w:p>
        </w:tc>
      </w:tr>
      <w:tr w:rsidR="009A2399" w:rsidRPr="007765F0">
        <w:tc>
          <w:tcPr>
            <w:tcW w:w="396" w:type="dxa"/>
          </w:tcPr>
          <w:p w:rsidR="009A2399" w:rsidRPr="007765F0" w:rsidRDefault="009A2399" w:rsidP="00A04F37">
            <w:r w:rsidRPr="007765F0">
              <w:t>5.</w:t>
            </w:r>
          </w:p>
        </w:tc>
        <w:tc>
          <w:tcPr>
            <w:tcW w:w="3072" w:type="dxa"/>
          </w:tcPr>
          <w:p w:rsidR="009A2399" w:rsidRPr="007765F0" w:rsidRDefault="009A2399" w:rsidP="00A04F37">
            <w:r w:rsidRPr="007765F0">
              <w:t>Administratīvās procedūras raksturojums</w:t>
            </w:r>
          </w:p>
        </w:tc>
        <w:tc>
          <w:tcPr>
            <w:tcW w:w="5819" w:type="dxa"/>
          </w:tcPr>
          <w:p w:rsidR="009A2399" w:rsidRPr="00F17558" w:rsidRDefault="009A2399" w:rsidP="004D0541">
            <w:pPr>
              <w:spacing w:after="120"/>
              <w:jc w:val="both"/>
            </w:pPr>
            <w:r w:rsidRPr="00F17558">
              <w:t>Projekts šo jomu neskar.</w:t>
            </w:r>
          </w:p>
        </w:tc>
      </w:tr>
      <w:tr w:rsidR="009A2399" w:rsidRPr="007765F0">
        <w:tc>
          <w:tcPr>
            <w:tcW w:w="396" w:type="dxa"/>
          </w:tcPr>
          <w:p w:rsidR="009A2399" w:rsidRPr="007765F0" w:rsidRDefault="009A2399" w:rsidP="00A04F37">
            <w:r w:rsidRPr="007765F0">
              <w:t>6.</w:t>
            </w:r>
          </w:p>
        </w:tc>
        <w:tc>
          <w:tcPr>
            <w:tcW w:w="3072" w:type="dxa"/>
          </w:tcPr>
          <w:p w:rsidR="009A2399" w:rsidRPr="007765F0" w:rsidRDefault="009A2399" w:rsidP="00A04F37">
            <w:r w:rsidRPr="007765F0">
              <w:t>Administratīvo izmaksu monetārs novērtējums</w:t>
            </w:r>
          </w:p>
        </w:tc>
        <w:tc>
          <w:tcPr>
            <w:tcW w:w="5819" w:type="dxa"/>
          </w:tcPr>
          <w:p w:rsidR="009A2399" w:rsidRPr="007765F0" w:rsidRDefault="009A2399" w:rsidP="004D0541">
            <w:pPr>
              <w:spacing w:after="120"/>
              <w:jc w:val="both"/>
            </w:pPr>
            <w:r>
              <w:t>Projekts šo jomu neskar.</w:t>
            </w:r>
          </w:p>
        </w:tc>
      </w:tr>
      <w:tr w:rsidR="009A2399" w:rsidRPr="007765F0">
        <w:tc>
          <w:tcPr>
            <w:tcW w:w="396" w:type="dxa"/>
          </w:tcPr>
          <w:p w:rsidR="009A2399" w:rsidRPr="007765F0" w:rsidRDefault="009A2399" w:rsidP="00A04F37">
            <w:r w:rsidRPr="007765F0">
              <w:t xml:space="preserve">7. </w:t>
            </w:r>
          </w:p>
        </w:tc>
        <w:tc>
          <w:tcPr>
            <w:tcW w:w="3072" w:type="dxa"/>
          </w:tcPr>
          <w:p w:rsidR="009A2399" w:rsidRPr="007765F0" w:rsidRDefault="009A2399" w:rsidP="00A04F37">
            <w:r w:rsidRPr="007765F0">
              <w:t>Cita informācija</w:t>
            </w:r>
          </w:p>
        </w:tc>
        <w:tc>
          <w:tcPr>
            <w:tcW w:w="5819" w:type="dxa"/>
          </w:tcPr>
          <w:p w:rsidR="009A2399" w:rsidRPr="007765F0" w:rsidRDefault="009A2399" w:rsidP="004D0541">
            <w:pPr>
              <w:spacing w:after="120"/>
              <w:jc w:val="both"/>
            </w:pPr>
            <w:r>
              <w:t>Nav.</w:t>
            </w:r>
          </w:p>
        </w:tc>
      </w:tr>
    </w:tbl>
    <w:p w:rsidR="009A2399" w:rsidRDefault="009A2399" w:rsidP="000864C1">
      <w:pPr>
        <w:jc w:val="center"/>
      </w:pPr>
    </w:p>
    <w:p w:rsidR="009A2399" w:rsidRDefault="009A2399" w:rsidP="004D0541">
      <w:pPr>
        <w:pStyle w:val="naisf"/>
        <w:spacing w:before="0" w:after="0"/>
        <w:ind w:firstLine="0"/>
        <w:jc w:val="center"/>
        <w:rPr>
          <w:i/>
          <w:iCs/>
        </w:rPr>
      </w:pPr>
      <w:r>
        <w:rPr>
          <w:i/>
          <w:iCs/>
        </w:rPr>
        <w:t>Anotācijas  III,  IV, V un VI</w:t>
      </w:r>
      <w:r w:rsidRPr="00D163D3">
        <w:rPr>
          <w:i/>
          <w:iCs/>
        </w:rPr>
        <w:t xml:space="preserve">  sadaļa</w:t>
      </w:r>
      <w:r>
        <w:rPr>
          <w:i/>
          <w:iCs/>
        </w:rPr>
        <w:t>s</w:t>
      </w:r>
      <w:r w:rsidRPr="00D163D3">
        <w:rPr>
          <w:i/>
          <w:iCs/>
        </w:rPr>
        <w:t xml:space="preserve"> – </w:t>
      </w:r>
      <w:r>
        <w:rPr>
          <w:i/>
          <w:iCs/>
        </w:rPr>
        <w:t>Projekts šīs jomas neskar</w:t>
      </w:r>
      <w:r w:rsidRPr="00D163D3">
        <w:rPr>
          <w:i/>
          <w:iCs/>
        </w:rPr>
        <w:t>.</w:t>
      </w:r>
    </w:p>
    <w:p w:rsidR="009A2399" w:rsidRDefault="009A2399" w:rsidP="004D0541">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72"/>
        <w:gridCol w:w="5819"/>
      </w:tblGrid>
      <w:tr w:rsidR="009A2399" w:rsidRPr="00F17558">
        <w:tc>
          <w:tcPr>
            <w:tcW w:w="9287" w:type="dxa"/>
            <w:gridSpan w:val="3"/>
          </w:tcPr>
          <w:p w:rsidR="009A2399" w:rsidRPr="00F17558" w:rsidRDefault="009A2399" w:rsidP="00A04F37">
            <w:pPr>
              <w:jc w:val="center"/>
              <w:rPr>
                <w:b/>
                <w:bCs/>
              </w:rPr>
            </w:pPr>
            <w:r w:rsidRPr="00F17558">
              <w:rPr>
                <w:b/>
                <w:bCs/>
              </w:rPr>
              <w:t>VII Tiesību akta projekta izpildes nodrošināšana un tās ietekme uz institūcijām</w:t>
            </w:r>
          </w:p>
        </w:tc>
      </w:tr>
      <w:tr w:rsidR="009A2399" w:rsidRPr="007765F0">
        <w:tc>
          <w:tcPr>
            <w:tcW w:w="396" w:type="dxa"/>
          </w:tcPr>
          <w:p w:rsidR="009A2399" w:rsidRPr="007765F0" w:rsidRDefault="009A2399" w:rsidP="00A04F37">
            <w:r w:rsidRPr="007765F0">
              <w:t xml:space="preserve">1. </w:t>
            </w:r>
          </w:p>
        </w:tc>
        <w:tc>
          <w:tcPr>
            <w:tcW w:w="3072" w:type="dxa"/>
          </w:tcPr>
          <w:p w:rsidR="009A2399" w:rsidRPr="007765F0" w:rsidRDefault="009A2399" w:rsidP="00A04F37">
            <w:r w:rsidRPr="007765F0">
              <w:t>Projekta izpildē iesaistītās institūcijas</w:t>
            </w:r>
          </w:p>
        </w:tc>
        <w:tc>
          <w:tcPr>
            <w:tcW w:w="5819" w:type="dxa"/>
          </w:tcPr>
          <w:p w:rsidR="009A2399" w:rsidRPr="007765F0" w:rsidRDefault="009A2399" w:rsidP="00A04F37">
            <w:pPr>
              <w:jc w:val="both"/>
            </w:pPr>
            <w:r>
              <w:t>Inspekcija un</w:t>
            </w:r>
            <w:r w:rsidRPr="00F17558">
              <w:t xml:space="preserve"> bāriņtiesas.</w:t>
            </w:r>
          </w:p>
        </w:tc>
      </w:tr>
      <w:tr w:rsidR="009A2399" w:rsidRPr="007765F0">
        <w:tc>
          <w:tcPr>
            <w:tcW w:w="396" w:type="dxa"/>
          </w:tcPr>
          <w:p w:rsidR="009A2399" w:rsidRPr="007765F0" w:rsidRDefault="009A2399" w:rsidP="00A04F37">
            <w:r w:rsidRPr="007765F0">
              <w:t xml:space="preserve">2. </w:t>
            </w:r>
          </w:p>
        </w:tc>
        <w:tc>
          <w:tcPr>
            <w:tcW w:w="3072" w:type="dxa"/>
          </w:tcPr>
          <w:p w:rsidR="009A2399" w:rsidRPr="007765F0" w:rsidRDefault="009A2399" w:rsidP="00A04F37">
            <w:r w:rsidRPr="007765F0">
              <w:t>Projekta izpildes ietekme uz pārvaldes funkcijām</w:t>
            </w:r>
          </w:p>
        </w:tc>
        <w:tc>
          <w:tcPr>
            <w:tcW w:w="5819" w:type="dxa"/>
          </w:tcPr>
          <w:p w:rsidR="009A2399" w:rsidRPr="00D163D3" w:rsidRDefault="009A2399" w:rsidP="00A04F37">
            <w:pPr>
              <w:jc w:val="both"/>
            </w:pPr>
            <w:r>
              <w:t xml:space="preserve">Projekts šo jomu neskar. </w:t>
            </w:r>
          </w:p>
        </w:tc>
      </w:tr>
      <w:tr w:rsidR="009A2399" w:rsidRPr="007765F0">
        <w:tc>
          <w:tcPr>
            <w:tcW w:w="396" w:type="dxa"/>
          </w:tcPr>
          <w:p w:rsidR="009A2399" w:rsidRPr="007765F0" w:rsidRDefault="009A2399" w:rsidP="00A04F37">
            <w:r w:rsidRPr="007765F0">
              <w:t>3.</w:t>
            </w:r>
          </w:p>
        </w:tc>
        <w:tc>
          <w:tcPr>
            <w:tcW w:w="3072" w:type="dxa"/>
          </w:tcPr>
          <w:p w:rsidR="009A2399" w:rsidRPr="007765F0" w:rsidRDefault="009A2399" w:rsidP="00A04F37">
            <w:r w:rsidRPr="007765F0">
              <w:t>Projekta izpildes ietekme uz pārvaldes institucionālo struktūru.</w:t>
            </w:r>
          </w:p>
          <w:p w:rsidR="009A2399" w:rsidRPr="007765F0" w:rsidRDefault="009A2399" w:rsidP="00A04F37">
            <w:r w:rsidRPr="007765F0">
              <w:t>Jaunu institūciju izveide.</w:t>
            </w:r>
          </w:p>
        </w:tc>
        <w:tc>
          <w:tcPr>
            <w:tcW w:w="5819" w:type="dxa"/>
          </w:tcPr>
          <w:p w:rsidR="009A2399" w:rsidRPr="00D163D3" w:rsidRDefault="009A2399" w:rsidP="00A04F37">
            <w:pPr>
              <w:jc w:val="both"/>
            </w:pPr>
            <w:r>
              <w:t>Projekts šo jomu neskar.</w:t>
            </w:r>
          </w:p>
        </w:tc>
      </w:tr>
      <w:tr w:rsidR="009A2399" w:rsidRPr="007765F0">
        <w:tc>
          <w:tcPr>
            <w:tcW w:w="396" w:type="dxa"/>
          </w:tcPr>
          <w:p w:rsidR="009A2399" w:rsidRPr="007765F0" w:rsidRDefault="009A2399" w:rsidP="00A04F37">
            <w:r w:rsidRPr="007765F0">
              <w:t>4.</w:t>
            </w:r>
          </w:p>
        </w:tc>
        <w:tc>
          <w:tcPr>
            <w:tcW w:w="3072" w:type="dxa"/>
          </w:tcPr>
          <w:p w:rsidR="009A2399" w:rsidRPr="007765F0" w:rsidRDefault="009A2399" w:rsidP="00A04F37">
            <w:r w:rsidRPr="007765F0">
              <w:t>Projekta izpildes ietekme uz pārvaldes institucionālo struktūru.</w:t>
            </w:r>
          </w:p>
          <w:p w:rsidR="009A2399" w:rsidRPr="007765F0" w:rsidRDefault="009A2399" w:rsidP="00A04F37">
            <w:r w:rsidRPr="007765F0">
              <w:t>Esošo institūciju likvidācija.</w:t>
            </w:r>
          </w:p>
        </w:tc>
        <w:tc>
          <w:tcPr>
            <w:tcW w:w="5819" w:type="dxa"/>
          </w:tcPr>
          <w:p w:rsidR="009A2399" w:rsidRPr="00D163D3" w:rsidRDefault="009A2399" w:rsidP="00A04F37">
            <w:pPr>
              <w:pStyle w:val="naisf"/>
              <w:spacing w:before="0" w:after="0"/>
              <w:ind w:firstLine="0"/>
            </w:pPr>
            <w:r>
              <w:t>Projekts šo jomu neskar.</w:t>
            </w:r>
          </w:p>
        </w:tc>
      </w:tr>
      <w:tr w:rsidR="009A2399" w:rsidRPr="007765F0">
        <w:tc>
          <w:tcPr>
            <w:tcW w:w="396" w:type="dxa"/>
          </w:tcPr>
          <w:p w:rsidR="009A2399" w:rsidRPr="007765F0" w:rsidRDefault="009A2399" w:rsidP="00A04F37">
            <w:r w:rsidRPr="007765F0">
              <w:t>5.</w:t>
            </w:r>
          </w:p>
        </w:tc>
        <w:tc>
          <w:tcPr>
            <w:tcW w:w="3072" w:type="dxa"/>
          </w:tcPr>
          <w:p w:rsidR="009A2399" w:rsidRPr="007765F0" w:rsidRDefault="009A2399" w:rsidP="00A04F37">
            <w:r w:rsidRPr="007765F0">
              <w:t>Projekta izpildes ietekme uz pārvaldes institucionālo struktūru.</w:t>
            </w:r>
          </w:p>
          <w:p w:rsidR="009A2399" w:rsidRPr="007765F0" w:rsidRDefault="009A2399" w:rsidP="00A04F37">
            <w:r w:rsidRPr="007765F0">
              <w:t>Esošo institūciju reorganizācija.</w:t>
            </w:r>
          </w:p>
        </w:tc>
        <w:tc>
          <w:tcPr>
            <w:tcW w:w="5819" w:type="dxa"/>
          </w:tcPr>
          <w:p w:rsidR="009A2399" w:rsidRPr="00D163D3" w:rsidRDefault="009A2399" w:rsidP="00A04F37">
            <w:pPr>
              <w:pStyle w:val="naisf"/>
              <w:spacing w:before="0" w:after="0"/>
              <w:ind w:firstLine="0"/>
            </w:pPr>
            <w:r>
              <w:t>Projekts šo jomu neskar.</w:t>
            </w:r>
          </w:p>
        </w:tc>
      </w:tr>
      <w:tr w:rsidR="009A2399" w:rsidRPr="007765F0">
        <w:tc>
          <w:tcPr>
            <w:tcW w:w="396" w:type="dxa"/>
          </w:tcPr>
          <w:p w:rsidR="009A2399" w:rsidRPr="007765F0" w:rsidRDefault="009A2399" w:rsidP="00A04F37">
            <w:r w:rsidRPr="007765F0">
              <w:t xml:space="preserve">6. </w:t>
            </w:r>
          </w:p>
        </w:tc>
        <w:tc>
          <w:tcPr>
            <w:tcW w:w="3072" w:type="dxa"/>
          </w:tcPr>
          <w:p w:rsidR="009A2399" w:rsidRPr="007765F0" w:rsidRDefault="009A2399" w:rsidP="00A04F37">
            <w:r w:rsidRPr="007765F0">
              <w:t>Cita informācija</w:t>
            </w:r>
          </w:p>
        </w:tc>
        <w:tc>
          <w:tcPr>
            <w:tcW w:w="5819" w:type="dxa"/>
          </w:tcPr>
          <w:p w:rsidR="009A2399" w:rsidRPr="00D163D3" w:rsidRDefault="009A2399" w:rsidP="00A04F37">
            <w:pPr>
              <w:pStyle w:val="naisf"/>
              <w:spacing w:before="0" w:after="0"/>
              <w:ind w:firstLine="0"/>
            </w:pPr>
            <w:r w:rsidRPr="00D163D3">
              <w:t>Nav.</w:t>
            </w:r>
          </w:p>
        </w:tc>
      </w:tr>
    </w:tbl>
    <w:p w:rsidR="009A2399" w:rsidRDefault="009A2399" w:rsidP="004D0541">
      <w:pPr>
        <w:jc w:val="center"/>
      </w:pPr>
    </w:p>
    <w:p w:rsidR="009A2399" w:rsidRDefault="009A2399" w:rsidP="000864C1">
      <w:pPr>
        <w:jc w:val="center"/>
      </w:pPr>
    </w:p>
    <w:p w:rsidR="009A2399" w:rsidRDefault="009A2399" w:rsidP="000864C1">
      <w:pPr>
        <w:jc w:val="center"/>
      </w:pPr>
    </w:p>
    <w:p w:rsidR="009A2399" w:rsidRDefault="009A2399" w:rsidP="000864C1">
      <w:pPr>
        <w:jc w:val="center"/>
      </w:pPr>
    </w:p>
    <w:p w:rsidR="009A2399" w:rsidRPr="008207C1" w:rsidRDefault="009A2399" w:rsidP="00876DB9">
      <w:pPr>
        <w:tabs>
          <w:tab w:val="right" w:pos="9120"/>
        </w:tabs>
        <w:rPr>
          <w:sz w:val="28"/>
          <w:szCs w:val="28"/>
        </w:rPr>
      </w:pPr>
      <w:r w:rsidRPr="008207C1">
        <w:rPr>
          <w:sz w:val="28"/>
          <w:szCs w:val="28"/>
        </w:rPr>
        <w:t>Labklājības ministr</w:t>
      </w:r>
      <w:r>
        <w:rPr>
          <w:sz w:val="28"/>
          <w:szCs w:val="28"/>
        </w:rPr>
        <w:t xml:space="preserve">e </w:t>
      </w:r>
      <w:r>
        <w:rPr>
          <w:sz w:val="28"/>
          <w:szCs w:val="28"/>
        </w:rPr>
        <w:tab/>
        <w:t>I.Viņķele</w:t>
      </w:r>
    </w:p>
    <w:p w:rsidR="009A2399" w:rsidRDefault="009A2399" w:rsidP="000864C1">
      <w:pPr>
        <w:rPr>
          <w:sz w:val="28"/>
          <w:szCs w:val="28"/>
        </w:rPr>
      </w:pPr>
    </w:p>
    <w:p w:rsidR="009A2399" w:rsidRPr="008207C1" w:rsidRDefault="009A2399" w:rsidP="000864C1">
      <w:pPr>
        <w:rPr>
          <w:sz w:val="28"/>
          <w:szCs w:val="28"/>
        </w:rPr>
      </w:pPr>
    </w:p>
    <w:p w:rsidR="009A2399" w:rsidRDefault="009A2399" w:rsidP="000864C1">
      <w:pPr>
        <w:pStyle w:val="Footer"/>
      </w:pPr>
    </w:p>
    <w:p w:rsidR="009A2399" w:rsidRDefault="009A2399" w:rsidP="000864C1">
      <w:pPr>
        <w:pStyle w:val="Footer"/>
      </w:pPr>
    </w:p>
    <w:p w:rsidR="009A2399" w:rsidRPr="0083656F" w:rsidRDefault="009A2399" w:rsidP="000864C1">
      <w:pPr>
        <w:pStyle w:val="Footer"/>
      </w:pPr>
    </w:p>
    <w:p w:rsidR="009A2399" w:rsidRPr="0083656F" w:rsidRDefault="009A2399" w:rsidP="000864C1">
      <w:pPr>
        <w:pStyle w:val="Footer"/>
        <w:tabs>
          <w:tab w:val="clear" w:pos="4153"/>
          <w:tab w:val="clear" w:pos="8306"/>
        </w:tabs>
        <w:rPr>
          <w:sz w:val="20"/>
          <w:szCs w:val="20"/>
        </w:rPr>
      </w:pPr>
      <w:r>
        <w:rPr>
          <w:sz w:val="20"/>
          <w:szCs w:val="20"/>
        </w:rPr>
        <w:t>10.12</w:t>
      </w:r>
      <w:r w:rsidRPr="0083656F">
        <w:rPr>
          <w:sz w:val="20"/>
          <w:szCs w:val="20"/>
        </w:rPr>
        <w:t xml:space="preserve">.2013 </w:t>
      </w:r>
      <w:r>
        <w:rPr>
          <w:sz w:val="20"/>
          <w:szCs w:val="20"/>
        </w:rPr>
        <w:t>14:53</w:t>
      </w:r>
    </w:p>
    <w:p w:rsidR="009A2399" w:rsidRPr="0083656F" w:rsidRDefault="009A2399" w:rsidP="000864C1">
      <w:pPr>
        <w:pStyle w:val="Footer"/>
        <w:tabs>
          <w:tab w:val="clear" w:pos="4153"/>
          <w:tab w:val="clear" w:pos="8306"/>
        </w:tabs>
        <w:rPr>
          <w:sz w:val="20"/>
          <w:szCs w:val="20"/>
        </w:rPr>
      </w:pPr>
      <w:r>
        <w:rPr>
          <w:sz w:val="20"/>
          <w:szCs w:val="20"/>
        </w:rPr>
        <w:t>1552</w:t>
      </w:r>
    </w:p>
    <w:p w:rsidR="009A2399" w:rsidRPr="002B0373" w:rsidRDefault="009A2399" w:rsidP="00753077">
      <w:pPr>
        <w:rPr>
          <w:sz w:val="20"/>
          <w:szCs w:val="20"/>
        </w:rPr>
      </w:pPr>
      <w:r>
        <w:rPr>
          <w:sz w:val="20"/>
          <w:szCs w:val="20"/>
        </w:rPr>
        <w:t>B.Abersone</w:t>
      </w:r>
    </w:p>
    <w:p w:rsidR="009A2399" w:rsidRDefault="009A2399" w:rsidP="00753077">
      <w:pPr>
        <w:rPr>
          <w:sz w:val="20"/>
          <w:szCs w:val="20"/>
        </w:rPr>
      </w:pPr>
      <w:r>
        <w:rPr>
          <w:sz w:val="20"/>
          <w:szCs w:val="20"/>
        </w:rPr>
        <w:t>tālr.67021590</w:t>
      </w:r>
      <w:r w:rsidRPr="002B0373">
        <w:rPr>
          <w:sz w:val="20"/>
          <w:szCs w:val="20"/>
        </w:rPr>
        <w:t xml:space="preserve">, </w:t>
      </w:r>
      <w:r>
        <w:rPr>
          <w:sz w:val="20"/>
          <w:szCs w:val="20"/>
        </w:rPr>
        <w:t>fakss 67021618</w:t>
      </w:r>
    </w:p>
    <w:p w:rsidR="009A2399" w:rsidRPr="00111F0E" w:rsidRDefault="009A2399" w:rsidP="00753077">
      <w:pPr>
        <w:rPr>
          <w:rStyle w:val="Hyperlink"/>
          <w:sz w:val="20"/>
          <w:szCs w:val="20"/>
        </w:rPr>
      </w:pPr>
      <w:hyperlink r:id="rId7" w:history="1">
        <w:r w:rsidRPr="00E97297">
          <w:rPr>
            <w:rStyle w:val="Hyperlink"/>
            <w:sz w:val="20"/>
            <w:szCs w:val="20"/>
          </w:rPr>
          <w:t>baiba.abersone@lm.gov.lv</w:t>
        </w:r>
      </w:hyperlink>
      <w:r w:rsidRPr="00AD2E96">
        <w:rPr>
          <w:sz w:val="20"/>
          <w:szCs w:val="20"/>
        </w:rPr>
        <w:t xml:space="preserve"> </w:t>
      </w:r>
    </w:p>
    <w:p w:rsidR="009A2399" w:rsidRDefault="009A2399"/>
    <w:sectPr w:rsidR="009A2399" w:rsidSect="009C1695">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399" w:rsidRDefault="009A2399" w:rsidP="00250284">
      <w:r>
        <w:separator/>
      </w:r>
    </w:p>
  </w:endnote>
  <w:endnote w:type="continuationSeparator" w:id="0">
    <w:p w:rsidR="009A2399" w:rsidRDefault="009A2399" w:rsidP="00250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99" w:rsidRPr="0070152D" w:rsidRDefault="009A2399" w:rsidP="0070152D">
    <w:pPr>
      <w:jc w:val="both"/>
      <w:rPr>
        <w:sz w:val="20"/>
        <w:szCs w:val="20"/>
      </w:rPr>
    </w:pPr>
    <w:r w:rsidRPr="0070152D">
      <w:rPr>
        <w:sz w:val="20"/>
        <w:szCs w:val="20"/>
      </w:rPr>
      <w:t>LManot_</w:t>
    </w:r>
    <w:r>
      <w:rPr>
        <w:sz w:val="20"/>
        <w:szCs w:val="20"/>
      </w:rPr>
      <w:t>1012</w:t>
    </w:r>
    <w:r w:rsidRPr="0070152D">
      <w:rPr>
        <w:sz w:val="20"/>
        <w:szCs w:val="20"/>
      </w:rPr>
      <w:t>13_BT_parsk; Grozījumi Ministru kabineta 2011.gada 4.oktobra noteikumos Nr.763 “Noteikumi par bāriņtiesas ikgadējā pārskata veidlapas paraugu un pārskata iesniegšanas un aizpildīšanas kārtību”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99" w:rsidRPr="00AC4142" w:rsidRDefault="009A2399" w:rsidP="00AC4142">
    <w:pPr>
      <w:jc w:val="both"/>
      <w:rPr>
        <w:sz w:val="20"/>
        <w:szCs w:val="20"/>
      </w:rPr>
    </w:pPr>
    <w:r w:rsidRPr="009A5837">
      <w:rPr>
        <w:sz w:val="20"/>
        <w:szCs w:val="20"/>
      </w:rPr>
      <w:t>LM</w:t>
    </w:r>
    <w:r>
      <w:rPr>
        <w:sz w:val="20"/>
        <w:szCs w:val="20"/>
      </w:rPr>
      <w:t>anot_101213_BT_parsk</w:t>
    </w:r>
    <w:r w:rsidRPr="00AC4142">
      <w:rPr>
        <w:sz w:val="20"/>
        <w:szCs w:val="20"/>
      </w:rPr>
      <w:t>; Grozījumi Ministru kabineta 20</w:t>
    </w:r>
    <w:r>
      <w:rPr>
        <w:sz w:val="20"/>
        <w:szCs w:val="20"/>
      </w:rPr>
      <w:t>11</w:t>
    </w:r>
    <w:r w:rsidRPr="00AC4142">
      <w:rPr>
        <w:sz w:val="20"/>
        <w:szCs w:val="20"/>
      </w:rPr>
      <w:t xml:space="preserve">.gada </w:t>
    </w:r>
    <w:r>
      <w:rPr>
        <w:sz w:val="20"/>
        <w:szCs w:val="20"/>
      </w:rPr>
      <w:t>4.oktobra</w:t>
    </w:r>
    <w:r w:rsidRPr="00AC4142">
      <w:rPr>
        <w:sz w:val="20"/>
        <w:szCs w:val="20"/>
      </w:rPr>
      <w:t xml:space="preserve"> noteikumos Nr.</w:t>
    </w:r>
    <w:r>
      <w:rPr>
        <w:sz w:val="20"/>
        <w:szCs w:val="20"/>
      </w:rPr>
      <w:t>763</w:t>
    </w:r>
    <w:r w:rsidRPr="00AC4142">
      <w:rPr>
        <w:sz w:val="20"/>
        <w:szCs w:val="20"/>
      </w:rPr>
      <w:t xml:space="preserve"> “</w:t>
    </w:r>
    <w:r>
      <w:rPr>
        <w:sz w:val="20"/>
        <w:szCs w:val="20"/>
      </w:rPr>
      <w:t>Noteikumi par bāriņtiesas ikgadējā pārskata veidlapas paraugu un pārskata iesniegšanas un aizpildīšanas kārtību</w:t>
    </w:r>
    <w:r w:rsidRPr="00AC4142">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399" w:rsidRDefault="009A2399" w:rsidP="00250284">
      <w:r>
        <w:separator/>
      </w:r>
    </w:p>
  </w:footnote>
  <w:footnote w:type="continuationSeparator" w:id="0">
    <w:p w:rsidR="009A2399" w:rsidRDefault="009A2399" w:rsidP="00250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99" w:rsidRDefault="009A2399" w:rsidP="00242D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A2399" w:rsidRDefault="009A2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900F9"/>
    <w:multiLevelType w:val="hybridMultilevel"/>
    <w:tmpl w:val="BC6AB26C"/>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60334DDC"/>
    <w:multiLevelType w:val="hybridMultilevel"/>
    <w:tmpl w:val="72D867A8"/>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77FC5388"/>
    <w:multiLevelType w:val="hybridMultilevel"/>
    <w:tmpl w:val="782C9778"/>
    <w:lvl w:ilvl="0" w:tplc="04260011">
      <w:start w:val="1"/>
      <w:numFmt w:val="decimal"/>
      <w:lvlText w:val="%1)"/>
      <w:lvlJc w:val="left"/>
      <w:pPr>
        <w:ind w:left="1288" w:hanging="360"/>
      </w:pPr>
      <w:rPr>
        <w:rFonts w:hint="default"/>
      </w:rPr>
    </w:lvl>
    <w:lvl w:ilvl="1" w:tplc="04260019">
      <w:start w:val="1"/>
      <w:numFmt w:val="lowerLetter"/>
      <w:lvlText w:val="%2."/>
      <w:lvlJc w:val="left"/>
      <w:pPr>
        <w:ind w:left="2008" w:hanging="360"/>
      </w:pPr>
    </w:lvl>
    <w:lvl w:ilvl="2" w:tplc="0426001B">
      <w:start w:val="1"/>
      <w:numFmt w:val="lowerRoman"/>
      <w:lvlText w:val="%3."/>
      <w:lvlJc w:val="right"/>
      <w:pPr>
        <w:ind w:left="2728" w:hanging="180"/>
      </w:pPr>
    </w:lvl>
    <w:lvl w:ilvl="3" w:tplc="0426000F">
      <w:start w:val="1"/>
      <w:numFmt w:val="decimal"/>
      <w:lvlText w:val="%4."/>
      <w:lvlJc w:val="left"/>
      <w:pPr>
        <w:ind w:left="3448" w:hanging="360"/>
      </w:pPr>
    </w:lvl>
    <w:lvl w:ilvl="4" w:tplc="04260019">
      <w:start w:val="1"/>
      <w:numFmt w:val="lowerLetter"/>
      <w:lvlText w:val="%5."/>
      <w:lvlJc w:val="left"/>
      <w:pPr>
        <w:ind w:left="4168" w:hanging="360"/>
      </w:pPr>
    </w:lvl>
    <w:lvl w:ilvl="5" w:tplc="0426001B">
      <w:start w:val="1"/>
      <w:numFmt w:val="lowerRoman"/>
      <w:lvlText w:val="%6."/>
      <w:lvlJc w:val="right"/>
      <w:pPr>
        <w:ind w:left="4888" w:hanging="180"/>
      </w:pPr>
    </w:lvl>
    <w:lvl w:ilvl="6" w:tplc="0426000F">
      <w:start w:val="1"/>
      <w:numFmt w:val="decimal"/>
      <w:lvlText w:val="%7."/>
      <w:lvlJc w:val="left"/>
      <w:pPr>
        <w:ind w:left="5608" w:hanging="360"/>
      </w:pPr>
    </w:lvl>
    <w:lvl w:ilvl="7" w:tplc="04260019">
      <w:start w:val="1"/>
      <w:numFmt w:val="lowerLetter"/>
      <w:lvlText w:val="%8."/>
      <w:lvlJc w:val="left"/>
      <w:pPr>
        <w:ind w:left="6328" w:hanging="360"/>
      </w:pPr>
    </w:lvl>
    <w:lvl w:ilvl="8" w:tplc="0426001B">
      <w:start w:val="1"/>
      <w:numFmt w:val="lowerRoman"/>
      <w:lvlText w:val="%9."/>
      <w:lvlJc w:val="right"/>
      <w:pPr>
        <w:ind w:left="704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4C1"/>
    <w:rsid w:val="00050CAC"/>
    <w:rsid w:val="00082BBC"/>
    <w:rsid w:val="000864C1"/>
    <w:rsid w:val="000946FE"/>
    <w:rsid w:val="000951AE"/>
    <w:rsid w:val="0009631D"/>
    <w:rsid w:val="000A0335"/>
    <w:rsid w:val="000A1A23"/>
    <w:rsid w:val="000A1A9B"/>
    <w:rsid w:val="000A69D5"/>
    <w:rsid w:val="000F2D15"/>
    <w:rsid w:val="00111F0E"/>
    <w:rsid w:val="00115437"/>
    <w:rsid w:val="00115741"/>
    <w:rsid w:val="00134C18"/>
    <w:rsid w:val="00142989"/>
    <w:rsid w:val="001442EB"/>
    <w:rsid w:val="0015345A"/>
    <w:rsid w:val="00154AB9"/>
    <w:rsid w:val="00164615"/>
    <w:rsid w:val="00170EBA"/>
    <w:rsid w:val="00175494"/>
    <w:rsid w:val="00176D0C"/>
    <w:rsid w:val="0018059C"/>
    <w:rsid w:val="00180B35"/>
    <w:rsid w:val="00197DE3"/>
    <w:rsid w:val="001A4E54"/>
    <w:rsid w:val="001D15D6"/>
    <w:rsid w:val="001E66A5"/>
    <w:rsid w:val="001E7323"/>
    <w:rsid w:val="001F1C49"/>
    <w:rsid w:val="00204187"/>
    <w:rsid w:val="00211DB3"/>
    <w:rsid w:val="00214274"/>
    <w:rsid w:val="00215B93"/>
    <w:rsid w:val="00234BEC"/>
    <w:rsid w:val="00242D7D"/>
    <w:rsid w:val="00250284"/>
    <w:rsid w:val="0026288E"/>
    <w:rsid w:val="00280C58"/>
    <w:rsid w:val="00286A52"/>
    <w:rsid w:val="002B0373"/>
    <w:rsid w:val="002B6E53"/>
    <w:rsid w:val="002B75C3"/>
    <w:rsid w:val="002C20CD"/>
    <w:rsid w:val="00300CAA"/>
    <w:rsid w:val="00324392"/>
    <w:rsid w:val="00350A72"/>
    <w:rsid w:val="00377965"/>
    <w:rsid w:val="00380853"/>
    <w:rsid w:val="00381C3C"/>
    <w:rsid w:val="00393506"/>
    <w:rsid w:val="003A3E1E"/>
    <w:rsid w:val="003A566D"/>
    <w:rsid w:val="003B629D"/>
    <w:rsid w:val="003C17C0"/>
    <w:rsid w:val="003C53FF"/>
    <w:rsid w:val="003F27FC"/>
    <w:rsid w:val="004210EE"/>
    <w:rsid w:val="004649D3"/>
    <w:rsid w:val="0047089D"/>
    <w:rsid w:val="00496104"/>
    <w:rsid w:val="004A7F8B"/>
    <w:rsid w:val="004D0541"/>
    <w:rsid w:val="004E4429"/>
    <w:rsid w:val="00535AED"/>
    <w:rsid w:val="0059468B"/>
    <w:rsid w:val="005A7185"/>
    <w:rsid w:val="005D07C7"/>
    <w:rsid w:val="005F2CFC"/>
    <w:rsid w:val="00615E30"/>
    <w:rsid w:val="00620F76"/>
    <w:rsid w:val="00641ECA"/>
    <w:rsid w:val="00650F5D"/>
    <w:rsid w:val="006670E0"/>
    <w:rsid w:val="006979B4"/>
    <w:rsid w:val="006A6CD9"/>
    <w:rsid w:val="006B4ED5"/>
    <w:rsid w:val="006B7517"/>
    <w:rsid w:val="006D566F"/>
    <w:rsid w:val="0070152D"/>
    <w:rsid w:val="00703CF3"/>
    <w:rsid w:val="007070CF"/>
    <w:rsid w:val="0071121A"/>
    <w:rsid w:val="00716E2F"/>
    <w:rsid w:val="00753077"/>
    <w:rsid w:val="00766824"/>
    <w:rsid w:val="00767922"/>
    <w:rsid w:val="00773DFE"/>
    <w:rsid w:val="007765F0"/>
    <w:rsid w:val="00792532"/>
    <w:rsid w:val="007A1BE6"/>
    <w:rsid w:val="007A5B7D"/>
    <w:rsid w:val="007D0B7D"/>
    <w:rsid w:val="007E1E4F"/>
    <w:rsid w:val="007E72D3"/>
    <w:rsid w:val="007F3F6E"/>
    <w:rsid w:val="00801C80"/>
    <w:rsid w:val="00806742"/>
    <w:rsid w:val="00806E17"/>
    <w:rsid w:val="008207C1"/>
    <w:rsid w:val="0083656F"/>
    <w:rsid w:val="008723F1"/>
    <w:rsid w:val="00876DB9"/>
    <w:rsid w:val="008952EE"/>
    <w:rsid w:val="008D1E8B"/>
    <w:rsid w:val="008D7523"/>
    <w:rsid w:val="008E36DE"/>
    <w:rsid w:val="008F285C"/>
    <w:rsid w:val="00902FBB"/>
    <w:rsid w:val="00907316"/>
    <w:rsid w:val="009163B6"/>
    <w:rsid w:val="0094058D"/>
    <w:rsid w:val="00945930"/>
    <w:rsid w:val="00947123"/>
    <w:rsid w:val="009529CF"/>
    <w:rsid w:val="00955BA3"/>
    <w:rsid w:val="00973322"/>
    <w:rsid w:val="00973BFA"/>
    <w:rsid w:val="00997357"/>
    <w:rsid w:val="009A2399"/>
    <w:rsid w:val="009A5837"/>
    <w:rsid w:val="009A6E6D"/>
    <w:rsid w:val="009C1695"/>
    <w:rsid w:val="009C59D1"/>
    <w:rsid w:val="009E44D7"/>
    <w:rsid w:val="00A04119"/>
    <w:rsid w:val="00A04F37"/>
    <w:rsid w:val="00A11812"/>
    <w:rsid w:val="00A27760"/>
    <w:rsid w:val="00A4745E"/>
    <w:rsid w:val="00A659F5"/>
    <w:rsid w:val="00AA334D"/>
    <w:rsid w:val="00AB2412"/>
    <w:rsid w:val="00AB41F0"/>
    <w:rsid w:val="00AC181D"/>
    <w:rsid w:val="00AC4142"/>
    <w:rsid w:val="00AD2E96"/>
    <w:rsid w:val="00AE5E54"/>
    <w:rsid w:val="00B31CF6"/>
    <w:rsid w:val="00B32740"/>
    <w:rsid w:val="00B62672"/>
    <w:rsid w:val="00B76294"/>
    <w:rsid w:val="00B76D85"/>
    <w:rsid w:val="00BA1CAB"/>
    <w:rsid w:val="00BB0536"/>
    <w:rsid w:val="00BC4139"/>
    <w:rsid w:val="00BE1E48"/>
    <w:rsid w:val="00BF0C97"/>
    <w:rsid w:val="00C47B9A"/>
    <w:rsid w:val="00C66C95"/>
    <w:rsid w:val="00C8167C"/>
    <w:rsid w:val="00C81F9D"/>
    <w:rsid w:val="00C92316"/>
    <w:rsid w:val="00CF6D3F"/>
    <w:rsid w:val="00D163D3"/>
    <w:rsid w:val="00D23BF7"/>
    <w:rsid w:val="00D668D9"/>
    <w:rsid w:val="00D719E7"/>
    <w:rsid w:val="00DB0244"/>
    <w:rsid w:val="00E030F6"/>
    <w:rsid w:val="00E07929"/>
    <w:rsid w:val="00E10C41"/>
    <w:rsid w:val="00E36A13"/>
    <w:rsid w:val="00E45D95"/>
    <w:rsid w:val="00E5362B"/>
    <w:rsid w:val="00E64A8B"/>
    <w:rsid w:val="00E67C5B"/>
    <w:rsid w:val="00E8093E"/>
    <w:rsid w:val="00E81870"/>
    <w:rsid w:val="00E97297"/>
    <w:rsid w:val="00EA4A29"/>
    <w:rsid w:val="00EB012D"/>
    <w:rsid w:val="00EE77FD"/>
    <w:rsid w:val="00F17558"/>
    <w:rsid w:val="00F31E69"/>
    <w:rsid w:val="00F62D75"/>
    <w:rsid w:val="00F82CD5"/>
    <w:rsid w:val="00F837C9"/>
    <w:rsid w:val="00FA3257"/>
    <w:rsid w:val="00FC797D"/>
    <w:rsid w:val="00FF349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C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1C49"/>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F1C49"/>
    <w:rPr>
      <w:rFonts w:ascii="Tahoma" w:hAnsi="Tahoma" w:cs="Tahoma"/>
      <w:sz w:val="16"/>
      <w:szCs w:val="16"/>
      <w:lang w:eastAsia="lv-LV"/>
    </w:rPr>
  </w:style>
  <w:style w:type="table" w:styleId="TableGrid">
    <w:name w:val="Table Grid"/>
    <w:basedOn w:val="TableNormal"/>
    <w:uiPriority w:val="99"/>
    <w:rsid w:val="000864C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0864C1"/>
    <w:pPr>
      <w:spacing w:before="75" w:after="75"/>
    </w:pPr>
  </w:style>
  <w:style w:type="paragraph" w:styleId="Header">
    <w:name w:val="header"/>
    <w:basedOn w:val="Normal"/>
    <w:link w:val="HeaderChar"/>
    <w:uiPriority w:val="99"/>
    <w:rsid w:val="000864C1"/>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864C1"/>
    <w:rPr>
      <w:rFonts w:ascii="Times New Roman" w:hAnsi="Times New Roman" w:cs="Times New Roman"/>
      <w:sz w:val="24"/>
      <w:szCs w:val="24"/>
      <w:lang w:eastAsia="lv-LV"/>
    </w:rPr>
  </w:style>
  <w:style w:type="character" w:styleId="PageNumber">
    <w:name w:val="page number"/>
    <w:basedOn w:val="DefaultParagraphFont"/>
    <w:uiPriority w:val="99"/>
    <w:rsid w:val="000864C1"/>
  </w:style>
  <w:style w:type="paragraph" w:styleId="Footer">
    <w:name w:val="footer"/>
    <w:basedOn w:val="Normal"/>
    <w:link w:val="FooterChar"/>
    <w:uiPriority w:val="99"/>
    <w:rsid w:val="000864C1"/>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0864C1"/>
    <w:rPr>
      <w:rFonts w:ascii="Times New Roman" w:hAnsi="Times New Roman" w:cs="Times New Roman"/>
      <w:sz w:val="24"/>
      <w:szCs w:val="24"/>
      <w:lang w:eastAsia="lv-LV"/>
    </w:rPr>
  </w:style>
  <w:style w:type="paragraph" w:customStyle="1" w:styleId="naisnod">
    <w:name w:val="naisnod"/>
    <w:basedOn w:val="Normal"/>
    <w:uiPriority w:val="99"/>
    <w:rsid w:val="000864C1"/>
    <w:pPr>
      <w:spacing w:before="150" w:after="150"/>
      <w:jc w:val="center"/>
    </w:pPr>
    <w:rPr>
      <w:b/>
      <w:bCs/>
    </w:rPr>
  </w:style>
  <w:style w:type="paragraph" w:customStyle="1" w:styleId="naisf">
    <w:name w:val="naisf"/>
    <w:basedOn w:val="Normal"/>
    <w:uiPriority w:val="99"/>
    <w:rsid w:val="000864C1"/>
    <w:pPr>
      <w:spacing w:before="75" w:after="75"/>
      <w:ind w:firstLine="375"/>
      <w:jc w:val="both"/>
    </w:pPr>
  </w:style>
  <w:style w:type="paragraph" w:styleId="CommentText">
    <w:name w:val="annotation text"/>
    <w:basedOn w:val="Normal"/>
    <w:link w:val="CommentTextChar"/>
    <w:uiPriority w:val="99"/>
    <w:semiHidden/>
    <w:rsid w:val="000864C1"/>
    <w:rPr>
      <w:rFonts w:eastAsia="Calibri"/>
      <w:sz w:val="20"/>
      <w:szCs w:val="20"/>
    </w:rPr>
  </w:style>
  <w:style w:type="character" w:customStyle="1" w:styleId="CommentTextChar">
    <w:name w:val="Comment Text Char"/>
    <w:basedOn w:val="DefaultParagraphFont"/>
    <w:link w:val="CommentText"/>
    <w:uiPriority w:val="99"/>
    <w:semiHidden/>
    <w:locked/>
    <w:rsid w:val="000864C1"/>
    <w:rPr>
      <w:rFonts w:ascii="Times New Roman" w:hAnsi="Times New Roman" w:cs="Times New Roman"/>
      <w:sz w:val="20"/>
      <w:szCs w:val="20"/>
      <w:lang w:eastAsia="lv-LV"/>
    </w:rPr>
  </w:style>
  <w:style w:type="paragraph" w:customStyle="1" w:styleId="naislab">
    <w:name w:val="naislab"/>
    <w:basedOn w:val="Normal"/>
    <w:uiPriority w:val="99"/>
    <w:rsid w:val="00214274"/>
    <w:pPr>
      <w:spacing w:before="75" w:after="75"/>
      <w:jc w:val="right"/>
    </w:pPr>
  </w:style>
  <w:style w:type="character" w:styleId="Hyperlink">
    <w:name w:val="Hyperlink"/>
    <w:basedOn w:val="DefaultParagraphFont"/>
    <w:uiPriority w:val="99"/>
    <w:rsid w:val="00753077"/>
    <w:rPr>
      <w:color w:val="0000FF"/>
      <w:u w:val="single"/>
    </w:rPr>
  </w:style>
  <w:style w:type="character" w:styleId="CommentReference">
    <w:name w:val="annotation reference"/>
    <w:basedOn w:val="DefaultParagraphFont"/>
    <w:uiPriority w:val="99"/>
    <w:semiHidden/>
    <w:rsid w:val="001F1C49"/>
    <w:rPr>
      <w:sz w:val="16"/>
      <w:szCs w:val="16"/>
    </w:rPr>
  </w:style>
  <w:style w:type="paragraph" w:styleId="CommentSubject">
    <w:name w:val="annotation subject"/>
    <w:basedOn w:val="CommentText"/>
    <w:next w:val="CommentText"/>
    <w:link w:val="CommentSubjectChar"/>
    <w:uiPriority w:val="99"/>
    <w:semiHidden/>
    <w:rsid w:val="006979B4"/>
    <w:rPr>
      <w:b/>
      <w:bCs/>
    </w:rPr>
  </w:style>
  <w:style w:type="character" w:customStyle="1" w:styleId="CommentSubjectChar">
    <w:name w:val="Comment Subject Char"/>
    <w:basedOn w:val="CommentTextChar"/>
    <w:link w:val="CommentSubject"/>
    <w:uiPriority w:val="99"/>
    <w:semiHidden/>
    <w:locked/>
    <w:rsid w:val="006979B4"/>
    <w:rPr>
      <w:b/>
      <w:bCs/>
    </w:rPr>
  </w:style>
  <w:style w:type="character" w:styleId="Strong">
    <w:name w:val="Strong"/>
    <w:basedOn w:val="DefaultParagraphFont"/>
    <w:uiPriority w:val="99"/>
    <w:qFormat/>
    <w:locked/>
    <w:rsid w:val="00806742"/>
    <w:rPr>
      <w:b/>
      <w:bCs/>
    </w:rPr>
  </w:style>
  <w:style w:type="paragraph" w:customStyle="1" w:styleId="tv213">
    <w:name w:val="tv213"/>
    <w:basedOn w:val="Normal"/>
    <w:uiPriority w:val="99"/>
    <w:rsid w:val="006B7517"/>
    <w:pPr>
      <w:spacing w:before="100" w:beforeAutospacing="1" w:after="100" w:afterAutospacing="1"/>
    </w:pPr>
    <w:rPr>
      <w:rFonts w:eastAsia="Calibri"/>
    </w:rPr>
  </w:style>
  <w:style w:type="paragraph" w:customStyle="1" w:styleId="tv213limenis2">
    <w:name w:val="tv213 limenis2"/>
    <w:basedOn w:val="Normal"/>
    <w:uiPriority w:val="99"/>
    <w:rsid w:val="006B7517"/>
    <w:pPr>
      <w:spacing w:before="100" w:beforeAutospacing="1" w:after="100" w:afterAutospacing="1"/>
    </w:pPr>
    <w:rPr>
      <w:rFonts w:eastAsia="Calibri"/>
    </w:rPr>
  </w:style>
  <w:style w:type="paragraph" w:styleId="FootnoteText">
    <w:name w:val="footnote text"/>
    <w:basedOn w:val="Normal"/>
    <w:link w:val="FootnoteTextChar"/>
    <w:uiPriority w:val="99"/>
    <w:semiHidden/>
    <w:rsid w:val="00FF3496"/>
    <w:rPr>
      <w:sz w:val="20"/>
      <w:szCs w:val="20"/>
    </w:rPr>
  </w:style>
  <w:style w:type="character" w:customStyle="1" w:styleId="FootnoteTextChar">
    <w:name w:val="Footnote Text Char"/>
    <w:basedOn w:val="DefaultParagraphFont"/>
    <w:link w:val="FootnoteText"/>
    <w:uiPriority w:val="99"/>
    <w:semiHidden/>
    <w:locked/>
    <w:rsid w:val="00FF3496"/>
    <w:rPr>
      <w:rFonts w:ascii="Times New Roman" w:hAnsi="Times New Roman" w:cs="Times New Roman"/>
      <w:sz w:val="20"/>
      <w:szCs w:val="20"/>
    </w:rPr>
  </w:style>
  <w:style w:type="character" w:styleId="FootnoteReference">
    <w:name w:val="footnote reference"/>
    <w:basedOn w:val="DefaultParagraphFont"/>
    <w:uiPriority w:val="99"/>
    <w:semiHidden/>
    <w:rsid w:val="00FF3496"/>
    <w:rPr>
      <w:vertAlign w:val="superscript"/>
    </w:rPr>
  </w:style>
  <w:style w:type="paragraph" w:styleId="BodyText">
    <w:name w:val="Body Text"/>
    <w:basedOn w:val="Normal"/>
    <w:link w:val="BodyTextChar"/>
    <w:uiPriority w:val="99"/>
    <w:rsid w:val="00350A72"/>
    <w:pPr>
      <w:jc w:val="both"/>
    </w:pPr>
    <w:rPr>
      <w:rFonts w:eastAsia="Calibri"/>
      <w:sz w:val="28"/>
      <w:szCs w:val="28"/>
    </w:rPr>
  </w:style>
  <w:style w:type="character" w:customStyle="1" w:styleId="BodyTextChar">
    <w:name w:val="Body Text Char"/>
    <w:basedOn w:val="DefaultParagraphFont"/>
    <w:link w:val="BodyText"/>
    <w:uiPriority w:val="99"/>
    <w:semiHidden/>
    <w:locked/>
    <w:rsid w:val="007D0B7D"/>
    <w:rPr>
      <w:rFonts w:ascii="Times New Roman" w:hAnsi="Times New Roman" w:cs="Times New Roman"/>
      <w:sz w:val="24"/>
      <w:szCs w:val="24"/>
    </w:rPr>
  </w:style>
  <w:style w:type="paragraph" w:customStyle="1" w:styleId="Rakstz">
    <w:name w:val="Rakstz."/>
    <w:basedOn w:val="Normal"/>
    <w:uiPriority w:val="99"/>
    <w:semiHidden/>
    <w:rsid w:val="00350A72"/>
    <w:pPr>
      <w:spacing w:after="160" w:line="240" w:lineRule="exact"/>
    </w:pPr>
    <w:rPr>
      <w:rFonts w:ascii="Verdana" w:eastAsia="Calibri" w:hAnsi="Verdana" w:cs="Verdana"/>
      <w:sz w:val="20"/>
      <w:szCs w:val="20"/>
    </w:rPr>
  </w:style>
  <w:style w:type="character" w:customStyle="1" w:styleId="spelle">
    <w:name w:val="spelle"/>
    <w:basedOn w:val="DefaultParagraphFont"/>
    <w:uiPriority w:val="99"/>
    <w:rsid w:val="00E8093E"/>
  </w:style>
</w:styles>
</file>

<file path=word/webSettings.xml><?xml version="1.0" encoding="utf-8"?>
<w:webSettings xmlns:r="http://schemas.openxmlformats.org/officeDocument/2006/relationships" xmlns:w="http://schemas.openxmlformats.org/wordprocessingml/2006/main">
  <w:divs>
    <w:div w:id="1260018644">
      <w:marLeft w:val="0"/>
      <w:marRight w:val="0"/>
      <w:marTop w:val="0"/>
      <w:marBottom w:val="0"/>
      <w:divBdr>
        <w:top w:val="none" w:sz="0" w:space="0" w:color="auto"/>
        <w:left w:val="none" w:sz="0" w:space="0" w:color="auto"/>
        <w:bottom w:val="none" w:sz="0" w:space="0" w:color="auto"/>
        <w:right w:val="none" w:sz="0" w:space="0" w:color="auto"/>
      </w:divBdr>
    </w:div>
    <w:div w:id="1260018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iba.abersone@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1564</Words>
  <Characters>11549</Characters>
  <Application>Microsoft Office Outlook</Application>
  <DocSecurity>0</DocSecurity>
  <Lines>0</Lines>
  <Paragraphs>0</Paragraphs>
  <ScaleCrop>false</ScaleCrop>
  <Company>Labklājības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4.oktobra noteikumos Nr.763 “Noteikumi par bāriņtiesas ikgadējā pārskata veidlapas paraugu un pārskata iesniegšanas un aizpildīšanas kārtību”</dc:title>
  <dc:subject>Anotācija</dc:subject>
  <dc:creator>Baiba Abersone</dc:creator>
  <cp:keywords/>
  <dc:description>baiba.abersone@lm.gov.lv, t.67021590</dc:description>
  <cp:lastModifiedBy>baibaa</cp:lastModifiedBy>
  <cp:revision>3</cp:revision>
  <dcterms:created xsi:type="dcterms:W3CDTF">2013-12-10T12:52:00Z</dcterms:created>
  <dcterms:modified xsi:type="dcterms:W3CDTF">2013-12-10T12:53:00Z</dcterms:modified>
</cp:coreProperties>
</file>