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22" w:rsidRPr="00B46322" w:rsidRDefault="00B46322" w:rsidP="00B46322">
      <w:pPr>
        <w:jc w:val="center"/>
        <w:rPr>
          <w:b/>
          <w:sz w:val="28"/>
          <w:szCs w:val="28"/>
        </w:rPr>
      </w:pPr>
      <w:r w:rsidRPr="00B46322">
        <w:rPr>
          <w:b/>
          <w:sz w:val="28"/>
          <w:szCs w:val="28"/>
        </w:rPr>
        <w:t>Ministru kabine</w:t>
      </w:r>
      <w:r w:rsidR="0000037D">
        <w:rPr>
          <w:b/>
          <w:sz w:val="28"/>
          <w:szCs w:val="28"/>
        </w:rPr>
        <w:t>ta noteikumu projekta „Grozījums</w:t>
      </w:r>
      <w:r w:rsidRPr="00B46322">
        <w:rPr>
          <w:b/>
          <w:sz w:val="28"/>
          <w:szCs w:val="28"/>
        </w:rPr>
        <w:t xml:space="preserve"> Ministru kabineta 1998.gada 28.jūlija noteikumos Nr.270 </w:t>
      </w:r>
      <w:r w:rsidRPr="00B46322">
        <w:rPr>
          <w:rFonts w:eastAsiaTheme="minorHAnsi"/>
          <w:b/>
          <w:color w:val="000000"/>
          <w:sz w:val="28"/>
          <w:szCs w:val="28"/>
          <w:lang w:eastAsia="en-US"/>
        </w:rPr>
        <w:t>„Vidējās apdrošināšanas iemaksu algas aprēķināšanas kārtība un valsts sociālās apdrošināšanas pabalstu piešķiršanas, aprēķināšanas un izmaksas kārtība</w:t>
      </w:r>
      <w:r w:rsidRPr="00B46322">
        <w:rPr>
          <w:b/>
          <w:sz w:val="28"/>
          <w:szCs w:val="28"/>
        </w:rPr>
        <w:t xml:space="preserve">”” </w:t>
      </w:r>
      <w:r w:rsidRPr="00B46322">
        <w:rPr>
          <w:b/>
          <w:bCs/>
          <w:sz w:val="28"/>
          <w:szCs w:val="28"/>
        </w:rPr>
        <w:t>sākotnējās ietekmes novērtējuma ziņojums (anotācija)</w:t>
      </w:r>
    </w:p>
    <w:p w:rsidR="00B46322" w:rsidRDefault="00B46322" w:rsidP="00B46322">
      <w:pPr>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6145E9" w:rsidTr="006145E9">
        <w:tc>
          <w:tcPr>
            <w:tcW w:w="5000" w:type="pct"/>
            <w:gridSpan w:val="3"/>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center"/>
              <w:rPr>
                <w:b/>
                <w:bCs/>
                <w:lang w:eastAsia="en-US"/>
              </w:rPr>
            </w:pPr>
            <w:r>
              <w:rPr>
                <w:b/>
                <w:bCs/>
                <w:lang w:eastAsia="en-US"/>
              </w:rPr>
              <w:t>I Tiesību akta projekta izstrādes nepieciešamība</w:t>
            </w:r>
          </w:p>
        </w:tc>
      </w:tr>
      <w:tr w:rsidR="006145E9" w:rsidTr="006145E9">
        <w:tc>
          <w:tcPr>
            <w:tcW w:w="21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1.</w:t>
            </w:r>
          </w:p>
        </w:tc>
        <w:tc>
          <w:tcPr>
            <w:tcW w:w="1654"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Pamatojums</w:t>
            </w:r>
          </w:p>
        </w:tc>
        <w:tc>
          <w:tcPr>
            <w:tcW w:w="3133" w:type="pct"/>
            <w:tcBorders>
              <w:top w:val="single" w:sz="4" w:space="0" w:color="auto"/>
              <w:left w:val="single" w:sz="4" w:space="0" w:color="auto"/>
              <w:bottom w:val="single" w:sz="4" w:space="0" w:color="auto"/>
              <w:right w:val="single" w:sz="4" w:space="0" w:color="auto"/>
            </w:tcBorders>
          </w:tcPr>
          <w:p w:rsidR="006145E9" w:rsidRDefault="006145E9">
            <w:pPr>
              <w:spacing w:line="276" w:lineRule="auto"/>
              <w:jc w:val="both"/>
              <w:rPr>
                <w:lang w:eastAsia="en-US"/>
              </w:rPr>
            </w:pPr>
            <w:proofErr w:type="spellStart"/>
            <w:r>
              <w:rPr>
                <w:i/>
                <w:iCs/>
                <w:lang w:eastAsia="en-US"/>
              </w:rPr>
              <w:t>Euro</w:t>
            </w:r>
            <w:proofErr w:type="spellEnd"/>
            <w:r>
              <w:rPr>
                <w:lang w:eastAsia="en-US"/>
              </w:rPr>
              <w:t xml:space="preserve"> ieviešanas kārtības likuma 30.panta pirmā daļa, Ministru kabineta 2012.gada 27.jūnija rīkojums Nr.282 „Par „Koncepciju par normatīvo aktu sakārtošanu saistībā ar eiro ieviešanu Latvijā”” un Ministru kabineta 2013.gada 29.maija rīkojums Nr.212 „Par tiesību aktu grozījumu virzību saistībā ar </w:t>
            </w:r>
            <w:proofErr w:type="spellStart"/>
            <w:r>
              <w:rPr>
                <w:i/>
                <w:lang w:eastAsia="en-US"/>
              </w:rPr>
              <w:t>euro</w:t>
            </w:r>
            <w:proofErr w:type="spellEnd"/>
            <w:r>
              <w:rPr>
                <w:lang w:eastAsia="en-US"/>
              </w:rPr>
              <w:t xml:space="preserve"> ieviešanu Latvijā” 1.5. apakšpunkts.</w:t>
            </w:r>
          </w:p>
          <w:p w:rsidR="006145E9" w:rsidRDefault="006145E9">
            <w:pPr>
              <w:spacing w:line="276" w:lineRule="auto"/>
              <w:jc w:val="both"/>
              <w:rPr>
                <w:lang w:eastAsia="en-US"/>
              </w:rPr>
            </w:pPr>
          </w:p>
        </w:tc>
      </w:tr>
      <w:tr w:rsidR="006145E9" w:rsidTr="006145E9">
        <w:tc>
          <w:tcPr>
            <w:tcW w:w="21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 xml:space="preserve">2. </w:t>
            </w:r>
          </w:p>
        </w:tc>
        <w:tc>
          <w:tcPr>
            <w:tcW w:w="1654"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Pašreizējā situācija un problēmas</w:t>
            </w:r>
          </w:p>
        </w:tc>
        <w:tc>
          <w:tcPr>
            <w:tcW w:w="3133" w:type="pct"/>
            <w:tcBorders>
              <w:top w:val="single" w:sz="4" w:space="0" w:color="auto"/>
              <w:left w:val="single" w:sz="4" w:space="0" w:color="auto"/>
              <w:bottom w:val="single" w:sz="4" w:space="0" w:color="auto"/>
              <w:right w:val="single" w:sz="4" w:space="0" w:color="auto"/>
            </w:tcBorders>
          </w:tcPr>
          <w:p w:rsidR="006145E9" w:rsidRDefault="006145E9">
            <w:pPr>
              <w:spacing w:line="276" w:lineRule="auto"/>
              <w:jc w:val="both"/>
              <w:rPr>
                <w:highlight w:val="yellow"/>
                <w:lang w:eastAsia="en-US"/>
              </w:rPr>
            </w:pPr>
            <w:r>
              <w:rPr>
                <w:lang w:eastAsia="en-US"/>
              </w:rPr>
              <w:t xml:space="preserve">Ņemot vērā, ka ar 2014.gada 1.janvāri Latvijā plānots ieviest </w:t>
            </w:r>
            <w:proofErr w:type="spellStart"/>
            <w:r>
              <w:rPr>
                <w:i/>
                <w:iCs/>
                <w:lang w:eastAsia="en-US"/>
              </w:rPr>
              <w:t>euro</w:t>
            </w:r>
            <w:proofErr w:type="spellEnd"/>
            <w:r>
              <w:rPr>
                <w:lang w:eastAsia="en-US"/>
              </w:rPr>
              <w:t xml:space="preserve">, ir nepieciešams veikt grozījumus Ministru kabineta 1998.gada 28.jūlija noteikumos Nr.270 </w:t>
            </w:r>
            <w:r>
              <w:rPr>
                <w:rFonts w:eastAsiaTheme="minorHAnsi"/>
                <w:color w:val="000000"/>
                <w:lang w:eastAsia="en-US"/>
              </w:rPr>
              <w:t>„Vidējās apdrošināšanas iemaksu algas aprēķināšanas kārtība un valsts sociālās apdrošināšanas pabalstu piešķiršanas, aprēķināšanas un izmaksas kārtība”</w:t>
            </w:r>
            <w:r>
              <w:rPr>
                <w:lang w:eastAsia="en-US"/>
              </w:rPr>
              <w:t xml:space="preserve"> (turpmāk – noteikumu projekts), aizstājot noteikumu 16.</w:t>
            </w:r>
            <w:r>
              <w:rPr>
                <w:vertAlign w:val="superscript"/>
                <w:lang w:eastAsia="en-US"/>
              </w:rPr>
              <w:t>5</w:t>
            </w:r>
            <w:r>
              <w:rPr>
                <w:lang w:eastAsia="en-US"/>
              </w:rPr>
              <w:t xml:space="preserve"> punktā latus ar </w:t>
            </w:r>
            <w:proofErr w:type="spellStart"/>
            <w:r>
              <w:rPr>
                <w:i/>
                <w:iCs/>
                <w:lang w:eastAsia="en-US"/>
              </w:rPr>
              <w:t>euro</w:t>
            </w:r>
            <w:proofErr w:type="spellEnd"/>
            <w:r>
              <w:rPr>
                <w:lang w:eastAsia="en-US"/>
              </w:rPr>
              <w:t>.</w:t>
            </w:r>
            <w:r>
              <w:rPr>
                <w:highlight w:val="yellow"/>
                <w:lang w:eastAsia="en-US"/>
              </w:rPr>
              <w:t xml:space="preserve"> </w:t>
            </w:r>
          </w:p>
          <w:p w:rsidR="006145E9" w:rsidRDefault="006145E9">
            <w:pPr>
              <w:spacing w:line="276" w:lineRule="auto"/>
              <w:jc w:val="both"/>
              <w:rPr>
                <w:lang w:eastAsia="en-US"/>
              </w:rPr>
            </w:pPr>
            <w:r w:rsidRPr="00DD7485">
              <w:rPr>
                <w:lang w:eastAsia="en-US"/>
              </w:rPr>
              <w:t xml:space="preserve">Savukārt, noteikumu </w:t>
            </w:r>
            <w:r w:rsidR="00DD7485" w:rsidRPr="00DD7485">
              <w:rPr>
                <w:lang w:eastAsia="en-US"/>
              </w:rPr>
              <w:t>27</w:t>
            </w:r>
            <w:r w:rsidRPr="00DD7485">
              <w:rPr>
                <w:lang w:eastAsia="en-US"/>
              </w:rPr>
              <w:t>.</w:t>
            </w:r>
            <w:r w:rsidR="00DD7485" w:rsidRPr="00DD7485">
              <w:rPr>
                <w:vertAlign w:val="superscript"/>
                <w:lang w:eastAsia="en-US"/>
              </w:rPr>
              <w:t>2</w:t>
            </w:r>
            <w:r w:rsidR="00DD7485" w:rsidRPr="00DD7485">
              <w:rPr>
                <w:lang w:eastAsia="en-US"/>
              </w:rPr>
              <w:t xml:space="preserve"> </w:t>
            </w:r>
            <w:r w:rsidRPr="00DD7485">
              <w:rPr>
                <w:lang w:eastAsia="en-US"/>
              </w:rPr>
              <w:t xml:space="preserve">punktā grozījumi saistībā ar </w:t>
            </w:r>
            <w:proofErr w:type="spellStart"/>
            <w:r w:rsidRPr="00DD7485">
              <w:rPr>
                <w:i/>
                <w:lang w:eastAsia="en-US"/>
              </w:rPr>
              <w:t>euro</w:t>
            </w:r>
            <w:proofErr w:type="spellEnd"/>
            <w:r w:rsidRPr="00DD7485">
              <w:rPr>
                <w:lang w:eastAsia="en-US"/>
              </w:rPr>
              <w:t xml:space="preserve"> nav nepieciešami, jo minētais punkts ir pārejas perioda norma, kura </w:t>
            </w:r>
            <w:r w:rsidR="00690BF7">
              <w:rPr>
                <w:lang w:eastAsia="en-US"/>
              </w:rPr>
              <w:t>ir zaudējusi spēku.</w:t>
            </w:r>
          </w:p>
          <w:p w:rsidR="006145E9" w:rsidRDefault="006145E9">
            <w:pPr>
              <w:spacing w:line="276" w:lineRule="auto"/>
              <w:jc w:val="both"/>
              <w:rPr>
                <w:lang w:eastAsia="en-US"/>
              </w:rPr>
            </w:pPr>
          </w:p>
        </w:tc>
      </w:tr>
      <w:tr w:rsidR="006145E9" w:rsidTr="006145E9">
        <w:tc>
          <w:tcPr>
            <w:tcW w:w="21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 xml:space="preserve">3. </w:t>
            </w:r>
          </w:p>
        </w:tc>
        <w:tc>
          <w:tcPr>
            <w:tcW w:w="1654"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Saistītie politikas ietekmes novērtējumi un pētījumi</w:t>
            </w:r>
          </w:p>
        </w:tc>
        <w:tc>
          <w:tcPr>
            <w:tcW w:w="313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lang w:eastAsia="en-US"/>
              </w:rPr>
              <w:t>Nav attiecināms.</w:t>
            </w:r>
          </w:p>
        </w:tc>
      </w:tr>
      <w:tr w:rsidR="006145E9" w:rsidTr="006145E9">
        <w:tc>
          <w:tcPr>
            <w:tcW w:w="21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4.</w:t>
            </w:r>
          </w:p>
        </w:tc>
        <w:tc>
          <w:tcPr>
            <w:tcW w:w="1654"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Tiesiskā regulējuma mērķis un būtība</w:t>
            </w:r>
          </w:p>
        </w:tc>
        <w:tc>
          <w:tcPr>
            <w:tcW w:w="313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lang w:eastAsia="en-US"/>
              </w:rPr>
              <w:t xml:space="preserve">Šā projekta mērķis ir pielāgot noteikumu projektu </w:t>
            </w:r>
            <w:proofErr w:type="spellStart"/>
            <w:r>
              <w:rPr>
                <w:i/>
                <w:iCs/>
                <w:lang w:eastAsia="en-US"/>
              </w:rPr>
              <w:t>euro</w:t>
            </w:r>
            <w:proofErr w:type="spellEnd"/>
            <w:r>
              <w:rPr>
                <w:lang w:eastAsia="en-US"/>
              </w:rPr>
              <w:t xml:space="preserve"> ieviešanai, aizstājot tajā latus ar </w:t>
            </w:r>
            <w:proofErr w:type="spellStart"/>
            <w:r>
              <w:rPr>
                <w:i/>
                <w:iCs/>
                <w:lang w:eastAsia="en-US"/>
              </w:rPr>
              <w:t>euro</w:t>
            </w:r>
            <w:proofErr w:type="spellEnd"/>
            <w:r>
              <w:rPr>
                <w:lang w:eastAsia="en-US"/>
              </w:rPr>
              <w:t>.</w:t>
            </w:r>
          </w:p>
          <w:p w:rsidR="006145E9" w:rsidRDefault="006145E9">
            <w:pPr>
              <w:spacing w:line="276" w:lineRule="auto"/>
              <w:jc w:val="both"/>
              <w:rPr>
                <w:lang w:eastAsia="en-US"/>
              </w:rPr>
            </w:pPr>
            <w:r>
              <w:rPr>
                <w:lang w:eastAsia="en-US"/>
              </w:rPr>
              <w:t xml:space="preserve">Noteikumu projekts paredz aizstāt latus ar </w:t>
            </w:r>
            <w:proofErr w:type="spellStart"/>
            <w:r>
              <w:rPr>
                <w:i/>
                <w:iCs/>
                <w:lang w:eastAsia="en-US"/>
              </w:rPr>
              <w:t>euro</w:t>
            </w:r>
            <w:proofErr w:type="spellEnd"/>
            <w:r>
              <w:rPr>
                <w:lang w:eastAsia="en-US"/>
              </w:rPr>
              <w:t xml:space="preserve"> atbilstoši </w:t>
            </w:r>
            <w:proofErr w:type="spellStart"/>
            <w:r>
              <w:rPr>
                <w:i/>
                <w:iCs/>
                <w:lang w:eastAsia="en-US"/>
              </w:rPr>
              <w:t>Euro</w:t>
            </w:r>
            <w:proofErr w:type="spellEnd"/>
            <w:r>
              <w:rPr>
                <w:lang w:eastAsia="en-US"/>
              </w:rPr>
              <w:t xml:space="preserve"> ieviešanas kārtības likuma 6.pantā paredzētajiem principiem.</w:t>
            </w:r>
          </w:p>
          <w:p w:rsidR="006145E9" w:rsidRDefault="006145E9">
            <w:pPr>
              <w:spacing w:line="276" w:lineRule="auto"/>
              <w:jc w:val="both"/>
              <w:rPr>
                <w:lang w:eastAsia="en-US"/>
              </w:rPr>
            </w:pPr>
            <w:r>
              <w:rPr>
                <w:lang w:eastAsia="en-US"/>
              </w:rPr>
              <w:t xml:space="preserve">Grozītās tiesību normas </w:t>
            </w:r>
            <w:proofErr w:type="spellStart"/>
            <w:r>
              <w:rPr>
                <w:i/>
                <w:iCs/>
                <w:lang w:eastAsia="en-US"/>
              </w:rPr>
              <w:t>euro</w:t>
            </w:r>
            <w:proofErr w:type="spellEnd"/>
            <w:r>
              <w:rPr>
                <w:lang w:eastAsia="en-US"/>
              </w:rPr>
              <w:t xml:space="preserve"> valūtā nav personām nelabvēlīgākas par sākotnējo tiesību normu latos un nerada vērā ņemamu negatīvu ietekmi uz valsts budžetu.</w:t>
            </w:r>
          </w:p>
        </w:tc>
      </w:tr>
      <w:tr w:rsidR="006145E9" w:rsidTr="006145E9">
        <w:tc>
          <w:tcPr>
            <w:tcW w:w="21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5.</w:t>
            </w:r>
          </w:p>
        </w:tc>
        <w:tc>
          <w:tcPr>
            <w:tcW w:w="1654"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Projekta izstrādē iesaistītās institūcijas</w:t>
            </w:r>
          </w:p>
        </w:tc>
        <w:tc>
          <w:tcPr>
            <w:tcW w:w="313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lang w:eastAsia="en-US"/>
              </w:rPr>
              <w:t>Nav attiecināms.</w:t>
            </w:r>
          </w:p>
        </w:tc>
      </w:tr>
      <w:tr w:rsidR="006145E9" w:rsidTr="006145E9">
        <w:tc>
          <w:tcPr>
            <w:tcW w:w="21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6.</w:t>
            </w:r>
          </w:p>
        </w:tc>
        <w:tc>
          <w:tcPr>
            <w:tcW w:w="1654"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Iemesli, kādēļ netika nodrošināta sabiedrības līdzdalība</w:t>
            </w:r>
          </w:p>
        </w:tc>
        <w:tc>
          <w:tcPr>
            <w:tcW w:w="313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lang w:eastAsia="en-US"/>
              </w:rPr>
              <w:t>Sabiedrības līdzdalība projekta izstrādē netika nodrošināta, jo projekts nemainīs pastāvošo tiesisko regulējumu pēc būtības.</w:t>
            </w:r>
          </w:p>
        </w:tc>
      </w:tr>
      <w:tr w:rsidR="006145E9" w:rsidTr="006145E9">
        <w:tc>
          <w:tcPr>
            <w:tcW w:w="21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lastRenderedPageBreak/>
              <w:t xml:space="preserve">7. </w:t>
            </w:r>
          </w:p>
        </w:tc>
        <w:tc>
          <w:tcPr>
            <w:tcW w:w="1654"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lang w:eastAsia="en-US"/>
              </w:rPr>
              <w:t>Cita informācija</w:t>
            </w:r>
          </w:p>
        </w:tc>
        <w:tc>
          <w:tcPr>
            <w:tcW w:w="3133" w:type="pct"/>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color w:val="FF0000"/>
                <w:lang w:eastAsia="en-US"/>
              </w:rPr>
            </w:pPr>
            <w:r>
              <w:rPr>
                <w:lang w:eastAsia="en-US"/>
              </w:rPr>
              <w:t xml:space="preserve">Šim projektam ir jābūt </w:t>
            </w:r>
            <w:proofErr w:type="gramStart"/>
            <w:r>
              <w:rPr>
                <w:lang w:eastAsia="en-US"/>
              </w:rPr>
              <w:t>pieņemtam un noteikumiem publicētiem</w:t>
            </w:r>
            <w:proofErr w:type="gramEnd"/>
            <w:r>
              <w:rPr>
                <w:lang w:eastAsia="en-US"/>
              </w:rPr>
              <w:t xml:space="preserve"> oficiālajā izdevumā „Latvijas Vēstnesis” līdz </w:t>
            </w:r>
            <w:proofErr w:type="spellStart"/>
            <w:r w:rsidRPr="00690BF7">
              <w:rPr>
                <w:i/>
                <w:lang w:eastAsia="en-US"/>
              </w:rPr>
              <w:t>euro</w:t>
            </w:r>
            <w:proofErr w:type="spellEnd"/>
            <w:r>
              <w:rPr>
                <w:lang w:eastAsia="en-US"/>
              </w:rPr>
              <w:t xml:space="preserve"> ieviešanas dienai.</w:t>
            </w:r>
            <w:bookmarkStart w:id="0" w:name="_GoBack"/>
            <w:bookmarkEnd w:id="0"/>
          </w:p>
        </w:tc>
      </w:tr>
    </w:tbl>
    <w:p w:rsidR="006145E9" w:rsidRDefault="006145E9" w:rsidP="006145E9">
      <w:pPr>
        <w:jc w:val="center"/>
      </w:pPr>
    </w:p>
    <w:p w:rsidR="006145E9" w:rsidRDefault="006145E9" w:rsidP="006145E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530"/>
        <w:gridCol w:w="1310"/>
        <w:gridCol w:w="1218"/>
        <w:gridCol w:w="1228"/>
        <w:gridCol w:w="1255"/>
      </w:tblGrid>
      <w:tr w:rsidR="006145E9" w:rsidTr="006145E9">
        <w:tc>
          <w:tcPr>
            <w:tcW w:w="9287" w:type="dxa"/>
            <w:gridSpan w:val="6"/>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center"/>
              <w:rPr>
                <w:lang w:eastAsia="en-US"/>
              </w:rPr>
            </w:pPr>
            <w:r>
              <w:br w:type="page"/>
            </w:r>
            <w:r>
              <w:br w:type="page"/>
            </w:r>
            <w:r>
              <w:rPr>
                <w:b/>
                <w:bCs/>
                <w:lang w:eastAsia="en-US"/>
              </w:rPr>
              <w:t>III</w:t>
            </w:r>
            <w:r>
              <w:rPr>
                <w:lang w:eastAsia="en-US"/>
              </w:rPr>
              <w:t xml:space="preserve"> </w:t>
            </w:r>
            <w:r>
              <w:rPr>
                <w:b/>
                <w:bCs/>
                <w:lang w:eastAsia="en-US"/>
              </w:rPr>
              <w:t>Tiesību akta projekta ietekme uz valsts budžetu un pašvaldību budžetiem</w:t>
            </w:r>
          </w:p>
        </w:tc>
      </w:tr>
      <w:tr w:rsidR="006145E9" w:rsidTr="006145E9">
        <w:tc>
          <w:tcPr>
            <w:tcW w:w="5586" w:type="dxa"/>
            <w:gridSpan w:val="3"/>
            <w:tcBorders>
              <w:top w:val="single" w:sz="4" w:space="0" w:color="auto"/>
              <w:left w:val="single" w:sz="4" w:space="0" w:color="auto"/>
              <w:bottom w:val="single" w:sz="4" w:space="0" w:color="auto"/>
              <w:right w:val="single" w:sz="4" w:space="0" w:color="auto"/>
            </w:tcBorders>
          </w:tcPr>
          <w:p w:rsidR="006145E9" w:rsidRDefault="006145E9">
            <w:pPr>
              <w:spacing w:line="276" w:lineRule="auto"/>
              <w:jc w:val="center"/>
              <w:rPr>
                <w:lang w:eastAsia="en-US"/>
              </w:rPr>
            </w:pPr>
          </w:p>
        </w:tc>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6145E9" w:rsidRDefault="006145E9">
            <w:pPr>
              <w:spacing w:line="276" w:lineRule="auto"/>
              <w:jc w:val="center"/>
              <w:rPr>
                <w:lang w:eastAsia="en-US"/>
              </w:rPr>
            </w:pPr>
            <w:r>
              <w:rPr>
                <w:sz w:val="22"/>
                <w:szCs w:val="22"/>
                <w:lang w:eastAsia="en-US"/>
              </w:rPr>
              <w:t>(tūkst. latu)</w:t>
            </w:r>
          </w:p>
        </w:tc>
      </w:tr>
      <w:tr w:rsidR="006145E9" w:rsidTr="006145E9">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6145E9" w:rsidRDefault="006145E9">
            <w:pPr>
              <w:spacing w:line="276" w:lineRule="auto"/>
              <w:jc w:val="center"/>
              <w:rPr>
                <w:lang w:eastAsia="en-US"/>
              </w:rPr>
            </w:pPr>
            <w:r>
              <w:rPr>
                <w:b/>
                <w:bCs/>
                <w:sz w:val="22"/>
                <w:szCs w:val="22"/>
                <w:lang w:eastAsia="en-US"/>
              </w:rPr>
              <w:t>Rādītāji</w:t>
            </w:r>
          </w:p>
        </w:tc>
        <w:tc>
          <w:tcPr>
            <w:tcW w:w="28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45E9" w:rsidRDefault="006145E9">
            <w:pPr>
              <w:spacing w:line="276" w:lineRule="auto"/>
              <w:jc w:val="center"/>
              <w:rPr>
                <w:lang w:eastAsia="en-US"/>
              </w:rPr>
            </w:pPr>
            <w:r>
              <w:rPr>
                <w:b/>
                <w:bCs/>
                <w:sz w:val="22"/>
                <w:szCs w:val="22"/>
                <w:lang w:eastAsia="en-US"/>
              </w:rPr>
              <w:t>2013</w:t>
            </w:r>
          </w:p>
        </w:tc>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6145E9" w:rsidRDefault="006145E9">
            <w:pPr>
              <w:spacing w:line="276" w:lineRule="auto"/>
              <w:jc w:val="center"/>
              <w:rPr>
                <w:lang w:eastAsia="en-US"/>
              </w:rPr>
            </w:pPr>
            <w:r>
              <w:rPr>
                <w:sz w:val="22"/>
                <w:szCs w:val="22"/>
                <w:lang w:eastAsia="en-US"/>
              </w:rPr>
              <w:t>Turpmākie trīs gadi</w:t>
            </w:r>
          </w:p>
        </w:tc>
      </w:tr>
      <w:tr w:rsidR="006145E9" w:rsidTr="006145E9">
        <w:tc>
          <w:tcPr>
            <w:tcW w:w="0" w:type="auto"/>
            <w:vMerge/>
            <w:tcBorders>
              <w:top w:val="single" w:sz="4" w:space="0" w:color="auto"/>
              <w:left w:val="single" w:sz="4" w:space="0" w:color="auto"/>
              <w:bottom w:val="single" w:sz="4" w:space="0" w:color="auto"/>
              <w:right w:val="single" w:sz="4" w:space="0" w:color="auto"/>
            </w:tcBorders>
            <w:vAlign w:val="center"/>
            <w:hideMark/>
          </w:tcPr>
          <w:p w:rsidR="006145E9" w:rsidRDefault="006145E9">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45E9" w:rsidRDefault="006145E9">
            <w:pPr>
              <w:rPr>
                <w:lang w:eastAsia="en-US"/>
              </w:rPr>
            </w:pPr>
          </w:p>
        </w:tc>
        <w:tc>
          <w:tcPr>
            <w:tcW w:w="1218" w:type="dxa"/>
            <w:tcBorders>
              <w:top w:val="single" w:sz="4" w:space="0" w:color="auto"/>
              <w:left w:val="single" w:sz="4" w:space="0" w:color="auto"/>
              <w:bottom w:val="single" w:sz="4" w:space="0" w:color="auto"/>
              <w:right w:val="single" w:sz="4" w:space="0" w:color="auto"/>
            </w:tcBorders>
            <w:vAlign w:val="bottom"/>
            <w:hideMark/>
          </w:tcPr>
          <w:p w:rsidR="006145E9" w:rsidRDefault="006145E9">
            <w:pPr>
              <w:pStyle w:val="naisf"/>
              <w:spacing w:before="0" w:after="0" w:line="276" w:lineRule="auto"/>
              <w:ind w:firstLine="0"/>
              <w:jc w:val="center"/>
              <w:rPr>
                <w:b/>
                <w:bCs/>
                <w:i/>
                <w:iCs/>
                <w:lang w:eastAsia="en-US"/>
              </w:rPr>
            </w:pPr>
            <w:r>
              <w:rPr>
                <w:b/>
                <w:bCs/>
                <w:sz w:val="22"/>
                <w:szCs w:val="22"/>
                <w:lang w:eastAsia="en-US"/>
              </w:rPr>
              <w:t>2014</w:t>
            </w:r>
          </w:p>
        </w:tc>
        <w:tc>
          <w:tcPr>
            <w:tcW w:w="1228" w:type="dxa"/>
            <w:tcBorders>
              <w:top w:val="single" w:sz="4" w:space="0" w:color="auto"/>
              <w:left w:val="single" w:sz="4" w:space="0" w:color="auto"/>
              <w:bottom w:val="single" w:sz="4" w:space="0" w:color="auto"/>
              <w:right w:val="single" w:sz="4" w:space="0" w:color="auto"/>
            </w:tcBorders>
            <w:vAlign w:val="bottom"/>
            <w:hideMark/>
          </w:tcPr>
          <w:p w:rsidR="006145E9" w:rsidRDefault="006145E9">
            <w:pPr>
              <w:pStyle w:val="naisf"/>
              <w:spacing w:before="0" w:after="0" w:line="276" w:lineRule="auto"/>
              <w:ind w:firstLine="0"/>
              <w:jc w:val="center"/>
              <w:rPr>
                <w:b/>
                <w:bCs/>
                <w:i/>
                <w:iCs/>
                <w:lang w:eastAsia="en-US"/>
              </w:rPr>
            </w:pPr>
            <w:r>
              <w:rPr>
                <w:b/>
                <w:bCs/>
                <w:sz w:val="22"/>
                <w:szCs w:val="22"/>
                <w:lang w:eastAsia="en-US"/>
              </w:rPr>
              <w:t>2015</w:t>
            </w:r>
          </w:p>
        </w:tc>
        <w:tc>
          <w:tcPr>
            <w:tcW w:w="1255" w:type="dxa"/>
            <w:tcBorders>
              <w:top w:val="single" w:sz="4" w:space="0" w:color="auto"/>
              <w:left w:val="single" w:sz="4" w:space="0" w:color="auto"/>
              <w:bottom w:val="single" w:sz="4" w:space="0" w:color="auto"/>
              <w:right w:val="single" w:sz="4" w:space="0" w:color="auto"/>
            </w:tcBorders>
            <w:vAlign w:val="bottom"/>
            <w:hideMark/>
          </w:tcPr>
          <w:p w:rsidR="006145E9" w:rsidRDefault="006145E9">
            <w:pPr>
              <w:pStyle w:val="naisf"/>
              <w:spacing w:before="0" w:after="0" w:line="276" w:lineRule="auto"/>
              <w:ind w:firstLine="0"/>
              <w:jc w:val="center"/>
              <w:rPr>
                <w:b/>
                <w:bCs/>
                <w:i/>
                <w:iCs/>
                <w:lang w:eastAsia="en-US"/>
              </w:rPr>
            </w:pPr>
            <w:r>
              <w:rPr>
                <w:b/>
                <w:bCs/>
                <w:sz w:val="22"/>
                <w:szCs w:val="22"/>
                <w:lang w:eastAsia="en-US"/>
              </w:rPr>
              <w:t>2016</w:t>
            </w:r>
          </w:p>
        </w:tc>
      </w:tr>
      <w:tr w:rsidR="006145E9" w:rsidTr="006145E9">
        <w:tc>
          <w:tcPr>
            <w:tcW w:w="0" w:type="auto"/>
            <w:vMerge/>
            <w:tcBorders>
              <w:top w:val="single" w:sz="4" w:space="0" w:color="auto"/>
              <w:left w:val="single" w:sz="4" w:space="0" w:color="auto"/>
              <w:bottom w:val="single" w:sz="4" w:space="0" w:color="auto"/>
              <w:right w:val="single" w:sz="4" w:space="0" w:color="auto"/>
            </w:tcBorders>
            <w:vAlign w:val="center"/>
            <w:hideMark/>
          </w:tcPr>
          <w:p w:rsidR="006145E9" w:rsidRDefault="006145E9">
            <w:pPr>
              <w:rPr>
                <w:lang w:eastAsia="en-US"/>
              </w:rPr>
            </w:pPr>
          </w:p>
        </w:tc>
        <w:tc>
          <w:tcPr>
            <w:tcW w:w="1530" w:type="dxa"/>
            <w:tcBorders>
              <w:top w:val="single" w:sz="4" w:space="0" w:color="auto"/>
              <w:left w:val="single" w:sz="4" w:space="0" w:color="auto"/>
              <w:bottom w:val="single" w:sz="4" w:space="0" w:color="auto"/>
              <w:right w:val="single" w:sz="4" w:space="0" w:color="auto"/>
            </w:tcBorders>
            <w:vAlign w:val="bottom"/>
            <w:hideMark/>
          </w:tcPr>
          <w:p w:rsidR="006145E9" w:rsidRDefault="006145E9">
            <w:pPr>
              <w:spacing w:line="276" w:lineRule="auto"/>
              <w:jc w:val="center"/>
              <w:rPr>
                <w:lang w:eastAsia="en-US"/>
              </w:rPr>
            </w:pPr>
            <w:r>
              <w:rPr>
                <w:sz w:val="22"/>
                <w:szCs w:val="22"/>
                <w:lang w:eastAsia="en-US"/>
              </w:rPr>
              <w:t>Saskaņā ar valsts budžetu kārtējam gadam</w:t>
            </w:r>
          </w:p>
        </w:tc>
        <w:tc>
          <w:tcPr>
            <w:tcW w:w="1310" w:type="dxa"/>
            <w:tcBorders>
              <w:top w:val="single" w:sz="4" w:space="0" w:color="auto"/>
              <w:left w:val="single" w:sz="4" w:space="0" w:color="auto"/>
              <w:bottom w:val="single" w:sz="4" w:space="0" w:color="auto"/>
              <w:right w:val="single" w:sz="4" w:space="0" w:color="auto"/>
            </w:tcBorders>
            <w:vAlign w:val="bottom"/>
            <w:hideMark/>
          </w:tcPr>
          <w:p w:rsidR="006145E9" w:rsidRDefault="006145E9">
            <w:pPr>
              <w:spacing w:line="276" w:lineRule="auto"/>
              <w:jc w:val="center"/>
              <w:rPr>
                <w:lang w:eastAsia="en-US"/>
              </w:rPr>
            </w:pPr>
            <w:r>
              <w:rPr>
                <w:sz w:val="22"/>
                <w:szCs w:val="22"/>
                <w:lang w:eastAsia="en-US"/>
              </w:rPr>
              <w:t>Izmaiņas kārtējā gadā salīdzinot ar budžetu kārtējam gadam</w:t>
            </w:r>
          </w:p>
        </w:tc>
        <w:tc>
          <w:tcPr>
            <w:tcW w:w="1218" w:type="dxa"/>
            <w:tcBorders>
              <w:top w:val="single" w:sz="4" w:space="0" w:color="auto"/>
              <w:left w:val="single" w:sz="4" w:space="0" w:color="auto"/>
              <w:bottom w:val="single" w:sz="4" w:space="0" w:color="auto"/>
              <w:right w:val="single" w:sz="4" w:space="0" w:color="auto"/>
            </w:tcBorders>
            <w:vAlign w:val="bottom"/>
            <w:hideMark/>
          </w:tcPr>
          <w:p w:rsidR="006145E9" w:rsidRDefault="006145E9">
            <w:pPr>
              <w:spacing w:line="276" w:lineRule="auto"/>
              <w:jc w:val="center"/>
              <w:rPr>
                <w:lang w:eastAsia="en-US"/>
              </w:rPr>
            </w:pPr>
            <w:r>
              <w:rPr>
                <w:sz w:val="22"/>
                <w:szCs w:val="22"/>
                <w:lang w:eastAsia="en-US"/>
              </w:rPr>
              <w:t>Izmaiņas salīdzinot ar kārtējo (n) gadu</w:t>
            </w:r>
          </w:p>
        </w:tc>
        <w:tc>
          <w:tcPr>
            <w:tcW w:w="1228" w:type="dxa"/>
            <w:tcBorders>
              <w:top w:val="single" w:sz="4" w:space="0" w:color="auto"/>
              <w:left w:val="single" w:sz="4" w:space="0" w:color="auto"/>
              <w:bottom w:val="single" w:sz="4" w:space="0" w:color="auto"/>
              <w:right w:val="single" w:sz="4" w:space="0" w:color="auto"/>
            </w:tcBorders>
            <w:vAlign w:val="bottom"/>
            <w:hideMark/>
          </w:tcPr>
          <w:p w:rsidR="006145E9" w:rsidRDefault="006145E9">
            <w:pPr>
              <w:spacing w:line="276" w:lineRule="auto"/>
              <w:jc w:val="center"/>
              <w:rPr>
                <w:lang w:eastAsia="en-US"/>
              </w:rPr>
            </w:pPr>
            <w:r>
              <w:rPr>
                <w:sz w:val="22"/>
                <w:szCs w:val="22"/>
                <w:lang w:eastAsia="en-US"/>
              </w:rPr>
              <w:t>Izmaiņas salīdzinot ar kārtējo (n) gadu</w:t>
            </w:r>
          </w:p>
        </w:tc>
        <w:tc>
          <w:tcPr>
            <w:tcW w:w="1255" w:type="dxa"/>
            <w:tcBorders>
              <w:top w:val="single" w:sz="4" w:space="0" w:color="auto"/>
              <w:left w:val="single" w:sz="4" w:space="0" w:color="auto"/>
              <w:bottom w:val="single" w:sz="4" w:space="0" w:color="auto"/>
              <w:right w:val="single" w:sz="4" w:space="0" w:color="auto"/>
            </w:tcBorders>
            <w:vAlign w:val="bottom"/>
            <w:hideMark/>
          </w:tcPr>
          <w:p w:rsidR="006145E9" w:rsidRDefault="006145E9">
            <w:pPr>
              <w:spacing w:line="276" w:lineRule="auto"/>
              <w:jc w:val="center"/>
              <w:rPr>
                <w:lang w:eastAsia="en-US"/>
              </w:rPr>
            </w:pPr>
            <w:r>
              <w:rPr>
                <w:sz w:val="22"/>
                <w:szCs w:val="22"/>
                <w:lang w:eastAsia="en-US"/>
              </w:rPr>
              <w:t>Izmaiņas salīdzinot ar kārtējo (n) gadu</w:t>
            </w: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pStyle w:val="naisf"/>
              <w:spacing w:before="0" w:after="0" w:line="276" w:lineRule="auto"/>
              <w:ind w:firstLine="0"/>
              <w:jc w:val="center"/>
              <w:rPr>
                <w:b/>
                <w:bCs/>
                <w:lang w:eastAsia="en-US"/>
              </w:rPr>
            </w:pPr>
            <w:r>
              <w:rPr>
                <w:b/>
                <w:bCs/>
                <w:sz w:val="22"/>
                <w:szCs w:val="22"/>
                <w:lang w:eastAsia="en-US"/>
              </w:rPr>
              <w:t>1</w:t>
            </w:r>
          </w:p>
        </w:tc>
        <w:tc>
          <w:tcPr>
            <w:tcW w:w="1530" w:type="dxa"/>
            <w:tcBorders>
              <w:top w:val="single" w:sz="4" w:space="0" w:color="auto"/>
              <w:left w:val="single" w:sz="4" w:space="0" w:color="auto"/>
              <w:bottom w:val="single" w:sz="4" w:space="0" w:color="auto"/>
              <w:right w:val="single" w:sz="4" w:space="0" w:color="auto"/>
            </w:tcBorders>
            <w:hideMark/>
          </w:tcPr>
          <w:p w:rsidR="006145E9" w:rsidRDefault="006145E9">
            <w:pPr>
              <w:pStyle w:val="naisf"/>
              <w:spacing w:before="0" w:after="0" w:line="276" w:lineRule="auto"/>
              <w:ind w:firstLine="0"/>
              <w:jc w:val="center"/>
              <w:rPr>
                <w:b/>
                <w:bCs/>
                <w:lang w:eastAsia="en-US"/>
              </w:rPr>
            </w:pPr>
            <w:r>
              <w:rPr>
                <w:b/>
                <w:bCs/>
                <w:sz w:val="22"/>
                <w:szCs w:val="22"/>
                <w:lang w:eastAsia="en-US"/>
              </w:rPr>
              <w:t>2</w:t>
            </w:r>
          </w:p>
        </w:tc>
        <w:tc>
          <w:tcPr>
            <w:tcW w:w="1310" w:type="dxa"/>
            <w:tcBorders>
              <w:top w:val="single" w:sz="4" w:space="0" w:color="auto"/>
              <w:left w:val="single" w:sz="4" w:space="0" w:color="auto"/>
              <w:bottom w:val="single" w:sz="4" w:space="0" w:color="auto"/>
              <w:right w:val="single" w:sz="4" w:space="0" w:color="auto"/>
            </w:tcBorders>
            <w:hideMark/>
          </w:tcPr>
          <w:p w:rsidR="006145E9" w:rsidRDefault="006145E9">
            <w:pPr>
              <w:pStyle w:val="naisf"/>
              <w:spacing w:before="0" w:after="0" w:line="276" w:lineRule="auto"/>
              <w:ind w:firstLine="0"/>
              <w:jc w:val="center"/>
              <w:rPr>
                <w:b/>
                <w:bCs/>
                <w:lang w:eastAsia="en-US"/>
              </w:rPr>
            </w:pPr>
            <w:r>
              <w:rPr>
                <w:b/>
                <w:bCs/>
                <w:sz w:val="22"/>
                <w:szCs w:val="22"/>
                <w:lang w:eastAsia="en-US"/>
              </w:rPr>
              <w:t>3</w:t>
            </w:r>
          </w:p>
        </w:tc>
        <w:tc>
          <w:tcPr>
            <w:tcW w:w="1218" w:type="dxa"/>
            <w:tcBorders>
              <w:top w:val="single" w:sz="4" w:space="0" w:color="auto"/>
              <w:left w:val="single" w:sz="4" w:space="0" w:color="auto"/>
              <w:bottom w:val="single" w:sz="4" w:space="0" w:color="auto"/>
              <w:right w:val="single" w:sz="4" w:space="0" w:color="auto"/>
            </w:tcBorders>
            <w:hideMark/>
          </w:tcPr>
          <w:p w:rsidR="006145E9" w:rsidRDefault="006145E9">
            <w:pPr>
              <w:pStyle w:val="naisf"/>
              <w:spacing w:before="0" w:after="0" w:line="276" w:lineRule="auto"/>
              <w:ind w:firstLine="0"/>
              <w:jc w:val="center"/>
              <w:rPr>
                <w:b/>
                <w:bCs/>
                <w:lang w:eastAsia="en-US"/>
              </w:rPr>
            </w:pPr>
            <w:r>
              <w:rPr>
                <w:b/>
                <w:bCs/>
                <w:sz w:val="22"/>
                <w:szCs w:val="22"/>
                <w:lang w:eastAsia="en-US"/>
              </w:rPr>
              <w:t>4</w:t>
            </w:r>
          </w:p>
        </w:tc>
        <w:tc>
          <w:tcPr>
            <w:tcW w:w="1228" w:type="dxa"/>
            <w:tcBorders>
              <w:top w:val="single" w:sz="4" w:space="0" w:color="auto"/>
              <w:left w:val="single" w:sz="4" w:space="0" w:color="auto"/>
              <w:bottom w:val="single" w:sz="4" w:space="0" w:color="auto"/>
              <w:right w:val="single" w:sz="4" w:space="0" w:color="auto"/>
            </w:tcBorders>
            <w:hideMark/>
          </w:tcPr>
          <w:p w:rsidR="006145E9" w:rsidRDefault="006145E9">
            <w:pPr>
              <w:pStyle w:val="naisf"/>
              <w:spacing w:before="0" w:after="0" w:line="276" w:lineRule="auto"/>
              <w:ind w:firstLine="0"/>
              <w:jc w:val="center"/>
              <w:rPr>
                <w:b/>
                <w:bCs/>
                <w:lang w:eastAsia="en-US"/>
              </w:rPr>
            </w:pPr>
            <w:r>
              <w:rPr>
                <w:b/>
                <w:bCs/>
                <w:sz w:val="22"/>
                <w:szCs w:val="22"/>
                <w:lang w:eastAsia="en-US"/>
              </w:rPr>
              <w:t>5</w:t>
            </w:r>
          </w:p>
        </w:tc>
        <w:tc>
          <w:tcPr>
            <w:tcW w:w="1255" w:type="dxa"/>
            <w:tcBorders>
              <w:top w:val="single" w:sz="4" w:space="0" w:color="auto"/>
              <w:left w:val="single" w:sz="4" w:space="0" w:color="auto"/>
              <w:bottom w:val="single" w:sz="4" w:space="0" w:color="auto"/>
              <w:right w:val="single" w:sz="4" w:space="0" w:color="auto"/>
            </w:tcBorders>
            <w:hideMark/>
          </w:tcPr>
          <w:p w:rsidR="006145E9" w:rsidRDefault="006145E9">
            <w:pPr>
              <w:pStyle w:val="naisf"/>
              <w:spacing w:before="0" w:after="0" w:line="276" w:lineRule="auto"/>
              <w:ind w:firstLine="0"/>
              <w:jc w:val="center"/>
              <w:rPr>
                <w:b/>
                <w:bCs/>
                <w:lang w:eastAsia="en-US"/>
              </w:rPr>
            </w:pPr>
            <w:r>
              <w:rPr>
                <w:b/>
                <w:bCs/>
                <w:sz w:val="22"/>
                <w:szCs w:val="22"/>
                <w:lang w:eastAsia="en-US"/>
              </w:rPr>
              <w:t>6</w:t>
            </w: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1. Budžeta ieņēmumi:</w:t>
            </w:r>
          </w:p>
        </w:tc>
        <w:tc>
          <w:tcPr>
            <w:tcW w:w="1530"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18"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28"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55"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1.1. valsts pamatbudžets, tai skaitā ieņēmumi no maksas pakalpojumiem un citi pašu ieņēmumi</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pStyle w:val="naisf"/>
              <w:spacing w:before="0" w:after="0" w:line="276" w:lineRule="auto"/>
              <w:ind w:firstLine="0"/>
              <w:jc w:val="left"/>
              <w:rPr>
                <w:i/>
                <w:iCs/>
                <w:lang w:eastAsia="en-US"/>
              </w:rPr>
            </w:pPr>
            <w:r>
              <w:rPr>
                <w:sz w:val="22"/>
                <w:szCs w:val="22"/>
                <w:lang w:eastAsia="en-US"/>
              </w:rPr>
              <w:t>1.2. valsts speciālais budžets</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1.3. pašvaldību budžets</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2. Budžeta izdevumi:</w:t>
            </w:r>
          </w:p>
        </w:tc>
        <w:tc>
          <w:tcPr>
            <w:tcW w:w="1530"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18"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28"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55"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2.1. valsts pamatbudžets</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2.2. valsts speciālais budžets</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 xml:space="preserve">2.3. pašvaldību budžets </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3. Finansiālā ietekme:</w:t>
            </w:r>
          </w:p>
        </w:tc>
        <w:tc>
          <w:tcPr>
            <w:tcW w:w="1530"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18"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28"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c>
          <w:tcPr>
            <w:tcW w:w="1255" w:type="dxa"/>
            <w:tcBorders>
              <w:top w:val="single" w:sz="4" w:space="0" w:color="auto"/>
              <w:left w:val="single" w:sz="4" w:space="0" w:color="auto"/>
              <w:bottom w:val="single" w:sz="4" w:space="0" w:color="auto"/>
              <w:right w:val="single" w:sz="4" w:space="0" w:color="auto"/>
            </w:tcBorders>
          </w:tcPr>
          <w:p w:rsidR="006145E9" w:rsidRDefault="006145E9">
            <w:pPr>
              <w:spacing w:line="276" w:lineRule="auto"/>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sz w:val="22"/>
                <w:szCs w:val="22"/>
                <w:lang w:eastAsia="en-US"/>
              </w:rPr>
              <w:t>3.1. valsts pamatbudžets</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sz w:val="22"/>
                <w:szCs w:val="22"/>
                <w:lang w:eastAsia="en-US"/>
              </w:rPr>
              <w:t>3.2. speciālais budžets</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sz w:val="22"/>
                <w:szCs w:val="22"/>
                <w:lang w:eastAsia="en-US"/>
              </w:rPr>
              <w:t xml:space="preserve">3.3. pašvaldību budžets </w:t>
            </w:r>
          </w:p>
        </w:tc>
        <w:tc>
          <w:tcPr>
            <w:tcW w:w="153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pStyle w:val="naisf"/>
              <w:spacing w:before="0" w:after="0" w:line="276" w:lineRule="auto"/>
              <w:ind w:firstLine="0"/>
              <w:jc w:val="center"/>
              <w:rPr>
                <w:b/>
                <w:bCs/>
                <w:i/>
                <w:iCs/>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4. Finanšu līdzekļi papildu izdevumu finansēšanai (kompensējošu izdevumu samazinājumu norāda ar "+" zīmi)</w:t>
            </w:r>
          </w:p>
        </w:tc>
        <w:tc>
          <w:tcPr>
            <w:tcW w:w="1530" w:type="dxa"/>
            <w:tcBorders>
              <w:top w:val="single" w:sz="4" w:space="0" w:color="auto"/>
              <w:left w:val="single" w:sz="4" w:space="0" w:color="auto"/>
              <w:bottom w:val="single" w:sz="4" w:space="0" w:color="auto"/>
              <w:right w:val="single" w:sz="4" w:space="0" w:color="auto"/>
            </w:tcBorders>
            <w:vAlign w:val="center"/>
            <w:hideMark/>
          </w:tcPr>
          <w:p w:rsidR="006145E9" w:rsidRDefault="006145E9">
            <w:pPr>
              <w:spacing w:line="276" w:lineRule="auto"/>
              <w:jc w:val="center"/>
              <w:rPr>
                <w:b/>
                <w:bCs/>
                <w:sz w:val="40"/>
                <w:szCs w:val="40"/>
                <w:lang w:eastAsia="en-US"/>
              </w:rPr>
            </w:pPr>
            <w:r>
              <w:rPr>
                <w:b/>
                <w:bCs/>
                <w:sz w:val="40"/>
                <w:szCs w:val="40"/>
                <w:lang w:eastAsia="en-US"/>
              </w:rPr>
              <w:t>x</w:t>
            </w: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5. Precizēta finansiālā ietekme:</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145E9" w:rsidRDefault="006145E9">
            <w:pPr>
              <w:spacing w:line="276" w:lineRule="auto"/>
              <w:jc w:val="center"/>
              <w:rPr>
                <w:lang w:eastAsia="en-US"/>
              </w:rPr>
            </w:pPr>
            <w:r>
              <w:rPr>
                <w:b/>
                <w:bCs/>
                <w:sz w:val="40"/>
                <w:szCs w:val="40"/>
                <w:lang w:eastAsia="en-US"/>
              </w:rPr>
              <w:t>x</w:t>
            </w: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sz w:val="22"/>
                <w:szCs w:val="22"/>
                <w:lang w:eastAsia="en-US"/>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E9" w:rsidRDefault="006145E9">
            <w:pP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sz w:val="22"/>
                <w:szCs w:val="22"/>
                <w:lang w:eastAsia="en-US"/>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E9" w:rsidRDefault="006145E9">
            <w:pP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sz w:val="22"/>
                <w:szCs w:val="22"/>
                <w:lang w:eastAsia="en-US"/>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E9" w:rsidRDefault="006145E9">
            <w:pPr>
              <w:rPr>
                <w:lang w:eastAsia="en-US"/>
              </w:rPr>
            </w:pPr>
          </w:p>
        </w:tc>
        <w:tc>
          <w:tcPr>
            <w:tcW w:w="1310"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center"/>
              <w:rPr>
                <w:lang w:eastAsia="en-US"/>
              </w:rPr>
            </w:pPr>
          </w:p>
        </w:tc>
      </w:tr>
      <w:tr w:rsidR="006145E9" w:rsidTr="006145E9">
        <w:tc>
          <w:tcPr>
            <w:tcW w:w="9287" w:type="dxa"/>
            <w:gridSpan w:val="6"/>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6. Detalizēts ieņēmumu un izdevumu aprēķins (ja nepieciešams, detalizētu ieņēmumu un izdevumu aprēķinu var pievienot anotācijas pielikumā):</w:t>
            </w: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t xml:space="preserve">6.1. Detalizēts ieņēmumu </w:t>
            </w:r>
            <w:r>
              <w:rPr>
                <w:sz w:val="22"/>
                <w:szCs w:val="22"/>
                <w:lang w:eastAsia="en-US"/>
              </w:rPr>
              <w:lastRenderedPageBreak/>
              <w:t>aprēķins</w:t>
            </w:r>
          </w:p>
        </w:tc>
        <w:tc>
          <w:tcPr>
            <w:tcW w:w="6541" w:type="dxa"/>
            <w:gridSpan w:val="5"/>
            <w:tcBorders>
              <w:top w:val="single" w:sz="4" w:space="0" w:color="auto"/>
              <w:left w:val="single" w:sz="4" w:space="0" w:color="auto"/>
              <w:bottom w:val="single" w:sz="4" w:space="0" w:color="auto"/>
              <w:right w:val="single" w:sz="4" w:space="0" w:color="auto"/>
            </w:tcBorders>
            <w:vAlign w:val="center"/>
          </w:tcPr>
          <w:p w:rsidR="006145E9" w:rsidRDefault="006145E9">
            <w:pPr>
              <w:spacing w:line="276" w:lineRule="auto"/>
              <w:jc w:val="both"/>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rPr>
                <w:lang w:eastAsia="en-US"/>
              </w:rPr>
            </w:pPr>
            <w:r>
              <w:rPr>
                <w:sz w:val="22"/>
                <w:szCs w:val="22"/>
                <w:lang w:eastAsia="en-US"/>
              </w:rPr>
              <w:lastRenderedPageBreak/>
              <w:t>6.2. Detalizēts izdevumu aprēķins</w:t>
            </w:r>
          </w:p>
        </w:tc>
        <w:tc>
          <w:tcPr>
            <w:tcW w:w="6541" w:type="dxa"/>
            <w:gridSpan w:val="5"/>
            <w:tcBorders>
              <w:top w:val="single" w:sz="4" w:space="0" w:color="auto"/>
              <w:left w:val="single" w:sz="4" w:space="0" w:color="auto"/>
              <w:bottom w:val="single" w:sz="4" w:space="0" w:color="auto"/>
              <w:right w:val="single" w:sz="4" w:space="0" w:color="auto"/>
            </w:tcBorders>
          </w:tcPr>
          <w:p w:rsidR="006145E9" w:rsidRDefault="006145E9">
            <w:pPr>
              <w:spacing w:line="276" w:lineRule="auto"/>
              <w:jc w:val="both"/>
              <w:rPr>
                <w:lang w:eastAsia="en-US"/>
              </w:rPr>
            </w:pPr>
          </w:p>
        </w:tc>
      </w:tr>
      <w:tr w:rsidR="006145E9" w:rsidTr="006145E9">
        <w:tc>
          <w:tcPr>
            <w:tcW w:w="2746" w:type="dxa"/>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sz w:val="22"/>
                <w:szCs w:val="22"/>
                <w:lang w:eastAsia="en-US"/>
              </w:rPr>
              <w:t>7. Cita informācija</w:t>
            </w:r>
          </w:p>
        </w:tc>
        <w:tc>
          <w:tcPr>
            <w:tcW w:w="6541" w:type="dxa"/>
            <w:gridSpan w:val="5"/>
            <w:tcBorders>
              <w:top w:val="single" w:sz="4" w:space="0" w:color="auto"/>
              <w:left w:val="single" w:sz="4" w:space="0" w:color="auto"/>
              <w:bottom w:val="single" w:sz="4" w:space="0" w:color="auto"/>
              <w:right w:val="single" w:sz="4" w:space="0" w:color="auto"/>
            </w:tcBorders>
            <w:hideMark/>
          </w:tcPr>
          <w:p w:rsidR="006145E9" w:rsidRDefault="006145E9">
            <w:pPr>
              <w:spacing w:line="276" w:lineRule="auto"/>
              <w:jc w:val="both"/>
              <w:rPr>
                <w:lang w:eastAsia="en-US"/>
              </w:rPr>
            </w:pPr>
            <w:r>
              <w:rPr>
                <w:lang w:eastAsia="en-US"/>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6145E9" w:rsidRDefault="006145E9" w:rsidP="006145E9">
      <w:pPr>
        <w:jc w:val="center"/>
      </w:pPr>
    </w:p>
    <w:p w:rsidR="006145E9" w:rsidRDefault="006145E9" w:rsidP="006145E9">
      <w:pPr>
        <w:jc w:val="center"/>
      </w:pPr>
    </w:p>
    <w:p w:rsidR="006145E9" w:rsidRDefault="006145E9" w:rsidP="006145E9">
      <w:pPr>
        <w:jc w:val="center"/>
        <w:rPr>
          <w:i/>
          <w:iCs/>
        </w:rPr>
      </w:pPr>
      <w:r>
        <w:rPr>
          <w:i/>
          <w:iCs/>
        </w:rPr>
        <w:t>Anotācijas II, IV, V, VI un VII sadaļa - projekts šīs jomas neskar.</w:t>
      </w:r>
    </w:p>
    <w:p w:rsidR="00B46322" w:rsidRPr="00AB4F4C" w:rsidRDefault="00B46322" w:rsidP="00B46322">
      <w:pPr>
        <w:jc w:val="center"/>
        <w:rPr>
          <w:b/>
        </w:rPr>
      </w:pPr>
    </w:p>
    <w:p w:rsidR="00B46322" w:rsidRDefault="00B46322" w:rsidP="00B46322"/>
    <w:p w:rsidR="00B46322" w:rsidRPr="008207C1" w:rsidRDefault="00B46322" w:rsidP="00B46322">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r>
      <w:proofErr w:type="spellStart"/>
      <w:r>
        <w:rPr>
          <w:sz w:val="28"/>
          <w:szCs w:val="28"/>
        </w:rPr>
        <w:t>I.Viņķele</w:t>
      </w:r>
      <w:proofErr w:type="spellEnd"/>
    </w:p>
    <w:p w:rsidR="00B46322" w:rsidRDefault="00B46322" w:rsidP="00B46322">
      <w:pPr>
        <w:rPr>
          <w:sz w:val="28"/>
          <w:szCs w:val="28"/>
        </w:rPr>
      </w:pPr>
    </w:p>
    <w:p w:rsidR="00B46322" w:rsidRDefault="00B46322" w:rsidP="00B46322">
      <w:pPr>
        <w:rPr>
          <w:sz w:val="28"/>
          <w:szCs w:val="28"/>
        </w:rPr>
      </w:pPr>
    </w:p>
    <w:p w:rsidR="009A2245" w:rsidRDefault="009A2245" w:rsidP="00B46322">
      <w:pPr>
        <w:rPr>
          <w:sz w:val="28"/>
          <w:szCs w:val="28"/>
        </w:rPr>
      </w:pPr>
    </w:p>
    <w:p w:rsidR="009A2245" w:rsidRPr="008207C1" w:rsidRDefault="009A2245" w:rsidP="00B46322">
      <w:pPr>
        <w:rPr>
          <w:sz w:val="28"/>
          <w:szCs w:val="28"/>
        </w:rPr>
      </w:pPr>
    </w:p>
    <w:p w:rsidR="00690BF7" w:rsidRDefault="00690BF7" w:rsidP="00B46322">
      <w:pPr>
        <w:pStyle w:val="Footer"/>
        <w:tabs>
          <w:tab w:val="clear" w:pos="4153"/>
          <w:tab w:val="clear" w:pos="8306"/>
        </w:tabs>
        <w:rPr>
          <w:sz w:val="20"/>
          <w:szCs w:val="20"/>
        </w:rPr>
      </w:pPr>
      <w:r>
        <w:rPr>
          <w:sz w:val="20"/>
          <w:szCs w:val="20"/>
        </w:rPr>
        <w:t>15.08.2013 11:08</w:t>
      </w:r>
    </w:p>
    <w:p w:rsidR="00B46322" w:rsidRPr="0083656F" w:rsidRDefault="00690BF7" w:rsidP="00B46322">
      <w:pPr>
        <w:pStyle w:val="Footer"/>
        <w:tabs>
          <w:tab w:val="clear" w:pos="4153"/>
          <w:tab w:val="clear" w:pos="8306"/>
        </w:tabs>
        <w:rPr>
          <w:sz w:val="20"/>
          <w:szCs w:val="20"/>
        </w:rPr>
      </w:pPr>
      <w:r>
        <w:rPr>
          <w:sz w:val="20"/>
          <w:szCs w:val="20"/>
        </w:rPr>
        <w:t>480</w:t>
      </w:r>
    </w:p>
    <w:p w:rsidR="00B46322" w:rsidRPr="002B0373" w:rsidRDefault="00B46322" w:rsidP="00B46322">
      <w:pPr>
        <w:rPr>
          <w:sz w:val="20"/>
          <w:szCs w:val="20"/>
        </w:rPr>
      </w:pPr>
      <w:r>
        <w:rPr>
          <w:sz w:val="20"/>
          <w:szCs w:val="20"/>
        </w:rPr>
        <w:t>I.Salmane</w:t>
      </w:r>
    </w:p>
    <w:p w:rsidR="00B46322" w:rsidRDefault="00B46322" w:rsidP="00B46322">
      <w:pPr>
        <w:rPr>
          <w:sz w:val="20"/>
          <w:szCs w:val="20"/>
        </w:rPr>
      </w:pPr>
      <w:r>
        <w:rPr>
          <w:sz w:val="20"/>
          <w:szCs w:val="20"/>
        </w:rPr>
        <w:t>tālr.67021556</w:t>
      </w:r>
      <w:r w:rsidRPr="002B0373">
        <w:rPr>
          <w:sz w:val="20"/>
          <w:szCs w:val="20"/>
        </w:rPr>
        <w:t xml:space="preserve">, </w:t>
      </w:r>
      <w:r>
        <w:rPr>
          <w:sz w:val="20"/>
          <w:szCs w:val="20"/>
        </w:rPr>
        <w:t>fakss 67021560</w:t>
      </w:r>
    </w:p>
    <w:p w:rsidR="00B46322" w:rsidRPr="00111F0E" w:rsidRDefault="00690BF7" w:rsidP="00B46322">
      <w:pPr>
        <w:rPr>
          <w:rStyle w:val="Hyperlink"/>
          <w:sz w:val="20"/>
          <w:szCs w:val="20"/>
        </w:rPr>
      </w:pPr>
      <w:hyperlink r:id="rId7" w:history="1">
        <w:r w:rsidR="00B46322" w:rsidRPr="004D0986">
          <w:rPr>
            <w:rStyle w:val="Hyperlink"/>
            <w:sz w:val="20"/>
            <w:szCs w:val="20"/>
          </w:rPr>
          <w:t>Irena.Salmane@lm.gov.lv</w:t>
        </w:r>
      </w:hyperlink>
      <w:r w:rsidR="00B46322" w:rsidRPr="00AD2E96">
        <w:rPr>
          <w:sz w:val="20"/>
          <w:szCs w:val="20"/>
        </w:rPr>
        <w:t xml:space="preserve"> </w:t>
      </w:r>
    </w:p>
    <w:p w:rsidR="00B46322" w:rsidRDefault="00B46322" w:rsidP="00B46322"/>
    <w:p w:rsidR="00B46322" w:rsidRDefault="00B46322" w:rsidP="00B46322"/>
    <w:p w:rsidR="003C4E78" w:rsidRDefault="003C4E78"/>
    <w:sectPr w:rsidR="003C4E78" w:rsidSect="00C325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22" w:rsidRDefault="00B46322" w:rsidP="00B46322">
      <w:r>
        <w:separator/>
      </w:r>
    </w:p>
  </w:endnote>
  <w:endnote w:type="continuationSeparator" w:id="0">
    <w:p w:rsidR="00B46322" w:rsidRDefault="00B46322" w:rsidP="00B4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22" w:rsidRPr="000C72D0" w:rsidRDefault="00B46322" w:rsidP="00B46322">
    <w:pPr>
      <w:jc w:val="both"/>
      <w:rPr>
        <w:sz w:val="20"/>
        <w:szCs w:val="20"/>
      </w:rPr>
    </w:pPr>
    <w:r w:rsidRPr="000C72D0">
      <w:rPr>
        <w:sz w:val="20"/>
        <w:szCs w:val="20"/>
      </w:rPr>
      <w:t>LM</w:t>
    </w:r>
    <w:r>
      <w:rPr>
        <w:sz w:val="20"/>
        <w:szCs w:val="20"/>
      </w:rPr>
      <w:t>a</w:t>
    </w:r>
    <w:r w:rsidRPr="000C72D0">
      <w:rPr>
        <w:sz w:val="20"/>
        <w:szCs w:val="20"/>
      </w:rPr>
      <w:t>not_</w:t>
    </w:r>
    <w:r w:rsidR="0000037D">
      <w:rPr>
        <w:sz w:val="20"/>
        <w:szCs w:val="20"/>
      </w:rPr>
      <w:t>1</w:t>
    </w:r>
    <w:r w:rsidR="000A74C5">
      <w:rPr>
        <w:sz w:val="20"/>
        <w:szCs w:val="20"/>
      </w:rPr>
      <w:t>5</w:t>
    </w:r>
    <w:r w:rsidR="0000037D">
      <w:rPr>
        <w:sz w:val="20"/>
        <w:szCs w:val="20"/>
      </w:rPr>
      <w:t>0813</w:t>
    </w:r>
    <w:r w:rsidR="009A2245">
      <w:rPr>
        <w:sz w:val="20"/>
        <w:szCs w:val="20"/>
      </w:rPr>
      <w:t>_MK270</w:t>
    </w:r>
    <w:r w:rsidR="0000037D">
      <w:rPr>
        <w:sz w:val="20"/>
        <w:szCs w:val="20"/>
      </w:rPr>
      <w:t>; Grozījums</w:t>
    </w:r>
    <w:r w:rsidRPr="000C72D0">
      <w:rPr>
        <w:sz w:val="20"/>
        <w:szCs w:val="20"/>
      </w:rPr>
      <w:t xml:space="preserve"> Ministru kabineta 1998.gada 28.jūlija noteikumos Nr.270 </w:t>
    </w:r>
    <w:r w:rsidRPr="000C72D0">
      <w:rPr>
        <w:rFonts w:eastAsiaTheme="minorHAnsi"/>
        <w:color w:val="000000"/>
        <w:sz w:val="20"/>
        <w:szCs w:val="20"/>
        <w:lang w:eastAsia="en-US"/>
      </w:rPr>
      <w:t>„Vidējās apdrošināšanas iemaksu algas aprēķināšanas kārtība un valsts sociālās apdrošināšanas pabalstu piešķiršanas, aprēķināšanas un izmaksas kārtība”</w:t>
    </w:r>
  </w:p>
  <w:p w:rsidR="00A60CAE" w:rsidRPr="00B46322" w:rsidRDefault="00690BF7" w:rsidP="00B46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22" w:rsidRPr="000C72D0" w:rsidRDefault="00B46322" w:rsidP="00B46322">
    <w:pPr>
      <w:jc w:val="both"/>
      <w:rPr>
        <w:sz w:val="20"/>
        <w:szCs w:val="20"/>
      </w:rPr>
    </w:pPr>
    <w:r w:rsidRPr="000C72D0">
      <w:rPr>
        <w:sz w:val="20"/>
        <w:szCs w:val="20"/>
      </w:rPr>
      <w:t>LM</w:t>
    </w:r>
    <w:r>
      <w:rPr>
        <w:sz w:val="20"/>
        <w:szCs w:val="20"/>
      </w:rPr>
      <w:t>a</w:t>
    </w:r>
    <w:r w:rsidRPr="000C72D0">
      <w:rPr>
        <w:sz w:val="20"/>
        <w:szCs w:val="20"/>
      </w:rPr>
      <w:t>not_</w:t>
    </w:r>
    <w:r w:rsidR="0000037D">
      <w:rPr>
        <w:sz w:val="20"/>
        <w:szCs w:val="20"/>
      </w:rPr>
      <w:t>1</w:t>
    </w:r>
    <w:r w:rsidR="000A74C5">
      <w:rPr>
        <w:sz w:val="20"/>
        <w:szCs w:val="20"/>
      </w:rPr>
      <w:t>5</w:t>
    </w:r>
    <w:r w:rsidR="0000037D">
      <w:rPr>
        <w:sz w:val="20"/>
        <w:szCs w:val="20"/>
      </w:rPr>
      <w:t>0813</w:t>
    </w:r>
    <w:r w:rsidR="009A2245">
      <w:rPr>
        <w:sz w:val="20"/>
        <w:szCs w:val="20"/>
      </w:rPr>
      <w:t>_MK270</w:t>
    </w:r>
    <w:r w:rsidR="0000037D">
      <w:rPr>
        <w:sz w:val="20"/>
        <w:szCs w:val="20"/>
      </w:rPr>
      <w:t>; Grozījums</w:t>
    </w:r>
    <w:r w:rsidRPr="000C72D0">
      <w:rPr>
        <w:sz w:val="20"/>
        <w:szCs w:val="20"/>
      </w:rPr>
      <w:t xml:space="preserve"> Ministru kabineta 1998.gada 28.jūlija noteikumos Nr.270 </w:t>
    </w:r>
    <w:r w:rsidRPr="000C72D0">
      <w:rPr>
        <w:rFonts w:eastAsiaTheme="minorHAnsi"/>
        <w:color w:val="000000"/>
        <w:sz w:val="20"/>
        <w:szCs w:val="20"/>
        <w:lang w:eastAsia="en-US"/>
      </w:rPr>
      <w:t>„Vidējās apdrošināšanas iemaksu algas aprēķināšanas kārtība un valsts sociālās apdrošināšanas pabalstu piešķiršanas, aprēķināšanas un izmaksas kārtība”</w:t>
    </w:r>
  </w:p>
  <w:p w:rsidR="00A60CAE" w:rsidRPr="00AB4F4C" w:rsidRDefault="00690BF7" w:rsidP="00AB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22" w:rsidRDefault="00B46322" w:rsidP="00B46322">
      <w:r>
        <w:separator/>
      </w:r>
    </w:p>
  </w:footnote>
  <w:footnote w:type="continuationSeparator" w:id="0">
    <w:p w:rsidR="00B46322" w:rsidRDefault="00B46322" w:rsidP="00B4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AE" w:rsidRDefault="00B46322" w:rsidP="00242D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BF7">
      <w:rPr>
        <w:rStyle w:val="PageNumber"/>
        <w:noProof/>
      </w:rPr>
      <w:t>2</w:t>
    </w:r>
    <w:r>
      <w:rPr>
        <w:rStyle w:val="PageNumber"/>
      </w:rPr>
      <w:fldChar w:fldCharType="end"/>
    </w:r>
  </w:p>
  <w:p w:rsidR="00A60CAE" w:rsidRDefault="00690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22"/>
    <w:rsid w:val="0000037D"/>
    <w:rsid w:val="00030A3C"/>
    <w:rsid w:val="000A74C5"/>
    <w:rsid w:val="003B7509"/>
    <w:rsid w:val="003C4E78"/>
    <w:rsid w:val="006145E9"/>
    <w:rsid w:val="00690BF7"/>
    <w:rsid w:val="007E4663"/>
    <w:rsid w:val="009A2245"/>
    <w:rsid w:val="00A71E3B"/>
    <w:rsid w:val="00B46322"/>
    <w:rsid w:val="00C258AD"/>
    <w:rsid w:val="00DD7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B46322"/>
    <w:pPr>
      <w:spacing w:before="75" w:after="75"/>
    </w:pPr>
  </w:style>
  <w:style w:type="paragraph" w:styleId="Header">
    <w:name w:val="header"/>
    <w:basedOn w:val="Normal"/>
    <w:link w:val="HeaderChar"/>
    <w:uiPriority w:val="99"/>
    <w:rsid w:val="00B46322"/>
    <w:pPr>
      <w:tabs>
        <w:tab w:val="center" w:pos="4153"/>
        <w:tab w:val="right" w:pos="8306"/>
      </w:tabs>
    </w:pPr>
  </w:style>
  <w:style w:type="character" w:customStyle="1" w:styleId="HeaderChar">
    <w:name w:val="Header Char"/>
    <w:basedOn w:val="DefaultParagraphFont"/>
    <w:link w:val="Header"/>
    <w:uiPriority w:val="99"/>
    <w:rsid w:val="00B4632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46322"/>
  </w:style>
  <w:style w:type="paragraph" w:styleId="Footer">
    <w:name w:val="footer"/>
    <w:basedOn w:val="Normal"/>
    <w:link w:val="FooterChar"/>
    <w:rsid w:val="00B46322"/>
    <w:pPr>
      <w:tabs>
        <w:tab w:val="center" w:pos="4153"/>
        <w:tab w:val="right" w:pos="8306"/>
      </w:tabs>
    </w:pPr>
  </w:style>
  <w:style w:type="character" w:customStyle="1" w:styleId="FooterChar">
    <w:name w:val="Footer Char"/>
    <w:basedOn w:val="DefaultParagraphFont"/>
    <w:link w:val="Footer"/>
    <w:rsid w:val="00B46322"/>
    <w:rPr>
      <w:rFonts w:ascii="Times New Roman" w:eastAsia="Times New Roman" w:hAnsi="Times New Roman" w:cs="Times New Roman"/>
      <w:sz w:val="24"/>
      <w:szCs w:val="24"/>
      <w:lang w:eastAsia="lv-LV"/>
    </w:rPr>
  </w:style>
  <w:style w:type="paragraph" w:customStyle="1" w:styleId="naisf">
    <w:name w:val="naisf"/>
    <w:basedOn w:val="Normal"/>
    <w:uiPriority w:val="99"/>
    <w:rsid w:val="00B46322"/>
    <w:pPr>
      <w:spacing w:before="75" w:after="75"/>
      <w:ind w:firstLine="375"/>
      <w:jc w:val="both"/>
    </w:pPr>
  </w:style>
  <w:style w:type="character" w:styleId="Hyperlink">
    <w:name w:val="Hyperlink"/>
    <w:basedOn w:val="DefaultParagraphFont"/>
    <w:uiPriority w:val="99"/>
    <w:rsid w:val="00B46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B46322"/>
    <w:pPr>
      <w:spacing w:before="75" w:after="75"/>
    </w:pPr>
  </w:style>
  <w:style w:type="paragraph" w:styleId="Header">
    <w:name w:val="header"/>
    <w:basedOn w:val="Normal"/>
    <w:link w:val="HeaderChar"/>
    <w:uiPriority w:val="99"/>
    <w:rsid w:val="00B46322"/>
    <w:pPr>
      <w:tabs>
        <w:tab w:val="center" w:pos="4153"/>
        <w:tab w:val="right" w:pos="8306"/>
      </w:tabs>
    </w:pPr>
  </w:style>
  <w:style w:type="character" w:customStyle="1" w:styleId="HeaderChar">
    <w:name w:val="Header Char"/>
    <w:basedOn w:val="DefaultParagraphFont"/>
    <w:link w:val="Header"/>
    <w:uiPriority w:val="99"/>
    <w:rsid w:val="00B4632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46322"/>
  </w:style>
  <w:style w:type="paragraph" w:styleId="Footer">
    <w:name w:val="footer"/>
    <w:basedOn w:val="Normal"/>
    <w:link w:val="FooterChar"/>
    <w:rsid w:val="00B46322"/>
    <w:pPr>
      <w:tabs>
        <w:tab w:val="center" w:pos="4153"/>
        <w:tab w:val="right" w:pos="8306"/>
      </w:tabs>
    </w:pPr>
  </w:style>
  <w:style w:type="character" w:customStyle="1" w:styleId="FooterChar">
    <w:name w:val="Footer Char"/>
    <w:basedOn w:val="DefaultParagraphFont"/>
    <w:link w:val="Footer"/>
    <w:rsid w:val="00B46322"/>
    <w:rPr>
      <w:rFonts w:ascii="Times New Roman" w:eastAsia="Times New Roman" w:hAnsi="Times New Roman" w:cs="Times New Roman"/>
      <w:sz w:val="24"/>
      <w:szCs w:val="24"/>
      <w:lang w:eastAsia="lv-LV"/>
    </w:rPr>
  </w:style>
  <w:style w:type="paragraph" w:customStyle="1" w:styleId="naisf">
    <w:name w:val="naisf"/>
    <w:basedOn w:val="Normal"/>
    <w:uiPriority w:val="99"/>
    <w:rsid w:val="00B46322"/>
    <w:pPr>
      <w:spacing w:before="75" w:after="75"/>
      <w:ind w:firstLine="375"/>
      <w:jc w:val="both"/>
    </w:pPr>
  </w:style>
  <w:style w:type="character" w:styleId="Hyperlink">
    <w:name w:val="Hyperlink"/>
    <w:basedOn w:val="DefaultParagraphFont"/>
    <w:uiPriority w:val="99"/>
    <w:rsid w:val="00B46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4126">
      <w:bodyDiv w:val="1"/>
      <w:marLeft w:val="0"/>
      <w:marRight w:val="0"/>
      <w:marTop w:val="0"/>
      <w:marBottom w:val="0"/>
      <w:divBdr>
        <w:top w:val="none" w:sz="0" w:space="0" w:color="auto"/>
        <w:left w:val="none" w:sz="0" w:space="0" w:color="auto"/>
        <w:bottom w:val="none" w:sz="0" w:space="0" w:color="auto"/>
        <w:right w:val="none" w:sz="0" w:space="0" w:color="auto"/>
      </w:divBdr>
    </w:div>
    <w:div w:id="10295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506</Words>
  <Characters>3473</Characters>
  <Application>Microsoft Office Word</Application>
  <DocSecurity>0</DocSecurity>
  <Lines>267</Lines>
  <Paragraphs>90</Paragraphs>
  <ScaleCrop>false</ScaleCrop>
  <HeadingPairs>
    <vt:vector size="2" baseType="variant">
      <vt:variant>
        <vt:lpstr>Title</vt:lpstr>
      </vt:variant>
      <vt:variant>
        <vt:i4>1</vt:i4>
      </vt:variant>
    </vt:vector>
  </HeadingPairs>
  <TitlesOfParts>
    <vt:vector size="1" baseType="lpstr">
      <vt:lpstr>Grozījums Ministru kabineta 1998.gada 28.jūlija noteikumos Nr.270 „Vidējās apdrošināšanas iemaksu algas aprēķināšanas kārtība un valsts sociālās apdrošināšanas pabalstu piešķiršanas, aprēķināšanas un izmaksas kārtība”</vt:lpstr>
    </vt:vector>
  </TitlesOfParts>
  <Company>LM</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1998.gada 28.jūlija noteikumos Nr.270 „Vidējās apdrošināšanas iemaksu algas aprēķināšanas kārtība un valsts sociālās apdrošināšanas pabalstu piešķiršanas, aprēķināšanas un izmaksas kārtība”</dc:title>
  <dc:subject>Anotācija</dc:subject>
  <dc:creator>Irēna Salmane</dc:creator>
  <dc:description>I.Salmane_x000d_
tālr. 67021556, fakss 67021560_x000d_
irena.salmane@lm.gov.lv</dc:description>
  <cp:lastModifiedBy>Irena Salmane</cp:lastModifiedBy>
  <cp:revision>10</cp:revision>
  <cp:lastPrinted>2013-08-15T08:09:00Z</cp:lastPrinted>
  <dcterms:created xsi:type="dcterms:W3CDTF">2013-06-05T12:30:00Z</dcterms:created>
  <dcterms:modified xsi:type="dcterms:W3CDTF">2013-08-15T08:09:00Z</dcterms:modified>
</cp:coreProperties>
</file>