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8B" w:rsidRPr="00831338" w:rsidRDefault="00F66E8B" w:rsidP="00831338">
      <w:pPr>
        <w:jc w:val="center"/>
        <w:rPr>
          <w:b/>
          <w:sz w:val="28"/>
          <w:szCs w:val="28"/>
        </w:rPr>
      </w:pPr>
      <w:r w:rsidRPr="00831338">
        <w:rPr>
          <w:b/>
          <w:sz w:val="28"/>
          <w:szCs w:val="28"/>
        </w:rPr>
        <w:t>G</w:t>
      </w:r>
      <w:r>
        <w:rPr>
          <w:b/>
          <w:sz w:val="28"/>
          <w:szCs w:val="28"/>
        </w:rPr>
        <w:t>rozījumu</w:t>
      </w:r>
      <w:r w:rsidRPr="00831338">
        <w:rPr>
          <w:b/>
          <w:sz w:val="28"/>
          <w:szCs w:val="28"/>
        </w:rPr>
        <w:t xml:space="preserve"> Ministru kabineta 20</w:t>
      </w:r>
      <w:r>
        <w:rPr>
          <w:b/>
          <w:sz w:val="28"/>
          <w:szCs w:val="28"/>
        </w:rPr>
        <w:t>6</w:t>
      </w:r>
      <w:r w:rsidRPr="00831338">
        <w:rPr>
          <w:b/>
          <w:sz w:val="28"/>
          <w:szCs w:val="28"/>
        </w:rPr>
        <w:t xml:space="preserve">.gada </w:t>
      </w:r>
      <w:r>
        <w:rPr>
          <w:b/>
          <w:sz w:val="28"/>
          <w:szCs w:val="28"/>
        </w:rPr>
        <w:t xml:space="preserve">9.maija </w:t>
      </w:r>
      <w:r w:rsidRPr="00831338">
        <w:rPr>
          <w:b/>
          <w:sz w:val="28"/>
          <w:szCs w:val="28"/>
        </w:rPr>
        <w:t>noteikumos Nr.</w:t>
      </w:r>
      <w:r>
        <w:rPr>
          <w:b/>
          <w:sz w:val="28"/>
          <w:szCs w:val="28"/>
        </w:rPr>
        <w:t xml:space="preserve">366 </w:t>
      </w:r>
      <w:r w:rsidRPr="00831338">
        <w:rPr>
          <w:b/>
          <w:sz w:val="28"/>
          <w:szCs w:val="28"/>
        </w:rPr>
        <w:t>„</w:t>
      </w:r>
      <w:r>
        <w:rPr>
          <w:b/>
          <w:sz w:val="28"/>
          <w:szCs w:val="28"/>
        </w:rPr>
        <w:t>Noteikumi par valsts pensiju speciālajam budžetam nodoto kapitāla daļu pārdošanas nosacījumiem un kārtību</w:t>
      </w:r>
      <w:r w:rsidRPr="00831338">
        <w:rPr>
          <w:b/>
          <w:sz w:val="28"/>
          <w:szCs w:val="28"/>
        </w:rPr>
        <w:t>”</w:t>
      </w:r>
      <w:r w:rsidRPr="000D0590">
        <w:rPr>
          <w:b/>
          <w:sz w:val="28"/>
          <w:szCs w:val="28"/>
        </w:rPr>
        <w:t xml:space="preserve"> sākotnējās ietekmes novērtējuma </w:t>
      </w:r>
      <w:smartTag w:uri="schemas-tilde-lv/tildestengine" w:element="veidnes">
        <w:smartTagPr>
          <w:attr w:name="text" w:val="ziņojums"/>
          <w:attr w:name="id" w:val="-1"/>
          <w:attr w:name="baseform" w:val="ziņojum|s"/>
        </w:smartTagPr>
        <w:r w:rsidRPr="000D0590">
          <w:rPr>
            <w:b/>
            <w:sz w:val="28"/>
            <w:szCs w:val="28"/>
          </w:rPr>
          <w:t>ziņojums</w:t>
        </w:r>
      </w:smartTag>
      <w:r w:rsidRPr="000D0590">
        <w:rPr>
          <w:b/>
          <w:sz w:val="28"/>
          <w:szCs w:val="28"/>
        </w:rPr>
        <w:t xml:space="preserve"> (anotācija)</w:t>
      </w:r>
    </w:p>
    <w:p w:rsidR="00F66E8B" w:rsidRPr="00D95A84" w:rsidRDefault="00F66E8B" w:rsidP="00DB45A6">
      <w:pPr>
        <w:jc w:val="center"/>
        <w:rPr>
          <w:b/>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7"/>
        <w:gridCol w:w="6202"/>
      </w:tblGrid>
      <w:tr w:rsidR="00F66E8B" w:rsidRPr="00957AE4" w:rsidTr="006F4F55">
        <w:trPr>
          <w:trHeight w:val="400"/>
        </w:trPr>
        <w:tc>
          <w:tcPr>
            <w:tcW w:w="5000" w:type="pct"/>
            <w:gridSpan w:val="3"/>
          </w:tcPr>
          <w:p w:rsidR="00F66E8B" w:rsidRPr="00957AE4" w:rsidRDefault="00F66E8B" w:rsidP="00A571D0">
            <w:pPr>
              <w:jc w:val="center"/>
              <w:rPr>
                <w:b/>
                <w:sz w:val="24"/>
                <w:szCs w:val="24"/>
              </w:rPr>
            </w:pPr>
            <w:r w:rsidRPr="00957AE4">
              <w:rPr>
                <w:b/>
                <w:sz w:val="24"/>
                <w:szCs w:val="24"/>
              </w:rPr>
              <w:t xml:space="preserve">I Tiesību </w:t>
            </w:r>
            <w:smartTag w:uri="schemas-tilde-lv/tildestengine" w:element="veidnes">
              <w:smartTagPr>
                <w:attr w:name="baseform" w:val="akt|s"/>
                <w:attr w:name="id" w:val="-1"/>
                <w:attr w:name="text" w:val="akta"/>
              </w:smartTagPr>
              <w:r w:rsidRPr="00957AE4">
                <w:rPr>
                  <w:b/>
                  <w:sz w:val="24"/>
                  <w:szCs w:val="24"/>
                </w:rPr>
                <w:t>akta</w:t>
              </w:r>
            </w:smartTag>
            <w:r w:rsidRPr="00957AE4">
              <w:rPr>
                <w:b/>
                <w:sz w:val="24"/>
                <w:szCs w:val="24"/>
              </w:rPr>
              <w:t xml:space="preserve"> projekta izstrādes nepieciešamība</w:t>
            </w:r>
          </w:p>
        </w:tc>
      </w:tr>
      <w:tr w:rsidR="00F66E8B" w:rsidRPr="00957AE4" w:rsidTr="006F4F55">
        <w:tc>
          <w:tcPr>
            <w:tcW w:w="213" w:type="pct"/>
          </w:tcPr>
          <w:p w:rsidR="00F66E8B" w:rsidRPr="00957AE4" w:rsidRDefault="00F66E8B" w:rsidP="00957AE4">
            <w:pPr>
              <w:rPr>
                <w:sz w:val="24"/>
                <w:szCs w:val="24"/>
              </w:rPr>
            </w:pPr>
            <w:r w:rsidRPr="00957AE4">
              <w:rPr>
                <w:sz w:val="24"/>
                <w:szCs w:val="24"/>
              </w:rPr>
              <w:t>1.</w:t>
            </w:r>
          </w:p>
        </w:tc>
        <w:tc>
          <w:tcPr>
            <w:tcW w:w="1447" w:type="pct"/>
          </w:tcPr>
          <w:p w:rsidR="00F66E8B" w:rsidRPr="00957AE4" w:rsidRDefault="00F66E8B" w:rsidP="00957AE4">
            <w:pPr>
              <w:rPr>
                <w:sz w:val="24"/>
                <w:szCs w:val="24"/>
              </w:rPr>
            </w:pPr>
            <w:r w:rsidRPr="00957AE4">
              <w:rPr>
                <w:sz w:val="24"/>
                <w:szCs w:val="24"/>
              </w:rPr>
              <w:t>Pamatojums</w:t>
            </w:r>
          </w:p>
        </w:tc>
        <w:tc>
          <w:tcPr>
            <w:tcW w:w="3339" w:type="pct"/>
          </w:tcPr>
          <w:p w:rsidR="00F66E8B" w:rsidRPr="00BB75B3" w:rsidRDefault="00F66E8B" w:rsidP="00BB75B3">
            <w:pPr>
              <w:tabs>
                <w:tab w:val="left" w:pos="6840"/>
              </w:tabs>
              <w:jc w:val="both"/>
              <w:rPr>
                <w:sz w:val="24"/>
                <w:szCs w:val="24"/>
              </w:rPr>
            </w:pPr>
            <w:r w:rsidRPr="004D5D03">
              <w:rPr>
                <w:i/>
                <w:iCs/>
                <w:sz w:val="24"/>
                <w:szCs w:val="24"/>
              </w:rPr>
              <w:t>Euro</w:t>
            </w:r>
            <w:r w:rsidRPr="00BB75B3">
              <w:rPr>
                <w:i/>
                <w:iCs/>
                <w:sz w:val="24"/>
                <w:szCs w:val="24"/>
              </w:rPr>
              <w:t xml:space="preserve"> </w:t>
            </w:r>
            <w:r w:rsidRPr="00BB75B3">
              <w:rPr>
                <w:sz w:val="24"/>
                <w:szCs w:val="24"/>
              </w:rPr>
              <w:t>ieviešanas kārtības likuma 30.panta pirmā daļa</w:t>
            </w:r>
            <w:r w:rsidRPr="00474EC4">
              <w:rPr>
                <w:sz w:val="24"/>
                <w:szCs w:val="24"/>
              </w:rPr>
              <w:t xml:space="preserve"> un </w:t>
            </w:r>
            <w:r w:rsidRPr="000B50BF">
              <w:rPr>
                <w:color w:val="000000"/>
                <w:sz w:val="24"/>
                <w:szCs w:val="24"/>
              </w:rPr>
              <w:t xml:space="preserve"> 32.panta otrās daļas 2.apakšpunkts</w:t>
            </w:r>
            <w:r w:rsidRPr="00BB75B3">
              <w:rPr>
                <w:sz w:val="24"/>
                <w:szCs w:val="24"/>
              </w:rPr>
              <w:t xml:space="preserve">, Ministru kabineta 2012.gada 27.jūnija rīkojums Nr.282 „Par „Koncepciju par normatīvo aktu sakārtošanu saistībā ar </w:t>
            </w:r>
            <w:r w:rsidRPr="004D5D03">
              <w:rPr>
                <w:i/>
                <w:sz w:val="24"/>
                <w:szCs w:val="24"/>
              </w:rPr>
              <w:t>eiro</w:t>
            </w:r>
            <w:r w:rsidRPr="00BB75B3">
              <w:rPr>
                <w:sz w:val="24"/>
                <w:szCs w:val="24"/>
              </w:rPr>
              <w:t xml:space="preserve"> ieviešanu Latvijā””, Latvijas Nacionālā </w:t>
            </w:r>
            <w:r w:rsidRPr="004D5D03">
              <w:rPr>
                <w:i/>
                <w:iCs/>
                <w:sz w:val="24"/>
                <w:szCs w:val="24"/>
              </w:rPr>
              <w:t>euro</w:t>
            </w:r>
            <w:r w:rsidRPr="00BB75B3">
              <w:rPr>
                <w:sz w:val="24"/>
                <w:szCs w:val="24"/>
              </w:rPr>
              <w:t xml:space="preserve"> ieviešanas plāna (apstiprināts ar Ministru kabineta 2013.gada 4.aprīļa rīkojumu Nr.136)</w:t>
            </w:r>
            <w:r w:rsidRPr="00BB75B3">
              <w:rPr>
                <w:color w:val="666666"/>
                <w:sz w:val="24"/>
                <w:szCs w:val="24"/>
              </w:rPr>
              <w:t xml:space="preserve"> </w:t>
            </w:r>
            <w:r>
              <w:rPr>
                <w:sz w:val="24"/>
                <w:szCs w:val="24"/>
              </w:rPr>
              <w:t>1. pielikuma J2.2</w:t>
            </w:r>
            <w:r w:rsidRPr="00BB75B3">
              <w:rPr>
                <w:sz w:val="24"/>
                <w:szCs w:val="24"/>
              </w:rPr>
              <w:t>.1 pasākums, Ministru kabineta 2013.gada 29.maija rīkojums Nr.212 „Par tiesību aktu grozījumu virzību saistīb</w:t>
            </w:r>
            <w:r>
              <w:rPr>
                <w:sz w:val="24"/>
                <w:szCs w:val="24"/>
              </w:rPr>
              <w:t xml:space="preserve">ā ar </w:t>
            </w:r>
            <w:r w:rsidRPr="004D5D03">
              <w:rPr>
                <w:i/>
                <w:sz w:val="24"/>
                <w:szCs w:val="24"/>
              </w:rPr>
              <w:t>euro</w:t>
            </w:r>
            <w:r>
              <w:rPr>
                <w:sz w:val="24"/>
                <w:szCs w:val="24"/>
              </w:rPr>
              <w:t xml:space="preserve"> ieviešanu Latvijā” 1.5</w:t>
            </w:r>
            <w:r w:rsidRPr="00BB75B3">
              <w:rPr>
                <w:sz w:val="24"/>
                <w:szCs w:val="24"/>
              </w:rPr>
              <w:t>. apakšpunkts.</w:t>
            </w:r>
          </w:p>
        </w:tc>
      </w:tr>
      <w:tr w:rsidR="00F66E8B" w:rsidRPr="00957AE4" w:rsidTr="006F4F55">
        <w:tc>
          <w:tcPr>
            <w:tcW w:w="213" w:type="pct"/>
          </w:tcPr>
          <w:p w:rsidR="00F66E8B" w:rsidRPr="00957AE4" w:rsidRDefault="00F66E8B" w:rsidP="00A571D0">
            <w:pPr>
              <w:rPr>
                <w:sz w:val="24"/>
                <w:szCs w:val="24"/>
              </w:rPr>
            </w:pPr>
            <w:r w:rsidRPr="00957AE4">
              <w:rPr>
                <w:sz w:val="24"/>
                <w:szCs w:val="24"/>
              </w:rPr>
              <w:t xml:space="preserve">2. </w:t>
            </w:r>
          </w:p>
        </w:tc>
        <w:tc>
          <w:tcPr>
            <w:tcW w:w="1447" w:type="pct"/>
          </w:tcPr>
          <w:p w:rsidR="00F66E8B" w:rsidRPr="00957AE4" w:rsidRDefault="00F66E8B" w:rsidP="00A571D0">
            <w:pPr>
              <w:rPr>
                <w:sz w:val="24"/>
                <w:szCs w:val="24"/>
              </w:rPr>
            </w:pPr>
            <w:r w:rsidRPr="00957AE4">
              <w:rPr>
                <w:sz w:val="24"/>
                <w:szCs w:val="24"/>
              </w:rPr>
              <w:t>Pašreizējā situācija un problēmas</w:t>
            </w:r>
          </w:p>
        </w:tc>
        <w:tc>
          <w:tcPr>
            <w:tcW w:w="3339" w:type="pct"/>
          </w:tcPr>
          <w:p w:rsidR="00F66E8B" w:rsidRPr="00993480" w:rsidRDefault="00F66E8B" w:rsidP="00831F1C">
            <w:pPr>
              <w:jc w:val="both"/>
              <w:rPr>
                <w:sz w:val="24"/>
                <w:szCs w:val="24"/>
                <w:lang w:eastAsia="en-US"/>
              </w:rPr>
            </w:pPr>
            <w:r w:rsidRPr="00993480">
              <w:rPr>
                <w:iCs/>
                <w:sz w:val="24"/>
                <w:szCs w:val="24"/>
              </w:rPr>
              <w:t xml:space="preserve">Ņemot vērā, ka ar 2014.gada 1.janvāri Latvijā plānots ieviest </w:t>
            </w:r>
            <w:r w:rsidRPr="00993480">
              <w:rPr>
                <w:i/>
                <w:iCs/>
                <w:sz w:val="24"/>
                <w:szCs w:val="24"/>
              </w:rPr>
              <w:t>euro</w:t>
            </w:r>
            <w:r w:rsidRPr="00993480">
              <w:rPr>
                <w:iCs/>
                <w:sz w:val="24"/>
                <w:szCs w:val="24"/>
              </w:rPr>
              <w:t>, ir nepieciešams veikt grozījumus Ministru kabineta</w:t>
            </w:r>
            <w:r w:rsidRPr="00993480">
              <w:rPr>
                <w:sz w:val="24"/>
                <w:szCs w:val="24"/>
                <w:lang w:eastAsia="en-US"/>
              </w:rPr>
              <w:t xml:space="preserve"> </w:t>
            </w:r>
            <w:r w:rsidRPr="00993480">
              <w:rPr>
                <w:sz w:val="24"/>
                <w:szCs w:val="24"/>
              </w:rPr>
              <w:t>2006.gada 9.maija noteikumos Nr.366 „Noteikumi par valsts pensiju speciālajam budžetam nodoto kapitāla daļu pārdošanas nosacījumiem un kārtību”</w:t>
            </w:r>
            <w:r w:rsidRPr="00993480">
              <w:rPr>
                <w:sz w:val="24"/>
                <w:szCs w:val="24"/>
                <w:lang w:eastAsia="en-US"/>
              </w:rPr>
              <w:t xml:space="preserve"> (turpmāk –noteikumi Nr.366), kur ir paredzēts, ka Valsts sociālās apdrošināšanas aģentūra, nosakot nosacīto vērtību valsts kapitāla daļām, kuras ir iekļautas regulētajā tirgū, tās iedala divās grupās, t.i., kuru vērtība ir mazāka vai lielāka par 500000 latu. Ievērojot iepriekš minēto iedalījumu, kapitāla daļu saraksts tiek iesniegts Labklājības ministrijā. Tāpat noteikumi Nr.366 nosaka pārdošanas procedūru kapitāla daļām, kuru vērtība ir mazāka vai lielāka par 500000 latu. Noteikumi Nr.366 nosaka arī valsts kapitāla daļu pārdošanas cenas noteikšanu sabiedrībām, kuras nav iekļautas regulētajā tirgū un kuru nosacītā vērtība ir mazāka par 10000 latu. Līdz ar to ir nepieciešams veikt grozījumus noteikumos Nr.366 (8.1., 8.2., 9.2., 9.3.apakšpunktos, 11., 12., 17., 23., 25., 26. un 28.punktā III. un IV.nodaļas nosaukumā), nosakot valsts kapitāla daļu nosacīto vērtību grupu apmērus </w:t>
            </w:r>
            <w:r w:rsidRPr="00993480">
              <w:rPr>
                <w:i/>
                <w:sz w:val="24"/>
                <w:szCs w:val="24"/>
                <w:lang w:eastAsia="en-US"/>
              </w:rPr>
              <w:t>euro</w:t>
            </w:r>
            <w:r w:rsidR="00666C9C" w:rsidRPr="00993480">
              <w:rPr>
                <w:sz w:val="24"/>
                <w:szCs w:val="24"/>
                <w:lang w:eastAsia="en-US"/>
              </w:rPr>
              <w:t>.</w:t>
            </w:r>
          </w:p>
          <w:p w:rsidR="00993480" w:rsidRPr="00993480" w:rsidRDefault="00F01566" w:rsidP="00993480">
            <w:pPr>
              <w:jc w:val="both"/>
              <w:rPr>
                <w:sz w:val="24"/>
                <w:szCs w:val="24"/>
              </w:rPr>
            </w:pPr>
            <w:r w:rsidRPr="00993480">
              <w:rPr>
                <w:color w:val="000000"/>
                <w:sz w:val="24"/>
                <w:szCs w:val="24"/>
              </w:rPr>
              <w:t xml:space="preserve">Ņemot vērā, ka šobrīd noteikumu Nr.366 normās naudas summas ir noapaļotas ar precizitāti līdz veseliem tūkstošiem, atbilstoši </w:t>
            </w:r>
            <w:r w:rsidRPr="00993480">
              <w:rPr>
                <w:i/>
                <w:color w:val="000000"/>
                <w:sz w:val="24"/>
                <w:szCs w:val="24"/>
              </w:rPr>
              <w:t>Euro</w:t>
            </w:r>
            <w:r w:rsidRPr="00993480">
              <w:rPr>
                <w:color w:val="000000"/>
                <w:sz w:val="24"/>
                <w:szCs w:val="24"/>
              </w:rPr>
              <w:t xml:space="preserve"> ieviešanas kārtības likuma 32.panta otrās daļas 2.punktam konvertācijas rezultātā iegūto summu </w:t>
            </w:r>
            <w:r w:rsidRPr="00993480">
              <w:rPr>
                <w:i/>
                <w:color w:val="000000"/>
                <w:sz w:val="24"/>
                <w:szCs w:val="24"/>
              </w:rPr>
              <w:t>euro</w:t>
            </w:r>
            <w:r w:rsidRPr="00993480">
              <w:rPr>
                <w:color w:val="000000"/>
                <w:sz w:val="24"/>
                <w:szCs w:val="24"/>
              </w:rPr>
              <w:t xml:space="preserve"> arī ir pieļaujams noapaļot līdz veseliem skaitļiem </w:t>
            </w:r>
            <w:r w:rsidRPr="00993480">
              <w:rPr>
                <w:i/>
                <w:color w:val="000000"/>
                <w:sz w:val="24"/>
                <w:szCs w:val="24"/>
              </w:rPr>
              <w:t>euro</w:t>
            </w:r>
            <w:r w:rsidRPr="00993480">
              <w:rPr>
                <w:color w:val="000000"/>
                <w:sz w:val="24"/>
                <w:szCs w:val="24"/>
              </w:rPr>
              <w:t xml:space="preserve"> uz augšu vai uz leju, ja vienlaikus tiek ievēroti pārējie </w:t>
            </w:r>
            <w:r w:rsidRPr="00993480">
              <w:rPr>
                <w:i/>
                <w:color w:val="000000"/>
                <w:sz w:val="24"/>
                <w:szCs w:val="24"/>
              </w:rPr>
              <w:t>Euro</w:t>
            </w:r>
            <w:r w:rsidRPr="00993480">
              <w:rPr>
                <w:color w:val="000000"/>
                <w:sz w:val="24"/>
                <w:szCs w:val="24"/>
              </w:rPr>
              <w:t xml:space="preserve"> ieviešanas kārtības likuma 32.panta otrās daļas 2.punktā paredzētie principi. Ņemot vērā minēto, noteikumu projektā summas tiek noapaļota uz augšu līdz veseliem tūkstošiem</w:t>
            </w:r>
            <w:r w:rsidR="00B51A08" w:rsidRPr="00993480">
              <w:rPr>
                <w:color w:val="000000"/>
                <w:sz w:val="24"/>
                <w:szCs w:val="24"/>
              </w:rPr>
              <w:t xml:space="preserve">, t.i., </w:t>
            </w:r>
            <w:r w:rsidRPr="00993480">
              <w:rPr>
                <w:color w:val="000000"/>
                <w:sz w:val="24"/>
                <w:szCs w:val="24"/>
              </w:rPr>
              <w:t xml:space="preserve">720 000 </w:t>
            </w:r>
            <w:r w:rsidRPr="00993480">
              <w:rPr>
                <w:i/>
                <w:sz w:val="24"/>
                <w:szCs w:val="24"/>
              </w:rPr>
              <w:t xml:space="preserve">euro </w:t>
            </w:r>
            <w:r w:rsidRPr="00993480">
              <w:rPr>
                <w:sz w:val="24"/>
                <w:szCs w:val="24"/>
              </w:rPr>
              <w:t xml:space="preserve">un 15 000 </w:t>
            </w:r>
            <w:r w:rsidRPr="00993480">
              <w:rPr>
                <w:i/>
                <w:sz w:val="24"/>
                <w:szCs w:val="24"/>
              </w:rPr>
              <w:t xml:space="preserve">euro. </w:t>
            </w:r>
            <w:r w:rsidR="00B51A08" w:rsidRPr="00993480">
              <w:rPr>
                <w:sz w:val="24"/>
                <w:szCs w:val="24"/>
              </w:rPr>
              <w:t xml:space="preserve">Šāda noapaļošana (720 000 </w:t>
            </w:r>
            <w:r w:rsidR="00B51A08" w:rsidRPr="00993480">
              <w:rPr>
                <w:i/>
                <w:sz w:val="24"/>
                <w:szCs w:val="24"/>
              </w:rPr>
              <w:t>euro</w:t>
            </w:r>
            <w:r w:rsidR="00B51A08" w:rsidRPr="00993480">
              <w:rPr>
                <w:sz w:val="24"/>
                <w:szCs w:val="24"/>
              </w:rPr>
              <w:t xml:space="preserve">) neatstās būtisku ietekmi uz valsts kapitāla daļu iedalījumu grupās, </w:t>
            </w:r>
            <w:r w:rsidR="00B51A08" w:rsidRPr="00993480">
              <w:rPr>
                <w:sz w:val="24"/>
                <w:szCs w:val="24"/>
                <w:lang w:eastAsia="en-US"/>
              </w:rPr>
              <w:t xml:space="preserve">nosakot nosacīto vērtību valsts kapitāla daļām, kuras ir iekļautas regulētajā tirgū. Savukārt noapaļošana uz 15 000 </w:t>
            </w:r>
            <w:r w:rsidR="00B51A08" w:rsidRPr="00993480">
              <w:rPr>
                <w:i/>
                <w:sz w:val="24"/>
                <w:szCs w:val="24"/>
                <w:lang w:eastAsia="en-US"/>
              </w:rPr>
              <w:lastRenderedPageBreak/>
              <w:t>euro</w:t>
            </w:r>
            <w:r w:rsidR="00B51A08" w:rsidRPr="00993480">
              <w:rPr>
                <w:sz w:val="24"/>
                <w:szCs w:val="24"/>
                <w:lang w:eastAsia="en-US"/>
              </w:rPr>
              <w:t xml:space="preserve"> palielinās slieksni līdz kuram, </w:t>
            </w:r>
            <w:r w:rsidR="008774DE" w:rsidRPr="00993480">
              <w:rPr>
                <w:sz w:val="24"/>
                <w:szCs w:val="24"/>
                <w:lang w:eastAsia="en-US"/>
              </w:rPr>
              <w:t>Valsts sociālās apdrošināšanas aģentūra v</w:t>
            </w:r>
            <w:r w:rsidR="00B51A08" w:rsidRPr="00993480">
              <w:rPr>
                <w:sz w:val="24"/>
                <w:szCs w:val="24"/>
                <w:lang w:eastAsia="en-US"/>
              </w:rPr>
              <w:t xml:space="preserve">arēs pārdot kapitāldaļas, nepieaicinot </w:t>
            </w:r>
            <w:r w:rsidR="008774DE" w:rsidRPr="00993480">
              <w:rPr>
                <w:sz w:val="24"/>
                <w:szCs w:val="24"/>
                <w:lang w:eastAsia="en-US"/>
              </w:rPr>
              <w:t>vērtētāju.</w:t>
            </w:r>
            <w:r w:rsidR="00993480">
              <w:rPr>
                <w:sz w:val="24"/>
                <w:szCs w:val="24"/>
                <w:lang w:eastAsia="en-US"/>
              </w:rPr>
              <w:t xml:space="preserve"> </w:t>
            </w:r>
            <w:r w:rsidR="00993480" w:rsidRPr="00993480">
              <w:rPr>
                <w:color w:val="000000"/>
                <w:sz w:val="24"/>
                <w:szCs w:val="24"/>
              </w:rPr>
              <w:t>Noapaļotā</w:t>
            </w:r>
            <w:r w:rsidR="00993480">
              <w:rPr>
                <w:color w:val="000000"/>
                <w:sz w:val="24"/>
                <w:szCs w:val="24"/>
              </w:rPr>
              <w:t>s</w:t>
            </w:r>
            <w:r w:rsidR="00993480" w:rsidRPr="00993480">
              <w:rPr>
                <w:color w:val="000000"/>
                <w:sz w:val="24"/>
                <w:szCs w:val="24"/>
              </w:rPr>
              <w:t xml:space="preserve"> summa</w:t>
            </w:r>
            <w:r w:rsidR="00993480">
              <w:rPr>
                <w:color w:val="000000"/>
                <w:sz w:val="24"/>
                <w:szCs w:val="24"/>
              </w:rPr>
              <w:t>s</w:t>
            </w:r>
            <w:r w:rsidR="00993480" w:rsidRPr="00993480">
              <w:rPr>
                <w:color w:val="000000"/>
                <w:sz w:val="24"/>
                <w:szCs w:val="24"/>
              </w:rPr>
              <w:t xml:space="preserve"> uz augšu līdz veseliem tūkstošiem būs arī vieglāk uztverama</w:t>
            </w:r>
            <w:r w:rsidR="00993480">
              <w:rPr>
                <w:color w:val="000000"/>
                <w:sz w:val="24"/>
                <w:szCs w:val="24"/>
              </w:rPr>
              <w:t>s</w:t>
            </w:r>
            <w:r w:rsidR="00993480" w:rsidRPr="00993480">
              <w:rPr>
                <w:color w:val="000000"/>
                <w:sz w:val="24"/>
                <w:szCs w:val="24"/>
              </w:rPr>
              <w:t xml:space="preserve"> un piemērojama</w:t>
            </w:r>
            <w:r w:rsidR="00993480">
              <w:rPr>
                <w:color w:val="000000"/>
                <w:sz w:val="24"/>
                <w:szCs w:val="24"/>
              </w:rPr>
              <w:t>s</w:t>
            </w:r>
            <w:r w:rsidR="00993480" w:rsidRPr="00993480">
              <w:rPr>
                <w:color w:val="000000"/>
                <w:sz w:val="24"/>
                <w:szCs w:val="24"/>
              </w:rPr>
              <w:t>.</w:t>
            </w:r>
          </w:p>
        </w:tc>
      </w:tr>
      <w:tr w:rsidR="00F66E8B" w:rsidRPr="00957AE4" w:rsidTr="006F4F55">
        <w:tc>
          <w:tcPr>
            <w:tcW w:w="213" w:type="pct"/>
          </w:tcPr>
          <w:p w:rsidR="00F66E8B" w:rsidRPr="00957AE4" w:rsidRDefault="00F66E8B" w:rsidP="00A571D0">
            <w:pPr>
              <w:rPr>
                <w:sz w:val="24"/>
                <w:szCs w:val="24"/>
              </w:rPr>
            </w:pPr>
            <w:r w:rsidRPr="00957AE4">
              <w:rPr>
                <w:sz w:val="24"/>
                <w:szCs w:val="24"/>
              </w:rPr>
              <w:lastRenderedPageBreak/>
              <w:t xml:space="preserve">3. </w:t>
            </w:r>
          </w:p>
        </w:tc>
        <w:tc>
          <w:tcPr>
            <w:tcW w:w="1447" w:type="pct"/>
          </w:tcPr>
          <w:p w:rsidR="00F66E8B" w:rsidRPr="00957AE4" w:rsidRDefault="00F66E8B" w:rsidP="00A571D0">
            <w:pPr>
              <w:rPr>
                <w:sz w:val="24"/>
                <w:szCs w:val="24"/>
              </w:rPr>
            </w:pPr>
            <w:r w:rsidRPr="00957AE4">
              <w:rPr>
                <w:sz w:val="24"/>
                <w:szCs w:val="24"/>
              </w:rPr>
              <w:t>Saistītie politikas ietekmes novērtējumi un pētījumi</w:t>
            </w:r>
          </w:p>
        </w:tc>
        <w:tc>
          <w:tcPr>
            <w:tcW w:w="3339" w:type="pct"/>
          </w:tcPr>
          <w:p w:rsidR="00F66E8B" w:rsidRPr="00957AE4" w:rsidRDefault="00F66E8B" w:rsidP="00A571D0">
            <w:pPr>
              <w:spacing w:after="120"/>
              <w:jc w:val="both"/>
              <w:rPr>
                <w:sz w:val="24"/>
                <w:szCs w:val="24"/>
              </w:rPr>
            </w:pPr>
            <w:r w:rsidRPr="00957AE4">
              <w:rPr>
                <w:sz w:val="24"/>
                <w:szCs w:val="24"/>
              </w:rPr>
              <w:t>Projekts šo jomu neskar.</w:t>
            </w:r>
          </w:p>
        </w:tc>
      </w:tr>
      <w:tr w:rsidR="00F66E8B" w:rsidRPr="00957AE4" w:rsidTr="006F4F55">
        <w:tc>
          <w:tcPr>
            <w:tcW w:w="213" w:type="pct"/>
          </w:tcPr>
          <w:p w:rsidR="00F66E8B" w:rsidRPr="00957AE4" w:rsidRDefault="00F66E8B" w:rsidP="00A571D0">
            <w:pPr>
              <w:rPr>
                <w:sz w:val="24"/>
                <w:szCs w:val="24"/>
              </w:rPr>
            </w:pPr>
            <w:r w:rsidRPr="00957AE4">
              <w:rPr>
                <w:sz w:val="24"/>
                <w:szCs w:val="24"/>
              </w:rPr>
              <w:t>4.</w:t>
            </w:r>
          </w:p>
        </w:tc>
        <w:tc>
          <w:tcPr>
            <w:tcW w:w="1447" w:type="pct"/>
          </w:tcPr>
          <w:p w:rsidR="00F66E8B" w:rsidRPr="00957AE4" w:rsidRDefault="00F66E8B" w:rsidP="00A571D0">
            <w:pPr>
              <w:rPr>
                <w:sz w:val="24"/>
                <w:szCs w:val="24"/>
              </w:rPr>
            </w:pPr>
            <w:r w:rsidRPr="00957AE4">
              <w:rPr>
                <w:sz w:val="24"/>
                <w:szCs w:val="24"/>
              </w:rPr>
              <w:t>Tiesiskā regulējuma mērķis un būtība</w:t>
            </w:r>
          </w:p>
        </w:tc>
        <w:tc>
          <w:tcPr>
            <w:tcW w:w="3339" w:type="pct"/>
          </w:tcPr>
          <w:p w:rsidR="00F66E8B" w:rsidRDefault="00F66E8B" w:rsidP="005C19CD">
            <w:pPr>
              <w:jc w:val="both"/>
              <w:rPr>
                <w:color w:val="000000"/>
                <w:sz w:val="24"/>
                <w:szCs w:val="24"/>
              </w:rPr>
            </w:pPr>
            <w:r>
              <w:rPr>
                <w:iCs/>
                <w:sz w:val="24"/>
                <w:szCs w:val="24"/>
              </w:rPr>
              <w:t>Ministru kabineta noteikumu projekta „Grozījumi „</w:t>
            </w:r>
            <w:r w:rsidRPr="003B7979">
              <w:rPr>
                <w:iCs/>
                <w:sz w:val="24"/>
                <w:szCs w:val="24"/>
              </w:rPr>
              <w:t>Ministru kabineta</w:t>
            </w:r>
            <w:r w:rsidRPr="00957AE4">
              <w:rPr>
                <w:sz w:val="24"/>
                <w:szCs w:val="24"/>
                <w:lang w:eastAsia="en-US"/>
              </w:rPr>
              <w:t xml:space="preserve"> </w:t>
            </w:r>
            <w:r w:rsidRPr="00957AE4">
              <w:rPr>
                <w:sz w:val="24"/>
                <w:szCs w:val="24"/>
              </w:rPr>
              <w:t>20</w:t>
            </w:r>
            <w:r>
              <w:rPr>
                <w:sz w:val="24"/>
                <w:szCs w:val="24"/>
              </w:rPr>
              <w:t>06</w:t>
            </w:r>
            <w:r w:rsidRPr="00957AE4">
              <w:rPr>
                <w:sz w:val="24"/>
                <w:szCs w:val="24"/>
              </w:rPr>
              <w:t xml:space="preserve">.gada </w:t>
            </w:r>
            <w:r>
              <w:rPr>
                <w:sz w:val="24"/>
                <w:szCs w:val="24"/>
              </w:rPr>
              <w:t>9.maija</w:t>
            </w:r>
            <w:r w:rsidRPr="00957AE4">
              <w:rPr>
                <w:sz w:val="24"/>
                <w:szCs w:val="24"/>
              </w:rPr>
              <w:t xml:space="preserve"> noteikumos Nr.</w:t>
            </w:r>
            <w:r>
              <w:rPr>
                <w:sz w:val="24"/>
                <w:szCs w:val="24"/>
              </w:rPr>
              <w:t>366</w:t>
            </w:r>
            <w:r w:rsidRPr="00957AE4">
              <w:rPr>
                <w:sz w:val="24"/>
                <w:szCs w:val="24"/>
              </w:rPr>
              <w:t xml:space="preserve"> „</w:t>
            </w:r>
            <w:r>
              <w:rPr>
                <w:sz w:val="24"/>
                <w:szCs w:val="24"/>
              </w:rPr>
              <w:t>Noteikumi par valsts pensiju speciālajam budžetam nodoto kapitāla daļu pārdošanas nosacījumiem un kārtību</w:t>
            </w:r>
            <w:r w:rsidRPr="00957AE4">
              <w:rPr>
                <w:sz w:val="24"/>
                <w:szCs w:val="24"/>
              </w:rPr>
              <w:t>”</w:t>
            </w:r>
            <w:r>
              <w:rPr>
                <w:sz w:val="24"/>
                <w:szCs w:val="24"/>
              </w:rPr>
              <w:t xml:space="preserve">” (turpmāk – noteikumu projekts) </w:t>
            </w:r>
            <w:r w:rsidRPr="009F2016">
              <w:rPr>
                <w:color w:val="000000"/>
                <w:sz w:val="24"/>
                <w:szCs w:val="24"/>
              </w:rPr>
              <w:t xml:space="preserve">mērķis ir noteikt kapitāla daļu pārdošanas grupu vērtības </w:t>
            </w:r>
            <w:r w:rsidRPr="004D5D03">
              <w:rPr>
                <w:i/>
                <w:color w:val="000000"/>
                <w:sz w:val="24"/>
                <w:szCs w:val="24"/>
              </w:rPr>
              <w:t>euro</w:t>
            </w:r>
            <w:r w:rsidRPr="009F2016">
              <w:rPr>
                <w:color w:val="000000"/>
                <w:sz w:val="24"/>
                <w:szCs w:val="24"/>
              </w:rPr>
              <w:t>.</w:t>
            </w:r>
          </w:p>
          <w:p w:rsidR="00F66E8B" w:rsidRDefault="00F66E8B" w:rsidP="005C19CD">
            <w:pPr>
              <w:jc w:val="both"/>
              <w:rPr>
                <w:color w:val="000000"/>
                <w:sz w:val="24"/>
                <w:szCs w:val="24"/>
              </w:rPr>
            </w:pPr>
            <w:r w:rsidRPr="009F2016">
              <w:rPr>
                <w:color w:val="000000"/>
                <w:sz w:val="24"/>
                <w:szCs w:val="24"/>
              </w:rPr>
              <w:t>Noteikumu projekts paredz</w:t>
            </w:r>
            <w:r>
              <w:rPr>
                <w:color w:val="000000"/>
                <w:sz w:val="24"/>
                <w:szCs w:val="24"/>
              </w:rPr>
              <w:t>:</w:t>
            </w:r>
          </w:p>
          <w:p w:rsidR="00F66E8B" w:rsidRDefault="00F66E8B" w:rsidP="005C19CD">
            <w:pPr>
              <w:jc w:val="both"/>
              <w:rPr>
                <w:color w:val="000000"/>
                <w:sz w:val="24"/>
                <w:szCs w:val="24"/>
              </w:rPr>
            </w:pPr>
            <w:r>
              <w:rPr>
                <w:color w:val="000000"/>
                <w:sz w:val="24"/>
                <w:szCs w:val="24"/>
              </w:rPr>
              <w:t>-</w:t>
            </w:r>
            <w:r w:rsidRPr="009F2016">
              <w:rPr>
                <w:color w:val="000000"/>
                <w:sz w:val="24"/>
                <w:szCs w:val="24"/>
              </w:rPr>
              <w:t xml:space="preserve"> aizstāt kapitāla daļu pārdošanas grupu vērtības latos </w:t>
            </w:r>
            <w:r>
              <w:rPr>
                <w:color w:val="000000"/>
                <w:sz w:val="24"/>
                <w:szCs w:val="24"/>
              </w:rPr>
              <w:t>ar</w:t>
            </w:r>
            <w:r w:rsidRPr="009F2016">
              <w:rPr>
                <w:color w:val="000000"/>
                <w:sz w:val="24"/>
                <w:szCs w:val="24"/>
              </w:rPr>
              <w:t xml:space="preserve"> </w:t>
            </w:r>
            <w:r w:rsidRPr="004D5D03">
              <w:rPr>
                <w:i/>
                <w:color w:val="000000"/>
                <w:sz w:val="24"/>
                <w:szCs w:val="24"/>
              </w:rPr>
              <w:t>euro</w:t>
            </w:r>
            <w:r w:rsidRPr="009F2016">
              <w:rPr>
                <w:color w:val="000000"/>
                <w:sz w:val="24"/>
                <w:szCs w:val="24"/>
              </w:rPr>
              <w:t xml:space="preserve">, t.i., aizstāt lietoto grupu vērtību 500000 latu ar 712000 </w:t>
            </w:r>
            <w:r w:rsidRPr="004D5D03">
              <w:rPr>
                <w:i/>
                <w:color w:val="000000"/>
                <w:sz w:val="24"/>
                <w:szCs w:val="24"/>
              </w:rPr>
              <w:t>euro</w:t>
            </w:r>
            <w:r w:rsidRPr="009F2016">
              <w:rPr>
                <w:color w:val="000000"/>
                <w:sz w:val="24"/>
                <w:szCs w:val="24"/>
              </w:rPr>
              <w:t xml:space="preserve"> </w:t>
            </w:r>
            <w:r>
              <w:rPr>
                <w:color w:val="000000"/>
                <w:sz w:val="24"/>
                <w:szCs w:val="24"/>
              </w:rPr>
              <w:t xml:space="preserve">(noteikumu projekta 1.1.apakšpunkts) </w:t>
            </w:r>
            <w:r w:rsidRPr="009F2016">
              <w:rPr>
                <w:color w:val="000000"/>
                <w:sz w:val="24"/>
                <w:szCs w:val="24"/>
              </w:rPr>
              <w:t xml:space="preserve">un 10000 latu ar 15000 </w:t>
            </w:r>
            <w:r w:rsidRPr="004D5D03">
              <w:rPr>
                <w:i/>
                <w:color w:val="000000"/>
                <w:sz w:val="24"/>
                <w:szCs w:val="24"/>
              </w:rPr>
              <w:t>euro</w:t>
            </w:r>
            <w:r>
              <w:rPr>
                <w:color w:val="000000"/>
                <w:sz w:val="24"/>
                <w:szCs w:val="24"/>
              </w:rPr>
              <w:t xml:space="preserve"> (noteikumu projekta 1.2.apakšpunkts);</w:t>
            </w:r>
          </w:p>
          <w:p w:rsidR="00F66E8B" w:rsidRDefault="00F66E8B" w:rsidP="005C19CD">
            <w:pPr>
              <w:jc w:val="both"/>
              <w:rPr>
                <w:color w:val="000000"/>
                <w:sz w:val="24"/>
                <w:szCs w:val="24"/>
              </w:rPr>
            </w:pPr>
            <w:r>
              <w:rPr>
                <w:color w:val="000000"/>
                <w:sz w:val="24"/>
                <w:szCs w:val="24"/>
              </w:rPr>
              <w:t>- noteikt noteikumu projekta spēkā stāšanās laiku (noteikumu projekta 2.punkts).</w:t>
            </w:r>
          </w:p>
          <w:p w:rsidR="00F66E8B" w:rsidRPr="0096271C" w:rsidRDefault="00F66E8B" w:rsidP="00957AE4">
            <w:pPr>
              <w:jc w:val="both"/>
              <w:rPr>
                <w:color w:val="000000"/>
                <w:sz w:val="24"/>
                <w:szCs w:val="24"/>
              </w:rPr>
            </w:pPr>
            <w:r>
              <w:rPr>
                <w:color w:val="000000"/>
                <w:sz w:val="24"/>
                <w:szCs w:val="24"/>
              </w:rPr>
              <w:t>Noteikumu projekts nerada ietekmi uz valsts budžetu.</w:t>
            </w:r>
          </w:p>
          <w:p w:rsidR="00F66E8B" w:rsidRPr="0096271C" w:rsidRDefault="00F66E8B" w:rsidP="00957AE4">
            <w:pPr>
              <w:jc w:val="both"/>
              <w:rPr>
                <w:sz w:val="24"/>
                <w:szCs w:val="24"/>
              </w:rPr>
            </w:pPr>
            <w:r w:rsidRPr="005C19CD">
              <w:rPr>
                <w:sz w:val="24"/>
                <w:szCs w:val="24"/>
              </w:rPr>
              <w:t>Noteikumu projekts pilnībā atrisinās anotācijas I sadaļas 2.punktā minētās problēmas.</w:t>
            </w:r>
          </w:p>
        </w:tc>
      </w:tr>
      <w:tr w:rsidR="00F66E8B" w:rsidRPr="00957AE4" w:rsidTr="006F4F55">
        <w:tc>
          <w:tcPr>
            <w:tcW w:w="213" w:type="pct"/>
          </w:tcPr>
          <w:p w:rsidR="00F66E8B" w:rsidRPr="00957AE4" w:rsidRDefault="00F66E8B" w:rsidP="00A571D0">
            <w:pPr>
              <w:rPr>
                <w:sz w:val="24"/>
                <w:szCs w:val="24"/>
              </w:rPr>
            </w:pPr>
            <w:r w:rsidRPr="00957AE4">
              <w:rPr>
                <w:sz w:val="24"/>
                <w:szCs w:val="24"/>
              </w:rPr>
              <w:t>5.</w:t>
            </w:r>
          </w:p>
        </w:tc>
        <w:tc>
          <w:tcPr>
            <w:tcW w:w="1447" w:type="pct"/>
          </w:tcPr>
          <w:p w:rsidR="00F66E8B" w:rsidRPr="00957AE4" w:rsidRDefault="00F66E8B" w:rsidP="00A571D0">
            <w:pPr>
              <w:rPr>
                <w:sz w:val="24"/>
                <w:szCs w:val="24"/>
              </w:rPr>
            </w:pPr>
            <w:r w:rsidRPr="00957AE4">
              <w:rPr>
                <w:sz w:val="24"/>
                <w:szCs w:val="24"/>
              </w:rPr>
              <w:t>Projekta izstrādē iesaistītās institūcijas</w:t>
            </w:r>
          </w:p>
        </w:tc>
        <w:tc>
          <w:tcPr>
            <w:tcW w:w="3339" w:type="pct"/>
          </w:tcPr>
          <w:p w:rsidR="00F66E8B" w:rsidRPr="00957AE4" w:rsidRDefault="00F66E8B" w:rsidP="00A571D0">
            <w:pPr>
              <w:spacing w:after="120"/>
              <w:jc w:val="both"/>
              <w:rPr>
                <w:sz w:val="24"/>
                <w:szCs w:val="24"/>
              </w:rPr>
            </w:pPr>
            <w:r w:rsidRPr="00957AE4">
              <w:rPr>
                <w:sz w:val="24"/>
                <w:szCs w:val="24"/>
              </w:rPr>
              <w:t>Projekts šo jomu neskar.</w:t>
            </w:r>
          </w:p>
        </w:tc>
      </w:tr>
      <w:tr w:rsidR="00F66E8B" w:rsidRPr="00957AE4" w:rsidTr="006F4F55">
        <w:tc>
          <w:tcPr>
            <w:tcW w:w="213" w:type="pct"/>
          </w:tcPr>
          <w:p w:rsidR="00F66E8B" w:rsidRPr="00957AE4" w:rsidRDefault="00F66E8B" w:rsidP="00A571D0">
            <w:pPr>
              <w:rPr>
                <w:sz w:val="24"/>
                <w:szCs w:val="24"/>
              </w:rPr>
            </w:pPr>
            <w:r w:rsidRPr="00957AE4">
              <w:rPr>
                <w:sz w:val="24"/>
                <w:szCs w:val="24"/>
              </w:rPr>
              <w:t>6.</w:t>
            </w:r>
          </w:p>
        </w:tc>
        <w:tc>
          <w:tcPr>
            <w:tcW w:w="1447" w:type="pct"/>
          </w:tcPr>
          <w:p w:rsidR="00F66E8B" w:rsidRPr="00957AE4" w:rsidRDefault="00F66E8B" w:rsidP="00A571D0">
            <w:pPr>
              <w:rPr>
                <w:sz w:val="24"/>
                <w:szCs w:val="24"/>
              </w:rPr>
            </w:pPr>
            <w:r w:rsidRPr="00957AE4">
              <w:rPr>
                <w:sz w:val="24"/>
                <w:szCs w:val="24"/>
              </w:rPr>
              <w:t>Iemesli, kādēļ netika nodrošināta sabiedrības līdzdalība</w:t>
            </w:r>
          </w:p>
        </w:tc>
        <w:tc>
          <w:tcPr>
            <w:tcW w:w="3339" w:type="pct"/>
          </w:tcPr>
          <w:p w:rsidR="00F66E8B" w:rsidRPr="004055F6" w:rsidRDefault="00F66E8B" w:rsidP="004055F6">
            <w:pPr>
              <w:pStyle w:val="naiskr"/>
              <w:spacing w:before="0" w:after="0"/>
              <w:jc w:val="both"/>
              <w:rPr>
                <w:i/>
                <w:iCs/>
              </w:rPr>
            </w:pPr>
            <w:r w:rsidRPr="004B0F4C">
              <w:t xml:space="preserve">Sabiedrības līdzdalība projekta izstrādē netika nodrošināta, jo </w:t>
            </w:r>
            <w:r>
              <w:t>noteikumu projekts</w:t>
            </w:r>
            <w:r w:rsidRPr="004B0F4C">
              <w:t xml:space="preserve"> nemaina pastāvošo tiesisko regulējumu pēc būtības, bet tikai aizstāj latus ar </w:t>
            </w:r>
            <w:r w:rsidRPr="004D5D03">
              <w:rPr>
                <w:i/>
                <w:iCs/>
              </w:rPr>
              <w:t>euro</w:t>
            </w:r>
            <w:r w:rsidRPr="004B0F4C">
              <w:rPr>
                <w:i/>
                <w:iCs/>
              </w:rPr>
              <w:t>.</w:t>
            </w:r>
          </w:p>
        </w:tc>
      </w:tr>
      <w:tr w:rsidR="00F66E8B" w:rsidRPr="00957AE4" w:rsidTr="006F4F55">
        <w:tc>
          <w:tcPr>
            <w:tcW w:w="213" w:type="pct"/>
          </w:tcPr>
          <w:p w:rsidR="00F66E8B" w:rsidRPr="00957AE4" w:rsidRDefault="00F66E8B" w:rsidP="00A571D0">
            <w:pPr>
              <w:rPr>
                <w:sz w:val="24"/>
                <w:szCs w:val="24"/>
              </w:rPr>
            </w:pPr>
            <w:r w:rsidRPr="00957AE4">
              <w:rPr>
                <w:sz w:val="24"/>
                <w:szCs w:val="24"/>
              </w:rPr>
              <w:t xml:space="preserve">7. </w:t>
            </w:r>
          </w:p>
        </w:tc>
        <w:tc>
          <w:tcPr>
            <w:tcW w:w="1447" w:type="pct"/>
          </w:tcPr>
          <w:p w:rsidR="00F66E8B" w:rsidRPr="00957AE4" w:rsidRDefault="00F66E8B" w:rsidP="00A571D0">
            <w:pPr>
              <w:rPr>
                <w:sz w:val="24"/>
                <w:szCs w:val="24"/>
              </w:rPr>
            </w:pPr>
            <w:r w:rsidRPr="00957AE4">
              <w:rPr>
                <w:sz w:val="24"/>
                <w:szCs w:val="24"/>
              </w:rPr>
              <w:t>Cita informācija</w:t>
            </w:r>
          </w:p>
        </w:tc>
        <w:tc>
          <w:tcPr>
            <w:tcW w:w="3339" w:type="pct"/>
          </w:tcPr>
          <w:p w:rsidR="00F66E8B" w:rsidRPr="004055F6" w:rsidRDefault="00F66E8B" w:rsidP="004055F6">
            <w:pPr>
              <w:tabs>
                <w:tab w:val="left" w:pos="5279"/>
              </w:tabs>
              <w:ind w:right="31"/>
              <w:jc w:val="both"/>
              <w:rPr>
                <w:sz w:val="24"/>
                <w:szCs w:val="24"/>
              </w:rPr>
            </w:pPr>
            <w:r>
              <w:rPr>
                <w:sz w:val="24"/>
                <w:szCs w:val="24"/>
              </w:rPr>
              <w:t>N</w:t>
            </w:r>
            <w:r w:rsidRPr="004055F6">
              <w:rPr>
                <w:sz w:val="24"/>
                <w:szCs w:val="24"/>
              </w:rPr>
              <w:t>oteikumu projekts tiks virzīts izskatīšanai Ministru kabinetā pēc tam, kad Eiropas Savienības Padomē saskaņā ar Līguma par Eiropas Savienības darbību 140 panta 2.punktu tiks pieņemts lēmums par izņēmuma statusa atcelšanu Latvijas Republikai.</w:t>
            </w:r>
          </w:p>
        </w:tc>
      </w:tr>
    </w:tbl>
    <w:p w:rsidR="00F66E8B" w:rsidRDefault="00F66E8B" w:rsidP="00573D8B">
      <w:pPr>
        <w:rPr>
          <w:sz w:val="28"/>
          <w:szCs w:val="28"/>
        </w:rPr>
      </w:pPr>
    </w:p>
    <w:tbl>
      <w:tblPr>
        <w:tblpPr w:leftFromText="180" w:rightFromText="180" w:vertAnchor="text" w:horzAnchor="margin" w:tblpXSpec="center" w:tblpY="149"/>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88"/>
      </w:tblGrid>
      <w:tr w:rsidR="00F66E8B" w:rsidRPr="000A315A" w:rsidTr="00573D8B">
        <w:tc>
          <w:tcPr>
            <w:tcW w:w="9388" w:type="dxa"/>
            <w:vAlign w:val="center"/>
          </w:tcPr>
          <w:p w:rsidR="00F66E8B" w:rsidRPr="000A315A" w:rsidRDefault="00F66E8B" w:rsidP="00C9286A">
            <w:pPr>
              <w:pStyle w:val="naisnod"/>
              <w:spacing w:before="0" w:after="0"/>
            </w:pPr>
            <w:r w:rsidRPr="000A315A">
              <w:t>II. Tiesību akta projekta ietekme uz sabiedrību</w:t>
            </w:r>
          </w:p>
        </w:tc>
      </w:tr>
      <w:tr w:rsidR="00F66E8B" w:rsidRPr="000A315A" w:rsidTr="00573D8B">
        <w:tc>
          <w:tcPr>
            <w:tcW w:w="9388" w:type="dxa"/>
            <w:vAlign w:val="center"/>
          </w:tcPr>
          <w:p w:rsidR="00F66E8B" w:rsidRDefault="00F66E8B" w:rsidP="00C9286A">
            <w:pPr>
              <w:pStyle w:val="naisnod"/>
              <w:spacing w:before="0" w:after="0"/>
              <w:rPr>
                <w:b w:val="0"/>
              </w:rPr>
            </w:pPr>
            <w:r>
              <w:rPr>
                <w:b w:val="0"/>
              </w:rPr>
              <w:t>Noteikumu p</w:t>
            </w:r>
            <w:r w:rsidRPr="008E2798">
              <w:rPr>
                <w:b w:val="0"/>
              </w:rPr>
              <w:t>rojekts nerada ietekmi uz sabiedrību, jo nemaina spēkā esošo tiesisko regulējumu</w:t>
            </w:r>
          </w:p>
          <w:p w:rsidR="00F66E8B" w:rsidRPr="008E2798" w:rsidRDefault="00F66E8B" w:rsidP="008F6E26">
            <w:pPr>
              <w:pStyle w:val="naisnod"/>
              <w:spacing w:before="0" w:after="0"/>
              <w:rPr>
                <w:b w:val="0"/>
              </w:rPr>
            </w:pPr>
            <w:r w:rsidRPr="008E2798">
              <w:rPr>
                <w:b w:val="0"/>
              </w:rPr>
              <w:t>pēc</w:t>
            </w:r>
            <w:r>
              <w:rPr>
                <w:b w:val="0"/>
              </w:rPr>
              <w:t xml:space="preserve"> būtības.</w:t>
            </w:r>
          </w:p>
        </w:tc>
      </w:tr>
    </w:tbl>
    <w:p w:rsidR="00F66E8B" w:rsidRDefault="00F66E8B" w:rsidP="00DB45A6">
      <w:pPr>
        <w:rPr>
          <w:sz w:val="28"/>
          <w:szCs w:val="28"/>
        </w:rPr>
      </w:pPr>
    </w:p>
    <w:tbl>
      <w:tblPr>
        <w:tblW w:w="9453"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1322"/>
        <w:gridCol w:w="1348"/>
        <w:gridCol w:w="1348"/>
        <w:gridCol w:w="1349"/>
        <w:gridCol w:w="1150"/>
      </w:tblGrid>
      <w:tr w:rsidR="00F66E8B" w:rsidRPr="000A315A" w:rsidTr="00573D8B">
        <w:trPr>
          <w:trHeight w:val="652"/>
          <w:jc w:val="center"/>
        </w:trPr>
        <w:tc>
          <w:tcPr>
            <w:tcW w:w="9453" w:type="dxa"/>
            <w:gridSpan w:val="6"/>
          </w:tcPr>
          <w:p w:rsidR="00F66E8B" w:rsidRPr="000A315A" w:rsidRDefault="00F66E8B" w:rsidP="00C9286A">
            <w:pPr>
              <w:pStyle w:val="naisnod"/>
              <w:spacing w:before="0" w:after="0"/>
              <w:rPr>
                <w:i/>
              </w:rPr>
            </w:pPr>
            <w:r w:rsidRPr="000A315A">
              <w:br w:type="page"/>
              <w:t>III. Tiesību akta projekta ietekme uz valsts budžetu un pašvaldību budžetiem</w:t>
            </w:r>
          </w:p>
        </w:tc>
      </w:tr>
      <w:tr w:rsidR="00F66E8B" w:rsidRPr="000A315A" w:rsidTr="00573D8B">
        <w:trPr>
          <w:jc w:val="center"/>
        </w:trPr>
        <w:tc>
          <w:tcPr>
            <w:tcW w:w="2936" w:type="dxa"/>
            <w:vMerge w:val="restart"/>
            <w:vAlign w:val="center"/>
          </w:tcPr>
          <w:p w:rsidR="00F66E8B" w:rsidRPr="000A315A" w:rsidRDefault="00F66E8B" w:rsidP="00C9286A">
            <w:pPr>
              <w:pStyle w:val="naisf"/>
              <w:spacing w:before="0" w:after="0"/>
              <w:ind w:firstLine="0"/>
              <w:jc w:val="center"/>
              <w:rPr>
                <w:b/>
              </w:rPr>
            </w:pPr>
            <w:r w:rsidRPr="000A315A">
              <w:rPr>
                <w:b/>
              </w:rPr>
              <w:t>Rādītāji</w:t>
            </w:r>
          </w:p>
        </w:tc>
        <w:tc>
          <w:tcPr>
            <w:tcW w:w="2670" w:type="dxa"/>
            <w:gridSpan w:val="2"/>
            <w:vMerge w:val="restart"/>
            <w:vAlign w:val="center"/>
          </w:tcPr>
          <w:p w:rsidR="00F66E8B" w:rsidRPr="000A315A" w:rsidRDefault="00F66E8B" w:rsidP="00C9286A">
            <w:pPr>
              <w:pStyle w:val="naisf"/>
              <w:spacing w:before="0" w:after="0"/>
              <w:ind w:firstLine="0"/>
              <w:jc w:val="center"/>
              <w:rPr>
                <w:b/>
              </w:rPr>
            </w:pPr>
            <w:r w:rsidRPr="000A315A">
              <w:rPr>
                <w:b/>
              </w:rPr>
              <w:t>n-tais gads</w:t>
            </w:r>
          </w:p>
        </w:tc>
        <w:tc>
          <w:tcPr>
            <w:tcW w:w="3847" w:type="dxa"/>
            <w:gridSpan w:val="3"/>
            <w:vAlign w:val="center"/>
          </w:tcPr>
          <w:p w:rsidR="00F66E8B" w:rsidRPr="000A315A" w:rsidRDefault="00F66E8B" w:rsidP="00C9286A">
            <w:pPr>
              <w:pStyle w:val="naisf"/>
              <w:spacing w:before="0" w:after="0"/>
              <w:ind w:firstLine="0"/>
              <w:jc w:val="center"/>
              <w:rPr>
                <w:b/>
                <w:i/>
              </w:rPr>
            </w:pPr>
            <w:r w:rsidRPr="000A315A">
              <w:t>Turpmākie trīs gadi (tūkst</w:t>
            </w:r>
            <w:smartTag w:uri="schemas-tilde-lv/tildestengine" w:element="currency2">
              <w:smartTagPr>
                <w:attr w:name="currency_id" w:val="48"/>
                <w:attr w:name="currency_key" w:val="LVL"/>
                <w:attr w:name="currency_value" w:val="."/>
                <w:attr w:name="currency_text" w:val="latu"/>
              </w:smartTagPr>
              <w:r w:rsidRPr="000A315A">
                <w:t>. latu</w:t>
              </w:r>
            </w:smartTag>
            <w:r w:rsidRPr="000A315A">
              <w:t>)</w:t>
            </w:r>
          </w:p>
        </w:tc>
      </w:tr>
      <w:tr w:rsidR="00F66E8B" w:rsidRPr="000A315A" w:rsidTr="00573D8B">
        <w:trPr>
          <w:jc w:val="center"/>
        </w:trPr>
        <w:tc>
          <w:tcPr>
            <w:tcW w:w="2936" w:type="dxa"/>
            <w:vMerge/>
            <w:vAlign w:val="center"/>
          </w:tcPr>
          <w:p w:rsidR="00F66E8B" w:rsidRPr="000A315A" w:rsidRDefault="00F66E8B" w:rsidP="00C9286A">
            <w:pPr>
              <w:pStyle w:val="naisf"/>
              <w:spacing w:before="0" w:after="0"/>
              <w:ind w:firstLine="0"/>
              <w:jc w:val="center"/>
              <w:rPr>
                <w:b/>
                <w:i/>
              </w:rPr>
            </w:pPr>
          </w:p>
        </w:tc>
        <w:tc>
          <w:tcPr>
            <w:tcW w:w="2670" w:type="dxa"/>
            <w:gridSpan w:val="2"/>
            <w:vMerge/>
            <w:vAlign w:val="center"/>
          </w:tcPr>
          <w:p w:rsidR="00F66E8B" w:rsidRPr="000A315A" w:rsidRDefault="00F66E8B" w:rsidP="00C9286A">
            <w:pPr>
              <w:pStyle w:val="naisf"/>
              <w:spacing w:before="0" w:after="0"/>
              <w:ind w:firstLine="0"/>
              <w:jc w:val="center"/>
              <w:rPr>
                <w:b/>
                <w:i/>
              </w:rPr>
            </w:pPr>
          </w:p>
        </w:tc>
        <w:tc>
          <w:tcPr>
            <w:tcW w:w="1348" w:type="dxa"/>
            <w:vAlign w:val="center"/>
          </w:tcPr>
          <w:p w:rsidR="00F66E8B" w:rsidRPr="000A315A" w:rsidRDefault="00F66E8B" w:rsidP="00C9286A">
            <w:pPr>
              <w:pStyle w:val="naisf"/>
              <w:spacing w:before="0" w:after="0"/>
              <w:ind w:firstLine="0"/>
              <w:jc w:val="center"/>
              <w:rPr>
                <w:b/>
                <w:i/>
              </w:rPr>
            </w:pPr>
            <w:r w:rsidRPr="000A315A">
              <w:rPr>
                <w:b/>
                <w:bCs/>
              </w:rPr>
              <w:t>n+1</w:t>
            </w:r>
          </w:p>
        </w:tc>
        <w:tc>
          <w:tcPr>
            <w:tcW w:w="1349" w:type="dxa"/>
            <w:vAlign w:val="center"/>
          </w:tcPr>
          <w:p w:rsidR="00F66E8B" w:rsidRPr="000A315A" w:rsidRDefault="00F66E8B" w:rsidP="00C9286A">
            <w:pPr>
              <w:pStyle w:val="naisf"/>
              <w:spacing w:before="0" w:after="0"/>
              <w:ind w:firstLine="0"/>
              <w:jc w:val="center"/>
              <w:rPr>
                <w:b/>
                <w:i/>
              </w:rPr>
            </w:pPr>
            <w:r w:rsidRPr="000A315A">
              <w:rPr>
                <w:b/>
                <w:bCs/>
              </w:rPr>
              <w:t>n+2</w:t>
            </w:r>
          </w:p>
        </w:tc>
        <w:tc>
          <w:tcPr>
            <w:tcW w:w="1150" w:type="dxa"/>
            <w:vAlign w:val="center"/>
          </w:tcPr>
          <w:p w:rsidR="00F66E8B" w:rsidRPr="000A315A" w:rsidRDefault="00F66E8B" w:rsidP="00C9286A">
            <w:pPr>
              <w:pStyle w:val="naisf"/>
              <w:spacing w:before="0" w:after="0"/>
              <w:ind w:firstLine="0"/>
              <w:jc w:val="center"/>
              <w:rPr>
                <w:b/>
                <w:i/>
              </w:rPr>
            </w:pPr>
            <w:r w:rsidRPr="000A315A">
              <w:rPr>
                <w:b/>
                <w:bCs/>
              </w:rPr>
              <w:t>n+3</w:t>
            </w:r>
          </w:p>
        </w:tc>
      </w:tr>
      <w:tr w:rsidR="00F66E8B" w:rsidRPr="000A315A" w:rsidTr="00573D8B">
        <w:trPr>
          <w:jc w:val="center"/>
        </w:trPr>
        <w:tc>
          <w:tcPr>
            <w:tcW w:w="2936" w:type="dxa"/>
            <w:vMerge/>
            <w:vAlign w:val="center"/>
          </w:tcPr>
          <w:p w:rsidR="00F66E8B" w:rsidRPr="000A315A" w:rsidRDefault="00F66E8B" w:rsidP="00C9286A">
            <w:pPr>
              <w:pStyle w:val="naisf"/>
              <w:spacing w:before="0" w:after="0"/>
              <w:ind w:firstLine="0"/>
              <w:jc w:val="center"/>
              <w:rPr>
                <w:b/>
                <w:i/>
              </w:rPr>
            </w:pPr>
          </w:p>
        </w:tc>
        <w:tc>
          <w:tcPr>
            <w:tcW w:w="1322" w:type="dxa"/>
            <w:vAlign w:val="center"/>
          </w:tcPr>
          <w:p w:rsidR="00F66E8B" w:rsidRPr="000A315A" w:rsidRDefault="00F66E8B" w:rsidP="00C9286A">
            <w:pPr>
              <w:pStyle w:val="naisf"/>
              <w:spacing w:before="0" w:after="0"/>
              <w:ind w:firstLine="0"/>
              <w:jc w:val="center"/>
              <w:rPr>
                <w:b/>
                <w:i/>
              </w:rPr>
            </w:pPr>
            <w:r w:rsidRPr="000A315A">
              <w:t>Saskaņā ar valsts budžetu kārtējam gadam</w:t>
            </w:r>
          </w:p>
        </w:tc>
        <w:tc>
          <w:tcPr>
            <w:tcW w:w="1348" w:type="dxa"/>
            <w:vAlign w:val="center"/>
          </w:tcPr>
          <w:p w:rsidR="00F66E8B" w:rsidRPr="000A315A" w:rsidRDefault="00F66E8B" w:rsidP="00C9286A">
            <w:pPr>
              <w:pStyle w:val="naisf"/>
              <w:spacing w:before="0" w:after="0"/>
              <w:ind w:firstLine="0"/>
              <w:jc w:val="center"/>
              <w:rPr>
                <w:b/>
                <w:i/>
              </w:rPr>
            </w:pPr>
            <w:r w:rsidRPr="000A315A">
              <w:t xml:space="preserve">Izmaiņas kārtējā gadā, salīdzinot ar budžetu kārtējam </w:t>
            </w:r>
            <w:r w:rsidRPr="000A315A">
              <w:lastRenderedPageBreak/>
              <w:t>gadam</w:t>
            </w:r>
          </w:p>
        </w:tc>
        <w:tc>
          <w:tcPr>
            <w:tcW w:w="1348" w:type="dxa"/>
            <w:vAlign w:val="center"/>
          </w:tcPr>
          <w:p w:rsidR="00F66E8B" w:rsidRPr="000A315A" w:rsidRDefault="00F66E8B" w:rsidP="00C9286A">
            <w:pPr>
              <w:pStyle w:val="naisf"/>
              <w:spacing w:before="0" w:after="0"/>
              <w:ind w:firstLine="0"/>
              <w:jc w:val="center"/>
              <w:rPr>
                <w:b/>
                <w:i/>
              </w:rPr>
            </w:pPr>
            <w:r w:rsidRPr="000A315A">
              <w:lastRenderedPageBreak/>
              <w:t>Izmaiņas, salīdzinot ar kārtējo (n) gadu</w:t>
            </w:r>
          </w:p>
        </w:tc>
        <w:tc>
          <w:tcPr>
            <w:tcW w:w="1349" w:type="dxa"/>
            <w:vAlign w:val="center"/>
          </w:tcPr>
          <w:p w:rsidR="00F66E8B" w:rsidRPr="000A315A" w:rsidRDefault="00F66E8B" w:rsidP="00C9286A">
            <w:pPr>
              <w:pStyle w:val="naisf"/>
              <w:spacing w:before="0" w:after="0"/>
              <w:ind w:firstLine="0"/>
              <w:jc w:val="center"/>
              <w:rPr>
                <w:b/>
                <w:i/>
              </w:rPr>
            </w:pPr>
            <w:r w:rsidRPr="000A315A">
              <w:t>Izmaiņas, salīdzinot ar kārtējo (n) gadu</w:t>
            </w:r>
          </w:p>
        </w:tc>
        <w:tc>
          <w:tcPr>
            <w:tcW w:w="1150" w:type="dxa"/>
            <w:vAlign w:val="center"/>
          </w:tcPr>
          <w:p w:rsidR="00F66E8B" w:rsidRPr="000A315A" w:rsidRDefault="00F66E8B" w:rsidP="00C9286A">
            <w:pPr>
              <w:pStyle w:val="naisf"/>
              <w:spacing w:before="0" w:after="0"/>
              <w:ind w:firstLine="0"/>
              <w:jc w:val="center"/>
              <w:rPr>
                <w:b/>
                <w:i/>
              </w:rPr>
            </w:pPr>
            <w:r w:rsidRPr="000A315A">
              <w:t>Izmaiņas, salīdzinot ar kārtējo (n) gadu</w:t>
            </w:r>
          </w:p>
        </w:tc>
      </w:tr>
      <w:tr w:rsidR="00F66E8B" w:rsidRPr="000A315A" w:rsidTr="00573D8B">
        <w:trPr>
          <w:jc w:val="center"/>
        </w:trPr>
        <w:tc>
          <w:tcPr>
            <w:tcW w:w="2936" w:type="dxa"/>
            <w:vAlign w:val="center"/>
          </w:tcPr>
          <w:p w:rsidR="00F66E8B" w:rsidRPr="000A315A" w:rsidRDefault="00F66E8B" w:rsidP="00C9286A">
            <w:pPr>
              <w:pStyle w:val="naisf"/>
              <w:spacing w:before="0" w:after="0"/>
              <w:ind w:firstLine="0"/>
              <w:jc w:val="center"/>
              <w:rPr>
                <w:bCs/>
              </w:rPr>
            </w:pPr>
            <w:r w:rsidRPr="000A315A">
              <w:rPr>
                <w:bCs/>
              </w:rPr>
              <w:lastRenderedPageBreak/>
              <w:t>1</w:t>
            </w:r>
          </w:p>
        </w:tc>
        <w:tc>
          <w:tcPr>
            <w:tcW w:w="1322" w:type="dxa"/>
            <w:vAlign w:val="center"/>
          </w:tcPr>
          <w:p w:rsidR="00F66E8B" w:rsidRPr="000A315A" w:rsidRDefault="00F66E8B" w:rsidP="00C9286A">
            <w:pPr>
              <w:pStyle w:val="naisf"/>
              <w:spacing w:before="0" w:after="0"/>
              <w:ind w:firstLine="0"/>
              <w:jc w:val="center"/>
              <w:rPr>
                <w:bCs/>
              </w:rPr>
            </w:pPr>
            <w:r w:rsidRPr="000A315A">
              <w:rPr>
                <w:bCs/>
              </w:rPr>
              <w:t>2</w:t>
            </w:r>
          </w:p>
        </w:tc>
        <w:tc>
          <w:tcPr>
            <w:tcW w:w="1348" w:type="dxa"/>
            <w:vAlign w:val="center"/>
          </w:tcPr>
          <w:p w:rsidR="00F66E8B" w:rsidRPr="000A315A" w:rsidRDefault="00F66E8B" w:rsidP="00C9286A">
            <w:pPr>
              <w:pStyle w:val="naisf"/>
              <w:spacing w:before="0" w:after="0"/>
              <w:ind w:firstLine="0"/>
              <w:jc w:val="center"/>
              <w:rPr>
                <w:bCs/>
              </w:rPr>
            </w:pPr>
            <w:r w:rsidRPr="000A315A">
              <w:rPr>
                <w:bCs/>
              </w:rPr>
              <w:t>3</w:t>
            </w:r>
          </w:p>
        </w:tc>
        <w:tc>
          <w:tcPr>
            <w:tcW w:w="1348" w:type="dxa"/>
            <w:vAlign w:val="center"/>
          </w:tcPr>
          <w:p w:rsidR="00F66E8B" w:rsidRPr="000A315A" w:rsidRDefault="00F66E8B" w:rsidP="00C9286A">
            <w:pPr>
              <w:pStyle w:val="naisf"/>
              <w:spacing w:before="0" w:after="0"/>
              <w:ind w:firstLine="0"/>
              <w:jc w:val="center"/>
              <w:rPr>
                <w:bCs/>
              </w:rPr>
            </w:pPr>
            <w:r w:rsidRPr="000A315A">
              <w:rPr>
                <w:bCs/>
              </w:rPr>
              <w:t>4</w:t>
            </w:r>
          </w:p>
        </w:tc>
        <w:tc>
          <w:tcPr>
            <w:tcW w:w="1349" w:type="dxa"/>
            <w:vAlign w:val="center"/>
          </w:tcPr>
          <w:p w:rsidR="00F66E8B" w:rsidRPr="000A315A" w:rsidRDefault="00F66E8B" w:rsidP="00C9286A">
            <w:pPr>
              <w:pStyle w:val="naisf"/>
              <w:spacing w:before="0" w:after="0"/>
              <w:ind w:firstLine="0"/>
              <w:jc w:val="center"/>
              <w:rPr>
                <w:bCs/>
              </w:rPr>
            </w:pPr>
            <w:r w:rsidRPr="000A315A">
              <w:rPr>
                <w:bCs/>
              </w:rPr>
              <w:t>5</w:t>
            </w:r>
          </w:p>
        </w:tc>
        <w:tc>
          <w:tcPr>
            <w:tcW w:w="1150" w:type="dxa"/>
            <w:vAlign w:val="center"/>
          </w:tcPr>
          <w:p w:rsidR="00F66E8B" w:rsidRPr="000A315A" w:rsidRDefault="00F66E8B" w:rsidP="00C9286A">
            <w:pPr>
              <w:pStyle w:val="naisf"/>
              <w:spacing w:before="0" w:after="0"/>
              <w:ind w:firstLine="0"/>
              <w:jc w:val="center"/>
              <w:rPr>
                <w:bCs/>
              </w:rPr>
            </w:pPr>
            <w:r w:rsidRPr="000A315A">
              <w:rPr>
                <w:bCs/>
              </w:rPr>
              <w:t>6</w:t>
            </w:r>
          </w:p>
        </w:tc>
      </w:tr>
      <w:tr w:rsidR="00F66E8B" w:rsidRPr="000A315A" w:rsidTr="00573D8B">
        <w:trPr>
          <w:jc w:val="center"/>
        </w:trPr>
        <w:tc>
          <w:tcPr>
            <w:tcW w:w="2936" w:type="dxa"/>
          </w:tcPr>
          <w:p w:rsidR="00F66E8B" w:rsidRPr="000A315A" w:rsidRDefault="00F66E8B" w:rsidP="00C9286A">
            <w:pPr>
              <w:pStyle w:val="naisf"/>
              <w:spacing w:before="0" w:after="0"/>
              <w:ind w:firstLine="0"/>
              <w:rPr>
                <w:i/>
              </w:rPr>
            </w:pPr>
            <w:r w:rsidRPr="000A315A">
              <w:t>1. Budžeta ieņēmumi:</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pStyle w:val="naisf"/>
              <w:spacing w:before="0" w:after="0"/>
              <w:ind w:firstLine="0"/>
              <w:rPr>
                <w:i/>
              </w:rPr>
            </w:pPr>
            <w:r w:rsidRPr="000A315A">
              <w:t>1.1. valsts pamatbudžets, tai skaitā ieņēmumi no maksas pakalpojumiem un citi pašu ieņēmumi</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pStyle w:val="naisf"/>
              <w:spacing w:before="0" w:after="0"/>
              <w:ind w:firstLine="0"/>
              <w:rPr>
                <w:i/>
              </w:rPr>
            </w:pPr>
            <w:r w:rsidRPr="000A315A">
              <w:t>1.2. valsts speciālais 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pStyle w:val="naisf"/>
              <w:spacing w:before="0" w:after="0"/>
              <w:ind w:firstLine="0"/>
              <w:rPr>
                <w:i/>
              </w:rPr>
            </w:pPr>
            <w:r w:rsidRPr="000A315A">
              <w:t>1.3. pašvaldību 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2. Budžeta izdevumi:</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2.1. valsts pamatbudžets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2.2. valsts speciālais 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 xml:space="preserve">2.3. pašvaldību budžets </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3. Finansiālā ietekme:</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3.1. valsts pamatbudžets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3.2. speciālais budžets</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 xml:space="preserve">3.3. pašvaldību budžets </w:t>
            </w:r>
          </w:p>
        </w:tc>
        <w:tc>
          <w:tcPr>
            <w:tcW w:w="1322"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vMerge w:val="restart"/>
          </w:tcPr>
          <w:p w:rsidR="00F66E8B" w:rsidRPr="000A315A" w:rsidRDefault="00F66E8B" w:rsidP="00C9286A">
            <w:pPr>
              <w:jc w:val="both"/>
            </w:pPr>
            <w:r w:rsidRPr="000A315A">
              <w:t>4. Finanšu līdzekļi papildu izde</w:t>
            </w:r>
            <w:r w:rsidRPr="000A315A">
              <w:softHyphen/>
              <w:t>vumu finansēšanai (kompensējošu izdevumu samazinājumu norāda ar "+" zīmi)</w:t>
            </w:r>
          </w:p>
        </w:tc>
        <w:tc>
          <w:tcPr>
            <w:tcW w:w="1322" w:type="dxa"/>
            <w:vMerge w:val="restart"/>
          </w:tcPr>
          <w:p w:rsidR="00F66E8B" w:rsidRPr="000A315A" w:rsidRDefault="00F66E8B" w:rsidP="00C9286A">
            <w:pPr>
              <w:pStyle w:val="naisf"/>
              <w:spacing w:before="0" w:after="0"/>
              <w:ind w:firstLine="0"/>
              <w:jc w:val="center"/>
              <w:rPr>
                <w:i/>
              </w:rPr>
            </w:pPr>
            <w:r w:rsidRPr="000A315A">
              <w:t>X</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vMerge/>
          </w:tcPr>
          <w:p w:rsidR="00F66E8B" w:rsidRPr="000A315A" w:rsidRDefault="00F66E8B" w:rsidP="00C9286A">
            <w:pPr>
              <w:jc w:val="both"/>
            </w:pPr>
          </w:p>
        </w:tc>
        <w:tc>
          <w:tcPr>
            <w:tcW w:w="1322" w:type="dxa"/>
            <w:vMerge/>
          </w:tcPr>
          <w:p w:rsidR="00F66E8B" w:rsidRPr="000A315A" w:rsidRDefault="00F66E8B" w:rsidP="00C9286A">
            <w:pPr>
              <w:pStyle w:val="naisf"/>
              <w:spacing w:before="0" w:after="0"/>
              <w:ind w:firstLine="0"/>
              <w:jc w:val="center"/>
              <w:rPr>
                <w:i/>
              </w:rPr>
            </w:pP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vMerge/>
          </w:tcPr>
          <w:p w:rsidR="00F66E8B" w:rsidRPr="000A315A" w:rsidRDefault="00F66E8B" w:rsidP="00C9286A">
            <w:pPr>
              <w:jc w:val="both"/>
            </w:pPr>
          </w:p>
        </w:tc>
        <w:tc>
          <w:tcPr>
            <w:tcW w:w="1322" w:type="dxa"/>
            <w:vMerge/>
          </w:tcPr>
          <w:p w:rsidR="00F66E8B" w:rsidRPr="000A315A" w:rsidRDefault="00F66E8B" w:rsidP="00C9286A">
            <w:pPr>
              <w:pStyle w:val="naisf"/>
              <w:spacing w:before="0" w:after="0"/>
              <w:ind w:firstLine="0"/>
              <w:jc w:val="center"/>
              <w:rPr>
                <w:i/>
              </w:rPr>
            </w:pP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5. Precizēta finansiālā ietekme:</w:t>
            </w:r>
          </w:p>
        </w:tc>
        <w:tc>
          <w:tcPr>
            <w:tcW w:w="1322" w:type="dxa"/>
            <w:vMerge w:val="restart"/>
          </w:tcPr>
          <w:p w:rsidR="00F66E8B" w:rsidRPr="000A315A" w:rsidRDefault="00F66E8B" w:rsidP="00C9286A">
            <w:pPr>
              <w:pStyle w:val="naisf"/>
              <w:spacing w:before="0" w:after="0"/>
              <w:ind w:firstLine="0"/>
              <w:jc w:val="center"/>
              <w:rPr>
                <w:i/>
              </w:rPr>
            </w:pPr>
            <w:r w:rsidRPr="000A315A">
              <w:t>X</w:t>
            </w: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5.1. valsts pamatbudžets</w:t>
            </w:r>
          </w:p>
        </w:tc>
        <w:tc>
          <w:tcPr>
            <w:tcW w:w="1322" w:type="dxa"/>
            <w:vMerge/>
            <w:vAlign w:val="center"/>
          </w:tcPr>
          <w:p w:rsidR="00F66E8B" w:rsidRPr="000A315A" w:rsidRDefault="00F66E8B" w:rsidP="00C9286A">
            <w:pPr>
              <w:pStyle w:val="naisf"/>
              <w:spacing w:before="0" w:after="0"/>
              <w:ind w:firstLine="0"/>
              <w:jc w:val="center"/>
              <w:rPr>
                <w:i/>
              </w:rPr>
            </w:pP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5.2. speciālais budžets</w:t>
            </w:r>
          </w:p>
        </w:tc>
        <w:tc>
          <w:tcPr>
            <w:tcW w:w="1322" w:type="dxa"/>
            <w:vMerge/>
            <w:vAlign w:val="center"/>
          </w:tcPr>
          <w:p w:rsidR="00F66E8B" w:rsidRPr="000A315A" w:rsidRDefault="00F66E8B" w:rsidP="00C9286A">
            <w:pPr>
              <w:pStyle w:val="naisf"/>
              <w:spacing w:before="0" w:after="0"/>
              <w:ind w:firstLine="0"/>
              <w:jc w:val="center"/>
              <w:rPr>
                <w:i/>
              </w:rPr>
            </w:pP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 xml:space="preserve">5.3. pašvaldību budžets </w:t>
            </w:r>
          </w:p>
        </w:tc>
        <w:tc>
          <w:tcPr>
            <w:tcW w:w="1322" w:type="dxa"/>
            <w:vMerge/>
            <w:vAlign w:val="center"/>
          </w:tcPr>
          <w:p w:rsidR="00F66E8B" w:rsidRPr="000A315A" w:rsidRDefault="00F66E8B" w:rsidP="00C9286A">
            <w:pPr>
              <w:pStyle w:val="naisf"/>
              <w:spacing w:before="0" w:after="0"/>
              <w:ind w:firstLine="0"/>
              <w:jc w:val="center"/>
              <w:rPr>
                <w:i/>
              </w:rPr>
            </w:pPr>
          </w:p>
        </w:tc>
        <w:tc>
          <w:tcPr>
            <w:tcW w:w="1348" w:type="dxa"/>
          </w:tcPr>
          <w:p w:rsidR="00F66E8B" w:rsidRPr="000A315A" w:rsidRDefault="00F66E8B" w:rsidP="00C9286A">
            <w:pPr>
              <w:pStyle w:val="naisf"/>
              <w:spacing w:before="0" w:after="0"/>
              <w:ind w:firstLine="0"/>
              <w:jc w:val="center"/>
            </w:pPr>
            <w:r w:rsidRPr="000A315A">
              <w:t>0</w:t>
            </w:r>
          </w:p>
        </w:tc>
        <w:tc>
          <w:tcPr>
            <w:tcW w:w="1348" w:type="dxa"/>
          </w:tcPr>
          <w:p w:rsidR="00F66E8B" w:rsidRPr="000A315A" w:rsidRDefault="00F66E8B" w:rsidP="00C9286A">
            <w:pPr>
              <w:pStyle w:val="naisf"/>
              <w:spacing w:before="0" w:after="0"/>
              <w:ind w:firstLine="0"/>
              <w:jc w:val="center"/>
            </w:pPr>
            <w:r w:rsidRPr="000A315A">
              <w:t>0</w:t>
            </w:r>
          </w:p>
        </w:tc>
        <w:tc>
          <w:tcPr>
            <w:tcW w:w="1349" w:type="dxa"/>
          </w:tcPr>
          <w:p w:rsidR="00F66E8B" w:rsidRPr="000A315A" w:rsidRDefault="00F66E8B" w:rsidP="00C9286A">
            <w:pPr>
              <w:pStyle w:val="naisf"/>
              <w:spacing w:before="0" w:after="0"/>
              <w:ind w:firstLine="0"/>
              <w:jc w:val="center"/>
            </w:pPr>
            <w:r w:rsidRPr="000A315A">
              <w:t>0</w:t>
            </w:r>
          </w:p>
        </w:tc>
        <w:tc>
          <w:tcPr>
            <w:tcW w:w="1150" w:type="dxa"/>
          </w:tcPr>
          <w:p w:rsidR="00F66E8B" w:rsidRPr="000A315A" w:rsidRDefault="00F66E8B" w:rsidP="00C9286A">
            <w:pPr>
              <w:pStyle w:val="naisf"/>
              <w:spacing w:before="0" w:after="0"/>
              <w:ind w:firstLine="0"/>
              <w:jc w:val="center"/>
            </w:pPr>
            <w:r w:rsidRPr="000A315A">
              <w:t>0</w:t>
            </w:r>
          </w:p>
        </w:tc>
      </w:tr>
      <w:tr w:rsidR="00F66E8B" w:rsidRPr="000A315A" w:rsidTr="00573D8B">
        <w:trPr>
          <w:jc w:val="center"/>
        </w:trPr>
        <w:tc>
          <w:tcPr>
            <w:tcW w:w="2936" w:type="dxa"/>
          </w:tcPr>
          <w:p w:rsidR="00F66E8B" w:rsidRPr="000A315A" w:rsidRDefault="00F66E8B" w:rsidP="00C9286A">
            <w:pPr>
              <w:jc w:val="both"/>
            </w:pPr>
            <w:r w:rsidRPr="000A315A">
              <w:t>6. Detalizēts ieņēmumu un izdevu</w:t>
            </w:r>
            <w:r w:rsidRPr="000A315A">
              <w:softHyphen/>
              <w:t>mu aprēķins (ja nepieciešams, detalizētu ieņēmumu un izdevumu aprēķinu var pievienot anotācijas pielikumā):</w:t>
            </w:r>
          </w:p>
        </w:tc>
        <w:tc>
          <w:tcPr>
            <w:tcW w:w="6517" w:type="dxa"/>
            <w:gridSpan w:val="5"/>
            <w:vMerge w:val="restart"/>
            <w:vAlign w:val="center"/>
          </w:tcPr>
          <w:p w:rsidR="00F66E8B" w:rsidRPr="000A315A" w:rsidRDefault="00F66E8B" w:rsidP="00C9286A">
            <w:pPr>
              <w:pStyle w:val="naisf"/>
              <w:spacing w:before="0" w:after="0"/>
              <w:ind w:firstLine="0"/>
              <w:rPr>
                <w:b/>
                <w:i/>
              </w:rPr>
            </w:pPr>
          </w:p>
        </w:tc>
      </w:tr>
      <w:tr w:rsidR="00F66E8B" w:rsidRPr="000A315A" w:rsidTr="00573D8B">
        <w:trPr>
          <w:jc w:val="center"/>
        </w:trPr>
        <w:tc>
          <w:tcPr>
            <w:tcW w:w="2936" w:type="dxa"/>
          </w:tcPr>
          <w:p w:rsidR="00F66E8B" w:rsidRPr="000A315A" w:rsidRDefault="00F66E8B" w:rsidP="00C9286A">
            <w:pPr>
              <w:jc w:val="both"/>
            </w:pPr>
            <w:r w:rsidRPr="000A315A">
              <w:t>6.1. detalizēts ieņēmumu aprēķins</w:t>
            </w:r>
          </w:p>
        </w:tc>
        <w:tc>
          <w:tcPr>
            <w:tcW w:w="6517" w:type="dxa"/>
            <w:gridSpan w:val="5"/>
            <w:vMerge/>
          </w:tcPr>
          <w:p w:rsidR="00F66E8B" w:rsidRPr="000A315A" w:rsidRDefault="00F66E8B" w:rsidP="00C9286A">
            <w:pPr>
              <w:pStyle w:val="naisf"/>
              <w:spacing w:before="0" w:after="0"/>
              <w:ind w:firstLine="0"/>
              <w:rPr>
                <w:b/>
                <w:i/>
              </w:rPr>
            </w:pPr>
          </w:p>
        </w:tc>
      </w:tr>
      <w:tr w:rsidR="00F66E8B" w:rsidRPr="000A315A" w:rsidTr="00573D8B">
        <w:trPr>
          <w:jc w:val="center"/>
        </w:trPr>
        <w:tc>
          <w:tcPr>
            <w:tcW w:w="2936" w:type="dxa"/>
          </w:tcPr>
          <w:p w:rsidR="00F66E8B" w:rsidRPr="000A315A" w:rsidRDefault="00F66E8B" w:rsidP="00C9286A">
            <w:pPr>
              <w:jc w:val="both"/>
            </w:pPr>
            <w:r w:rsidRPr="000A315A">
              <w:t>6.2. detalizēts izdevumu aprēķins</w:t>
            </w:r>
          </w:p>
        </w:tc>
        <w:tc>
          <w:tcPr>
            <w:tcW w:w="6517" w:type="dxa"/>
            <w:gridSpan w:val="5"/>
            <w:vMerge/>
          </w:tcPr>
          <w:p w:rsidR="00F66E8B" w:rsidRPr="000A315A" w:rsidRDefault="00F66E8B" w:rsidP="00C9286A">
            <w:pPr>
              <w:pStyle w:val="naisf"/>
              <w:spacing w:before="0" w:after="0"/>
              <w:ind w:firstLine="0"/>
              <w:rPr>
                <w:b/>
                <w:i/>
              </w:rPr>
            </w:pPr>
          </w:p>
        </w:tc>
      </w:tr>
      <w:tr w:rsidR="00F66E8B" w:rsidRPr="000A315A" w:rsidTr="00573D8B">
        <w:trPr>
          <w:jc w:val="center"/>
        </w:trPr>
        <w:tc>
          <w:tcPr>
            <w:tcW w:w="2936" w:type="dxa"/>
          </w:tcPr>
          <w:p w:rsidR="00F66E8B" w:rsidRPr="000A315A" w:rsidRDefault="00F66E8B" w:rsidP="00C9286A">
            <w:pPr>
              <w:jc w:val="both"/>
            </w:pPr>
            <w:r w:rsidRPr="000A315A">
              <w:t>7. Cita informācija</w:t>
            </w:r>
          </w:p>
        </w:tc>
        <w:tc>
          <w:tcPr>
            <w:tcW w:w="6517" w:type="dxa"/>
            <w:gridSpan w:val="5"/>
          </w:tcPr>
          <w:p w:rsidR="00F66E8B" w:rsidRDefault="00F66E8B" w:rsidP="008859A4">
            <w:pPr>
              <w:jc w:val="both"/>
            </w:pPr>
            <w:r>
              <w:t>Projekts n</w:t>
            </w:r>
            <w:r w:rsidRPr="000A0346">
              <w:t>erada ietekmi uz budžetu</w:t>
            </w:r>
            <w:r>
              <w:t>.</w:t>
            </w:r>
          </w:p>
          <w:p w:rsidR="00F66E8B" w:rsidRPr="000A315A" w:rsidRDefault="00F66E8B" w:rsidP="00C9286A">
            <w:pPr>
              <w:pStyle w:val="naisf"/>
              <w:tabs>
                <w:tab w:val="left" w:pos="4644"/>
              </w:tabs>
              <w:spacing w:before="0" w:after="0"/>
              <w:ind w:firstLine="0"/>
              <w:rPr>
                <w:b/>
                <w:i/>
              </w:rPr>
            </w:pPr>
          </w:p>
        </w:tc>
      </w:tr>
    </w:tbl>
    <w:p w:rsidR="00F66E8B" w:rsidRDefault="00F66E8B" w:rsidP="00573D8B">
      <w:pPr>
        <w:rPr>
          <w:sz w:val="28"/>
          <w:szCs w:val="28"/>
        </w:rPr>
      </w:pPr>
    </w:p>
    <w:tbl>
      <w:tblPr>
        <w:tblpPr w:leftFromText="180" w:rightFromText="180" w:vertAnchor="text" w:horzAnchor="margin" w:tblpXSpec="center" w:tblpY="149"/>
        <w:tblW w:w="957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3"/>
      </w:tblGrid>
      <w:tr w:rsidR="00F66E8B" w:rsidRPr="000A315A" w:rsidTr="00EC6991">
        <w:tc>
          <w:tcPr>
            <w:tcW w:w="9573" w:type="dxa"/>
          </w:tcPr>
          <w:p w:rsidR="00F66E8B" w:rsidRPr="008E2798" w:rsidRDefault="00F66E8B" w:rsidP="00C9286A">
            <w:pPr>
              <w:pStyle w:val="naisnod"/>
              <w:spacing w:before="0" w:after="0"/>
            </w:pPr>
            <w:r w:rsidRPr="008E2798">
              <w:rPr>
                <w:bCs w:val="0"/>
              </w:rPr>
              <w:t>IV</w:t>
            </w:r>
            <w:r>
              <w:rPr>
                <w:bCs w:val="0"/>
              </w:rPr>
              <w:t>.</w:t>
            </w:r>
            <w:r w:rsidRPr="008E2798">
              <w:rPr>
                <w:bCs w:val="0"/>
              </w:rPr>
              <w:t xml:space="preserve"> Tiesību akta projekta ietekme uz spēkā esošo tiesību normu sistēmu</w:t>
            </w:r>
          </w:p>
        </w:tc>
      </w:tr>
      <w:tr w:rsidR="00F66E8B" w:rsidRPr="000A315A" w:rsidTr="00EC6991">
        <w:tc>
          <w:tcPr>
            <w:tcW w:w="9573" w:type="dxa"/>
          </w:tcPr>
          <w:p w:rsidR="00F66E8B" w:rsidRPr="008E2798" w:rsidRDefault="00F66E8B" w:rsidP="00C9286A">
            <w:pPr>
              <w:pStyle w:val="naisnod"/>
              <w:spacing w:before="0" w:after="0"/>
              <w:rPr>
                <w:b w:val="0"/>
              </w:rPr>
            </w:pPr>
            <w:r w:rsidRPr="008E2798">
              <w:rPr>
                <w:b w:val="0"/>
              </w:rPr>
              <w:t>Noteikumu projekts nerada ietekmi uz spēkā esošo tiesību normu sistēmu.</w:t>
            </w:r>
          </w:p>
        </w:tc>
      </w:tr>
    </w:tbl>
    <w:p w:rsidR="00F66E8B" w:rsidRDefault="00F66E8B" w:rsidP="00DB45A6">
      <w:pPr>
        <w:rPr>
          <w:sz w:val="28"/>
          <w:szCs w:val="28"/>
        </w:rPr>
      </w:pPr>
    </w:p>
    <w:p w:rsidR="00F66E8B" w:rsidRPr="00573D8B" w:rsidRDefault="00F66E8B" w:rsidP="008E2798">
      <w:pPr>
        <w:jc w:val="center"/>
        <w:rPr>
          <w:iCs/>
          <w:sz w:val="24"/>
          <w:szCs w:val="24"/>
        </w:rPr>
      </w:pPr>
      <w:r w:rsidRPr="00573D8B">
        <w:rPr>
          <w:iCs/>
          <w:sz w:val="24"/>
          <w:szCs w:val="24"/>
        </w:rPr>
        <w:t>Anotācijas V, VI un VII sadaļa - projekts šīs jomas neskar.</w:t>
      </w:r>
    </w:p>
    <w:p w:rsidR="00F66E8B" w:rsidRPr="0047770C" w:rsidRDefault="00F66E8B" w:rsidP="00DB45A6">
      <w:pPr>
        <w:jc w:val="center"/>
        <w:rPr>
          <w:sz w:val="28"/>
          <w:szCs w:val="28"/>
        </w:rPr>
      </w:pPr>
    </w:p>
    <w:p w:rsidR="00993480" w:rsidRDefault="00993480" w:rsidP="00DB45A6">
      <w:pPr>
        <w:rPr>
          <w:sz w:val="28"/>
          <w:szCs w:val="28"/>
        </w:rPr>
      </w:pPr>
    </w:p>
    <w:p w:rsidR="00F66E8B" w:rsidRPr="0047770C" w:rsidRDefault="00F66E8B" w:rsidP="00DB45A6">
      <w:pPr>
        <w:rPr>
          <w:sz w:val="28"/>
          <w:szCs w:val="28"/>
        </w:rPr>
      </w:pPr>
      <w:r w:rsidRPr="0047770C">
        <w:rPr>
          <w:sz w:val="28"/>
          <w:szCs w:val="28"/>
        </w:rPr>
        <w:t>Labklājības ministre</w:t>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t>I.Viņķele</w:t>
      </w:r>
    </w:p>
    <w:p w:rsidR="00F66E8B" w:rsidRDefault="00F66E8B" w:rsidP="00DB45A6">
      <w:pPr>
        <w:pStyle w:val="Footer"/>
        <w:rPr>
          <w:sz w:val="24"/>
          <w:szCs w:val="24"/>
        </w:rPr>
      </w:pPr>
    </w:p>
    <w:p w:rsidR="00993480" w:rsidRPr="005D33D5" w:rsidRDefault="00993480" w:rsidP="00DB45A6">
      <w:pPr>
        <w:pStyle w:val="Footer"/>
        <w:rPr>
          <w:sz w:val="24"/>
          <w:szCs w:val="24"/>
        </w:rPr>
      </w:pPr>
    </w:p>
    <w:p w:rsidR="00993480" w:rsidRDefault="00993480" w:rsidP="00506F02">
      <w:r>
        <w:t>17.09.2013 12:58</w:t>
      </w:r>
    </w:p>
    <w:p w:rsidR="00F66E8B" w:rsidRDefault="00993480" w:rsidP="00506F02">
      <w:bookmarkStart w:id="0" w:name="_GoBack"/>
      <w:bookmarkEnd w:id="0"/>
      <w:r>
        <w:t>900</w:t>
      </w:r>
    </w:p>
    <w:p w:rsidR="00F66E8B" w:rsidRPr="003269D7" w:rsidRDefault="00F66E8B" w:rsidP="00506F02">
      <w:r w:rsidRPr="003269D7">
        <w:t>A.Dreimane</w:t>
      </w:r>
    </w:p>
    <w:p w:rsidR="00F66E8B" w:rsidRDefault="00F66E8B">
      <w:r w:rsidRPr="003269D7">
        <w:t xml:space="preserve">67021562, </w:t>
      </w:r>
      <w:hyperlink r:id="rId7" w:history="1">
        <w:r w:rsidRPr="003269D7">
          <w:rPr>
            <w:rStyle w:val="Hyperlink"/>
          </w:rPr>
          <w:t>Airina.Dreimane@lm.gov.lv</w:t>
        </w:r>
      </w:hyperlink>
    </w:p>
    <w:sectPr w:rsidR="00F66E8B" w:rsidSect="00993480">
      <w:headerReference w:type="even" r:id="rId8"/>
      <w:headerReference w:type="default" r:id="rId9"/>
      <w:footerReference w:type="even" r:id="rId10"/>
      <w:footerReference w:type="default" r:id="rId11"/>
      <w:footerReference w:type="first" r:id="rId12"/>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8B" w:rsidRDefault="00F66E8B">
      <w:r>
        <w:separator/>
      </w:r>
    </w:p>
  </w:endnote>
  <w:endnote w:type="continuationSeparator" w:id="0">
    <w:p w:rsidR="00F66E8B" w:rsidRDefault="00F6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8B" w:rsidRDefault="00F66E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6E8B" w:rsidRDefault="00F6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8B" w:rsidRPr="00A90EF3" w:rsidRDefault="00F66E8B" w:rsidP="00506F02">
    <w:pPr>
      <w:jc w:val="both"/>
    </w:pPr>
    <w:r w:rsidRPr="00A90EF3">
      <w:t>LManot_</w:t>
    </w:r>
    <w:r w:rsidR="00993480">
      <w:t>1709</w:t>
    </w:r>
    <w:r w:rsidRPr="00A90EF3">
      <w:t>13_</w:t>
    </w:r>
    <w:r>
      <w:t>366</w:t>
    </w:r>
    <w:r w:rsidRPr="00A90EF3">
      <w:t>;</w:t>
    </w:r>
    <w:r w:rsidRPr="00A90EF3">
      <w:rPr>
        <w:lang w:eastAsia="en-US"/>
      </w:rPr>
      <w:t xml:space="preserve"> </w:t>
    </w:r>
    <w:r w:rsidRPr="00A90EF3">
      <w:t>Grozījumi Ministru kabineta 20</w:t>
    </w:r>
    <w:r>
      <w:t>06</w:t>
    </w:r>
    <w:r w:rsidRPr="00A90EF3">
      <w:t xml:space="preserve">.gada </w:t>
    </w:r>
    <w:r>
      <w:t>9.maija</w:t>
    </w:r>
    <w:r w:rsidRPr="00A90EF3">
      <w:t xml:space="preserve"> noteikumos Nr.</w:t>
    </w:r>
    <w:r>
      <w:t>366</w:t>
    </w:r>
    <w:r w:rsidRPr="00A90EF3">
      <w:t xml:space="preserve"> „</w:t>
    </w:r>
    <w:r>
      <w:t>Noteikumi par valsts pensiju speciālajam budžetam nodoto kapitāla daļu pārdošanas nosacījumiem un kārtību</w:t>
    </w:r>
    <w:r w:rsidRPr="00A90EF3">
      <w:t>”</w:t>
    </w:r>
  </w:p>
  <w:p w:rsidR="00F66E8B" w:rsidRPr="00A90EF3" w:rsidRDefault="00F66E8B" w:rsidP="00A90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8B" w:rsidRPr="00A90EF3" w:rsidRDefault="00F66E8B" w:rsidP="00A90EF3">
    <w:pPr>
      <w:jc w:val="both"/>
    </w:pPr>
    <w:r w:rsidRPr="00A90EF3">
      <w:t>LManot_</w:t>
    </w:r>
    <w:r w:rsidR="00993480">
      <w:t>1709</w:t>
    </w:r>
    <w:r w:rsidRPr="00A90EF3">
      <w:t>13_</w:t>
    </w:r>
    <w:r>
      <w:t>366</w:t>
    </w:r>
    <w:r w:rsidRPr="00A90EF3">
      <w:t>;</w:t>
    </w:r>
    <w:r w:rsidRPr="00A90EF3">
      <w:rPr>
        <w:lang w:eastAsia="en-US"/>
      </w:rPr>
      <w:t xml:space="preserve"> </w:t>
    </w:r>
    <w:r w:rsidRPr="00A90EF3">
      <w:t>Grozījumi Ministru kabineta 20</w:t>
    </w:r>
    <w:r>
      <w:t>06</w:t>
    </w:r>
    <w:r w:rsidRPr="00A90EF3">
      <w:t xml:space="preserve">.gada </w:t>
    </w:r>
    <w:r>
      <w:t>9.maija</w:t>
    </w:r>
    <w:r w:rsidRPr="00A90EF3">
      <w:t xml:space="preserve"> noteikumos Nr.</w:t>
    </w:r>
    <w:r>
      <w:t>366</w:t>
    </w:r>
    <w:r w:rsidRPr="00A90EF3">
      <w:t xml:space="preserve"> „</w:t>
    </w:r>
    <w:r>
      <w:t>Noteikumi par valsts pensiju speciālajam budžetam nodoto kapitāla daļu pārdošanas nosacījumiem un kārtību</w:t>
    </w:r>
    <w:r w:rsidRPr="00A90EF3">
      <w:t>”</w:t>
    </w:r>
  </w:p>
  <w:p w:rsidR="00F66E8B" w:rsidRPr="00A771C5" w:rsidRDefault="00F66E8B" w:rsidP="00A771C5">
    <w:pPr>
      <w:jc w:val="both"/>
      <w:rPr>
        <w:lang w:eastAsia="en-US"/>
      </w:rPr>
    </w:pPr>
  </w:p>
  <w:p w:rsidR="00F66E8B" w:rsidRPr="00A771C5" w:rsidRDefault="00F66E8B" w:rsidP="00A7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8B" w:rsidRDefault="00F66E8B">
      <w:r>
        <w:separator/>
      </w:r>
    </w:p>
  </w:footnote>
  <w:footnote w:type="continuationSeparator" w:id="0">
    <w:p w:rsidR="00F66E8B" w:rsidRDefault="00F6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8B" w:rsidRDefault="00F66E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6E8B" w:rsidRDefault="00F6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8B" w:rsidRDefault="00F66E8B">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993480">
      <w:rPr>
        <w:rStyle w:val="PageNumber"/>
        <w:noProof/>
        <w:sz w:val="24"/>
      </w:rPr>
      <w:t>3</w:t>
    </w:r>
    <w:r>
      <w:rPr>
        <w:rStyle w:val="PageNumber"/>
        <w:sz w:val="24"/>
      </w:rPr>
      <w:fldChar w:fldCharType="end"/>
    </w:r>
  </w:p>
  <w:p w:rsidR="00F66E8B" w:rsidRDefault="00F66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5A6"/>
    <w:rsid w:val="00087A20"/>
    <w:rsid w:val="000A0346"/>
    <w:rsid w:val="000A315A"/>
    <w:rsid w:val="000B50BF"/>
    <w:rsid w:val="000B65C4"/>
    <w:rsid w:val="000D0590"/>
    <w:rsid w:val="000F25B9"/>
    <w:rsid w:val="00160918"/>
    <w:rsid w:val="0017108D"/>
    <w:rsid w:val="001D70D8"/>
    <w:rsid w:val="001F365A"/>
    <w:rsid w:val="00243AFE"/>
    <w:rsid w:val="00297D00"/>
    <w:rsid w:val="00310196"/>
    <w:rsid w:val="003269D7"/>
    <w:rsid w:val="00330164"/>
    <w:rsid w:val="00381E21"/>
    <w:rsid w:val="003830BA"/>
    <w:rsid w:val="003B7979"/>
    <w:rsid w:val="003D0B4A"/>
    <w:rsid w:val="004055F6"/>
    <w:rsid w:val="00474EC4"/>
    <w:rsid w:val="0047770C"/>
    <w:rsid w:val="004B0F4C"/>
    <w:rsid w:val="004C196F"/>
    <w:rsid w:val="004D020E"/>
    <w:rsid w:val="004D5D03"/>
    <w:rsid w:val="00502F3F"/>
    <w:rsid w:val="00506F02"/>
    <w:rsid w:val="00515F36"/>
    <w:rsid w:val="00535586"/>
    <w:rsid w:val="00536599"/>
    <w:rsid w:val="00573D8B"/>
    <w:rsid w:val="005A3950"/>
    <w:rsid w:val="005C19CD"/>
    <w:rsid w:val="005D33D5"/>
    <w:rsid w:val="00666C9C"/>
    <w:rsid w:val="006731B8"/>
    <w:rsid w:val="006752E0"/>
    <w:rsid w:val="006C7509"/>
    <w:rsid w:val="006D7328"/>
    <w:rsid w:val="006F30EF"/>
    <w:rsid w:val="006F4F55"/>
    <w:rsid w:val="007975ED"/>
    <w:rsid w:val="007B2BC8"/>
    <w:rsid w:val="007D0DF0"/>
    <w:rsid w:val="00802B41"/>
    <w:rsid w:val="0082460F"/>
    <w:rsid w:val="00831338"/>
    <w:rsid w:val="00831F1C"/>
    <w:rsid w:val="00871AF9"/>
    <w:rsid w:val="008774DE"/>
    <w:rsid w:val="008859A4"/>
    <w:rsid w:val="008E2798"/>
    <w:rsid w:val="008F49EA"/>
    <w:rsid w:val="008F6E26"/>
    <w:rsid w:val="00902716"/>
    <w:rsid w:val="009331A6"/>
    <w:rsid w:val="00957AE4"/>
    <w:rsid w:val="0096271C"/>
    <w:rsid w:val="00993480"/>
    <w:rsid w:val="009B5996"/>
    <w:rsid w:val="009F2016"/>
    <w:rsid w:val="00A20647"/>
    <w:rsid w:val="00A31352"/>
    <w:rsid w:val="00A571D0"/>
    <w:rsid w:val="00A771C5"/>
    <w:rsid w:val="00A90EF3"/>
    <w:rsid w:val="00AE3DA6"/>
    <w:rsid w:val="00B30324"/>
    <w:rsid w:val="00B51A08"/>
    <w:rsid w:val="00B51F19"/>
    <w:rsid w:val="00BA5E65"/>
    <w:rsid w:val="00BB75B3"/>
    <w:rsid w:val="00C656A8"/>
    <w:rsid w:val="00C9286A"/>
    <w:rsid w:val="00CC7BBD"/>
    <w:rsid w:val="00CE03AB"/>
    <w:rsid w:val="00CF4A8B"/>
    <w:rsid w:val="00CF524A"/>
    <w:rsid w:val="00D04EC0"/>
    <w:rsid w:val="00D07E1A"/>
    <w:rsid w:val="00D348E7"/>
    <w:rsid w:val="00D93D5B"/>
    <w:rsid w:val="00D95A84"/>
    <w:rsid w:val="00DA4EF8"/>
    <w:rsid w:val="00DB45A6"/>
    <w:rsid w:val="00E734BA"/>
    <w:rsid w:val="00EC6991"/>
    <w:rsid w:val="00EC73CA"/>
    <w:rsid w:val="00F01566"/>
    <w:rsid w:val="00F347AA"/>
    <w:rsid w:val="00F44840"/>
    <w:rsid w:val="00F6109A"/>
    <w:rsid w:val="00F66E8B"/>
    <w:rsid w:val="00F860EA"/>
    <w:rsid w:val="00FC3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5A6"/>
    <w:pPr>
      <w:tabs>
        <w:tab w:val="center" w:pos="4153"/>
        <w:tab w:val="right" w:pos="8306"/>
      </w:tabs>
    </w:pPr>
    <w:rPr>
      <w:rFonts w:ascii="RimTimes" w:hAnsi="RimTimes"/>
      <w:sz w:val="28"/>
    </w:rPr>
  </w:style>
  <w:style w:type="character" w:customStyle="1" w:styleId="FooterChar">
    <w:name w:val="Footer Char"/>
    <w:basedOn w:val="DefaultParagraphFont"/>
    <w:link w:val="Footer"/>
    <w:uiPriority w:val="99"/>
    <w:locked/>
    <w:rsid w:val="00DB45A6"/>
    <w:rPr>
      <w:rFonts w:ascii="RimTimes" w:hAnsi="RimTimes" w:cs="Times New Roman"/>
      <w:snapToGrid w:val="0"/>
      <w:sz w:val="20"/>
      <w:szCs w:val="20"/>
      <w:lang w:eastAsia="lv-LV"/>
    </w:rPr>
  </w:style>
  <w:style w:type="character" w:styleId="PageNumber">
    <w:name w:val="page number"/>
    <w:basedOn w:val="DefaultParagraphFont"/>
    <w:uiPriority w:val="99"/>
    <w:rsid w:val="00DB45A6"/>
    <w:rPr>
      <w:rFonts w:cs="Times New Roman"/>
    </w:rPr>
  </w:style>
  <w:style w:type="paragraph" w:styleId="Header">
    <w:name w:val="header"/>
    <w:basedOn w:val="Normal"/>
    <w:link w:val="HeaderChar1"/>
    <w:uiPriority w:val="99"/>
    <w:rsid w:val="00DB45A6"/>
    <w:pPr>
      <w:tabs>
        <w:tab w:val="center" w:pos="4153"/>
        <w:tab w:val="right" w:pos="8306"/>
      </w:tabs>
    </w:pPr>
    <w:rPr>
      <w:rFonts w:eastAsia="Calibri"/>
    </w:rPr>
  </w:style>
  <w:style w:type="character" w:customStyle="1" w:styleId="HeaderChar">
    <w:name w:val="Header Char"/>
    <w:basedOn w:val="DefaultParagraphFont"/>
    <w:uiPriority w:val="99"/>
    <w:semiHidden/>
    <w:locked/>
    <w:rsid w:val="00DB45A6"/>
    <w:rPr>
      <w:rFonts w:ascii="Times New Roman" w:hAnsi="Times New Roman" w:cs="Times New Roman"/>
      <w:sz w:val="20"/>
      <w:szCs w:val="20"/>
      <w:lang w:eastAsia="lv-LV"/>
    </w:rPr>
  </w:style>
  <w:style w:type="character" w:styleId="Hyperlink">
    <w:name w:val="Hyperlink"/>
    <w:basedOn w:val="DefaultParagraphFont"/>
    <w:uiPriority w:val="99"/>
    <w:rsid w:val="00DB45A6"/>
    <w:rPr>
      <w:rFonts w:cs="Times New Roman"/>
      <w:color w:val="0000FF"/>
      <w:u w:val="single"/>
    </w:rPr>
  </w:style>
  <w:style w:type="character" w:customStyle="1" w:styleId="HeaderChar1">
    <w:name w:val="Header Char1"/>
    <w:link w:val="Header"/>
    <w:uiPriority w:val="99"/>
    <w:locked/>
    <w:rsid w:val="00DB45A6"/>
    <w:rPr>
      <w:rFonts w:ascii="Times New Roman" w:hAnsi="Times New Roman"/>
      <w:sz w:val="20"/>
      <w:lang w:eastAsia="lv-LV"/>
    </w:rPr>
  </w:style>
  <w:style w:type="paragraph" w:styleId="NormalWeb">
    <w:name w:val="Normal (Web)"/>
    <w:basedOn w:val="Normal"/>
    <w:uiPriority w:val="99"/>
    <w:rsid w:val="00DB45A6"/>
    <w:pPr>
      <w:spacing w:before="100" w:beforeAutospacing="1" w:after="100" w:afterAutospacing="1"/>
    </w:pPr>
    <w:rPr>
      <w:sz w:val="24"/>
      <w:szCs w:val="24"/>
    </w:rPr>
  </w:style>
  <w:style w:type="paragraph" w:styleId="BalloonText">
    <w:name w:val="Balloon Text"/>
    <w:basedOn w:val="Normal"/>
    <w:link w:val="BalloonTextChar"/>
    <w:uiPriority w:val="99"/>
    <w:semiHidden/>
    <w:rsid w:val="00831F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F1C"/>
    <w:rPr>
      <w:rFonts w:ascii="Tahoma" w:hAnsi="Tahoma" w:cs="Tahoma"/>
      <w:sz w:val="16"/>
      <w:szCs w:val="16"/>
      <w:lang w:eastAsia="lv-LV"/>
    </w:rPr>
  </w:style>
  <w:style w:type="paragraph" w:customStyle="1" w:styleId="naisf">
    <w:name w:val="naisf"/>
    <w:basedOn w:val="Normal"/>
    <w:uiPriority w:val="99"/>
    <w:rsid w:val="00CF524A"/>
    <w:pPr>
      <w:spacing w:before="75" w:after="75"/>
      <w:ind w:firstLine="375"/>
      <w:jc w:val="both"/>
    </w:pPr>
    <w:rPr>
      <w:rFonts w:eastAsia="Calibri"/>
      <w:sz w:val="24"/>
      <w:szCs w:val="24"/>
    </w:rPr>
  </w:style>
  <w:style w:type="paragraph" w:customStyle="1" w:styleId="naisnod">
    <w:name w:val="naisnod"/>
    <w:basedOn w:val="Normal"/>
    <w:uiPriority w:val="99"/>
    <w:rsid w:val="00CF524A"/>
    <w:pPr>
      <w:spacing w:before="150" w:after="150"/>
      <w:jc w:val="center"/>
    </w:pPr>
    <w:rPr>
      <w:rFonts w:eastAsia="Calibri"/>
      <w:b/>
      <w:bCs/>
      <w:sz w:val="24"/>
      <w:szCs w:val="24"/>
    </w:rPr>
  </w:style>
  <w:style w:type="paragraph" w:customStyle="1" w:styleId="naiskr">
    <w:name w:val="naiskr"/>
    <w:basedOn w:val="Normal"/>
    <w:uiPriority w:val="99"/>
    <w:rsid w:val="006F4F55"/>
    <w:pPr>
      <w:spacing w:before="75" w:after="75"/>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rina.Dreimane@l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4105</Words>
  <Characters>2340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2006.gada 9.maija noteikumosNr.366 „ Noteikumi par valsts pensiju speciālajam budžetam nodoto kapitāla daļu pārdošanas nosacījumiem un kārtību</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9.maija noteikumosNr.366 „ Noteikumi par valsts pensiju speciālajam budžetam nodoto kapitāla daļu pārdošanas nosacījumiem un kārtību</dc:title>
  <dc:subject/>
  <dc:creator>Airīna Dreimane</dc:creator>
  <cp:keywords>anotācija</cp:keywords>
  <dc:description>A.Dreimane, tālr.67021562Airina.Dreimane@lm.gov.lv</dc:description>
  <cp:lastModifiedBy>Sandra Rucka</cp:lastModifiedBy>
  <cp:revision>13</cp:revision>
  <cp:lastPrinted>2013-06-05T12:50:00Z</cp:lastPrinted>
  <dcterms:created xsi:type="dcterms:W3CDTF">2013-06-04T12:27:00Z</dcterms:created>
  <dcterms:modified xsi:type="dcterms:W3CDTF">2013-09-17T09:58:00Z</dcterms:modified>
</cp:coreProperties>
</file>