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9" w:rsidRPr="0081147A" w:rsidRDefault="00877042" w:rsidP="00475CB6">
      <w:pPr>
        <w:pStyle w:val="Heading3"/>
        <w:spacing w:after="0"/>
        <w:jc w:val="center"/>
        <w:rPr>
          <w:rFonts w:ascii="Times New Roman" w:hAnsi="Times New Roman"/>
          <w:b/>
          <w:i w:val="0"/>
          <w:sz w:val="26"/>
          <w:szCs w:val="26"/>
        </w:rPr>
      </w:pPr>
      <w:r w:rsidRPr="0081147A">
        <w:rPr>
          <w:rFonts w:ascii="Times New Roman" w:hAnsi="Times New Roman"/>
          <w:b/>
          <w:i w:val="0"/>
          <w:sz w:val="26"/>
          <w:szCs w:val="26"/>
        </w:rPr>
        <w:t>Ministru kabineta rīkojuma projekta „Par pamatbudžeta apropriācijas pārdali</w:t>
      </w:r>
      <w:r w:rsidR="000D5A06" w:rsidRPr="0081147A">
        <w:rPr>
          <w:rFonts w:ascii="Times New Roman" w:hAnsi="Times New Roman"/>
          <w:b/>
          <w:i w:val="0"/>
          <w:sz w:val="26"/>
          <w:szCs w:val="26"/>
        </w:rPr>
        <w:t xml:space="preserve"> starp Labklājības ministriju un Izglītības un zinātnes ministriju 2013.gadā</w:t>
      </w:r>
      <w:r w:rsidRPr="0081147A">
        <w:rPr>
          <w:rFonts w:ascii="Times New Roman" w:hAnsi="Times New Roman"/>
          <w:b/>
          <w:i w:val="0"/>
          <w:sz w:val="26"/>
          <w:szCs w:val="26"/>
        </w:rPr>
        <w:t>”</w:t>
      </w:r>
      <w:r w:rsidR="000612F9" w:rsidRPr="0081147A">
        <w:rPr>
          <w:rFonts w:ascii="Times New Roman" w:hAnsi="Times New Roman"/>
          <w:b/>
          <w:i w:val="0"/>
          <w:sz w:val="26"/>
          <w:szCs w:val="26"/>
        </w:rPr>
        <w:t xml:space="preserve"> sākotnējās ietekmes novērtējuma ziņojums (anotācija)</w:t>
      </w:r>
    </w:p>
    <w:p w:rsidR="0081147A" w:rsidRPr="005B1F37" w:rsidRDefault="0081147A" w:rsidP="005B1F37">
      <w:pPr>
        <w:pStyle w:val="BodyText"/>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32"/>
        <w:gridCol w:w="7167"/>
      </w:tblGrid>
      <w:tr w:rsidR="0081147A" w:rsidRPr="005B1F37" w:rsidTr="003E5E7A">
        <w:trPr>
          <w:trHeight w:val="219"/>
        </w:trPr>
        <w:tc>
          <w:tcPr>
            <w:tcW w:w="5000" w:type="pct"/>
            <w:gridSpan w:val="3"/>
          </w:tcPr>
          <w:p w:rsidR="000612F9" w:rsidRPr="005B1F37" w:rsidRDefault="000612F9" w:rsidP="00475CB6">
            <w:pPr>
              <w:jc w:val="center"/>
              <w:rPr>
                <w:b/>
              </w:rPr>
            </w:pPr>
            <w:r w:rsidRPr="005B1F37">
              <w:rPr>
                <w:b/>
              </w:rPr>
              <w:t>I Tiesību akta projekta izstrādes nepieciešamība</w:t>
            </w:r>
          </w:p>
        </w:tc>
      </w:tr>
      <w:tr w:rsidR="0081147A" w:rsidRPr="005B1F37" w:rsidTr="003E5E7A">
        <w:tc>
          <w:tcPr>
            <w:tcW w:w="201" w:type="pct"/>
          </w:tcPr>
          <w:p w:rsidR="000612F9" w:rsidRPr="0081147A" w:rsidRDefault="000612F9" w:rsidP="00475CB6">
            <w:r w:rsidRPr="0081147A">
              <w:t>1.</w:t>
            </w:r>
          </w:p>
        </w:tc>
        <w:tc>
          <w:tcPr>
            <w:tcW w:w="1021" w:type="pct"/>
          </w:tcPr>
          <w:p w:rsidR="000612F9" w:rsidRPr="00C53AAD" w:rsidRDefault="000612F9" w:rsidP="00475CB6">
            <w:r w:rsidRPr="00C53AAD">
              <w:t>Pamatojums</w:t>
            </w:r>
          </w:p>
        </w:tc>
        <w:tc>
          <w:tcPr>
            <w:tcW w:w="3778" w:type="pct"/>
          </w:tcPr>
          <w:p w:rsidR="00877042" w:rsidRPr="005B1F37" w:rsidRDefault="00877042" w:rsidP="00475CB6">
            <w:pPr>
              <w:pStyle w:val="Heading3"/>
              <w:spacing w:after="0"/>
              <w:jc w:val="both"/>
              <w:rPr>
                <w:rFonts w:ascii="Times New Roman" w:hAnsi="Times New Roman"/>
                <w:i w:val="0"/>
                <w:sz w:val="24"/>
                <w:szCs w:val="24"/>
              </w:rPr>
            </w:pPr>
            <w:r w:rsidRPr="00C53AAD">
              <w:rPr>
                <w:rFonts w:ascii="Times New Roman" w:hAnsi="Times New Roman"/>
                <w:i w:val="0"/>
                <w:sz w:val="24"/>
                <w:szCs w:val="24"/>
              </w:rPr>
              <w:t xml:space="preserve">Ministru kabineta rīkojuma projekts „Par pamatbudžeta apropriācijas pārdali” (turpmāk – rīkojuma projekts) izstrādāts, ņemot vērā Ministru kabineta </w:t>
            </w:r>
            <w:r w:rsidR="00E4690B" w:rsidRPr="005B1F37">
              <w:rPr>
                <w:rFonts w:ascii="Times New Roman" w:hAnsi="Times New Roman"/>
                <w:i w:val="0"/>
                <w:sz w:val="24"/>
                <w:szCs w:val="24"/>
              </w:rPr>
              <w:t xml:space="preserve">2013.gada 16.jūlija sēdē akceptēto Ministru kabineta noteikumu projektu </w:t>
            </w:r>
            <w:r w:rsidRPr="005B1F37">
              <w:rPr>
                <w:rFonts w:ascii="Times New Roman" w:hAnsi="Times New Roman"/>
                <w:i w:val="0"/>
                <w:sz w:val="24"/>
                <w:szCs w:val="24"/>
              </w:rPr>
              <w:t>„Prasības bērnu uzraudzības pakalpojuma sniedzējiem un bērnu uzraudzības pakalpojuma sniedzēju reģistrēšanas kārtība”</w:t>
            </w:r>
            <w:r w:rsidR="006414E2" w:rsidRPr="005B1F37">
              <w:rPr>
                <w:rFonts w:ascii="Times New Roman" w:hAnsi="Times New Roman"/>
                <w:i w:val="0"/>
                <w:sz w:val="24"/>
                <w:szCs w:val="24"/>
              </w:rPr>
              <w:t xml:space="preserve"> (</w:t>
            </w:r>
            <w:r w:rsidR="0015725D">
              <w:rPr>
                <w:rFonts w:ascii="Times New Roman" w:hAnsi="Times New Roman"/>
                <w:i w:val="0"/>
                <w:sz w:val="24"/>
                <w:szCs w:val="24"/>
              </w:rPr>
              <w:t xml:space="preserve">protokols </w:t>
            </w:r>
            <w:r w:rsidR="006414E2" w:rsidRPr="005B1F37">
              <w:rPr>
                <w:rFonts w:ascii="Times New Roman" w:hAnsi="Times New Roman"/>
                <w:i w:val="0"/>
                <w:sz w:val="24"/>
                <w:szCs w:val="24"/>
              </w:rPr>
              <w:t>Nr.</w:t>
            </w:r>
            <w:r w:rsidR="00456017" w:rsidRPr="005B1F37">
              <w:rPr>
                <w:rFonts w:ascii="Times New Roman" w:hAnsi="Times New Roman"/>
                <w:i w:val="0"/>
                <w:sz w:val="24"/>
                <w:szCs w:val="24"/>
              </w:rPr>
              <w:t>40</w:t>
            </w:r>
            <w:r w:rsidR="006414E2" w:rsidRPr="005B1F37">
              <w:rPr>
                <w:rFonts w:ascii="Times New Roman" w:hAnsi="Times New Roman"/>
                <w:i w:val="0"/>
                <w:sz w:val="24"/>
                <w:szCs w:val="24"/>
              </w:rPr>
              <w:t xml:space="preserve"> </w:t>
            </w:r>
            <w:r w:rsidR="00240F9C" w:rsidRPr="005B1F37">
              <w:rPr>
                <w:rFonts w:ascii="Times New Roman" w:hAnsi="Times New Roman"/>
                <w:i w:val="0"/>
                <w:sz w:val="24"/>
                <w:szCs w:val="24"/>
              </w:rPr>
              <w:t>21</w:t>
            </w:r>
            <w:r w:rsidR="006414E2" w:rsidRPr="005B1F37">
              <w:rPr>
                <w:rFonts w:ascii="Times New Roman" w:eastAsia="Calibri" w:hAnsi="Times New Roman"/>
                <w:i w:val="0"/>
                <w:sz w:val="24"/>
                <w:szCs w:val="24"/>
                <w:lang w:eastAsia="en-US"/>
              </w:rPr>
              <w:t>.§</w:t>
            </w:r>
            <w:r w:rsidR="0015725D">
              <w:rPr>
                <w:rFonts w:ascii="Times New Roman" w:eastAsia="Calibri" w:hAnsi="Times New Roman"/>
                <w:i w:val="0"/>
                <w:sz w:val="24"/>
                <w:szCs w:val="24"/>
                <w:lang w:eastAsia="en-US"/>
              </w:rPr>
              <w:t>.</w:t>
            </w:r>
            <w:r w:rsidR="006414E2" w:rsidRPr="005B1F37">
              <w:rPr>
                <w:rFonts w:ascii="Times New Roman" w:eastAsia="Calibri" w:hAnsi="Times New Roman"/>
                <w:i w:val="0"/>
                <w:sz w:val="24"/>
                <w:szCs w:val="24"/>
                <w:lang w:eastAsia="en-US"/>
              </w:rPr>
              <w:t>)</w:t>
            </w:r>
            <w:r w:rsidR="003E5E7A" w:rsidRPr="005B1F37">
              <w:rPr>
                <w:rFonts w:ascii="Times New Roman" w:eastAsia="Calibri" w:hAnsi="Times New Roman"/>
                <w:i w:val="0"/>
                <w:sz w:val="24"/>
                <w:szCs w:val="24"/>
                <w:lang w:eastAsia="en-US"/>
              </w:rPr>
              <w:t>, kā arī</w:t>
            </w:r>
            <w:r w:rsidR="005B17D9" w:rsidRPr="005B1F37">
              <w:rPr>
                <w:rFonts w:ascii="Times New Roman" w:eastAsia="Calibri" w:hAnsi="Times New Roman"/>
                <w:i w:val="0"/>
                <w:sz w:val="24"/>
                <w:szCs w:val="24"/>
                <w:lang w:eastAsia="en-US"/>
              </w:rPr>
              <w:t xml:space="preserve"> </w:t>
            </w:r>
            <w:r w:rsidR="005B17D9" w:rsidRPr="005B1F37">
              <w:rPr>
                <w:rFonts w:ascii="Times New Roman" w:hAnsi="Times New Roman"/>
                <w:bCs/>
                <w:i w:val="0"/>
                <w:sz w:val="24"/>
                <w:szCs w:val="24"/>
                <w:shd w:val="clear" w:color="auto" w:fill="FFFFFF"/>
              </w:rPr>
              <w:t>Mini</w:t>
            </w:r>
            <w:r w:rsidR="00CB0F43" w:rsidRPr="005B1F37">
              <w:rPr>
                <w:rFonts w:ascii="Times New Roman" w:hAnsi="Times New Roman"/>
                <w:bCs/>
                <w:i w:val="0"/>
                <w:sz w:val="24"/>
                <w:szCs w:val="24"/>
                <w:shd w:val="clear" w:color="auto" w:fill="FFFFFF"/>
              </w:rPr>
              <w:t>stru kabineta noteikumu projektu</w:t>
            </w:r>
            <w:r w:rsidR="005B17D9" w:rsidRPr="005B1F37">
              <w:rPr>
                <w:rFonts w:ascii="Times New Roman" w:hAnsi="Times New Roman"/>
                <w:bCs/>
                <w:i w:val="0"/>
                <w:sz w:val="24"/>
                <w:szCs w:val="24"/>
                <w:shd w:val="clear" w:color="auto" w:fill="FFFFFF"/>
              </w:rPr>
              <w:t xml:space="preserve"> „Kārtība, kādā tiek aprēķināts un piešķirts valsts atbalsts bērniem no pusotra gada vecuma līdz obligātai bērna sagatavošanas pamatizglītības ieguves uzsākšanai, ja bērns saņem šo pakalpojumu privātā izglītības iestādē" (protokols Nr.</w:t>
            </w:r>
            <w:r w:rsidR="00456017" w:rsidRPr="005B1F37">
              <w:rPr>
                <w:rFonts w:ascii="Times New Roman" w:hAnsi="Times New Roman"/>
                <w:bCs/>
                <w:i w:val="0"/>
                <w:sz w:val="24"/>
                <w:szCs w:val="24"/>
                <w:shd w:val="clear" w:color="auto" w:fill="FFFFFF"/>
              </w:rPr>
              <w:t>40</w:t>
            </w:r>
            <w:r w:rsidR="005B17D9" w:rsidRPr="005B1F37">
              <w:rPr>
                <w:rFonts w:ascii="Times New Roman" w:hAnsi="Times New Roman"/>
                <w:bCs/>
                <w:i w:val="0"/>
                <w:sz w:val="24"/>
                <w:szCs w:val="24"/>
                <w:shd w:val="clear" w:color="auto" w:fill="FFFFFF"/>
              </w:rPr>
              <w:t xml:space="preserve"> </w:t>
            </w:r>
            <w:r w:rsidR="00240F9C" w:rsidRPr="005B1F37">
              <w:rPr>
                <w:rFonts w:ascii="Times New Roman" w:hAnsi="Times New Roman"/>
                <w:i w:val="0"/>
                <w:sz w:val="24"/>
                <w:szCs w:val="24"/>
              </w:rPr>
              <w:t>20</w:t>
            </w:r>
            <w:r w:rsidR="005B17D9" w:rsidRPr="005B1F37">
              <w:rPr>
                <w:rFonts w:ascii="Times New Roman" w:eastAsia="Calibri" w:hAnsi="Times New Roman"/>
                <w:i w:val="0"/>
                <w:sz w:val="24"/>
                <w:szCs w:val="24"/>
                <w:lang w:eastAsia="en-US"/>
              </w:rPr>
              <w:t>.§</w:t>
            </w:r>
            <w:r w:rsidR="0015725D">
              <w:rPr>
                <w:rFonts w:ascii="Times New Roman" w:eastAsia="Calibri" w:hAnsi="Times New Roman"/>
                <w:i w:val="0"/>
                <w:sz w:val="24"/>
                <w:szCs w:val="24"/>
                <w:lang w:eastAsia="en-US"/>
              </w:rPr>
              <w:t>.</w:t>
            </w:r>
            <w:r w:rsidR="005B17D9" w:rsidRPr="005B1F37">
              <w:rPr>
                <w:rFonts w:ascii="Times New Roman" w:eastAsia="Calibri" w:hAnsi="Times New Roman"/>
                <w:i w:val="0"/>
                <w:sz w:val="24"/>
                <w:szCs w:val="24"/>
                <w:lang w:eastAsia="en-US"/>
              </w:rPr>
              <w:t>)</w:t>
            </w:r>
            <w:r w:rsidR="003E5E7A" w:rsidRPr="005B1F37">
              <w:rPr>
                <w:rFonts w:ascii="Times New Roman" w:eastAsia="Calibri" w:hAnsi="Times New Roman"/>
                <w:i w:val="0"/>
                <w:sz w:val="24"/>
                <w:szCs w:val="24"/>
                <w:lang w:eastAsia="en-US"/>
              </w:rPr>
              <w:t>, kurā paredzēts</w:t>
            </w:r>
            <w:r w:rsidR="00E4690B" w:rsidRPr="005B1F37">
              <w:rPr>
                <w:rFonts w:ascii="Times New Roman" w:hAnsi="Times New Roman"/>
                <w:i w:val="0"/>
                <w:sz w:val="24"/>
                <w:szCs w:val="24"/>
              </w:rPr>
              <w:t xml:space="preserve"> </w:t>
            </w:r>
            <w:r w:rsidR="003E5E7A" w:rsidRPr="005B1F37">
              <w:rPr>
                <w:rFonts w:ascii="Times New Roman" w:eastAsia="Calibri" w:hAnsi="Times New Roman"/>
                <w:i w:val="0"/>
                <w:sz w:val="24"/>
                <w:szCs w:val="24"/>
                <w:lang w:eastAsia="en-US"/>
              </w:rPr>
              <w:t>no 2013.gada 1.septembra privātam pakalpojuma sniedzējam piešķirt valsts atbalstu.</w:t>
            </w:r>
          </w:p>
          <w:p w:rsidR="000612F9" w:rsidRPr="005B1F37" w:rsidRDefault="00CB0F43" w:rsidP="00475CB6">
            <w:pPr>
              <w:pStyle w:val="Heading3"/>
              <w:spacing w:after="0"/>
              <w:jc w:val="both"/>
              <w:rPr>
                <w:rFonts w:ascii="Times New Roman" w:eastAsia="Calibri" w:hAnsi="Times New Roman"/>
                <w:i w:val="0"/>
                <w:sz w:val="24"/>
                <w:szCs w:val="24"/>
                <w:lang w:eastAsia="en-US"/>
              </w:rPr>
            </w:pPr>
            <w:r w:rsidRPr="005B1F37">
              <w:rPr>
                <w:rFonts w:ascii="Times New Roman" w:hAnsi="Times New Roman"/>
                <w:i w:val="0"/>
                <w:sz w:val="24"/>
                <w:szCs w:val="24"/>
              </w:rPr>
              <w:t>Minētie noteikumu projekti tika izstrādāti</w:t>
            </w:r>
            <w:r w:rsidR="000612F9" w:rsidRPr="005B1F37">
              <w:rPr>
                <w:rFonts w:ascii="Times New Roman" w:eastAsia="Calibri" w:hAnsi="Times New Roman"/>
                <w:i w:val="0"/>
                <w:sz w:val="24"/>
                <w:szCs w:val="24"/>
                <w:lang w:eastAsia="en-US"/>
              </w:rPr>
              <w:t>, pamatojoties uz:</w:t>
            </w:r>
          </w:p>
          <w:p w:rsidR="000612F9" w:rsidRPr="005B1F37" w:rsidRDefault="000612F9" w:rsidP="00475CB6">
            <w:pPr>
              <w:pStyle w:val="Heading3"/>
              <w:spacing w:after="0"/>
              <w:jc w:val="both"/>
              <w:rPr>
                <w:rFonts w:ascii="Times New Roman" w:eastAsia="Calibri" w:hAnsi="Times New Roman"/>
                <w:i w:val="0"/>
                <w:sz w:val="24"/>
                <w:szCs w:val="24"/>
                <w:lang w:eastAsia="en-US"/>
              </w:rPr>
            </w:pPr>
            <w:r w:rsidRPr="005B1F37">
              <w:rPr>
                <w:rFonts w:ascii="Times New Roman" w:eastAsia="Calibri" w:hAnsi="Times New Roman"/>
                <w:i w:val="0"/>
                <w:sz w:val="24"/>
                <w:szCs w:val="24"/>
                <w:lang w:eastAsia="en-US"/>
              </w:rPr>
              <w:t>- likum</w:t>
            </w:r>
            <w:r w:rsidR="003E5E7A" w:rsidRPr="005B1F37">
              <w:rPr>
                <w:rFonts w:ascii="Times New Roman" w:eastAsia="Calibri" w:hAnsi="Times New Roman"/>
                <w:i w:val="0"/>
                <w:sz w:val="24"/>
                <w:szCs w:val="24"/>
                <w:lang w:eastAsia="en-US"/>
              </w:rPr>
              <w:t>ā</w:t>
            </w:r>
            <w:r w:rsidRPr="005B1F37">
              <w:rPr>
                <w:rFonts w:ascii="Times New Roman" w:eastAsia="Calibri" w:hAnsi="Times New Roman"/>
                <w:i w:val="0"/>
                <w:sz w:val="24"/>
                <w:szCs w:val="24"/>
                <w:lang w:eastAsia="en-US"/>
              </w:rPr>
              <w:t xml:space="preserve"> „Grozījumi Bērnu tiesību aizsardzības likumā”, </w:t>
            </w:r>
            <w:r w:rsidRPr="005B1F37">
              <w:rPr>
                <w:rFonts w:ascii="Times New Roman" w:hAnsi="Times New Roman"/>
                <w:i w:val="0"/>
                <w:sz w:val="24"/>
                <w:szCs w:val="24"/>
              </w:rPr>
              <w:t xml:space="preserve">kas </w:t>
            </w:r>
            <w:r w:rsidR="003E5E7A" w:rsidRPr="005B1F37">
              <w:rPr>
                <w:rFonts w:ascii="Times New Roman" w:hAnsi="Times New Roman"/>
                <w:i w:val="0"/>
                <w:sz w:val="24"/>
                <w:szCs w:val="24"/>
              </w:rPr>
              <w:t xml:space="preserve">stājās spēkā </w:t>
            </w:r>
            <w:r w:rsidRPr="005B1F37">
              <w:rPr>
                <w:rFonts w:ascii="Times New Roman" w:hAnsi="Times New Roman"/>
                <w:i w:val="0"/>
                <w:sz w:val="24"/>
                <w:szCs w:val="24"/>
              </w:rPr>
              <w:t xml:space="preserve">2013.gada </w:t>
            </w:r>
            <w:r w:rsidR="003E5E7A" w:rsidRPr="005B1F37">
              <w:rPr>
                <w:rFonts w:ascii="Times New Roman" w:hAnsi="Times New Roman"/>
                <w:i w:val="0"/>
                <w:sz w:val="24"/>
                <w:szCs w:val="24"/>
              </w:rPr>
              <w:t>4.jūlij</w:t>
            </w:r>
            <w:r w:rsidRPr="005B1F37">
              <w:rPr>
                <w:rFonts w:ascii="Times New Roman" w:hAnsi="Times New Roman"/>
                <w:i w:val="0"/>
                <w:sz w:val="24"/>
                <w:szCs w:val="24"/>
              </w:rPr>
              <w:t>ā</w:t>
            </w:r>
            <w:r w:rsidR="003E5E7A" w:rsidRPr="005B1F37">
              <w:rPr>
                <w:rFonts w:ascii="Times New Roman" w:hAnsi="Times New Roman"/>
                <w:i w:val="0"/>
                <w:sz w:val="24"/>
                <w:szCs w:val="24"/>
              </w:rPr>
              <w:t>,</w:t>
            </w:r>
            <w:r w:rsidRPr="005B1F37">
              <w:rPr>
                <w:rFonts w:ascii="Times New Roman" w:hAnsi="Times New Roman"/>
                <w:i w:val="0"/>
                <w:sz w:val="24"/>
                <w:szCs w:val="24"/>
              </w:rPr>
              <w:t xml:space="preserve"> </w:t>
            </w:r>
            <w:r w:rsidRPr="005B1F37">
              <w:rPr>
                <w:rFonts w:ascii="Times New Roman" w:eastAsia="Calibri" w:hAnsi="Times New Roman"/>
                <w:i w:val="0"/>
                <w:sz w:val="24"/>
                <w:szCs w:val="24"/>
                <w:lang w:eastAsia="en-US"/>
              </w:rPr>
              <w:t xml:space="preserve">noteikto regulējumu bērna uzraudzības pakalpojumam; </w:t>
            </w:r>
          </w:p>
          <w:p w:rsidR="00A847AE" w:rsidRPr="005B1F37" w:rsidRDefault="0021765A" w:rsidP="00475CB6">
            <w:pPr>
              <w:pStyle w:val="Heading3"/>
              <w:spacing w:after="0"/>
              <w:jc w:val="both"/>
              <w:rPr>
                <w:rFonts w:ascii="Times New Roman" w:eastAsia="Calibri" w:hAnsi="Times New Roman"/>
                <w:i w:val="0"/>
                <w:sz w:val="24"/>
                <w:szCs w:val="24"/>
                <w:lang w:eastAsia="en-US"/>
              </w:rPr>
            </w:pPr>
            <w:r w:rsidRPr="005B1F37">
              <w:rPr>
                <w:rFonts w:ascii="Times New Roman" w:eastAsia="Calibri" w:hAnsi="Times New Roman"/>
                <w:i w:val="0"/>
                <w:sz w:val="24"/>
                <w:szCs w:val="24"/>
                <w:lang w:eastAsia="en-US"/>
              </w:rPr>
              <w:t>- likuma</w:t>
            </w:r>
            <w:r w:rsidR="000612F9" w:rsidRPr="005B1F37">
              <w:rPr>
                <w:rFonts w:ascii="Times New Roman" w:eastAsia="Calibri" w:hAnsi="Times New Roman"/>
                <w:i w:val="0"/>
                <w:sz w:val="24"/>
                <w:szCs w:val="24"/>
                <w:lang w:eastAsia="en-US"/>
              </w:rPr>
              <w:t xml:space="preserve"> „Par valsts budžetu 2013.gadam” 51.-53.pantu, </w:t>
            </w:r>
            <w:proofErr w:type="gramStart"/>
            <w:r w:rsidR="000612F9" w:rsidRPr="005B1F37">
              <w:rPr>
                <w:rFonts w:ascii="Times New Roman" w:eastAsia="Calibri" w:hAnsi="Times New Roman"/>
                <w:i w:val="0"/>
                <w:sz w:val="24"/>
                <w:szCs w:val="24"/>
                <w:lang w:eastAsia="en-US"/>
              </w:rPr>
              <w:t>saskaņā ar kuru Ministru</w:t>
            </w:r>
            <w:proofErr w:type="gramEnd"/>
            <w:r w:rsidR="000612F9" w:rsidRPr="005B1F37">
              <w:rPr>
                <w:rFonts w:ascii="Times New Roman" w:eastAsia="Calibri" w:hAnsi="Times New Roman"/>
                <w:i w:val="0"/>
                <w:sz w:val="24"/>
                <w:szCs w:val="24"/>
                <w:lang w:eastAsia="en-US"/>
              </w:rPr>
              <w:t xml:space="preserve"> kabinets izstrādā kārtību, kādā privātā pakalpojuma sniedzējs no 2013.gada 1.septembra saņems pasākuma „Valsts atbalsts pašvaldību pirmsskolas iestāžu rindu likvidēšanai” ieviešanai paredzēto finansējumu</w:t>
            </w:r>
            <w:r w:rsidR="003E5E7A" w:rsidRPr="005B1F37">
              <w:rPr>
                <w:rFonts w:ascii="Times New Roman" w:eastAsia="Calibri" w:hAnsi="Times New Roman"/>
                <w:i w:val="0"/>
                <w:sz w:val="24"/>
                <w:szCs w:val="24"/>
                <w:lang w:eastAsia="en-US"/>
              </w:rPr>
              <w:t>.</w:t>
            </w:r>
            <w:r w:rsidR="000612F9" w:rsidRPr="005B1F37">
              <w:rPr>
                <w:rFonts w:ascii="Times New Roman" w:eastAsia="Calibri" w:hAnsi="Times New Roman"/>
                <w:i w:val="0"/>
                <w:sz w:val="24"/>
                <w:szCs w:val="24"/>
                <w:lang w:eastAsia="en-US"/>
              </w:rPr>
              <w:t xml:space="preserve"> </w:t>
            </w:r>
          </w:p>
        </w:tc>
      </w:tr>
      <w:tr w:rsidR="0081147A" w:rsidRPr="005B1F37" w:rsidTr="003E5E7A">
        <w:tc>
          <w:tcPr>
            <w:tcW w:w="201" w:type="pct"/>
          </w:tcPr>
          <w:p w:rsidR="000612F9" w:rsidRPr="005B1F37" w:rsidRDefault="000612F9" w:rsidP="00475CB6">
            <w:r w:rsidRPr="005B1F37">
              <w:t xml:space="preserve">2. </w:t>
            </w:r>
          </w:p>
        </w:tc>
        <w:tc>
          <w:tcPr>
            <w:tcW w:w="1021" w:type="pct"/>
          </w:tcPr>
          <w:p w:rsidR="000612F9" w:rsidRPr="005B1F37" w:rsidRDefault="000612F9" w:rsidP="00475CB6">
            <w:r w:rsidRPr="005B1F37">
              <w:t>Pašreizējā situācija un problēmas</w:t>
            </w:r>
          </w:p>
        </w:tc>
        <w:tc>
          <w:tcPr>
            <w:tcW w:w="3778" w:type="pct"/>
          </w:tcPr>
          <w:p w:rsidR="00552253" w:rsidRPr="005B1F37" w:rsidRDefault="00552253" w:rsidP="00090467">
            <w:pPr>
              <w:jc w:val="both"/>
            </w:pPr>
            <w:r w:rsidRPr="005B1F37">
              <w:t xml:space="preserve">Likuma „Par valsts budžetu 2013.gadam” 52.pantā ir noteikts, ka valsts atbalsts pašvaldību pirmsskolas iestāžu rindu likvidēšanai ir 3 218 800 latu apmērā un </w:t>
            </w:r>
            <w:r w:rsidR="00DA3724" w:rsidRPr="005B1F37">
              <w:t xml:space="preserve">tas iekļauts Labklājības ministrijas budžeta apakšprogrammā 05.67.00 "Valsts atbalsts pašvaldību pirmsskolas izglītības iestāžu rindu likvidēšanai", bet, </w:t>
            </w:r>
            <w:r w:rsidRPr="005B1F37">
              <w:t>ja ir nepieciešama līdzekļu pārdale</w:t>
            </w:r>
            <w:r w:rsidR="00DA3724" w:rsidRPr="005B1F37">
              <w:t>,</w:t>
            </w:r>
            <w:r w:rsidRPr="005B1F37">
              <w:t xml:space="preserve"> tad tā tiek veikta saskaņā ar Likuma par budžeta un finanšu vadību 9.pantu. Tāpat Labklājības ministrijas pamatbudžetā atbilstoši likumam „Par vidēja termiņa budžeta ietvaru 2013., 2014., un 2015.gadam” valsts atbalsta pasākuma īstenošanai 2014.gadā un 2015.gadā ik gadu plānoti līdzekļi 9 656 400 latu apmērā, kas nepieciešamības gadījumā var tikt pārdalīti saskaņā ar Likuma par budžetu un finanšu vadību 9.pantu.</w:t>
            </w:r>
          </w:p>
          <w:p w:rsidR="007450B6" w:rsidRPr="005B1F37" w:rsidRDefault="009D027C" w:rsidP="00475CB6">
            <w:pPr>
              <w:jc w:val="both"/>
            </w:pPr>
            <w:r w:rsidRPr="005B1F37">
              <w:t>Atbilstoši Ministru kabineta noteikumu projektam „Prasības bērnu uzraudzības pakalpojuma sniedzējiem un bērnu uzraudzības pakalpojuma sniedzēju reģistrēšanas kārtība”</w:t>
            </w:r>
            <w:r w:rsidR="005A73FF" w:rsidRPr="005B1F37">
              <w:t xml:space="preserve"> </w:t>
            </w:r>
            <w:proofErr w:type="gramStart"/>
            <w:r w:rsidR="007450B6" w:rsidRPr="005B1F37">
              <w:t>jaunas funkcijas</w:t>
            </w:r>
            <w:r w:rsidR="003E5E7A" w:rsidRPr="005B1F37">
              <w:t xml:space="preserve"> noteiktas</w:t>
            </w:r>
            <w:proofErr w:type="gramEnd"/>
            <w:r w:rsidR="007450B6" w:rsidRPr="005B1F37">
              <w:t>:</w:t>
            </w:r>
          </w:p>
          <w:p w:rsidR="007450B6" w:rsidRPr="0081147A" w:rsidRDefault="007450B6" w:rsidP="00475CB6">
            <w:pPr>
              <w:numPr>
                <w:ilvl w:val="0"/>
                <w:numId w:val="9"/>
              </w:numPr>
              <w:jc w:val="both"/>
            </w:pPr>
            <w:r w:rsidRPr="005B1F37">
              <w:t xml:space="preserve">Izglītības kvalitātes valsts dienestam - no 2013.gada 1.septembra bērnu uzraudzības pakalpojumu sniedzēju reģistra izveide un kārtošana, lēmumu pieņemšana par bērna uzraudzības pakalpojuma sniedzēju reģistrēšanu un izslēgšanu </w:t>
            </w:r>
            <w:r w:rsidRPr="0081147A">
              <w:t>no reģistra, sadarbība ar iestādēm</w:t>
            </w:r>
            <w:r w:rsidRPr="005B1F37">
              <w:rPr>
                <w:bCs/>
                <w:shd w:val="clear" w:color="auto" w:fill="FFFFFF"/>
              </w:rPr>
              <w:t>;</w:t>
            </w:r>
          </w:p>
          <w:p w:rsidR="007450B6" w:rsidRPr="0081147A" w:rsidRDefault="007450B6" w:rsidP="00090467">
            <w:pPr>
              <w:numPr>
                <w:ilvl w:val="0"/>
                <w:numId w:val="9"/>
              </w:numPr>
              <w:jc w:val="both"/>
            </w:pPr>
            <w:r w:rsidRPr="005B1F37">
              <w:rPr>
                <w:bCs/>
                <w:shd w:val="clear" w:color="auto" w:fill="FFFFFF"/>
              </w:rPr>
              <w:t xml:space="preserve">Valsts bērnu tiesību aizsardzības inspekcijai - no 2013.gada </w:t>
            </w:r>
            <w:r w:rsidRPr="005B1F37">
              <w:rPr>
                <w:bCs/>
                <w:shd w:val="clear" w:color="auto" w:fill="FFFFFF"/>
              </w:rPr>
              <w:lastRenderedPageBreak/>
              <w:t xml:space="preserve">1.septembra pakalpojuma sniedzēju darbības uzraudzība un kontrole, regulāru (vismaz vienu reizi gadā) pakalpojuma sniedzēju un </w:t>
            </w:r>
            <w:r w:rsidRPr="0081147A">
              <w:t xml:space="preserve">pakalpojuma sniegšanā iesaistīto personu </w:t>
            </w:r>
            <w:r w:rsidRPr="005B1F37">
              <w:rPr>
                <w:bCs/>
                <w:shd w:val="clear" w:color="auto" w:fill="FFFFFF"/>
              </w:rPr>
              <w:t>pārbaužu veikšana;</w:t>
            </w:r>
          </w:p>
          <w:p w:rsidR="007450B6" w:rsidRPr="0081147A" w:rsidRDefault="007450B6" w:rsidP="00090467">
            <w:pPr>
              <w:numPr>
                <w:ilvl w:val="0"/>
                <w:numId w:val="9"/>
              </w:numPr>
              <w:jc w:val="both"/>
            </w:pPr>
            <w:r w:rsidRPr="005B1F37">
              <w:rPr>
                <w:bCs/>
                <w:shd w:val="clear" w:color="auto" w:fill="FFFFFF"/>
              </w:rPr>
              <w:t>Izglītības un zinātnes ministrijai - reģistra izveidošana Valsts izglītības informācijas sistēmas vidē 2014.gadā, t.sk. informācijas iekļaušana par pakalpojuma sniedzējiem un saņēmējiem.</w:t>
            </w:r>
          </w:p>
          <w:p w:rsidR="00EE301C" w:rsidRPr="005B1F37" w:rsidRDefault="00294EBC" w:rsidP="00090467">
            <w:pPr>
              <w:jc w:val="both"/>
            </w:pPr>
            <w:r w:rsidRPr="00C53AAD">
              <w:rPr>
                <w:bCs/>
                <w:shd w:val="clear" w:color="auto" w:fill="FFFFFF"/>
              </w:rPr>
              <w:t>A</w:t>
            </w:r>
            <w:r w:rsidR="001D1750" w:rsidRPr="00C53AAD">
              <w:rPr>
                <w:bCs/>
                <w:shd w:val="clear" w:color="auto" w:fill="FFFFFF"/>
              </w:rPr>
              <w:t>tbilstoši Ministru kabineta noteikumu projektam „</w:t>
            </w:r>
            <w:r w:rsidR="00EE301C" w:rsidRPr="00C53AAD">
              <w:rPr>
                <w:bCs/>
                <w:shd w:val="clear" w:color="auto" w:fill="FFFFFF"/>
              </w:rPr>
              <w:t>Kārtība, kādā tiek aprēķināts un piešķirts valsts atbalsts bērniem no pusot</w:t>
            </w:r>
            <w:r w:rsidR="00EE301C" w:rsidRPr="005B1F37">
              <w:rPr>
                <w:bCs/>
                <w:shd w:val="clear" w:color="auto" w:fill="FFFFFF"/>
              </w:rPr>
              <w:t>ra gada vecuma līdz obligātai bērna sagatavošanas pamatizglītības ieguves uzsākšanai, ja bērns saņem šo pakalpojumu privātā izglītības iestādē"</w:t>
            </w:r>
            <w:r w:rsidR="001D1750" w:rsidRPr="005B1F37">
              <w:rPr>
                <w:bCs/>
                <w:shd w:val="clear" w:color="auto" w:fill="FFFFFF"/>
              </w:rPr>
              <w:t xml:space="preserve"> </w:t>
            </w:r>
            <w:r w:rsidR="00CB0F43" w:rsidRPr="005B1F37">
              <w:rPr>
                <w:bCs/>
                <w:shd w:val="clear" w:color="auto" w:fill="FFFFFF"/>
              </w:rPr>
              <w:t xml:space="preserve">atbildīgā iestāde, kas izvērtē </w:t>
            </w:r>
            <w:r w:rsidR="00EE301C" w:rsidRPr="005B1F37">
              <w:t>valsts atbalsta pieprasījumu</w:t>
            </w:r>
            <w:r w:rsidR="00CB0F43" w:rsidRPr="005B1F37">
              <w:t>s</w:t>
            </w:r>
            <w:r w:rsidR="00EE301C" w:rsidRPr="005B1F37">
              <w:t xml:space="preserve">, </w:t>
            </w:r>
            <w:r w:rsidR="00CB0F43" w:rsidRPr="005B1F37">
              <w:t xml:space="preserve">piešķir </w:t>
            </w:r>
            <w:r w:rsidR="00EE301C" w:rsidRPr="005B1F37">
              <w:t>valsts atbalst</w:t>
            </w:r>
            <w:r w:rsidR="00DA3724" w:rsidRPr="005B1F37">
              <w:t>u</w:t>
            </w:r>
            <w:r w:rsidR="00CB0F43" w:rsidRPr="005B1F37">
              <w:t xml:space="preserve"> </w:t>
            </w:r>
            <w:r w:rsidR="00EE301C" w:rsidRPr="005B1F37">
              <w:t>un uzrauga tā izlietošanu</w:t>
            </w:r>
            <w:r w:rsidR="00CB0F43" w:rsidRPr="005B1F37">
              <w:t>, ir Izglītības un zinātnes ministrija.</w:t>
            </w:r>
          </w:p>
          <w:p w:rsidR="00EF68C2" w:rsidRPr="005B1F37" w:rsidRDefault="00BB2297" w:rsidP="00090467">
            <w:pPr>
              <w:jc w:val="both"/>
              <w:rPr>
                <w:u w:val="single"/>
              </w:rPr>
            </w:pPr>
            <w:r w:rsidRPr="005B1F37">
              <w:rPr>
                <w:u w:val="single"/>
              </w:rPr>
              <w:t xml:space="preserve">Līdz ar to ir nepieciešams nodrošināt Labklājības ministrijas pamatbudžetā paredzēto līdzekļu pārdali </w:t>
            </w:r>
            <w:r w:rsidR="0015725D">
              <w:rPr>
                <w:u w:val="single"/>
              </w:rPr>
              <w:t xml:space="preserve">citām institūcijām </w:t>
            </w:r>
            <w:r w:rsidRPr="005B1F37">
              <w:rPr>
                <w:u w:val="single"/>
              </w:rPr>
              <w:t xml:space="preserve">atbilstoši funkcijām, kuras </w:t>
            </w:r>
            <w:r w:rsidR="003B0774" w:rsidRPr="005B1F37">
              <w:rPr>
                <w:u w:val="single"/>
              </w:rPr>
              <w:t>pilda</w:t>
            </w:r>
            <w:r w:rsidRPr="005B1F37">
              <w:rPr>
                <w:u w:val="single"/>
              </w:rPr>
              <w:t xml:space="preserve"> </w:t>
            </w:r>
            <w:r w:rsidR="003B0774" w:rsidRPr="005B1F37">
              <w:rPr>
                <w:u w:val="single"/>
              </w:rPr>
              <w:t>minētās</w:t>
            </w:r>
            <w:r w:rsidRPr="005B1F37">
              <w:rPr>
                <w:u w:val="single"/>
              </w:rPr>
              <w:t xml:space="preserve"> institūcij</w:t>
            </w:r>
            <w:r w:rsidR="003B0774" w:rsidRPr="005B1F37">
              <w:rPr>
                <w:u w:val="single"/>
              </w:rPr>
              <w:t>as</w:t>
            </w:r>
            <w:r w:rsidRPr="005B1F37">
              <w:rPr>
                <w:u w:val="single"/>
              </w:rPr>
              <w:t>.</w:t>
            </w:r>
          </w:p>
          <w:p w:rsidR="00B4500B" w:rsidRPr="005B1F37" w:rsidRDefault="00B4500B" w:rsidP="00090467">
            <w:pPr>
              <w:pStyle w:val="naisf"/>
              <w:spacing w:before="0" w:beforeAutospacing="0" w:after="0" w:afterAutospacing="0"/>
              <w:jc w:val="both"/>
              <w:rPr>
                <w:rFonts w:eastAsia="Calibri"/>
                <w:color w:val="auto"/>
                <w:lang w:eastAsia="en-US"/>
              </w:rPr>
            </w:pPr>
            <w:r w:rsidRPr="005B1F37">
              <w:rPr>
                <w:color w:val="auto"/>
              </w:rPr>
              <w:t xml:space="preserve">Saskaņā ar </w:t>
            </w:r>
            <w:r w:rsidR="003B0774" w:rsidRPr="005B1F37">
              <w:rPr>
                <w:color w:val="auto"/>
              </w:rPr>
              <w:t xml:space="preserve">2013.gada </w:t>
            </w:r>
            <w:r w:rsidRPr="005B1F37">
              <w:rPr>
                <w:color w:val="auto"/>
              </w:rPr>
              <w:t xml:space="preserve">16.jūlija Ministru kabineta sēdes </w:t>
            </w:r>
            <w:proofErr w:type="spellStart"/>
            <w:r w:rsidRPr="005B1F37">
              <w:rPr>
                <w:color w:val="auto"/>
              </w:rPr>
              <w:t>protokollēmum</w:t>
            </w:r>
            <w:r w:rsidR="003B0774" w:rsidRPr="005B1F37">
              <w:rPr>
                <w:color w:val="auto"/>
              </w:rPr>
              <w:t>u</w:t>
            </w:r>
            <w:proofErr w:type="spellEnd"/>
            <w:r w:rsidR="00BB2297" w:rsidRPr="005B1F37">
              <w:rPr>
                <w:color w:val="auto"/>
              </w:rPr>
              <w:t xml:space="preserve"> par Ministru kabineta noteikumu projektu „Prasības bērnu uzraudzības pakalpojuma sniedzējiem un bērnu </w:t>
            </w:r>
            <w:r w:rsidR="00BB2297" w:rsidRPr="0015725D">
              <w:rPr>
                <w:color w:val="auto"/>
              </w:rPr>
              <w:t>uzraudzības pakalpojuma sniedzēju reģistrēšanas kārtība”</w:t>
            </w:r>
            <w:r w:rsidR="006C1C80" w:rsidRPr="0015725D">
              <w:rPr>
                <w:bCs/>
                <w:color w:val="auto"/>
                <w:shd w:val="clear" w:color="auto" w:fill="FFFFFF"/>
              </w:rPr>
              <w:t xml:space="preserve"> (protokols Nr.40 </w:t>
            </w:r>
            <w:r w:rsidR="006C1C80" w:rsidRPr="0015725D">
              <w:rPr>
                <w:color w:val="auto"/>
              </w:rPr>
              <w:t>2</w:t>
            </w:r>
            <w:r w:rsidR="00D730B9" w:rsidRPr="0015725D">
              <w:rPr>
                <w:color w:val="auto"/>
              </w:rPr>
              <w:t>1</w:t>
            </w:r>
            <w:r w:rsidR="006C1C80" w:rsidRPr="0015725D">
              <w:rPr>
                <w:rFonts w:eastAsia="Calibri"/>
                <w:color w:val="auto"/>
                <w:lang w:eastAsia="en-US"/>
              </w:rPr>
              <w:t>.§</w:t>
            </w:r>
            <w:r w:rsidR="0015725D" w:rsidRPr="0015725D">
              <w:rPr>
                <w:rFonts w:eastAsia="Calibri"/>
                <w:color w:val="auto"/>
                <w:lang w:eastAsia="en-US"/>
              </w:rPr>
              <w:t>.</w:t>
            </w:r>
            <w:r w:rsidR="006C1C80" w:rsidRPr="0015725D">
              <w:rPr>
                <w:rFonts w:eastAsia="Calibri"/>
                <w:color w:val="auto"/>
                <w:lang w:eastAsia="en-US"/>
              </w:rPr>
              <w:t>)</w:t>
            </w:r>
            <w:r w:rsidR="0015725D">
              <w:rPr>
                <w:rFonts w:eastAsia="Calibri"/>
                <w:color w:val="auto"/>
                <w:lang w:eastAsia="en-US"/>
              </w:rPr>
              <w:t xml:space="preserve"> </w:t>
            </w:r>
            <w:r w:rsidR="009D027C" w:rsidRPr="005B1F37">
              <w:rPr>
                <w:rFonts w:eastAsia="Calibri"/>
                <w:color w:val="auto"/>
                <w:lang w:eastAsia="en-US"/>
              </w:rPr>
              <w:t>uzdots:</w:t>
            </w:r>
          </w:p>
          <w:p w:rsidR="00D25D42" w:rsidRPr="005B1F37" w:rsidRDefault="009D027C" w:rsidP="00090467">
            <w:pPr>
              <w:pStyle w:val="naisf"/>
              <w:spacing w:before="0" w:beforeAutospacing="0" w:after="0" w:afterAutospacing="0"/>
              <w:jc w:val="both"/>
              <w:rPr>
                <w:color w:val="auto"/>
                <w:shd w:val="clear" w:color="auto" w:fill="FFFFFF"/>
              </w:rPr>
            </w:pPr>
            <w:r w:rsidRPr="005B1F37">
              <w:rPr>
                <w:color w:val="auto"/>
              </w:rPr>
              <w:t xml:space="preserve">1) </w:t>
            </w:r>
            <w:r w:rsidR="0055733C" w:rsidRPr="005B1F37">
              <w:rPr>
                <w:color w:val="auto"/>
                <w:shd w:val="clear" w:color="auto" w:fill="FFFFFF"/>
              </w:rPr>
              <w:t>Labklājības ministrijai sadarbībā ar Izglītības un zinātnes ministriju normatīvajos aktos noteiktajā kārtībā sagatavot un iesniegt izskatīšanai Ministru kabinetā Ministru kabineta rīkojuma projektu par apropriācijas pārdali no Labklājības ministrijas pamatbudžeta uz Izglītības un zinātnes ministrijas pamatbudžetu 18 168 latu apmērā, lai nodrošinātu Izglītības kvalitātes valsts dienesta reģistra izveidi un uzturēšanu 2013.gadā</w:t>
            </w:r>
            <w:r w:rsidR="00D25D42" w:rsidRPr="005B1F37">
              <w:rPr>
                <w:color w:val="auto"/>
                <w:shd w:val="clear" w:color="auto" w:fill="FFFFFF"/>
              </w:rPr>
              <w:t>;</w:t>
            </w:r>
            <w:r w:rsidR="0055733C" w:rsidRPr="005B1F37">
              <w:rPr>
                <w:color w:val="auto"/>
              </w:rPr>
              <w:br/>
            </w:r>
            <w:r w:rsidR="0055733C" w:rsidRPr="005B1F37">
              <w:rPr>
                <w:color w:val="auto"/>
                <w:shd w:val="clear" w:color="auto" w:fill="FFFFFF"/>
              </w:rPr>
              <w:t>2) atbalstīt finansējuma pārdali no Labklājības ministrijas valsts pamatbudžeta apakšprogrammas 05.67.00 "Valsts atbalsts pašvaldību pirmsskolas iestāžu rindu likvidēšanai" uz apakšprogrammu 22.01.00 "Valsts bērnu tiesību aizsardzības inspekcija un bērnu uzticības tālrunis" 2013.gadā 9 859 latu apmērā un Labklājības ministrijas pamatbudžeta bāzes izdevumu precizēšanu 2014. un 2015.gadā ik gadu 20 923 latu apmērā, lai Valsts bērnu tiesību aizsardzības inspekcija nodrošinātu pakalpojuma sniedzēju darbības uzraudzību un kontroli</w:t>
            </w:r>
            <w:r w:rsidR="00D25D42" w:rsidRPr="005B1F37">
              <w:rPr>
                <w:color w:val="auto"/>
                <w:shd w:val="clear" w:color="auto" w:fill="FFFFFF"/>
              </w:rPr>
              <w:t>;</w:t>
            </w:r>
            <w:r w:rsidR="0055733C" w:rsidRPr="005B1F37">
              <w:rPr>
                <w:color w:val="auto"/>
              </w:rPr>
              <w:br/>
            </w:r>
            <w:r w:rsidR="0055733C" w:rsidRPr="005B1F37">
              <w:rPr>
                <w:color w:val="auto"/>
                <w:shd w:val="clear" w:color="auto" w:fill="FFFFFF"/>
              </w:rPr>
              <w:t>3) Atbalstīt Labklājības ministrijas un Izglītības un zinātnes ministrijas bāzes izdevumu precizēšanu, veicot finansējuma pārdali no Labklājības ministrijas pamatbudžeta apakšprogrammas 05.67.00 "Valsts atbalsts pašvaldību pirmsskolas iestāžu rindu likvidēšanai" uz Izglītības un zinātnes ministrijas pamatbudžetu 2014.gadā 40 144 latu apmērā un 2015.gadā 30 766 latu apmērā, lai Izglītības un zinātnes ministrija nodrošinātu Izglītības kvalitātes valsts dienesta reģistra izveidi un uzturēšanu 2014.gadā un 2015.gadā</w:t>
            </w:r>
            <w:r w:rsidR="00D25D42" w:rsidRPr="005B1F37">
              <w:rPr>
                <w:color w:val="auto"/>
                <w:shd w:val="clear" w:color="auto" w:fill="FFFFFF"/>
              </w:rPr>
              <w:t>;</w:t>
            </w:r>
          </w:p>
          <w:p w:rsidR="00D25D42" w:rsidRPr="005B1F37" w:rsidRDefault="00D25D42" w:rsidP="00090467">
            <w:pPr>
              <w:pStyle w:val="naisf"/>
              <w:spacing w:before="0" w:beforeAutospacing="0" w:after="0" w:afterAutospacing="0"/>
              <w:jc w:val="both"/>
              <w:rPr>
                <w:color w:val="auto"/>
                <w:shd w:val="clear" w:color="auto" w:fill="FFFFFF"/>
              </w:rPr>
            </w:pPr>
            <w:r w:rsidRPr="005B1F37">
              <w:rPr>
                <w:color w:val="auto"/>
                <w:shd w:val="clear" w:color="auto" w:fill="FFFFFF"/>
              </w:rPr>
              <w:t>4)</w:t>
            </w:r>
            <w:r w:rsidR="0055733C" w:rsidRPr="005B1F37">
              <w:rPr>
                <w:color w:val="auto"/>
                <w:shd w:val="clear" w:color="auto" w:fill="FFFFFF"/>
              </w:rPr>
              <w:t xml:space="preserve"> Labklājības ministrijai un Izglītības un zinātnes ministrijai sagatavot un iesniegt Finanšu ministrijā precizējumus valsts pamatbudžeta bāzes izdevumos 2014.gadam un 2015.gadam, un Finanšu ministrijai precizēt Labklājības ministrijas un Izglītības un zinātnes ministrijas valsts </w:t>
            </w:r>
            <w:r w:rsidR="0055733C" w:rsidRPr="005B1F37">
              <w:rPr>
                <w:color w:val="auto"/>
                <w:shd w:val="clear" w:color="auto" w:fill="FFFFFF"/>
              </w:rPr>
              <w:lastRenderedPageBreak/>
              <w:t>pamatbudžeta bāzi 2014.gadam un 2015.gadam</w:t>
            </w:r>
            <w:r w:rsidRPr="005B1F37">
              <w:rPr>
                <w:color w:val="auto"/>
                <w:shd w:val="clear" w:color="auto" w:fill="FFFFFF"/>
              </w:rPr>
              <w:t>;</w:t>
            </w:r>
          </w:p>
          <w:p w:rsidR="000612F9" w:rsidRPr="005B1F37" w:rsidRDefault="00D25D42" w:rsidP="00090467">
            <w:pPr>
              <w:pStyle w:val="naisf"/>
              <w:spacing w:before="0" w:beforeAutospacing="0" w:after="0" w:afterAutospacing="0"/>
              <w:jc w:val="both"/>
              <w:rPr>
                <w:iCs/>
                <w:color w:val="auto"/>
              </w:rPr>
            </w:pPr>
            <w:r w:rsidRPr="005B1F37">
              <w:rPr>
                <w:color w:val="auto"/>
                <w:shd w:val="clear" w:color="auto" w:fill="FFFFFF"/>
              </w:rPr>
              <w:t>5)</w:t>
            </w:r>
            <w:r w:rsidR="0055733C" w:rsidRPr="005B1F37">
              <w:rPr>
                <w:color w:val="auto"/>
                <w:shd w:val="clear" w:color="auto" w:fill="FFFFFF"/>
              </w:rPr>
              <w:t xml:space="preserve"> </w:t>
            </w:r>
            <w:r w:rsidRPr="005B1F37">
              <w:rPr>
                <w:color w:val="auto"/>
                <w:shd w:val="clear" w:color="auto" w:fill="FFFFFF"/>
              </w:rPr>
              <w:t>j</w:t>
            </w:r>
            <w:r w:rsidR="0055733C" w:rsidRPr="005B1F37">
              <w:rPr>
                <w:color w:val="auto"/>
                <w:shd w:val="clear" w:color="auto" w:fill="FFFFFF"/>
              </w:rPr>
              <w:t>autājumu par papildu valsts budžeta līdzekļu piešķiršanu Labklājības ministrijai un Izglītības un zinātnes ministrijai 2016.gadā un turpmākajos gados izskatīt Ministru kabinetā likumprojekta par valsts budžetu kārtējam gadam sagatavošanas un izskatīšanas procesā.</w:t>
            </w:r>
          </w:p>
          <w:p w:rsidR="0055733C" w:rsidRPr="0015725D" w:rsidRDefault="006C1C80" w:rsidP="00090467">
            <w:pPr>
              <w:pStyle w:val="naisf"/>
              <w:spacing w:before="0" w:beforeAutospacing="0" w:after="0" w:afterAutospacing="0"/>
              <w:jc w:val="both"/>
              <w:rPr>
                <w:iCs/>
                <w:color w:val="auto"/>
              </w:rPr>
            </w:pPr>
            <w:r w:rsidRPr="005B1F37">
              <w:rPr>
                <w:color w:val="auto"/>
              </w:rPr>
              <w:t xml:space="preserve">Saskaņā ar 2013.gada 16.jūlija Ministru kabineta sēdes </w:t>
            </w:r>
            <w:proofErr w:type="spellStart"/>
            <w:r w:rsidRPr="005B1F37">
              <w:rPr>
                <w:color w:val="auto"/>
              </w:rPr>
              <w:t>protokollēmumu</w:t>
            </w:r>
            <w:proofErr w:type="spellEnd"/>
            <w:r w:rsidRPr="005B1F37">
              <w:rPr>
                <w:color w:val="auto"/>
              </w:rPr>
              <w:t xml:space="preserve"> par Ministru kabineta noteikumu projektu </w:t>
            </w:r>
            <w:r w:rsidRPr="005B1F37">
              <w:rPr>
                <w:bCs/>
                <w:color w:val="auto"/>
                <w:shd w:val="clear" w:color="auto" w:fill="FFFFFF"/>
              </w:rPr>
              <w:t>„Kārtība, kādā tiek aprēķināts un piešķirts valsts atbalsts bērniem no pusotra gada vecuma līdz obligātai bērna sagatavošanas pamatizglītības ieguves uzsākšanai, ja bērns saņem šo pakalpojumu privātā izglītības iestādē</w:t>
            </w:r>
            <w:r w:rsidRPr="0015725D">
              <w:rPr>
                <w:bCs/>
                <w:color w:val="auto"/>
                <w:shd w:val="clear" w:color="auto" w:fill="FFFFFF"/>
              </w:rPr>
              <w:t xml:space="preserve">" (protokols Nr.40 </w:t>
            </w:r>
            <w:r w:rsidRPr="0015725D">
              <w:rPr>
                <w:color w:val="auto"/>
              </w:rPr>
              <w:t>20</w:t>
            </w:r>
            <w:r w:rsidRPr="0015725D">
              <w:rPr>
                <w:rFonts w:eastAsia="Calibri"/>
                <w:color w:val="auto"/>
                <w:lang w:eastAsia="en-US"/>
              </w:rPr>
              <w:t>.§</w:t>
            </w:r>
            <w:r w:rsidR="0015725D">
              <w:rPr>
                <w:rFonts w:eastAsia="Calibri"/>
                <w:color w:val="auto"/>
                <w:lang w:eastAsia="en-US"/>
              </w:rPr>
              <w:t>.</w:t>
            </w:r>
            <w:r w:rsidRPr="0015725D">
              <w:rPr>
                <w:rFonts w:eastAsia="Calibri"/>
                <w:color w:val="auto"/>
                <w:lang w:eastAsia="en-US"/>
              </w:rPr>
              <w:t>):</w:t>
            </w:r>
          </w:p>
          <w:p w:rsidR="00D730B9" w:rsidRPr="005B1F37" w:rsidRDefault="0055733C" w:rsidP="00090467">
            <w:pPr>
              <w:pStyle w:val="naisf"/>
              <w:numPr>
                <w:ilvl w:val="0"/>
                <w:numId w:val="16"/>
              </w:numPr>
              <w:spacing w:before="0" w:beforeAutospacing="0" w:after="0" w:afterAutospacing="0"/>
              <w:ind w:left="82" w:hanging="34"/>
              <w:jc w:val="both"/>
              <w:rPr>
                <w:color w:val="auto"/>
              </w:rPr>
            </w:pPr>
            <w:r w:rsidRPr="005B1F37">
              <w:rPr>
                <w:color w:val="auto"/>
                <w:shd w:val="clear" w:color="auto" w:fill="FFFFFF"/>
              </w:rPr>
              <w:t>Labklājības ministrijai sadarbībā ar Izglītības un zinātnes ministriju normatīvajos aktos noteiktajā kārtībā sagatavot un iesniegt izskatīšanai Ministru kabinetā Ministru kabineta rīkojuma projektu par apropriācijas pārdali 2013.gadā 3 190 773 latu apmērā no Labklājības ministrijas pamatbudžeta apakšprogrammas 05.67.00 "Valsts atbalsts pašvaldību pirmsskolas izglītības iestāžu rindu likvidēšanai" uz Izglītības un zinātnes ministrijas pamatbudžeta apakšprogrammām 01.05.00 "Dotācija privātajām mācību iestādēm" 3 174 226 latu apmērā, 06.08.00 "Nozares politikas veidošana un uzraudzība" - 6 929 latu apmērā, 07.00.00 "Informācijas tehnoloģiju attīstība un uzturēšana izglītībā, Microsoft līguma un projektu nodrošināšana" 9 618 latu apmērā, lai nodrošinātu valsts atbalstu bērniem no pusotra gada vecuma līdz obligātai bērna sagatavošanas pamatizglītības ieguves uzsākšanai</w:t>
            </w:r>
            <w:r w:rsidR="00D730B9" w:rsidRPr="005B1F37">
              <w:rPr>
                <w:color w:val="auto"/>
                <w:shd w:val="clear" w:color="auto" w:fill="FFFFFF"/>
              </w:rPr>
              <w:t>;</w:t>
            </w:r>
          </w:p>
          <w:p w:rsidR="00D730B9" w:rsidRPr="005B1F37" w:rsidRDefault="00D730B9" w:rsidP="00090467">
            <w:pPr>
              <w:pStyle w:val="naisf"/>
              <w:numPr>
                <w:ilvl w:val="0"/>
                <w:numId w:val="16"/>
              </w:numPr>
              <w:spacing w:before="0" w:beforeAutospacing="0" w:after="0" w:afterAutospacing="0"/>
              <w:ind w:left="82" w:hanging="34"/>
              <w:jc w:val="both"/>
              <w:rPr>
                <w:color w:val="auto"/>
              </w:rPr>
            </w:pPr>
            <w:r w:rsidRPr="005B1F37">
              <w:rPr>
                <w:color w:val="auto"/>
                <w:shd w:val="clear" w:color="auto" w:fill="FFFFFF"/>
              </w:rPr>
              <w:t>a</w:t>
            </w:r>
            <w:r w:rsidR="0055733C" w:rsidRPr="005B1F37">
              <w:rPr>
                <w:color w:val="auto"/>
                <w:shd w:val="clear" w:color="auto" w:fill="FFFFFF"/>
              </w:rPr>
              <w:t>tbalstīt Labklājības ministrijas un Izglītības un zinātnes ministrijas bāzes izdevumu precizēšanu, veicot finansējuma pārdali 2014.gadā 9 595 333 latu apmērā no Labklājības ministrijas pamatbudžeta apakšprogrammas 05.67.00 "Valsts atbalsts pašvaldību pirmsskolas izglītības iestāžu rindu likvidēšanai" uz Izglītības un zinātnes ministrijas pamatbudžeta apakšprogrammu 01.05.00 "Dotācija privātajām mācību iestādēm" 9 574 546 latu apmērā, 06.08.00 "Nozares politikas veidošana un uzraudzība" – 20 787 latu apmērā un 2015.gadā 9 604 711 latu apmērā uz Izglītības un zinātnes ministrijas pamatbudžeta apakšprogrammu 01.05.00 "Dotācija privātajām mācību iestādēm" 9 583 924 latu apmērā, 06.08.00 "Nozares politikas veidošana un uzraudzība" – 20 787 latu apmērā, lai Izglītības un zinātnes ministrija nodrošinātu valsts atbalstu bērniem no pusotra gada vecuma līdz obligātai bērna sagatavošanas pamatizglītības ieguves uzsākšanai</w:t>
            </w:r>
            <w:r w:rsidRPr="005B1F37">
              <w:rPr>
                <w:color w:val="auto"/>
                <w:shd w:val="clear" w:color="auto" w:fill="FFFFFF"/>
              </w:rPr>
              <w:t>;</w:t>
            </w:r>
          </w:p>
          <w:p w:rsidR="0055733C" w:rsidRPr="005B1F37" w:rsidRDefault="0055733C" w:rsidP="0015725D">
            <w:pPr>
              <w:pStyle w:val="naisf"/>
              <w:numPr>
                <w:ilvl w:val="0"/>
                <w:numId w:val="16"/>
              </w:numPr>
              <w:spacing w:before="0" w:beforeAutospacing="0" w:after="0" w:afterAutospacing="0"/>
              <w:ind w:left="82" w:hanging="34"/>
              <w:jc w:val="both"/>
              <w:rPr>
                <w:color w:val="auto"/>
              </w:rPr>
            </w:pPr>
            <w:r w:rsidRPr="005B1F37">
              <w:rPr>
                <w:color w:val="auto"/>
                <w:shd w:val="clear" w:color="auto" w:fill="FFFFFF"/>
              </w:rPr>
              <w:t>Labklājības ministrijai un Izglītības un zinātnes ministrijai atbilstoši sagatavot un iesniegt Finanšu ministrijā precizējumus valsts pamatbudžeta bāzes izdevumos 2014.gadam un 2015.gadam, un Finanšu ministrijai precizēt Labklājības ministrijas un Izglītības un zinātnes ministrijas valsts pamatbudžeta bāzi 2014.gadam un 2015.gadam.</w:t>
            </w:r>
          </w:p>
        </w:tc>
      </w:tr>
      <w:tr w:rsidR="0081147A" w:rsidRPr="005B1F37" w:rsidTr="003E5E7A">
        <w:tc>
          <w:tcPr>
            <w:tcW w:w="201" w:type="pct"/>
          </w:tcPr>
          <w:p w:rsidR="000612F9" w:rsidRPr="005B1F37" w:rsidRDefault="000612F9" w:rsidP="00475CB6">
            <w:r w:rsidRPr="005B1F37">
              <w:lastRenderedPageBreak/>
              <w:t xml:space="preserve">3. </w:t>
            </w:r>
          </w:p>
        </w:tc>
        <w:tc>
          <w:tcPr>
            <w:tcW w:w="1021" w:type="pct"/>
          </w:tcPr>
          <w:p w:rsidR="000612F9" w:rsidRPr="005B1F37" w:rsidRDefault="000612F9" w:rsidP="00475CB6">
            <w:r w:rsidRPr="005B1F37">
              <w:t xml:space="preserve">Saistītie politikas ietekmes </w:t>
            </w:r>
            <w:r w:rsidRPr="005B1F37">
              <w:lastRenderedPageBreak/>
              <w:t>novērtējumi un pētījumi</w:t>
            </w:r>
          </w:p>
        </w:tc>
        <w:tc>
          <w:tcPr>
            <w:tcW w:w="3778" w:type="pct"/>
          </w:tcPr>
          <w:p w:rsidR="000612F9" w:rsidRPr="005B1F37" w:rsidRDefault="00B4500B" w:rsidP="00090467">
            <w:pPr>
              <w:jc w:val="both"/>
              <w:rPr>
                <w:u w:val="single"/>
              </w:rPr>
            </w:pPr>
            <w:r w:rsidRPr="0081147A">
              <w:rPr>
                <w:lang w:eastAsia="en-US"/>
              </w:rPr>
              <w:lastRenderedPageBreak/>
              <w:t>Nav attiecināms.</w:t>
            </w:r>
          </w:p>
        </w:tc>
      </w:tr>
      <w:tr w:rsidR="0081147A" w:rsidRPr="005B1F37" w:rsidTr="003E5E7A">
        <w:tc>
          <w:tcPr>
            <w:tcW w:w="201" w:type="pct"/>
          </w:tcPr>
          <w:p w:rsidR="000612F9" w:rsidRPr="0081147A" w:rsidRDefault="000612F9" w:rsidP="00475CB6">
            <w:r w:rsidRPr="0081147A">
              <w:lastRenderedPageBreak/>
              <w:t>4.</w:t>
            </w:r>
          </w:p>
        </w:tc>
        <w:tc>
          <w:tcPr>
            <w:tcW w:w="1021" w:type="pct"/>
          </w:tcPr>
          <w:p w:rsidR="000612F9" w:rsidRPr="0081147A" w:rsidRDefault="000612F9" w:rsidP="00475CB6">
            <w:r w:rsidRPr="0081147A">
              <w:t>Tiesiskā regulējuma mērķis un būtība</w:t>
            </w:r>
          </w:p>
        </w:tc>
        <w:tc>
          <w:tcPr>
            <w:tcW w:w="3778" w:type="pct"/>
          </w:tcPr>
          <w:p w:rsidR="005E15AD" w:rsidRDefault="00603280" w:rsidP="009560FC">
            <w:pPr>
              <w:jc w:val="both"/>
            </w:pPr>
            <w:r w:rsidRPr="00C53AAD">
              <w:t>Rīkojuma projekts paredz</w:t>
            </w:r>
            <w:r w:rsidR="005E15AD">
              <w:t>:</w:t>
            </w:r>
          </w:p>
          <w:p w:rsidR="00C53AAD" w:rsidRDefault="005E15AD" w:rsidP="009560FC">
            <w:pPr>
              <w:jc w:val="both"/>
            </w:pPr>
            <w:r>
              <w:t>1)</w:t>
            </w:r>
            <w:r w:rsidR="00603280" w:rsidRPr="00C53AAD">
              <w:t xml:space="preserve"> </w:t>
            </w:r>
            <w:r w:rsidR="00C53AAD" w:rsidRPr="005B1F37">
              <w:t xml:space="preserve">Atbalstīt finansējuma pārdali 2013.gadā no Labklājības ministrijas valsts pamatbudžeta apakšprogrammas 05.67.00 „Valsts atbalsts pašvaldību pirmsskolas iestāžu rindu likvidēšanai” 3 208 941 latu apmērā šādām Izglītības un zinātnes ministrijas budžeta apakšprogrammām: </w:t>
            </w:r>
          </w:p>
          <w:p w:rsidR="00C53AAD" w:rsidRPr="005B1F37" w:rsidRDefault="00C53AAD" w:rsidP="005E15AD">
            <w:pPr>
              <w:pStyle w:val="naisf"/>
              <w:numPr>
                <w:ilvl w:val="0"/>
                <w:numId w:val="20"/>
              </w:numPr>
              <w:tabs>
                <w:tab w:val="left" w:pos="993"/>
              </w:tabs>
              <w:spacing w:before="0" w:beforeAutospacing="0" w:after="0" w:afterAutospacing="0"/>
              <w:jc w:val="both"/>
            </w:pPr>
            <w:r w:rsidRPr="005B1F37">
              <w:t xml:space="preserve">apakšprogrammai 42.01.00 „Iestāžu darbības nodrošināšana” - 18 168 latu apmērā, lai nodrošinātu Izglītības kvalitātes valsts dienesta reģistra izveidi un uzturēšanu; </w:t>
            </w:r>
          </w:p>
          <w:p w:rsidR="00C53AAD" w:rsidRPr="005B1F37" w:rsidRDefault="00C53AAD" w:rsidP="005E15AD">
            <w:pPr>
              <w:pStyle w:val="naisf"/>
              <w:numPr>
                <w:ilvl w:val="0"/>
                <w:numId w:val="20"/>
              </w:numPr>
              <w:tabs>
                <w:tab w:val="left" w:pos="993"/>
              </w:tabs>
              <w:spacing w:before="0" w:beforeAutospacing="0" w:after="0" w:afterAutospacing="0"/>
              <w:jc w:val="both"/>
            </w:pPr>
            <w:r w:rsidRPr="005B1F37">
              <w:t>apakšprogrammai 01.05.00 "Dotācija privātajām mācību iestādēm" - 3 174 226 latu apmērā, lai nodrošinātu valsts atbalsta izmaksu bērniem no pusotra gada vecuma līdz obligātai bērna sagatavošanas pamatizglītības ieguves uzsākšanai;</w:t>
            </w:r>
          </w:p>
          <w:p w:rsidR="00C53AAD" w:rsidRDefault="00C53AAD" w:rsidP="005E15AD">
            <w:pPr>
              <w:pStyle w:val="naisf"/>
              <w:numPr>
                <w:ilvl w:val="0"/>
                <w:numId w:val="20"/>
              </w:numPr>
              <w:tabs>
                <w:tab w:val="left" w:pos="993"/>
              </w:tabs>
              <w:spacing w:before="0" w:beforeAutospacing="0" w:after="0" w:afterAutospacing="0"/>
              <w:jc w:val="both"/>
            </w:pPr>
            <w:r w:rsidRPr="005B1F37">
              <w:t>apakšprogrammai 06.08.00 "Nozares politikas veidošana un uzraudzība" - 6 929 latu apmērā, lai nodrošinātu valsts atbalsta finansējuma administrēšanu;</w:t>
            </w:r>
          </w:p>
          <w:p w:rsidR="00C53AAD" w:rsidRPr="005B1F37" w:rsidRDefault="00C53AAD" w:rsidP="005E15AD">
            <w:pPr>
              <w:pStyle w:val="naisf"/>
              <w:numPr>
                <w:ilvl w:val="0"/>
                <w:numId w:val="20"/>
              </w:numPr>
              <w:tabs>
                <w:tab w:val="left" w:pos="993"/>
              </w:tabs>
              <w:spacing w:before="0" w:beforeAutospacing="0" w:after="0" w:afterAutospacing="0"/>
              <w:jc w:val="both"/>
            </w:pPr>
            <w:r w:rsidRPr="005B1F37">
              <w:t>programmai 07.00.00 "Informācijas tehnoloģiju attīstība un uzturēšana izglītībā, Microsoft līguma un projektu nodrošināšana"- 9 618 latu apmērā, lai nodrošinātu valsts atbalsta finansējuma administrēšanai nepiecieš</w:t>
            </w:r>
            <w:r w:rsidR="009920ED">
              <w:t>amās uzskaites sistēmas izveidi;</w:t>
            </w:r>
          </w:p>
          <w:p w:rsidR="00C53AAD" w:rsidRPr="005B1F37" w:rsidRDefault="00C53AAD" w:rsidP="005E15AD">
            <w:pPr>
              <w:pStyle w:val="naisf"/>
              <w:numPr>
                <w:ilvl w:val="0"/>
                <w:numId w:val="21"/>
              </w:numPr>
              <w:tabs>
                <w:tab w:val="left" w:pos="993"/>
              </w:tabs>
              <w:spacing w:before="0" w:beforeAutospacing="0" w:after="0" w:afterAutospacing="0"/>
              <w:jc w:val="both"/>
            </w:pPr>
            <w:r w:rsidRPr="005B1F37">
              <w:t>Labklājības ministrijai un Izglītības un zinātnes ministrijai normatīvajos aktos noteiktajā kārtībā sagatavot un iesniegt Finanšu ministrijā pieprasījumu valsts budžeta apropriācijas pārdalei atbilstoši šā rīkojuma</w:t>
            </w:r>
            <w:r w:rsidR="005E15AD">
              <w:t xml:space="preserve"> 1.punktam;</w:t>
            </w:r>
          </w:p>
          <w:p w:rsidR="00603280" w:rsidRPr="005B1F37" w:rsidRDefault="00C53AAD" w:rsidP="005E15AD">
            <w:pPr>
              <w:pStyle w:val="naisf"/>
              <w:numPr>
                <w:ilvl w:val="0"/>
                <w:numId w:val="21"/>
              </w:numPr>
              <w:spacing w:before="0" w:beforeAutospacing="0" w:after="0" w:afterAutospacing="0"/>
              <w:jc w:val="both"/>
              <w:rPr>
                <w:color w:val="auto"/>
              </w:rPr>
            </w:pPr>
            <w:r w:rsidRPr="005B1F37">
              <w:t>Finanšu ministram normatīvajos aktos noteiktajā kārtībā informēt Saeimu par apropriācijas pārdali starp Labklājības ministriju un Izglītības un zinātnes ministriju un pēc Saeimas atļaujas saņemšanas veikt apropriācijas pārdali.</w:t>
            </w:r>
          </w:p>
        </w:tc>
      </w:tr>
      <w:tr w:rsidR="0081147A" w:rsidRPr="005B1F37" w:rsidTr="003E5E7A">
        <w:tc>
          <w:tcPr>
            <w:tcW w:w="201" w:type="pct"/>
          </w:tcPr>
          <w:p w:rsidR="000612F9" w:rsidRPr="0081147A" w:rsidRDefault="000612F9" w:rsidP="00475CB6">
            <w:r w:rsidRPr="0081147A">
              <w:t>5.</w:t>
            </w:r>
          </w:p>
        </w:tc>
        <w:tc>
          <w:tcPr>
            <w:tcW w:w="1021" w:type="pct"/>
          </w:tcPr>
          <w:p w:rsidR="000612F9" w:rsidRPr="005B1F37" w:rsidRDefault="000612F9" w:rsidP="00475CB6">
            <w:r w:rsidRPr="005B1F37">
              <w:t>Projekta izstrādē iesaistītās institūcijas</w:t>
            </w:r>
          </w:p>
        </w:tc>
        <w:tc>
          <w:tcPr>
            <w:tcW w:w="3778" w:type="pct"/>
          </w:tcPr>
          <w:p w:rsidR="000612F9" w:rsidRPr="005B1F37" w:rsidRDefault="00603280" w:rsidP="00090467">
            <w:pPr>
              <w:jc w:val="both"/>
              <w:rPr>
                <w:iCs/>
              </w:rPr>
            </w:pPr>
            <w:r w:rsidRPr="005B1F37">
              <w:rPr>
                <w:shd w:val="clear" w:color="auto" w:fill="FFFFFF"/>
              </w:rPr>
              <w:t>Rīkojuma</w:t>
            </w:r>
            <w:r w:rsidR="000612F9" w:rsidRPr="005B1F37">
              <w:rPr>
                <w:shd w:val="clear" w:color="auto" w:fill="FFFFFF"/>
              </w:rPr>
              <w:t xml:space="preserve"> projekta izstrādes gaitā tika ņemts vērā </w:t>
            </w:r>
            <w:r w:rsidRPr="005B1F37">
              <w:rPr>
                <w:iCs/>
              </w:rPr>
              <w:t xml:space="preserve">Finanšu ministrijas </w:t>
            </w:r>
            <w:r w:rsidR="000612F9" w:rsidRPr="005B1F37">
              <w:rPr>
                <w:iCs/>
              </w:rPr>
              <w:t xml:space="preserve">viedoklis. </w:t>
            </w:r>
          </w:p>
          <w:p w:rsidR="000612F9" w:rsidRPr="005B1F37" w:rsidRDefault="000612F9" w:rsidP="00090467">
            <w:pPr>
              <w:pStyle w:val="naiskr"/>
              <w:spacing w:before="0" w:after="0"/>
              <w:jc w:val="both"/>
            </w:pPr>
          </w:p>
        </w:tc>
      </w:tr>
      <w:tr w:rsidR="0081147A" w:rsidRPr="005B1F37" w:rsidTr="003E5E7A">
        <w:tc>
          <w:tcPr>
            <w:tcW w:w="201" w:type="pct"/>
          </w:tcPr>
          <w:p w:rsidR="000612F9" w:rsidRPr="005B1F37" w:rsidRDefault="000612F9" w:rsidP="00475CB6">
            <w:r w:rsidRPr="005B1F37">
              <w:t>6.</w:t>
            </w:r>
          </w:p>
        </w:tc>
        <w:tc>
          <w:tcPr>
            <w:tcW w:w="1021" w:type="pct"/>
          </w:tcPr>
          <w:p w:rsidR="000612F9" w:rsidRPr="005B1F37" w:rsidRDefault="000612F9" w:rsidP="00475CB6">
            <w:r w:rsidRPr="005B1F37">
              <w:t>Iemesli, kādēļ netika nodrošināta sabiedrības līdzdalība</w:t>
            </w:r>
          </w:p>
        </w:tc>
        <w:tc>
          <w:tcPr>
            <w:tcW w:w="3778" w:type="pct"/>
          </w:tcPr>
          <w:p w:rsidR="000612F9" w:rsidRPr="005B1F37" w:rsidRDefault="003B0774" w:rsidP="00090467">
            <w:pPr>
              <w:jc w:val="both"/>
            </w:pPr>
            <w:r w:rsidRPr="005B1F37">
              <w:rPr>
                <w:shd w:val="clear" w:color="auto" w:fill="FFFFFF"/>
              </w:rPr>
              <w:t>Sabiedrības līdzdalība r</w:t>
            </w:r>
            <w:r w:rsidR="00603280" w:rsidRPr="005B1F37">
              <w:rPr>
                <w:shd w:val="clear" w:color="auto" w:fill="FFFFFF"/>
              </w:rPr>
              <w:t>īkojuma</w:t>
            </w:r>
            <w:r w:rsidR="000612F9" w:rsidRPr="005B1F37">
              <w:rPr>
                <w:shd w:val="clear" w:color="auto" w:fill="FFFFFF"/>
              </w:rPr>
              <w:t xml:space="preserve"> projekt</w:t>
            </w:r>
            <w:r w:rsidRPr="005B1F37">
              <w:rPr>
                <w:shd w:val="clear" w:color="auto" w:fill="FFFFFF"/>
              </w:rPr>
              <w:t>a izstrādē nebija nepieciešama, jo projekts attiecas tikai uz valsts budžeta finansējuma pārdali starp valsts iestādēm</w:t>
            </w:r>
            <w:r w:rsidR="000612F9" w:rsidRPr="005B1F37">
              <w:t>.</w:t>
            </w:r>
          </w:p>
        </w:tc>
      </w:tr>
      <w:tr w:rsidR="000612F9" w:rsidRPr="005B1F37" w:rsidTr="003E5E7A">
        <w:tc>
          <w:tcPr>
            <w:tcW w:w="201" w:type="pct"/>
          </w:tcPr>
          <w:p w:rsidR="000612F9" w:rsidRPr="005B1F37" w:rsidRDefault="000612F9" w:rsidP="00475CB6">
            <w:r w:rsidRPr="005B1F37">
              <w:t xml:space="preserve">7. </w:t>
            </w:r>
          </w:p>
        </w:tc>
        <w:tc>
          <w:tcPr>
            <w:tcW w:w="1021" w:type="pct"/>
          </w:tcPr>
          <w:p w:rsidR="000612F9" w:rsidRPr="005B1F37" w:rsidRDefault="000612F9" w:rsidP="00475CB6">
            <w:r w:rsidRPr="005B1F37">
              <w:t>Cita informācija</w:t>
            </w:r>
          </w:p>
        </w:tc>
        <w:tc>
          <w:tcPr>
            <w:tcW w:w="3778" w:type="pct"/>
          </w:tcPr>
          <w:p w:rsidR="000612F9" w:rsidRPr="005B1F37" w:rsidRDefault="00603280" w:rsidP="00090467">
            <w:pPr>
              <w:jc w:val="both"/>
              <w:rPr>
                <w:lang w:eastAsia="en-US"/>
              </w:rPr>
            </w:pPr>
            <w:r w:rsidRPr="005B1F37">
              <w:rPr>
                <w:lang w:eastAsia="en-US"/>
              </w:rPr>
              <w:t>Nav.</w:t>
            </w:r>
          </w:p>
        </w:tc>
      </w:tr>
    </w:tbl>
    <w:p w:rsidR="000612F9" w:rsidRPr="005B1F37" w:rsidRDefault="000612F9" w:rsidP="00475CB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959"/>
        <w:gridCol w:w="109"/>
        <w:gridCol w:w="103"/>
        <w:gridCol w:w="1417"/>
        <w:gridCol w:w="1701"/>
        <w:gridCol w:w="1418"/>
        <w:gridCol w:w="1134"/>
        <w:gridCol w:w="1165"/>
      </w:tblGrid>
      <w:tr w:rsidR="0081147A" w:rsidRPr="005B1F37" w:rsidTr="00875795">
        <w:tc>
          <w:tcPr>
            <w:tcW w:w="9495" w:type="dxa"/>
            <w:gridSpan w:val="9"/>
          </w:tcPr>
          <w:p w:rsidR="000612F9" w:rsidRPr="005B1F37" w:rsidRDefault="000612F9" w:rsidP="00475CB6">
            <w:pPr>
              <w:jc w:val="center"/>
              <w:rPr>
                <w:b/>
              </w:rPr>
            </w:pPr>
            <w:r w:rsidRPr="005B1F37">
              <w:rPr>
                <w:b/>
              </w:rPr>
              <w:t>II Tiesību akta projekta ietekme uz sabiedrību</w:t>
            </w:r>
          </w:p>
        </w:tc>
      </w:tr>
      <w:tr w:rsidR="0081147A" w:rsidRPr="005B1F37" w:rsidTr="00875795">
        <w:tc>
          <w:tcPr>
            <w:tcW w:w="489" w:type="dxa"/>
          </w:tcPr>
          <w:p w:rsidR="000612F9" w:rsidRPr="005B1F37" w:rsidRDefault="000612F9" w:rsidP="00475CB6">
            <w:r w:rsidRPr="005B1F37">
              <w:t>1.</w:t>
            </w:r>
          </w:p>
        </w:tc>
        <w:tc>
          <w:tcPr>
            <w:tcW w:w="2068" w:type="dxa"/>
            <w:gridSpan w:val="2"/>
          </w:tcPr>
          <w:p w:rsidR="000612F9" w:rsidRPr="005B1F37" w:rsidRDefault="000612F9" w:rsidP="00475CB6">
            <w:r w:rsidRPr="005B1F37">
              <w:t>Sabiedrības mērķgrupa</w:t>
            </w:r>
          </w:p>
        </w:tc>
        <w:tc>
          <w:tcPr>
            <w:tcW w:w="6938" w:type="dxa"/>
            <w:gridSpan w:val="6"/>
          </w:tcPr>
          <w:p w:rsidR="000612F9" w:rsidRPr="005B1F37" w:rsidRDefault="00D81067" w:rsidP="00090467">
            <w:pPr>
              <w:jc w:val="both"/>
              <w:rPr>
                <w:bCs/>
                <w:szCs w:val="22"/>
              </w:rPr>
            </w:pPr>
            <w:r w:rsidRPr="005B1F37">
              <w:rPr>
                <w:shd w:val="clear" w:color="auto" w:fill="FFFFFF"/>
              </w:rPr>
              <w:t>Rīkojuma projekts neskar sabiedrību, jo projekts attiecas tikai uz valsts budžeta finansējuma pārdali starp valsts iestādēm</w:t>
            </w:r>
            <w:r w:rsidRPr="005B1F37">
              <w:t>.</w:t>
            </w:r>
          </w:p>
        </w:tc>
      </w:tr>
      <w:tr w:rsidR="0081147A" w:rsidRPr="005B1F37" w:rsidTr="00875795">
        <w:tc>
          <w:tcPr>
            <w:tcW w:w="489" w:type="dxa"/>
          </w:tcPr>
          <w:p w:rsidR="000612F9" w:rsidRPr="005B1F37" w:rsidRDefault="000612F9" w:rsidP="00475CB6">
            <w:pPr>
              <w:rPr>
                <w:sz w:val="22"/>
                <w:szCs w:val="22"/>
              </w:rPr>
            </w:pPr>
            <w:r w:rsidRPr="005B1F37">
              <w:rPr>
                <w:sz w:val="22"/>
                <w:szCs w:val="22"/>
              </w:rPr>
              <w:t xml:space="preserve">2. </w:t>
            </w:r>
          </w:p>
        </w:tc>
        <w:tc>
          <w:tcPr>
            <w:tcW w:w="2068" w:type="dxa"/>
            <w:gridSpan w:val="2"/>
          </w:tcPr>
          <w:p w:rsidR="000612F9" w:rsidRPr="005B1F37" w:rsidRDefault="000612F9" w:rsidP="00475CB6">
            <w:r w:rsidRPr="005B1F37">
              <w:t xml:space="preserve">Citas sabiedrības grupas (bez mērķgrupas), kuras tiesiskais </w:t>
            </w:r>
            <w:r w:rsidRPr="005B1F37">
              <w:lastRenderedPageBreak/>
              <w:t>regulējuma arī ietekmē vai varētu ietekmēt</w:t>
            </w:r>
          </w:p>
        </w:tc>
        <w:tc>
          <w:tcPr>
            <w:tcW w:w="6938" w:type="dxa"/>
            <w:gridSpan w:val="6"/>
          </w:tcPr>
          <w:p w:rsidR="000612F9" w:rsidRPr="005B1F37" w:rsidRDefault="00C50DEA" w:rsidP="00090467">
            <w:pPr>
              <w:jc w:val="both"/>
            </w:pPr>
            <w:r w:rsidRPr="005B1F37">
              <w:rPr>
                <w:shd w:val="clear" w:color="auto" w:fill="FFFFFF"/>
              </w:rPr>
              <w:lastRenderedPageBreak/>
              <w:t>Rīkojuma projekts</w:t>
            </w:r>
            <w:r w:rsidRPr="005B1F37">
              <w:t xml:space="preserve"> šo jomu neskar.</w:t>
            </w:r>
          </w:p>
        </w:tc>
      </w:tr>
      <w:tr w:rsidR="0081147A" w:rsidRPr="005B1F37" w:rsidTr="00875795">
        <w:tc>
          <w:tcPr>
            <w:tcW w:w="489" w:type="dxa"/>
          </w:tcPr>
          <w:p w:rsidR="000612F9" w:rsidRPr="005B1F37" w:rsidRDefault="000612F9" w:rsidP="00475CB6">
            <w:r w:rsidRPr="005B1F37">
              <w:lastRenderedPageBreak/>
              <w:t xml:space="preserve">3. </w:t>
            </w:r>
          </w:p>
        </w:tc>
        <w:tc>
          <w:tcPr>
            <w:tcW w:w="2068" w:type="dxa"/>
            <w:gridSpan w:val="2"/>
          </w:tcPr>
          <w:p w:rsidR="000612F9" w:rsidRPr="005B1F37" w:rsidRDefault="000612F9" w:rsidP="00475CB6">
            <w:r w:rsidRPr="005B1F37">
              <w:t>Tiesiskā regulējuma finansiālā ietekme</w:t>
            </w:r>
          </w:p>
        </w:tc>
        <w:tc>
          <w:tcPr>
            <w:tcW w:w="6938" w:type="dxa"/>
            <w:gridSpan w:val="6"/>
          </w:tcPr>
          <w:p w:rsidR="000612F9" w:rsidRPr="005B1F37" w:rsidRDefault="00C350BC" w:rsidP="00090467">
            <w:pPr>
              <w:jc w:val="both"/>
              <w:rPr>
                <w:bCs/>
              </w:rPr>
            </w:pPr>
            <w:r w:rsidRPr="005B1F37">
              <w:rPr>
                <w:shd w:val="clear" w:color="auto" w:fill="FFFFFF"/>
              </w:rPr>
              <w:t>Rīkojuma</w:t>
            </w:r>
            <w:r w:rsidR="000612F9" w:rsidRPr="005B1F37">
              <w:rPr>
                <w:shd w:val="clear" w:color="auto" w:fill="FFFFFF"/>
              </w:rPr>
              <w:t xml:space="preserve"> projekts</w:t>
            </w:r>
            <w:r w:rsidR="000612F9" w:rsidRPr="005B1F37">
              <w:t xml:space="preserve"> šo jomu neskar.</w:t>
            </w:r>
          </w:p>
        </w:tc>
      </w:tr>
      <w:tr w:rsidR="0081147A" w:rsidRPr="005B1F37" w:rsidTr="00875795">
        <w:tc>
          <w:tcPr>
            <w:tcW w:w="489" w:type="dxa"/>
          </w:tcPr>
          <w:p w:rsidR="000612F9" w:rsidRPr="005B1F37" w:rsidRDefault="000612F9" w:rsidP="00475CB6">
            <w:r w:rsidRPr="005B1F37">
              <w:t>4.</w:t>
            </w:r>
          </w:p>
        </w:tc>
        <w:tc>
          <w:tcPr>
            <w:tcW w:w="2068" w:type="dxa"/>
            <w:gridSpan w:val="2"/>
          </w:tcPr>
          <w:p w:rsidR="000612F9" w:rsidRPr="005B1F37" w:rsidRDefault="000612F9" w:rsidP="00475CB6">
            <w:r w:rsidRPr="005B1F37">
              <w:t>Tiesiskā regulējuma nefinansiālā ietekme</w:t>
            </w:r>
          </w:p>
        </w:tc>
        <w:tc>
          <w:tcPr>
            <w:tcW w:w="6938" w:type="dxa"/>
            <w:gridSpan w:val="6"/>
          </w:tcPr>
          <w:p w:rsidR="000612F9" w:rsidRPr="005B1F37" w:rsidRDefault="004A310A" w:rsidP="00090467">
            <w:pPr>
              <w:jc w:val="both"/>
              <w:rPr>
                <w:bCs/>
              </w:rPr>
            </w:pPr>
            <w:r w:rsidRPr="005B1F37">
              <w:rPr>
                <w:shd w:val="clear" w:color="auto" w:fill="FFFFFF"/>
              </w:rPr>
              <w:t>Rīkojuma projekts</w:t>
            </w:r>
            <w:r w:rsidRPr="005B1F37">
              <w:t xml:space="preserve"> šo jomu neskar.</w:t>
            </w:r>
          </w:p>
        </w:tc>
      </w:tr>
      <w:tr w:rsidR="0081147A" w:rsidRPr="005B1F37" w:rsidTr="00875795">
        <w:tc>
          <w:tcPr>
            <w:tcW w:w="489" w:type="dxa"/>
          </w:tcPr>
          <w:p w:rsidR="000612F9" w:rsidRPr="005B1F37" w:rsidRDefault="000612F9" w:rsidP="00475CB6">
            <w:r w:rsidRPr="005B1F37">
              <w:t>5.</w:t>
            </w:r>
          </w:p>
        </w:tc>
        <w:tc>
          <w:tcPr>
            <w:tcW w:w="2068" w:type="dxa"/>
            <w:gridSpan w:val="2"/>
          </w:tcPr>
          <w:p w:rsidR="000612F9" w:rsidRPr="005B1F37" w:rsidRDefault="000612F9" w:rsidP="00475CB6">
            <w:r w:rsidRPr="005B1F37">
              <w:t>Administratīvās procedūras raksturojums</w:t>
            </w:r>
          </w:p>
        </w:tc>
        <w:tc>
          <w:tcPr>
            <w:tcW w:w="6938" w:type="dxa"/>
            <w:gridSpan w:val="6"/>
          </w:tcPr>
          <w:p w:rsidR="000612F9" w:rsidRPr="005B1F37" w:rsidRDefault="00C350BC" w:rsidP="00090467">
            <w:pPr>
              <w:jc w:val="both"/>
              <w:rPr>
                <w:lang w:eastAsia="en-US"/>
              </w:rPr>
            </w:pPr>
            <w:r w:rsidRPr="005B1F37">
              <w:rPr>
                <w:lang w:eastAsia="en-US"/>
              </w:rPr>
              <w:t>Rīkojuma projekts šo jomu neskar.</w:t>
            </w:r>
          </w:p>
        </w:tc>
      </w:tr>
      <w:tr w:rsidR="0081147A" w:rsidRPr="005B1F37" w:rsidTr="00875795">
        <w:tc>
          <w:tcPr>
            <w:tcW w:w="489" w:type="dxa"/>
          </w:tcPr>
          <w:p w:rsidR="000612F9" w:rsidRPr="005B1F37" w:rsidRDefault="000612F9" w:rsidP="00475CB6">
            <w:r w:rsidRPr="005B1F37">
              <w:t>6.</w:t>
            </w:r>
          </w:p>
        </w:tc>
        <w:tc>
          <w:tcPr>
            <w:tcW w:w="2068" w:type="dxa"/>
            <w:gridSpan w:val="2"/>
          </w:tcPr>
          <w:p w:rsidR="000612F9" w:rsidRPr="005B1F37" w:rsidRDefault="000612F9" w:rsidP="00475CB6">
            <w:r w:rsidRPr="005B1F37">
              <w:t>Administratīvo izmaksu monetārs novērtējums</w:t>
            </w:r>
          </w:p>
        </w:tc>
        <w:tc>
          <w:tcPr>
            <w:tcW w:w="6938" w:type="dxa"/>
            <w:gridSpan w:val="6"/>
          </w:tcPr>
          <w:p w:rsidR="000612F9" w:rsidRPr="005B1F37" w:rsidRDefault="00C350BC" w:rsidP="00090467">
            <w:pPr>
              <w:jc w:val="both"/>
            </w:pPr>
            <w:r w:rsidRPr="005B1F37">
              <w:t>Rīkojuma</w:t>
            </w:r>
            <w:r w:rsidR="000612F9" w:rsidRPr="005B1F37">
              <w:t xml:space="preserve"> projekts šo jomu neskar.</w:t>
            </w:r>
          </w:p>
        </w:tc>
      </w:tr>
      <w:tr w:rsidR="0081147A" w:rsidRPr="005B1F37" w:rsidTr="00875795">
        <w:tc>
          <w:tcPr>
            <w:tcW w:w="489" w:type="dxa"/>
          </w:tcPr>
          <w:p w:rsidR="000612F9" w:rsidRPr="005B1F37" w:rsidRDefault="000612F9" w:rsidP="00475CB6">
            <w:r w:rsidRPr="005B1F37">
              <w:t xml:space="preserve">7. </w:t>
            </w:r>
          </w:p>
        </w:tc>
        <w:tc>
          <w:tcPr>
            <w:tcW w:w="2068" w:type="dxa"/>
            <w:gridSpan w:val="2"/>
          </w:tcPr>
          <w:p w:rsidR="000612F9" w:rsidRPr="005B1F37" w:rsidRDefault="000612F9" w:rsidP="00475CB6">
            <w:r w:rsidRPr="005B1F37">
              <w:t>Cita informācija</w:t>
            </w:r>
          </w:p>
        </w:tc>
        <w:tc>
          <w:tcPr>
            <w:tcW w:w="6938" w:type="dxa"/>
            <w:gridSpan w:val="6"/>
          </w:tcPr>
          <w:p w:rsidR="000612F9" w:rsidRPr="005B1F37" w:rsidRDefault="000612F9" w:rsidP="00090467">
            <w:pPr>
              <w:jc w:val="both"/>
              <w:rPr>
                <w:iCs/>
              </w:rPr>
            </w:pPr>
            <w:r w:rsidRPr="005B1F37">
              <w:rPr>
                <w:iCs/>
              </w:rPr>
              <w:t>Nav.</w:t>
            </w:r>
          </w:p>
        </w:tc>
      </w:tr>
      <w:tr w:rsidR="0081147A" w:rsidRPr="005B1F37" w:rsidTr="00875795">
        <w:tc>
          <w:tcPr>
            <w:tcW w:w="9495" w:type="dxa"/>
            <w:gridSpan w:val="9"/>
          </w:tcPr>
          <w:p w:rsidR="000612F9" w:rsidRPr="005B1F37" w:rsidRDefault="000612F9" w:rsidP="00475CB6">
            <w:pPr>
              <w:jc w:val="center"/>
            </w:pPr>
            <w:r w:rsidRPr="005B1F37">
              <w:br w:type="page"/>
            </w:r>
            <w:r w:rsidRPr="005B1F37">
              <w:rPr>
                <w:b/>
              </w:rPr>
              <w:t>III</w:t>
            </w:r>
            <w:r w:rsidRPr="005B1F37">
              <w:t xml:space="preserve"> </w:t>
            </w:r>
            <w:r w:rsidRPr="005B1F37">
              <w:rPr>
                <w:b/>
                <w:bCs/>
              </w:rPr>
              <w:t>Tiesību akta projekta ietekme uz valsts budžetu un pašvaldību budžetiem</w:t>
            </w:r>
          </w:p>
        </w:tc>
      </w:tr>
      <w:tr w:rsidR="0081147A" w:rsidRPr="005B1F37" w:rsidTr="00875795">
        <w:tc>
          <w:tcPr>
            <w:tcW w:w="5778" w:type="dxa"/>
            <w:gridSpan w:val="6"/>
          </w:tcPr>
          <w:p w:rsidR="000612F9" w:rsidRPr="005B1F37" w:rsidRDefault="000612F9" w:rsidP="00475CB6">
            <w:pPr>
              <w:jc w:val="center"/>
            </w:pPr>
          </w:p>
        </w:tc>
        <w:tc>
          <w:tcPr>
            <w:tcW w:w="3717" w:type="dxa"/>
            <w:gridSpan w:val="3"/>
            <w:vAlign w:val="center"/>
          </w:tcPr>
          <w:p w:rsidR="000612F9" w:rsidRPr="005B1F37" w:rsidRDefault="000612F9" w:rsidP="00475CB6">
            <w:pPr>
              <w:jc w:val="center"/>
            </w:pPr>
            <w:r w:rsidRPr="005B1F37">
              <w:t>(tūkst. latu)</w:t>
            </w:r>
          </w:p>
        </w:tc>
      </w:tr>
      <w:tr w:rsidR="0081147A" w:rsidRPr="005B1F37" w:rsidTr="00875795">
        <w:tc>
          <w:tcPr>
            <w:tcW w:w="2660" w:type="dxa"/>
            <w:gridSpan w:val="4"/>
            <w:vMerge w:val="restart"/>
            <w:vAlign w:val="center"/>
          </w:tcPr>
          <w:p w:rsidR="000612F9" w:rsidRPr="005B1F37" w:rsidRDefault="000612F9" w:rsidP="00475CB6">
            <w:pPr>
              <w:jc w:val="center"/>
            </w:pPr>
            <w:r w:rsidRPr="005B1F37">
              <w:rPr>
                <w:b/>
              </w:rPr>
              <w:t>Rādītāji</w:t>
            </w:r>
          </w:p>
        </w:tc>
        <w:tc>
          <w:tcPr>
            <w:tcW w:w="3118" w:type="dxa"/>
            <w:gridSpan w:val="2"/>
            <w:vMerge w:val="restart"/>
            <w:vAlign w:val="center"/>
          </w:tcPr>
          <w:p w:rsidR="000612F9" w:rsidRPr="005B1F37" w:rsidRDefault="000612F9" w:rsidP="00475CB6">
            <w:pPr>
              <w:jc w:val="center"/>
            </w:pPr>
            <w:r w:rsidRPr="005B1F37">
              <w:rPr>
                <w:b/>
              </w:rPr>
              <w:t>2013</w:t>
            </w:r>
          </w:p>
        </w:tc>
        <w:tc>
          <w:tcPr>
            <w:tcW w:w="3717" w:type="dxa"/>
            <w:gridSpan w:val="3"/>
            <w:vAlign w:val="center"/>
          </w:tcPr>
          <w:p w:rsidR="000612F9" w:rsidRPr="005B1F37" w:rsidRDefault="000612F9" w:rsidP="00090467">
            <w:pPr>
              <w:jc w:val="center"/>
            </w:pPr>
            <w:r w:rsidRPr="005B1F37">
              <w:t>Turpmākie trīs gadi</w:t>
            </w:r>
          </w:p>
        </w:tc>
      </w:tr>
      <w:tr w:rsidR="0081147A" w:rsidRPr="005B1F37" w:rsidTr="00875795">
        <w:tc>
          <w:tcPr>
            <w:tcW w:w="2660" w:type="dxa"/>
            <w:gridSpan w:val="4"/>
            <w:vMerge/>
          </w:tcPr>
          <w:p w:rsidR="000612F9" w:rsidRPr="005B1F37" w:rsidRDefault="000612F9" w:rsidP="00090467">
            <w:pPr>
              <w:jc w:val="center"/>
            </w:pPr>
          </w:p>
        </w:tc>
        <w:tc>
          <w:tcPr>
            <w:tcW w:w="3118" w:type="dxa"/>
            <w:gridSpan w:val="2"/>
            <w:vMerge/>
          </w:tcPr>
          <w:p w:rsidR="000612F9" w:rsidRPr="005B1F37" w:rsidRDefault="000612F9" w:rsidP="00090467">
            <w:pPr>
              <w:jc w:val="center"/>
              <w:rPr>
                <w:b/>
              </w:rPr>
            </w:pPr>
          </w:p>
        </w:tc>
        <w:tc>
          <w:tcPr>
            <w:tcW w:w="1418" w:type="dxa"/>
            <w:vAlign w:val="bottom"/>
          </w:tcPr>
          <w:p w:rsidR="000612F9" w:rsidRPr="005B1F37" w:rsidRDefault="000612F9" w:rsidP="00090467">
            <w:pPr>
              <w:pStyle w:val="naisf"/>
              <w:spacing w:before="0" w:beforeAutospacing="0" w:after="0" w:afterAutospacing="0"/>
              <w:jc w:val="center"/>
              <w:rPr>
                <w:b/>
                <w:i/>
                <w:color w:val="auto"/>
              </w:rPr>
            </w:pPr>
            <w:r w:rsidRPr="005B1F37">
              <w:rPr>
                <w:b/>
                <w:bCs/>
                <w:color w:val="auto"/>
              </w:rPr>
              <w:t>2014</w:t>
            </w:r>
          </w:p>
        </w:tc>
        <w:tc>
          <w:tcPr>
            <w:tcW w:w="1134" w:type="dxa"/>
            <w:vAlign w:val="bottom"/>
          </w:tcPr>
          <w:p w:rsidR="000612F9" w:rsidRPr="005B1F37" w:rsidRDefault="000612F9" w:rsidP="00090467">
            <w:pPr>
              <w:pStyle w:val="naisf"/>
              <w:spacing w:before="0" w:beforeAutospacing="0" w:after="0" w:afterAutospacing="0"/>
              <w:jc w:val="center"/>
              <w:rPr>
                <w:b/>
                <w:i/>
                <w:color w:val="auto"/>
              </w:rPr>
            </w:pPr>
            <w:r w:rsidRPr="005B1F37">
              <w:rPr>
                <w:b/>
                <w:bCs/>
                <w:color w:val="auto"/>
              </w:rPr>
              <w:t>2015</w:t>
            </w:r>
          </w:p>
        </w:tc>
        <w:tc>
          <w:tcPr>
            <w:tcW w:w="1165" w:type="dxa"/>
            <w:vAlign w:val="bottom"/>
          </w:tcPr>
          <w:p w:rsidR="000612F9" w:rsidRPr="005B1F37" w:rsidRDefault="000612F9" w:rsidP="00090467">
            <w:pPr>
              <w:pStyle w:val="naisf"/>
              <w:spacing w:before="0" w:beforeAutospacing="0" w:after="0" w:afterAutospacing="0"/>
              <w:jc w:val="center"/>
              <w:rPr>
                <w:b/>
                <w:i/>
                <w:color w:val="auto"/>
              </w:rPr>
            </w:pPr>
            <w:r w:rsidRPr="005B1F37">
              <w:rPr>
                <w:b/>
                <w:bCs/>
                <w:color w:val="auto"/>
              </w:rPr>
              <w:t>2016</w:t>
            </w:r>
          </w:p>
        </w:tc>
      </w:tr>
      <w:tr w:rsidR="0081147A" w:rsidRPr="005B1F37" w:rsidTr="00875795">
        <w:tc>
          <w:tcPr>
            <w:tcW w:w="2660" w:type="dxa"/>
            <w:gridSpan w:val="4"/>
            <w:vMerge/>
            <w:vAlign w:val="bottom"/>
          </w:tcPr>
          <w:p w:rsidR="000612F9" w:rsidRPr="005B1F37" w:rsidRDefault="000612F9" w:rsidP="00090467">
            <w:pPr>
              <w:jc w:val="center"/>
            </w:pPr>
          </w:p>
        </w:tc>
        <w:tc>
          <w:tcPr>
            <w:tcW w:w="1417" w:type="dxa"/>
            <w:vAlign w:val="bottom"/>
          </w:tcPr>
          <w:p w:rsidR="000612F9" w:rsidRPr="005B1F37" w:rsidRDefault="000612F9" w:rsidP="00090467">
            <w:pPr>
              <w:jc w:val="center"/>
            </w:pPr>
            <w:r w:rsidRPr="005B1F37">
              <w:t>Saskaņā ar valsts budžetu kārtējam gadam</w:t>
            </w:r>
          </w:p>
        </w:tc>
        <w:tc>
          <w:tcPr>
            <w:tcW w:w="1701" w:type="dxa"/>
            <w:vAlign w:val="bottom"/>
          </w:tcPr>
          <w:p w:rsidR="000612F9" w:rsidRPr="005B1F37" w:rsidRDefault="000612F9" w:rsidP="00090467">
            <w:pPr>
              <w:jc w:val="center"/>
            </w:pPr>
            <w:r w:rsidRPr="005B1F37">
              <w:t>Izmaiņas kārtējā gadā salīdzinot ar budžetu kārtējam gadam</w:t>
            </w:r>
          </w:p>
        </w:tc>
        <w:tc>
          <w:tcPr>
            <w:tcW w:w="1418" w:type="dxa"/>
            <w:vAlign w:val="bottom"/>
          </w:tcPr>
          <w:p w:rsidR="000612F9" w:rsidRPr="005B1F37" w:rsidRDefault="000612F9" w:rsidP="00090467">
            <w:pPr>
              <w:jc w:val="center"/>
            </w:pPr>
            <w:r w:rsidRPr="005B1F37">
              <w:t>Izmaiņas salīdzinot ar kārtējo (n) gadu</w:t>
            </w:r>
          </w:p>
        </w:tc>
        <w:tc>
          <w:tcPr>
            <w:tcW w:w="1134" w:type="dxa"/>
            <w:vAlign w:val="bottom"/>
          </w:tcPr>
          <w:p w:rsidR="000612F9" w:rsidRPr="005B1F37" w:rsidRDefault="000612F9" w:rsidP="00090467">
            <w:pPr>
              <w:jc w:val="center"/>
            </w:pPr>
            <w:r w:rsidRPr="005B1F37">
              <w:t>Izmaiņas salīdzinot ar kārtējo (n) gadu</w:t>
            </w:r>
          </w:p>
        </w:tc>
        <w:tc>
          <w:tcPr>
            <w:tcW w:w="1165" w:type="dxa"/>
            <w:vAlign w:val="bottom"/>
          </w:tcPr>
          <w:p w:rsidR="000612F9" w:rsidRPr="005B1F37" w:rsidRDefault="000612F9" w:rsidP="00090467">
            <w:pPr>
              <w:jc w:val="center"/>
            </w:pPr>
            <w:r w:rsidRPr="005B1F37">
              <w:t>Izmaiņas salīdzinot ar kārtējo (n) gadu</w:t>
            </w:r>
          </w:p>
        </w:tc>
      </w:tr>
      <w:tr w:rsidR="0081147A" w:rsidRPr="005B1F37" w:rsidTr="00875795">
        <w:tc>
          <w:tcPr>
            <w:tcW w:w="2660" w:type="dxa"/>
            <w:gridSpan w:val="4"/>
          </w:tcPr>
          <w:p w:rsidR="000612F9" w:rsidRPr="005B1F37" w:rsidRDefault="000612F9" w:rsidP="00090467">
            <w:pPr>
              <w:pStyle w:val="naisf"/>
              <w:spacing w:before="0" w:beforeAutospacing="0" w:after="0" w:afterAutospacing="0"/>
              <w:jc w:val="center"/>
              <w:rPr>
                <w:b/>
                <w:color w:val="auto"/>
              </w:rPr>
            </w:pPr>
            <w:r w:rsidRPr="005B1F37">
              <w:rPr>
                <w:b/>
                <w:color w:val="auto"/>
              </w:rPr>
              <w:t>1</w:t>
            </w:r>
          </w:p>
        </w:tc>
        <w:tc>
          <w:tcPr>
            <w:tcW w:w="1417" w:type="dxa"/>
          </w:tcPr>
          <w:p w:rsidR="000612F9" w:rsidRPr="005B1F37" w:rsidRDefault="000612F9" w:rsidP="00090467">
            <w:pPr>
              <w:pStyle w:val="naisf"/>
              <w:spacing w:before="0" w:beforeAutospacing="0" w:after="0" w:afterAutospacing="0"/>
              <w:jc w:val="center"/>
              <w:rPr>
                <w:b/>
                <w:color w:val="auto"/>
              </w:rPr>
            </w:pPr>
            <w:r w:rsidRPr="005B1F37">
              <w:rPr>
                <w:b/>
                <w:color w:val="auto"/>
              </w:rPr>
              <w:t>2</w:t>
            </w:r>
          </w:p>
        </w:tc>
        <w:tc>
          <w:tcPr>
            <w:tcW w:w="1701" w:type="dxa"/>
          </w:tcPr>
          <w:p w:rsidR="000612F9" w:rsidRPr="005B1F37" w:rsidRDefault="000612F9" w:rsidP="00090467">
            <w:pPr>
              <w:pStyle w:val="naisf"/>
              <w:spacing w:before="0" w:beforeAutospacing="0" w:after="0" w:afterAutospacing="0"/>
              <w:jc w:val="center"/>
              <w:rPr>
                <w:b/>
                <w:color w:val="auto"/>
              </w:rPr>
            </w:pPr>
            <w:r w:rsidRPr="005B1F37">
              <w:rPr>
                <w:b/>
                <w:color w:val="auto"/>
              </w:rPr>
              <w:t>3</w:t>
            </w:r>
          </w:p>
        </w:tc>
        <w:tc>
          <w:tcPr>
            <w:tcW w:w="1418" w:type="dxa"/>
          </w:tcPr>
          <w:p w:rsidR="000612F9" w:rsidRPr="005B1F37" w:rsidRDefault="000612F9" w:rsidP="00090467">
            <w:pPr>
              <w:pStyle w:val="naisf"/>
              <w:spacing w:before="0" w:beforeAutospacing="0" w:after="0" w:afterAutospacing="0"/>
              <w:jc w:val="center"/>
              <w:rPr>
                <w:b/>
                <w:color w:val="auto"/>
              </w:rPr>
            </w:pPr>
            <w:r w:rsidRPr="005B1F37">
              <w:rPr>
                <w:b/>
                <w:color w:val="auto"/>
              </w:rPr>
              <w:t>4</w:t>
            </w:r>
          </w:p>
        </w:tc>
        <w:tc>
          <w:tcPr>
            <w:tcW w:w="1134" w:type="dxa"/>
          </w:tcPr>
          <w:p w:rsidR="000612F9" w:rsidRPr="005B1F37" w:rsidRDefault="000612F9" w:rsidP="00090467">
            <w:pPr>
              <w:pStyle w:val="naisf"/>
              <w:spacing w:before="0" w:beforeAutospacing="0" w:after="0" w:afterAutospacing="0"/>
              <w:jc w:val="center"/>
              <w:rPr>
                <w:b/>
                <w:color w:val="auto"/>
              </w:rPr>
            </w:pPr>
            <w:r w:rsidRPr="005B1F37">
              <w:rPr>
                <w:b/>
                <w:color w:val="auto"/>
              </w:rPr>
              <w:t>5</w:t>
            </w:r>
          </w:p>
        </w:tc>
        <w:tc>
          <w:tcPr>
            <w:tcW w:w="1165" w:type="dxa"/>
          </w:tcPr>
          <w:p w:rsidR="000612F9" w:rsidRPr="005B1F37" w:rsidRDefault="000612F9" w:rsidP="00090467">
            <w:pPr>
              <w:pStyle w:val="naisf"/>
              <w:spacing w:before="0" w:beforeAutospacing="0" w:after="0" w:afterAutospacing="0"/>
              <w:jc w:val="center"/>
              <w:rPr>
                <w:b/>
                <w:color w:val="auto"/>
              </w:rPr>
            </w:pPr>
            <w:r w:rsidRPr="005B1F37">
              <w:rPr>
                <w:b/>
                <w:color w:val="auto"/>
              </w:rPr>
              <w:t>6</w:t>
            </w:r>
          </w:p>
        </w:tc>
      </w:tr>
      <w:tr w:rsidR="0081147A" w:rsidRPr="005B1F37" w:rsidTr="00875795">
        <w:tc>
          <w:tcPr>
            <w:tcW w:w="2660" w:type="dxa"/>
            <w:gridSpan w:val="4"/>
          </w:tcPr>
          <w:p w:rsidR="000612F9" w:rsidRPr="005B1F37" w:rsidRDefault="000612F9" w:rsidP="00475CB6">
            <w:pPr>
              <w:rPr>
                <w:b/>
              </w:rPr>
            </w:pPr>
            <w:r w:rsidRPr="005B1F37">
              <w:rPr>
                <w:b/>
              </w:rPr>
              <w:t>1. Budžeta ieņēmumi:</w:t>
            </w:r>
          </w:p>
        </w:tc>
        <w:tc>
          <w:tcPr>
            <w:tcW w:w="1417" w:type="dxa"/>
          </w:tcPr>
          <w:p w:rsidR="000612F9" w:rsidRPr="005B1F37" w:rsidRDefault="000612F9" w:rsidP="00475CB6">
            <w:pPr>
              <w:pStyle w:val="naisf"/>
              <w:spacing w:before="0" w:beforeAutospacing="0" w:after="0" w:afterAutospacing="0"/>
              <w:jc w:val="center"/>
              <w:rPr>
                <w:b/>
                <w:color w:val="auto"/>
              </w:rPr>
            </w:pPr>
          </w:p>
          <w:p w:rsidR="000612F9" w:rsidRPr="005B1F37" w:rsidRDefault="00015246" w:rsidP="00090467">
            <w:pPr>
              <w:pStyle w:val="naisf"/>
              <w:spacing w:before="0" w:beforeAutospacing="0" w:after="0" w:afterAutospacing="0"/>
              <w:jc w:val="center"/>
              <w:rPr>
                <w:b/>
                <w:color w:val="auto"/>
              </w:rPr>
            </w:pPr>
            <w:r w:rsidRPr="005B1F37">
              <w:rPr>
                <w:b/>
                <w:color w:val="auto"/>
              </w:rPr>
              <w:t>3 218,8</w:t>
            </w:r>
          </w:p>
        </w:tc>
        <w:tc>
          <w:tcPr>
            <w:tcW w:w="1701" w:type="dxa"/>
          </w:tcPr>
          <w:p w:rsidR="000612F9" w:rsidRPr="0081147A" w:rsidRDefault="000612F9" w:rsidP="00090467">
            <w:pPr>
              <w:jc w:val="center"/>
            </w:pPr>
          </w:p>
          <w:p w:rsidR="000612F9" w:rsidRPr="0081147A" w:rsidRDefault="000612F9" w:rsidP="00090467">
            <w:pPr>
              <w:jc w:val="center"/>
            </w:pPr>
            <w:r w:rsidRPr="0081147A">
              <w:t>0</w:t>
            </w:r>
          </w:p>
        </w:tc>
        <w:tc>
          <w:tcPr>
            <w:tcW w:w="1418" w:type="dxa"/>
            <w:vAlign w:val="center"/>
          </w:tcPr>
          <w:p w:rsidR="000612F9" w:rsidRPr="0081147A" w:rsidRDefault="00AB3F9C" w:rsidP="00090467">
            <w:pPr>
              <w:pStyle w:val="NormalWeb"/>
              <w:spacing w:before="0" w:beforeAutospacing="0" w:after="0" w:afterAutospacing="0"/>
              <w:jc w:val="center"/>
            </w:pPr>
            <w:r w:rsidRPr="0081147A">
              <w:t>-</w:t>
            </w:r>
          </w:p>
        </w:tc>
        <w:tc>
          <w:tcPr>
            <w:tcW w:w="1134" w:type="dxa"/>
            <w:vAlign w:val="center"/>
          </w:tcPr>
          <w:p w:rsidR="000612F9" w:rsidRPr="00C53AAD" w:rsidRDefault="00AB3F9C" w:rsidP="00090467">
            <w:pPr>
              <w:pStyle w:val="NormalWeb"/>
              <w:spacing w:before="0" w:beforeAutospacing="0" w:after="0" w:afterAutospacing="0"/>
              <w:jc w:val="center"/>
            </w:pPr>
            <w:r w:rsidRPr="00C53AAD">
              <w:t>-</w:t>
            </w:r>
          </w:p>
        </w:tc>
        <w:tc>
          <w:tcPr>
            <w:tcW w:w="1165" w:type="dxa"/>
            <w:vAlign w:val="center"/>
          </w:tcPr>
          <w:p w:rsidR="000612F9" w:rsidRPr="00C53AAD" w:rsidRDefault="00AB3F9C" w:rsidP="00090467">
            <w:pPr>
              <w:pStyle w:val="NormalWeb"/>
              <w:spacing w:before="0" w:beforeAutospacing="0" w:after="0" w:afterAutospacing="0"/>
              <w:jc w:val="center"/>
            </w:pPr>
            <w:r w:rsidRPr="00C53AAD">
              <w:t>-</w:t>
            </w:r>
          </w:p>
        </w:tc>
      </w:tr>
      <w:tr w:rsidR="0081147A" w:rsidRPr="005B1F37" w:rsidTr="00875795">
        <w:tc>
          <w:tcPr>
            <w:tcW w:w="2660" w:type="dxa"/>
            <w:gridSpan w:val="4"/>
          </w:tcPr>
          <w:p w:rsidR="00AB3F9C" w:rsidRPr="005B1F37" w:rsidRDefault="00AB3F9C" w:rsidP="00475CB6">
            <w:r w:rsidRPr="005B1F37">
              <w:t>1.1. valsts pamatbudžets, tai skaitā ieņēmumi no maksas pakalpojumiem un citi pašu ieņēmumi</w:t>
            </w:r>
            <w:r w:rsidRPr="005B1F37">
              <w:rPr>
                <w:highlight w:val="yellow"/>
              </w:rPr>
              <w:t xml:space="preserve"> </w:t>
            </w:r>
          </w:p>
        </w:tc>
        <w:tc>
          <w:tcPr>
            <w:tcW w:w="1417" w:type="dxa"/>
            <w:vAlign w:val="center"/>
          </w:tcPr>
          <w:p w:rsidR="00AB3F9C" w:rsidRPr="005B1F37" w:rsidRDefault="00AB3F9C" w:rsidP="00475CB6">
            <w:pPr>
              <w:jc w:val="center"/>
            </w:pPr>
            <w:r w:rsidRPr="005B1F37">
              <w:t>0</w:t>
            </w:r>
          </w:p>
        </w:tc>
        <w:tc>
          <w:tcPr>
            <w:tcW w:w="1701" w:type="dxa"/>
          </w:tcPr>
          <w:p w:rsidR="00AB3F9C" w:rsidRPr="005B1F37" w:rsidRDefault="00AB3F9C" w:rsidP="00090467">
            <w:pPr>
              <w:jc w:val="center"/>
            </w:pPr>
          </w:p>
          <w:p w:rsidR="00AB3F9C" w:rsidRPr="005B1F37" w:rsidRDefault="00AB3F9C" w:rsidP="00090467">
            <w:pPr>
              <w:jc w:val="center"/>
            </w:pPr>
          </w:p>
          <w:p w:rsidR="00AB3F9C" w:rsidRPr="005B1F37" w:rsidRDefault="00AB3F9C" w:rsidP="00090467">
            <w:pPr>
              <w:jc w:val="center"/>
            </w:pPr>
            <w:r w:rsidRPr="005B1F37">
              <w:t>0</w:t>
            </w:r>
          </w:p>
        </w:tc>
        <w:tc>
          <w:tcPr>
            <w:tcW w:w="1418" w:type="dxa"/>
            <w:vAlign w:val="center"/>
          </w:tcPr>
          <w:p w:rsidR="00AB3F9C" w:rsidRPr="005B1F37" w:rsidRDefault="00AB3F9C" w:rsidP="00090467">
            <w:pPr>
              <w:pStyle w:val="NormalWeb"/>
              <w:spacing w:before="0" w:beforeAutospacing="0" w:after="0" w:afterAutospacing="0"/>
              <w:jc w:val="center"/>
            </w:pPr>
            <w:r w:rsidRPr="005B1F37">
              <w:t>-</w:t>
            </w:r>
          </w:p>
        </w:tc>
        <w:tc>
          <w:tcPr>
            <w:tcW w:w="1134" w:type="dxa"/>
            <w:vAlign w:val="center"/>
          </w:tcPr>
          <w:p w:rsidR="00AB3F9C" w:rsidRPr="005B1F37" w:rsidRDefault="00AB3F9C" w:rsidP="00090467">
            <w:pPr>
              <w:pStyle w:val="NormalWeb"/>
              <w:spacing w:before="0" w:beforeAutospacing="0" w:after="0" w:afterAutospacing="0"/>
              <w:jc w:val="center"/>
            </w:pPr>
            <w:r w:rsidRPr="005B1F37">
              <w:t>-</w:t>
            </w:r>
          </w:p>
        </w:tc>
        <w:tc>
          <w:tcPr>
            <w:tcW w:w="1165" w:type="dxa"/>
            <w:vAlign w:val="center"/>
          </w:tcPr>
          <w:p w:rsidR="00AB3F9C" w:rsidRPr="005B1F37" w:rsidRDefault="00AB3F9C" w:rsidP="00090467">
            <w:pPr>
              <w:pStyle w:val="NormalWeb"/>
              <w:spacing w:before="0" w:beforeAutospacing="0" w:after="0" w:afterAutospacing="0"/>
              <w:jc w:val="center"/>
            </w:pPr>
            <w:r w:rsidRPr="005B1F37">
              <w:t>-</w:t>
            </w:r>
          </w:p>
        </w:tc>
      </w:tr>
      <w:tr w:rsidR="0081147A" w:rsidRPr="005B1F37" w:rsidTr="00BE7681">
        <w:trPr>
          <w:trHeight w:val="572"/>
        </w:trPr>
        <w:tc>
          <w:tcPr>
            <w:tcW w:w="2660" w:type="dxa"/>
            <w:gridSpan w:val="4"/>
          </w:tcPr>
          <w:p w:rsidR="00F53873" w:rsidRPr="005B1F37" w:rsidRDefault="00F53873" w:rsidP="00BE7681">
            <w:r w:rsidRPr="005B1F37">
              <w:t>Labklājības ministrijas pamatbudžeta apakšprogrammā</w:t>
            </w:r>
            <w:proofErr w:type="gramStart"/>
            <w:r w:rsidRPr="005B1F37">
              <w:t xml:space="preserve">  </w:t>
            </w:r>
            <w:proofErr w:type="gramEnd"/>
            <w:r w:rsidRPr="005B1F37">
              <w:t>05.67.00 „Valsts atbalsts pašvaldību pirmskolas izglītības iestāžu rindu likvidēšanai”</w:t>
            </w:r>
          </w:p>
        </w:tc>
        <w:tc>
          <w:tcPr>
            <w:tcW w:w="1417" w:type="dxa"/>
          </w:tcPr>
          <w:p w:rsidR="00F53873" w:rsidRPr="005B1F37" w:rsidRDefault="00F53873" w:rsidP="00BE7681">
            <w:pPr>
              <w:jc w:val="center"/>
            </w:pPr>
            <w:r w:rsidRPr="005B1F37">
              <w:t>0</w:t>
            </w:r>
          </w:p>
        </w:tc>
        <w:tc>
          <w:tcPr>
            <w:tcW w:w="1701" w:type="dxa"/>
          </w:tcPr>
          <w:p w:rsidR="00F53873" w:rsidRPr="005B1F37" w:rsidRDefault="00F53873" w:rsidP="00BE7681">
            <w:pPr>
              <w:jc w:val="center"/>
            </w:pPr>
            <w:r w:rsidRPr="005B1F37">
              <w:t>- 3 208.9</w:t>
            </w:r>
          </w:p>
        </w:tc>
        <w:tc>
          <w:tcPr>
            <w:tcW w:w="1418" w:type="dxa"/>
            <w:vAlign w:val="center"/>
          </w:tcPr>
          <w:p w:rsidR="00F53873" w:rsidRPr="005B1F37" w:rsidRDefault="00F53873" w:rsidP="00BE7681">
            <w:pPr>
              <w:jc w:val="center"/>
            </w:pPr>
          </w:p>
        </w:tc>
        <w:tc>
          <w:tcPr>
            <w:tcW w:w="1134" w:type="dxa"/>
            <w:vAlign w:val="center"/>
          </w:tcPr>
          <w:p w:rsidR="00F53873" w:rsidRPr="005B1F37" w:rsidRDefault="00F53873" w:rsidP="00BE7681">
            <w:pPr>
              <w:jc w:val="center"/>
            </w:pPr>
          </w:p>
        </w:tc>
        <w:tc>
          <w:tcPr>
            <w:tcW w:w="1165" w:type="dxa"/>
            <w:vAlign w:val="center"/>
          </w:tcPr>
          <w:p w:rsidR="00F53873" w:rsidRPr="005B1F37" w:rsidRDefault="00F53873" w:rsidP="00BE7681">
            <w:pPr>
              <w:jc w:val="center"/>
            </w:pPr>
          </w:p>
        </w:tc>
      </w:tr>
      <w:tr w:rsidR="0081147A" w:rsidRPr="005B1F37" w:rsidTr="00BE7681">
        <w:trPr>
          <w:trHeight w:val="889"/>
        </w:trPr>
        <w:tc>
          <w:tcPr>
            <w:tcW w:w="2660" w:type="dxa"/>
            <w:gridSpan w:val="4"/>
          </w:tcPr>
          <w:p w:rsidR="00F53873" w:rsidRPr="005B1F37" w:rsidRDefault="00F53873" w:rsidP="00BE7681">
            <w:pPr>
              <w:jc w:val="both"/>
            </w:pPr>
            <w:r w:rsidRPr="005B1F37">
              <w:t xml:space="preserve">Izglītības un zinātnes ministrijai kopā, t.sk. </w:t>
            </w:r>
          </w:p>
        </w:tc>
        <w:tc>
          <w:tcPr>
            <w:tcW w:w="1417" w:type="dxa"/>
          </w:tcPr>
          <w:p w:rsidR="00F53873" w:rsidRPr="005B1F37" w:rsidRDefault="00F53873" w:rsidP="00BE7681">
            <w:pPr>
              <w:jc w:val="center"/>
            </w:pPr>
            <w:r w:rsidRPr="005B1F37">
              <w:t>0</w:t>
            </w:r>
          </w:p>
        </w:tc>
        <w:tc>
          <w:tcPr>
            <w:tcW w:w="1701" w:type="dxa"/>
          </w:tcPr>
          <w:p w:rsidR="00F53873" w:rsidRPr="005B1F37" w:rsidRDefault="00F53873" w:rsidP="00BE7681">
            <w:pPr>
              <w:jc w:val="center"/>
            </w:pPr>
            <w:r w:rsidRPr="005B1F37">
              <w:t>+3 208.9</w:t>
            </w:r>
          </w:p>
          <w:p w:rsidR="00F53873" w:rsidRPr="005B1F37" w:rsidRDefault="00F53873" w:rsidP="00BE7681">
            <w:pPr>
              <w:jc w:val="center"/>
            </w:pPr>
          </w:p>
          <w:p w:rsidR="00F53873" w:rsidRPr="005B1F37" w:rsidRDefault="00F53873" w:rsidP="00BE7681">
            <w:pPr>
              <w:jc w:val="center"/>
            </w:pPr>
          </w:p>
        </w:tc>
        <w:tc>
          <w:tcPr>
            <w:tcW w:w="1418" w:type="dxa"/>
            <w:vAlign w:val="center"/>
          </w:tcPr>
          <w:p w:rsidR="00F53873" w:rsidRPr="005B1F37" w:rsidRDefault="00F53873" w:rsidP="00BE7681">
            <w:pPr>
              <w:jc w:val="center"/>
            </w:pPr>
            <w:r w:rsidRPr="005B1F37">
              <w:t>-</w:t>
            </w:r>
          </w:p>
        </w:tc>
        <w:tc>
          <w:tcPr>
            <w:tcW w:w="1134" w:type="dxa"/>
            <w:vAlign w:val="center"/>
          </w:tcPr>
          <w:p w:rsidR="00F53873" w:rsidRPr="005B1F37" w:rsidRDefault="00F53873" w:rsidP="00BE7681">
            <w:pPr>
              <w:jc w:val="center"/>
            </w:pPr>
            <w:r w:rsidRPr="005B1F37">
              <w:t>-</w:t>
            </w:r>
          </w:p>
        </w:tc>
        <w:tc>
          <w:tcPr>
            <w:tcW w:w="1165" w:type="dxa"/>
            <w:vAlign w:val="center"/>
          </w:tcPr>
          <w:p w:rsidR="00F53873" w:rsidRPr="005B1F37" w:rsidRDefault="00F53873" w:rsidP="00BE7681">
            <w:pPr>
              <w:jc w:val="center"/>
            </w:pPr>
            <w:r w:rsidRPr="005B1F37">
              <w:t>-</w:t>
            </w:r>
          </w:p>
        </w:tc>
      </w:tr>
      <w:tr w:rsidR="0081147A" w:rsidRPr="005B1F37" w:rsidTr="00BE7681">
        <w:trPr>
          <w:trHeight w:val="889"/>
        </w:trPr>
        <w:tc>
          <w:tcPr>
            <w:tcW w:w="2660" w:type="dxa"/>
            <w:gridSpan w:val="4"/>
          </w:tcPr>
          <w:p w:rsidR="00F53873" w:rsidRPr="005B1F37" w:rsidRDefault="00F53873" w:rsidP="00BE7681">
            <w:pPr>
              <w:jc w:val="both"/>
            </w:pPr>
            <w:r w:rsidRPr="005B1F37">
              <w:t xml:space="preserve">pamatbudžeta apakšprogrammā 42.01.00 „Iestāžu </w:t>
            </w:r>
            <w:r w:rsidRPr="005B1F37">
              <w:lastRenderedPageBreak/>
              <w:t>darbības nodrošināšana”</w:t>
            </w:r>
          </w:p>
        </w:tc>
        <w:tc>
          <w:tcPr>
            <w:tcW w:w="1417" w:type="dxa"/>
          </w:tcPr>
          <w:p w:rsidR="00F53873" w:rsidRPr="005B1F37" w:rsidRDefault="00F53873" w:rsidP="00BE7681">
            <w:pPr>
              <w:jc w:val="center"/>
            </w:pPr>
            <w:r w:rsidRPr="005B1F37">
              <w:lastRenderedPageBreak/>
              <w:t>0</w:t>
            </w:r>
          </w:p>
        </w:tc>
        <w:tc>
          <w:tcPr>
            <w:tcW w:w="1701" w:type="dxa"/>
          </w:tcPr>
          <w:p w:rsidR="00F53873" w:rsidRPr="005B1F37" w:rsidRDefault="00F53873" w:rsidP="00BE7681">
            <w:pPr>
              <w:jc w:val="center"/>
            </w:pPr>
            <w:r w:rsidRPr="005B1F37">
              <w:t>+18,2</w:t>
            </w:r>
          </w:p>
          <w:p w:rsidR="00F53873" w:rsidRPr="005B1F37" w:rsidRDefault="00F53873" w:rsidP="00BE7681">
            <w:pPr>
              <w:jc w:val="center"/>
            </w:pPr>
          </w:p>
          <w:p w:rsidR="00F53873" w:rsidRPr="005B1F37" w:rsidRDefault="00F53873" w:rsidP="00BE7681">
            <w:pPr>
              <w:jc w:val="center"/>
            </w:pPr>
          </w:p>
        </w:tc>
        <w:tc>
          <w:tcPr>
            <w:tcW w:w="1418" w:type="dxa"/>
            <w:vAlign w:val="center"/>
          </w:tcPr>
          <w:p w:rsidR="00F53873" w:rsidRPr="005B1F37" w:rsidRDefault="00F53873" w:rsidP="00BE7681">
            <w:pPr>
              <w:jc w:val="center"/>
            </w:pPr>
            <w:r w:rsidRPr="005B1F37">
              <w:t>-</w:t>
            </w:r>
          </w:p>
        </w:tc>
        <w:tc>
          <w:tcPr>
            <w:tcW w:w="1134" w:type="dxa"/>
            <w:vAlign w:val="center"/>
          </w:tcPr>
          <w:p w:rsidR="00F53873" w:rsidRPr="005B1F37" w:rsidRDefault="00F53873" w:rsidP="00BE7681">
            <w:pPr>
              <w:jc w:val="center"/>
            </w:pPr>
            <w:r w:rsidRPr="005B1F37">
              <w:t>-</w:t>
            </w:r>
          </w:p>
        </w:tc>
        <w:tc>
          <w:tcPr>
            <w:tcW w:w="1165" w:type="dxa"/>
            <w:vAlign w:val="center"/>
          </w:tcPr>
          <w:p w:rsidR="00F53873" w:rsidRPr="005B1F37" w:rsidRDefault="00F53873" w:rsidP="00BE7681">
            <w:pPr>
              <w:jc w:val="center"/>
            </w:pPr>
            <w:r w:rsidRPr="005B1F37">
              <w:t>-</w:t>
            </w:r>
          </w:p>
        </w:tc>
      </w:tr>
      <w:tr w:rsidR="0081147A" w:rsidRPr="005B1F37" w:rsidTr="00BE7681">
        <w:trPr>
          <w:trHeight w:val="889"/>
        </w:trPr>
        <w:tc>
          <w:tcPr>
            <w:tcW w:w="2660" w:type="dxa"/>
            <w:gridSpan w:val="4"/>
          </w:tcPr>
          <w:p w:rsidR="00F53873" w:rsidRPr="005B1F37" w:rsidRDefault="00F53873" w:rsidP="00BE7681">
            <w:pPr>
              <w:jc w:val="both"/>
            </w:pPr>
            <w:r w:rsidRPr="005B1F37">
              <w:lastRenderedPageBreak/>
              <w:t>pamatbudžeta programmā 07.00.00</w:t>
            </w:r>
            <w:proofErr w:type="gramStart"/>
            <w:r w:rsidRPr="005B1F37">
              <w:t xml:space="preserve">  </w:t>
            </w:r>
            <w:proofErr w:type="gramEnd"/>
            <w:r w:rsidRPr="005B1F37">
              <w:t>„Informācijas tehnoloģiju attīstība un uzturēšana izglītībā, Microsoft līguma un projektu nodrošināšana”</w:t>
            </w:r>
          </w:p>
        </w:tc>
        <w:tc>
          <w:tcPr>
            <w:tcW w:w="1417" w:type="dxa"/>
          </w:tcPr>
          <w:p w:rsidR="00F53873" w:rsidRPr="005B1F37" w:rsidRDefault="00F53873" w:rsidP="00BE7681">
            <w:pPr>
              <w:jc w:val="center"/>
            </w:pPr>
            <w:r w:rsidRPr="005B1F37">
              <w:t>0</w:t>
            </w:r>
          </w:p>
        </w:tc>
        <w:tc>
          <w:tcPr>
            <w:tcW w:w="1701" w:type="dxa"/>
          </w:tcPr>
          <w:p w:rsidR="00F53873" w:rsidRPr="005B1F37" w:rsidRDefault="00F53873" w:rsidP="00BE7681">
            <w:pPr>
              <w:jc w:val="center"/>
            </w:pPr>
            <w:r w:rsidRPr="005B1F37">
              <w:t>+ 9.6</w:t>
            </w:r>
          </w:p>
          <w:p w:rsidR="00F53873" w:rsidRPr="005B1F37" w:rsidRDefault="00F53873" w:rsidP="00BE7681">
            <w:pPr>
              <w:jc w:val="center"/>
            </w:pPr>
          </w:p>
        </w:tc>
        <w:tc>
          <w:tcPr>
            <w:tcW w:w="1418" w:type="dxa"/>
            <w:vAlign w:val="center"/>
          </w:tcPr>
          <w:p w:rsidR="00F53873" w:rsidRPr="005B1F37" w:rsidRDefault="00F53873" w:rsidP="00BE7681">
            <w:pPr>
              <w:jc w:val="center"/>
            </w:pPr>
            <w:r w:rsidRPr="005B1F37">
              <w:t>-</w:t>
            </w:r>
          </w:p>
        </w:tc>
        <w:tc>
          <w:tcPr>
            <w:tcW w:w="1134" w:type="dxa"/>
            <w:vAlign w:val="center"/>
          </w:tcPr>
          <w:p w:rsidR="00F53873" w:rsidRPr="005B1F37" w:rsidRDefault="00F53873" w:rsidP="00BE7681">
            <w:pPr>
              <w:jc w:val="center"/>
            </w:pPr>
            <w:r w:rsidRPr="005B1F37">
              <w:t>-</w:t>
            </w:r>
          </w:p>
        </w:tc>
        <w:tc>
          <w:tcPr>
            <w:tcW w:w="1165" w:type="dxa"/>
            <w:vAlign w:val="center"/>
          </w:tcPr>
          <w:p w:rsidR="00F53873" w:rsidRPr="005B1F37" w:rsidRDefault="00F53873" w:rsidP="00BE7681">
            <w:pPr>
              <w:jc w:val="center"/>
            </w:pPr>
            <w:r w:rsidRPr="005B1F37">
              <w:t>-</w:t>
            </w:r>
          </w:p>
        </w:tc>
      </w:tr>
      <w:tr w:rsidR="0081147A" w:rsidRPr="005B1F37" w:rsidTr="00BE7681">
        <w:trPr>
          <w:trHeight w:val="889"/>
        </w:trPr>
        <w:tc>
          <w:tcPr>
            <w:tcW w:w="2660" w:type="dxa"/>
            <w:gridSpan w:val="4"/>
          </w:tcPr>
          <w:p w:rsidR="00F53873" w:rsidRPr="005B1F37" w:rsidRDefault="00F53873" w:rsidP="00BE7681">
            <w:pPr>
              <w:jc w:val="both"/>
            </w:pPr>
            <w:r w:rsidRPr="005B1F37">
              <w:t>pamatbudžeta apakšprogrammā 01.05.00 "Dotācija privātajām mācību iestādēm"</w:t>
            </w:r>
          </w:p>
        </w:tc>
        <w:tc>
          <w:tcPr>
            <w:tcW w:w="1417" w:type="dxa"/>
          </w:tcPr>
          <w:p w:rsidR="00F53873" w:rsidRPr="005B1F37" w:rsidRDefault="00F53873" w:rsidP="00BE7681">
            <w:pPr>
              <w:jc w:val="center"/>
            </w:pPr>
            <w:r w:rsidRPr="005B1F37">
              <w:t>0</w:t>
            </w:r>
          </w:p>
        </w:tc>
        <w:tc>
          <w:tcPr>
            <w:tcW w:w="1701" w:type="dxa"/>
          </w:tcPr>
          <w:p w:rsidR="00F53873" w:rsidRPr="005B1F37" w:rsidRDefault="00F53873" w:rsidP="00BE7681">
            <w:pPr>
              <w:jc w:val="center"/>
            </w:pPr>
            <w:r w:rsidRPr="005B1F37">
              <w:t>+3 174.2</w:t>
            </w:r>
          </w:p>
        </w:tc>
        <w:tc>
          <w:tcPr>
            <w:tcW w:w="1418" w:type="dxa"/>
            <w:vAlign w:val="center"/>
          </w:tcPr>
          <w:p w:rsidR="00F53873" w:rsidRPr="005B1F37" w:rsidRDefault="00F53873" w:rsidP="00BE7681">
            <w:pPr>
              <w:jc w:val="center"/>
            </w:pPr>
            <w:r w:rsidRPr="005B1F37">
              <w:t>-</w:t>
            </w:r>
          </w:p>
        </w:tc>
        <w:tc>
          <w:tcPr>
            <w:tcW w:w="1134" w:type="dxa"/>
            <w:vAlign w:val="center"/>
          </w:tcPr>
          <w:p w:rsidR="00F53873" w:rsidRPr="005B1F37" w:rsidRDefault="00F53873" w:rsidP="00BE7681">
            <w:pPr>
              <w:jc w:val="center"/>
            </w:pPr>
            <w:r w:rsidRPr="005B1F37">
              <w:t>-</w:t>
            </w:r>
          </w:p>
        </w:tc>
        <w:tc>
          <w:tcPr>
            <w:tcW w:w="1165" w:type="dxa"/>
            <w:vAlign w:val="center"/>
          </w:tcPr>
          <w:p w:rsidR="00F53873" w:rsidRPr="005B1F37" w:rsidRDefault="00F53873" w:rsidP="00BE7681">
            <w:pPr>
              <w:jc w:val="center"/>
            </w:pPr>
            <w:r w:rsidRPr="005B1F37">
              <w:t>-</w:t>
            </w:r>
          </w:p>
        </w:tc>
      </w:tr>
      <w:tr w:rsidR="0081147A" w:rsidRPr="005B1F37" w:rsidTr="00BE7681">
        <w:trPr>
          <w:trHeight w:val="1416"/>
        </w:trPr>
        <w:tc>
          <w:tcPr>
            <w:tcW w:w="2660" w:type="dxa"/>
            <w:gridSpan w:val="4"/>
          </w:tcPr>
          <w:p w:rsidR="00F53873" w:rsidRPr="005B1F37" w:rsidRDefault="00F53873" w:rsidP="00BE7681">
            <w:r w:rsidRPr="005B1F37">
              <w:t>pamatbudžeta apakšprogrammā 06.08.00 "Nozares politikas veidošana un uzraudzība"</w:t>
            </w:r>
          </w:p>
        </w:tc>
        <w:tc>
          <w:tcPr>
            <w:tcW w:w="1417" w:type="dxa"/>
          </w:tcPr>
          <w:p w:rsidR="00F53873" w:rsidRPr="005B1F37" w:rsidRDefault="00F53873" w:rsidP="00BE7681">
            <w:pPr>
              <w:jc w:val="center"/>
            </w:pPr>
            <w:r w:rsidRPr="005B1F37">
              <w:t>0</w:t>
            </w:r>
          </w:p>
        </w:tc>
        <w:tc>
          <w:tcPr>
            <w:tcW w:w="1701" w:type="dxa"/>
          </w:tcPr>
          <w:p w:rsidR="00F53873" w:rsidRPr="005B1F37" w:rsidRDefault="00F53873" w:rsidP="00BE7681">
            <w:pPr>
              <w:jc w:val="center"/>
            </w:pPr>
          </w:p>
          <w:p w:rsidR="00F53873" w:rsidRPr="005B1F37" w:rsidRDefault="00F53873" w:rsidP="00BE7681">
            <w:pPr>
              <w:jc w:val="center"/>
            </w:pPr>
            <w:r w:rsidRPr="005B1F37">
              <w:t>+6.9</w:t>
            </w:r>
          </w:p>
          <w:p w:rsidR="00F53873" w:rsidRPr="005B1F37" w:rsidRDefault="00F53873" w:rsidP="00BE7681">
            <w:pPr>
              <w:jc w:val="center"/>
            </w:pPr>
          </w:p>
        </w:tc>
        <w:tc>
          <w:tcPr>
            <w:tcW w:w="1418" w:type="dxa"/>
            <w:vAlign w:val="center"/>
          </w:tcPr>
          <w:p w:rsidR="00F53873" w:rsidRPr="005B1F37" w:rsidRDefault="00F53873" w:rsidP="00BE7681">
            <w:pPr>
              <w:jc w:val="center"/>
            </w:pPr>
            <w:r w:rsidRPr="005B1F37">
              <w:t>-</w:t>
            </w:r>
          </w:p>
        </w:tc>
        <w:tc>
          <w:tcPr>
            <w:tcW w:w="1134" w:type="dxa"/>
            <w:vAlign w:val="center"/>
          </w:tcPr>
          <w:p w:rsidR="00F53873" w:rsidRPr="005B1F37" w:rsidRDefault="00F53873" w:rsidP="00BE7681">
            <w:pPr>
              <w:jc w:val="center"/>
            </w:pPr>
            <w:r w:rsidRPr="005B1F37">
              <w:t>-</w:t>
            </w:r>
          </w:p>
        </w:tc>
        <w:tc>
          <w:tcPr>
            <w:tcW w:w="1165" w:type="dxa"/>
            <w:vAlign w:val="center"/>
          </w:tcPr>
          <w:p w:rsidR="00F53873" w:rsidRPr="005B1F37" w:rsidRDefault="00F53873" w:rsidP="00BE7681">
            <w:pPr>
              <w:jc w:val="center"/>
            </w:pPr>
            <w:r w:rsidRPr="005B1F37">
              <w:t>-</w:t>
            </w:r>
          </w:p>
        </w:tc>
      </w:tr>
      <w:tr w:rsidR="0081147A" w:rsidRPr="005B1F37" w:rsidTr="00875795">
        <w:tc>
          <w:tcPr>
            <w:tcW w:w="2660" w:type="dxa"/>
            <w:gridSpan w:val="4"/>
          </w:tcPr>
          <w:p w:rsidR="00AB3F9C" w:rsidRPr="005B1F37" w:rsidRDefault="00AB3F9C" w:rsidP="00090467">
            <w:pPr>
              <w:pStyle w:val="naisf"/>
              <w:spacing w:before="0" w:beforeAutospacing="0" w:after="0" w:afterAutospacing="0"/>
              <w:rPr>
                <w:i/>
                <w:color w:val="auto"/>
              </w:rPr>
            </w:pPr>
            <w:r w:rsidRPr="005B1F37">
              <w:rPr>
                <w:color w:val="auto"/>
              </w:rPr>
              <w:t>1.2. valsts speciālais budžets</w:t>
            </w:r>
          </w:p>
        </w:tc>
        <w:tc>
          <w:tcPr>
            <w:tcW w:w="6835" w:type="dxa"/>
            <w:gridSpan w:val="5"/>
            <w:vMerge w:val="restart"/>
            <w:vAlign w:val="center"/>
          </w:tcPr>
          <w:p w:rsidR="00AB3F9C" w:rsidRPr="0081147A" w:rsidRDefault="00AB3F9C" w:rsidP="00475CB6">
            <w:pPr>
              <w:jc w:val="center"/>
            </w:pPr>
            <w:r w:rsidRPr="0081147A">
              <w:t>Noteikumu projekts šo jomu neskar.</w:t>
            </w:r>
          </w:p>
        </w:tc>
      </w:tr>
      <w:tr w:rsidR="0081147A" w:rsidRPr="005B1F37" w:rsidTr="00875795">
        <w:tc>
          <w:tcPr>
            <w:tcW w:w="2660" w:type="dxa"/>
            <w:gridSpan w:val="4"/>
          </w:tcPr>
          <w:p w:rsidR="00AB3F9C" w:rsidRPr="005B1F37" w:rsidRDefault="00AB3F9C" w:rsidP="00475CB6">
            <w:r w:rsidRPr="005B1F37">
              <w:t>1.3. pašvaldību budžets</w:t>
            </w:r>
          </w:p>
        </w:tc>
        <w:tc>
          <w:tcPr>
            <w:tcW w:w="6835" w:type="dxa"/>
            <w:gridSpan w:val="5"/>
            <w:vMerge/>
            <w:vAlign w:val="center"/>
          </w:tcPr>
          <w:p w:rsidR="00AB3F9C" w:rsidRPr="005B1F37" w:rsidRDefault="00AB3F9C" w:rsidP="00090467">
            <w:pPr>
              <w:jc w:val="center"/>
            </w:pPr>
          </w:p>
        </w:tc>
      </w:tr>
      <w:tr w:rsidR="0081147A" w:rsidRPr="005B1F37" w:rsidTr="00875795">
        <w:tc>
          <w:tcPr>
            <w:tcW w:w="2660" w:type="dxa"/>
            <w:gridSpan w:val="4"/>
          </w:tcPr>
          <w:p w:rsidR="00AB3F9C" w:rsidRPr="005B1F37" w:rsidRDefault="00AB3F9C" w:rsidP="00475CB6">
            <w:pPr>
              <w:rPr>
                <w:b/>
              </w:rPr>
            </w:pPr>
            <w:r w:rsidRPr="005B1F37">
              <w:rPr>
                <w:b/>
              </w:rPr>
              <w:t>2. Budžeta izdevumi:</w:t>
            </w:r>
          </w:p>
        </w:tc>
        <w:tc>
          <w:tcPr>
            <w:tcW w:w="1417" w:type="dxa"/>
          </w:tcPr>
          <w:p w:rsidR="00AB3F9C" w:rsidRPr="005B1F37" w:rsidRDefault="00AB3F9C" w:rsidP="00090467">
            <w:pPr>
              <w:pStyle w:val="naisf"/>
              <w:spacing w:before="0" w:beforeAutospacing="0" w:after="0" w:afterAutospacing="0"/>
              <w:jc w:val="center"/>
              <w:rPr>
                <w:b/>
                <w:color w:val="auto"/>
              </w:rPr>
            </w:pPr>
            <w:r w:rsidRPr="005B1F37">
              <w:rPr>
                <w:b/>
                <w:color w:val="auto"/>
              </w:rPr>
              <w:t>0</w:t>
            </w:r>
          </w:p>
        </w:tc>
        <w:tc>
          <w:tcPr>
            <w:tcW w:w="1701" w:type="dxa"/>
          </w:tcPr>
          <w:p w:rsidR="00AB3F9C" w:rsidRPr="0081147A" w:rsidRDefault="00AB3F9C" w:rsidP="00475CB6">
            <w:pPr>
              <w:jc w:val="center"/>
              <w:rPr>
                <w:b/>
              </w:rPr>
            </w:pPr>
            <w:r w:rsidRPr="0081147A">
              <w:rPr>
                <w:b/>
              </w:rPr>
              <w:t xml:space="preserve"> </w:t>
            </w:r>
            <w:r w:rsidR="008910D0" w:rsidRPr="0081147A">
              <w:rPr>
                <w:b/>
              </w:rPr>
              <w:t>0</w:t>
            </w:r>
          </w:p>
        </w:tc>
        <w:tc>
          <w:tcPr>
            <w:tcW w:w="1418" w:type="dxa"/>
            <w:vAlign w:val="center"/>
          </w:tcPr>
          <w:p w:rsidR="00AB3F9C" w:rsidRPr="0081147A" w:rsidRDefault="00AB3F9C" w:rsidP="00475CB6">
            <w:pPr>
              <w:jc w:val="center"/>
              <w:rPr>
                <w:b/>
              </w:rPr>
            </w:pPr>
            <w:r w:rsidRPr="0081147A">
              <w:t>-</w:t>
            </w:r>
          </w:p>
        </w:tc>
        <w:tc>
          <w:tcPr>
            <w:tcW w:w="1134" w:type="dxa"/>
            <w:vAlign w:val="center"/>
          </w:tcPr>
          <w:p w:rsidR="00AB3F9C" w:rsidRPr="00C53AAD" w:rsidRDefault="00AB3F9C" w:rsidP="00090467">
            <w:pPr>
              <w:jc w:val="center"/>
              <w:rPr>
                <w:b/>
              </w:rPr>
            </w:pPr>
            <w:r w:rsidRPr="00C53AAD">
              <w:t>-</w:t>
            </w:r>
          </w:p>
        </w:tc>
        <w:tc>
          <w:tcPr>
            <w:tcW w:w="1165" w:type="dxa"/>
            <w:vAlign w:val="center"/>
          </w:tcPr>
          <w:p w:rsidR="00AB3F9C" w:rsidRPr="00C53AAD" w:rsidRDefault="00AB3F9C" w:rsidP="00090467">
            <w:pPr>
              <w:jc w:val="center"/>
              <w:rPr>
                <w:b/>
              </w:rPr>
            </w:pPr>
            <w:r w:rsidRPr="00C53AAD">
              <w:t>-</w:t>
            </w:r>
          </w:p>
        </w:tc>
      </w:tr>
      <w:tr w:rsidR="0081147A" w:rsidRPr="005B1F37" w:rsidTr="00875795">
        <w:trPr>
          <w:trHeight w:val="572"/>
        </w:trPr>
        <w:tc>
          <w:tcPr>
            <w:tcW w:w="2660" w:type="dxa"/>
            <w:gridSpan w:val="4"/>
          </w:tcPr>
          <w:p w:rsidR="00AB3F9C" w:rsidRPr="005B1F37" w:rsidRDefault="00AB3F9C" w:rsidP="00475CB6">
            <w:r w:rsidRPr="005B1F37">
              <w:t xml:space="preserve">2.1. valsts pamatbudžets </w:t>
            </w:r>
          </w:p>
        </w:tc>
        <w:tc>
          <w:tcPr>
            <w:tcW w:w="1417" w:type="dxa"/>
          </w:tcPr>
          <w:p w:rsidR="00AB3F9C" w:rsidRPr="005B1F37" w:rsidRDefault="00015246" w:rsidP="00475CB6">
            <w:pPr>
              <w:jc w:val="center"/>
              <w:rPr>
                <w:bCs/>
              </w:rPr>
            </w:pPr>
            <w:r w:rsidRPr="005B1F37">
              <w:t xml:space="preserve">3 218,8 </w:t>
            </w:r>
          </w:p>
        </w:tc>
        <w:tc>
          <w:tcPr>
            <w:tcW w:w="1701" w:type="dxa"/>
          </w:tcPr>
          <w:p w:rsidR="00AB3F9C" w:rsidRPr="005B1F37" w:rsidRDefault="00AB3F9C" w:rsidP="00090467">
            <w:pPr>
              <w:jc w:val="center"/>
            </w:pPr>
            <w:r w:rsidRPr="005B1F37">
              <w:t xml:space="preserve">   </w:t>
            </w:r>
            <w:r w:rsidR="0080745B" w:rsidRPr="005B1F37">
              <w:t>-</w:t>
            </w:r>
            <w:r w:rsidRPr="005B1F37">
              <w:tab/>
            </w:r>
          </w:p>
        </w:tc>
        <w:tc>
          <w:tcPr>
            <w:tcW w:w="1418" w:type="dxa"/>
            <w:vAlign w:val="center"/>
          </w:tcPr>
          <w:p w:rsidR="00AB3F9C" w:rsidRPr="005B1F37" w:rsidRDefault="00AB3F9C" w:rsidP="00090467">
            <w:pPr>
              <w:jc w:val="center"/>
            </w:pPr>
            <w:r w:rsidRPr="005B1F37">
              <w:t>-</w:t>
            </w:r>
          </w:p>
        </w:tc>
        <w:tc>
          <w:tcPr>
            <w:tcW w:w="1134" w:type="dxa"/>
            <w:vAlign w:val="center"/>
          </w:tcPr>
          <w:p w:rsidR="00AB3F9C" w:rsidRPr="005B1F37" w:rsidRDefault="00AB3F9C" w:rsidP="00090467">
            <w:pPr>
              <w:jc w:val="center"/>
            </w:pPr>
            <w:r w:rsidRPr="005B1F37">
              <w:t>-</w:t>
            </w:r>
          </w:p>
        </w:tc>
        <w:tc>
          <w:tcPr>
            <w:tcW w:w="1165" w:type="dxa"/>
            <w:vAlign w:val="center"/>
          </w:tcPr>
          <w:p w:rsidR="00AB3F9C" w:rsidRPr="005B1F37" w:rsidRDefault="00AB3F9C" w:rsidP="00090467">
            <w:pPr>
              <w:jc w:val="center"/>
            </w:pPr>
            <w:r w:rsidRPr="005B1F37">
              <w:t>-</w:t>
            </w:r>
          </w:p>
        </w:tc>
      </w:tr>
      <w:tr w:rsidR="0081147A" w:rsidRPr="005B1F37" w:rsidTr="00BE7681">
        <w:trPr>
          <w:trHeight w:val="572"/>
        </w:trPr>
        <w:tc>
          <w:tcPr>
            <w:tcW w:w="2660" w:type="dxa"/>
            <w:gridSpan w:val="4"/>
          </w:tcPr>
          <w:p w:rsidR="00F34EC5" w:rsidRPr="005B1F37" w:rsidRDefault="00F34EC5" w:rsidP="00951419">
            <w:r w:rsidRPr="005B1F37">
              <w:t>Labklājības ministrijas pamatbudžeta apakšprogramm</w:t>
            </w:r>
            <w:r w:rsidR="00951419" w:rsidRPr="005B1F37">
              <w:t>ā</w:t>
            </w:r>
            <w:proofErr w:type="gramStart"/>
            <w:r w:rsidRPr="005B1F37">
              <w:t xml:space="preserve">  </w:t>
            </w:r>
            <w:proofErr w:type="gramEnd"/>
            <w:r w:rsidRPr="005B1F37">
              <w:t>05.67.00 „Valsts atbalsts pašvaldību pirmskolas izglītības iestāžu rindu likvidēšanai”</w:t>
            </w:r>
          </w:p>
        </w:tc>
        <w:tc>
          <w:tcPr>
            <w:tcW w:w="1417" w:type="dxa"/>
          </w:tcPr>
          <w:p w:rsidR="00F34EC5" w:rsidRPr="005B1F37" w:rsidRDefault="00F34EC5" w:rsidP="00BE7681">
            <w:pPr>
              <w:jc w:val="center"/>
            </w:pPr>
            <w:r w:rsidRPr="005B1F37">
              <w:t>0</w:t>
            </w:r>
          </w:p>
        </w:tc>
        <w:tc>
          <w:tcPr>
            <w:tcW w:w="1701" w:type="dxa"/>
          </w:tcPr>
          <w:p w:rsidR="00F34EC5" w:rsidRPr="005B1F37" w:rsidRDefault="00F34EC5" w:rsidP="00BE7681">
            <w:pPr>
              <w:jc w:val="center"/>
            </w:pPr>
            <w:r w:rsidRPr="005B1F37">
              <w:t>- 3 208.9</w:t>
            </w:r>
          </w:p>
        </w:tc>
        <w:tc>
          <w:tcPr>
            <w:tcW w:w="1418" w:type="dxa"/>
            <w:vAlign w:val="center"/>
          </w:tcPr>
          <w:p w:rsidR="00F34EC5" w:rsidRPr="005B1F37" w:rsidRDefault="00F34EC5" w:rsidP="00BE7681">
            <w:pPr>
              <w:jc w:val="center"/>
            </w:pPr>
          </w:p>
        </w:tc>
        <w:tc>
          <w:tcPr>
            <w:tcW w:w="1134" w:type="dxa"/>
            <w:vAlign w:val="center"/>
          </w:tcPr>
          <w:p w:rsidR="00F34EC5" w:rsidRPr="005B1F37" w:rsidRDefault="00F34EC5" w:rsidP="00BE7681">
            <w:pPr>
              <w:jc w:val="center"/>
            </w:pPr>
          </w:p>
        </w:tc>
        <w:tc>
          <w:tcPr>
            <w:tcW w:w="1165" w:type="dxa"/>
            <w:vAlign w:val="center"/>
          </w:tcPr>
          <w:p w:rsidR="00F34EC5" w:rsidRPr="005B1F37" w:rsidRDefault="00F34EC5" w:rsidP="00BE7681">
            <w:pPr>
              <w:jc w:val="center"/>
            </w:pPr>
          </w:p>
        </w:tc>
      </w:tr>
      <w:tr w:rsidR="0081147A" w:rsidRPr="005B1F37" w:rsidTr="00875795">
        <w:trPr>
          <w:trHeight w:val="889"/>
        </w:trPr>
        <w:tc>
          <w:tcPr>
            <w:tcW w:w="2660" w:type="dxa"/>
            <w:gridSpan w:val="4"/>
          </w:tcPr>
          <w:p w:rsidR="00AB3F9C" w:rsidRPr="005B1F37" w:rsidRDefault="00AB3F9C" w:rsidP="00475CB6">
            <w:pPr>
              <w:jc w:val="both"/>
            </w:pPr>
            <w:r w:rsidRPr="005B1F37">
              <w:t xml:space="preserve">Izglītības un zinātnes ministrijai kopā, t.sk. </w:t>
            </w:r>
          </w:p>
        </w:tc>
        <w:tc>
          <w:tcPr>
            <w:tcW w:w="1417" w:type="dxa"/>
          </w:tcPr>
          <w:p w:rsidR="00AB3F9C" w:rsidRPr="005B1F37" w:rsidRDefault="00AB3F9C" w:rsidP="00475CB6">
            <w:pPr>
              <w:jc w:val="center"/>
            </w:pPr>
            <w:r w:rsidRPr="005B1F37">
              <w:t>0</w:t>
            </w:r>
          </w:p>
        </w:tc>
        <w:tc>
          <w:tcPr>
            <w:tcW w:w="1701" w:type="dxa"/>
          </w:tcPr>
          <w:p w:rsidR="00AB3F9C" w:rsidRPr="005B1F37" w:rsidRDefault="00AB3F9C" w:rsidP="00090467">
            <w:pPr>
              <w:jc w:val="center"/>
            </w:pPr>
            <w:r w:rsidRPr="005B1F37">
              <w:t>+</w:t>
            </w:r>
            <w:r w:rsidR="00EC567A" w:rsidRPr="005B1F37">
              <w:t>3 208.9</w:t>
            </w:r>
          </w:p>
          <w:p w:rsidR="00AB3F9C" w:rsidRPr="005B1F37" w:rsidRDefault="00AB3F9C" w:rsidP="00090467">
            <w:pPr>
              <w:jc w:val="center"/>
            </w:pPr>
          </w:p>
          <w:p w:rsidR="00AB3F9C" w:rsidRPr="005B1F37" w:rsidRDefault="00AB3F9C" w:rsidP="00090467">
            <w:pPr>
              <w:jc w:val="center"/>
            </w:pPr>
          </w:p>
        </w:tc>
        <w:tc>
          <w:tcPr>
            <w:tcW w:w="1418" w:type="dxa"/>
            <w:vAlign w:val="center"/>
          </w:tcPr>
          <w:p w:rsidR="00AB3F9C" w:rsidRPr="005B1F37" w:rsidRDefault="00AB3F9C" w:rsidP="00090467">
            <w:pPr>
              <w:jc w:val="center"/>
            </w:pPr>
            <w:r w:rsidRPr="005B1F37">
              <w:t>-</w:t>
            </w:r>
          </w:p>
        </w:tc>
        <w:tc>
          <w:tcPr>
            <w:tcW w:w="1134" w:type="dxa"/>
            <w:vAlign w:val="center"/>
          </w:tcPr>
          <w:p w:rsidR="00AB3F9C" w:rsidRPr="005B1F37" w:rsidRDefault="00AB3F9C" w:rsidP="00090467">
            <w:pPr>
              <w:jc w:val="center"/>
            </w:pPr>
            <w:r w:rsidRPr="005B1F37">
              <w:t>-</w:t>
            </w:r>
          </w:p>
        </w:tc>
        <w:tc>
          <w:tcPr>
            <w:tcW w:w="1165" w:type="dxa"/>
            <w:vAlign w:val="center"/>
          </w:tcPr>
          <w:p w:rsidR="00AB3F9C" w:rsidRPr="005B1F37" w:rsidRDefault="00AB3F9C" w:rsidP="00090467">
            <w:pPr>
              <w:jc w:val="center"/>
            </w:pPr>
            <w:r w:rsidRPr="005B1F37">
              <w:t>-</w:t>
            </w:r>
          </w:p>
        </w:tc>
      </w:tr>
      <w:tr w:rsidR="0081147A" w:rsidRPr="005B1F37" w:rsidTr="00BE7681">
        <w:trPr>
          <w:trHeight w:val="889"/>
        </w:trPr>
        <w:tc>
          <w:tcPr>
            <w:tcW w:w="2660" w:type="dxa"/>
            <w:gridSpan w:val="4"/>
          </w:tcPr>
          <w:p w:rsidR="001D6DFE" w:rsidRPr="005B1F37" w:rsidRDefault="001D6DFE" w:rsidP="00475CB6">
            <w:pPr>
              <w:jc w:val="both"/>
            </w:pPr>
            <w:r w:rsidRPr="005B1F37">
              <w:t>pamatbudžeta apakšprogrammā 42.01.00 „Iestāžu darbības nodrošināšana”</w:t>
            </w:r>
          </w:p>
        </w:tc>
        <w:tc>
          <w:tcPr>
            <w:tcW w:w="1417" w:type="dxa"/>
          </w:tcPr>
          <w:p w:rsidR="001D6DFE" w:rsidRPr="005B1F37" w:rsidRDefault="001D6DFE" w:rsidP="00475CB6">
            <w:pPr>
              <w:jc w:val="center"/>
            </w:pPr>
            <w:r w:rsidRPr="005B1F37">
              <w:t>0</w:t>
            </w:r>
          </w:p>
        </w:tc>
        <w:tc>
          <w:tcPr>
            <w:tcW w:w="1701" w:type="dxa"/>
          </w:tcPr>
          <w:p w:rsidR="001D6DFE" w:rsidRPr="005B1F37" w:rsidRDefault="001D6DFE" w:rsidP="00090467">
            <w:pPr>
              <w:jc w:val="center"/>
            </w:pPr>
            <w:r w:rsidRPr="005B1F37">
              <w:t>+18,2</w:t>
            </w:r>
          </w:p>
          <w:p w:rsidR="001D6DFE" w:rsidRPr="005B1F37" w:rsidRDefault="001D6DFE" w:rsidP="00090467">
            <w:pPr>
              <w:jc w:val="center"/>
            </w:pPr>
          </w:p>
          <w:p w:rsidR="001D6DFE" w:rsidRPr="005B1F37" w:rsidRDefault="001D6DFE" w:rsidP="00090467">
            <w:pPr>
              <w:jc w:val="center"/>
            </w:pPr>
          </w:p>
        </w:tc>
        <w:tc>
          <w:tcPr>
            <w:tcW w:w="1418" w:type="dxa"/>
            <w:vAlign w:val="center"/>
          </w:tcPr>
          <w:p w:rsidR="001D6DFE" w:rsidRPr="005B1F37" w:rsidRDefault="001D6DFE" w:rsidP="00090467">
            <w:pPr>
              <w:jc w:val="center"/>
            </w:pPr>
            <w:r w:rsidRPr="005B1F37">
              <w:t>-</w:t>
            </w:r>
          </w:p>
        </w:tc>
        <w:tc>
          <w:tcPr>
            <w:tcW w:w="1134" w:type="dxa"/>
            <w:vAlign w:val="center"/>
          </w:tcPr>
          <w:p w:rsidR="001D6DFE" w:rsidRPr="005B1F37" w:rsidRDefault="001D6DFE" w:rsidP="00090467">
            <w:pPr>
              <w:jc w:val="center"/>
            </w:pPr>
            <w:r w:rsidRPr="005B1F37">
              <w:t>-</w:t>
            </w:r>
          </w:p>
        </w:tc>
        <w:tc>
          <w:tcPr>
            <w:tcW w:w="1165" w:type="dxa"/>
            <w:vAlign w:val="center"/>
          </w:tcPr>
          <w:p w:rsidR="001D6DFE" w:rsidRPr="005B1F37" w:rsidRDefault="001D6DFE" w:rsidP="00090467">
            <w:pPr>
              <w:jc w:val="center"/>
            </w:pPr>
            <w:r w:rsidRPr="005B1F37">
              <w:t>-</w:t>
            </w:r>
          </w:p>
        </w:tc>
      </w:tr>
      <w:tr w:rsidR="0081147A" w:rsidRPr="005B1F37" w:rsidTr="00BE7681">
        <w:trPr>
          <w:trHeight w:val="889"/>
        </w:trPr>
        <w:tc>
          <w:tcPr>
            <w:tcW w:w="2660" w:type="dxa"/>
            <w:gridSpan w:val="4"/>
          </w:tcPr>
          <w:p w:rsidR="001D6DFE" w:rsidRPr="005B1F37" w:rsidRDefault="001D6DFE" w:rsidP="00F83B02">
            <w:pPr>
              <w:jc w:val="both"/>
            </w:pPr>
            <w:r w:rsidRPr="005B1F37">
              <w:t>pamatbudžeta programmā 07.00.00</w:t>
            </w:r>
            <w:proofErr w:type="gramStart"/>
            <w:r w:rsidRPr="005B1F37">
              <w:t xml:space="preserve">  </w:t>
            </w:r>
            <w:proofErr w:type="gramEnd"/>
            <w:r w:rsidRPr="005B1F37">
              <w:t>„Informācijas tehnoloģiju attīstība un uzturēšana izglītībā, Microsoft līguma un projektu nodrošināšana”</w:t>
            </w:r>
          </w:p>
        </w:tc>
        <w:tc>
          <w:tcPr>
            <w:tcW w:w="1417" w:type="dxa"/>
          </w:tcPr>
          <w:p w:rsidR="001D6DFE" w:rsidRPr="005B1F37" w:rsidRDefault="001D6DFE" w:rsidP="00475CB6">
            <w:pPr>
              <w:jc w:val="center"/>
            </w:pPr>
            <w:r w:rsidRPr="005B1F37">
              <w:t>0</w:t>
            </w:r>
          </w:p>
        </w:tc>
        <w:tc>
          <w:tcPr>
            <w:tcW w:w="1701" w:type="dxa"/>
          </w:tcPr>
          <w:p w:rsidR="001D6DFE" w:rsidRPr="005B1F37" w:rsidRDefault="001D6DFE" w:rsidP="00090467">
            <w:pPr>
              <w:jc w:val="center"/>
            </w:pPr>
            <w:r w:rsidRPr="005B1F37">
              <w:t>+ 9.6</w:t>
            </w:r>
          </w:p>
          <w:p w:rsidR="001D6DFE" w:rsidRPr="005B1F37" w:rsidRDefault="001D6DFE" w:rsidP="00090467">
            <w:pPr>
              <w:jc w:val="center"/>
            </w:pPr>
          </w:p>
        </w:tc>
        <w:tc>
          <w:tcPr>
            <w:tcW w:w="1418" w:type="dxa"/>
            <w:vAlign w:val="center"/>
          </w:tcPr>
          <w:p w:rsidR="001D6DFE" w:rsidRPr="005B1F37" w:rsidRDefault="001D6DFE" w:rsidP="00090467">
            <w:pPr>
              <w:jc w:val="center"/>
            </w:pPr>
            <w:r w:rsidRPr="005B1F37">
              <w:t>-</w:t>
            </w:r>
          </w:p>
        </w:tc>
        <w:tc>
          <w:tcPr>
            <w:tcW w:w="1134" w:type="dxa"/>
            <w:vAlign w:val="center"/>
          </w:tcPr>
          <w:p w:rsidR="001D6DFE" w:rsidRPr="005B1F37" w:rsidRDefault="001D6DFE" w:rsidP="00090467">
            <w:pPr>
              <w:jc w:val="center"/>
            </w:pPr>
            <w:r w:rsidRPr="005B1F37">
              <w:t>-</w:t>
            </w:r>
          </w:p>
        </w:tc>
        <w:tc>
          <w:tcPr>
            <w:tcW w:w="1165" w:type="dxa"/>
            <w:vAlign w:val="center"/>
          </w:tcPr>
          <w:p w:rsidR="001D6DFE" w:rsidRPr="005B1F37" w:rsidRDefault="001D6DFE" w:rsidP="00090467">
            <w:pPr>
              <w:jc w:val="center"/>
            </w:pPr>
            <w:r w:rsidRPr="005B1F37">
              <w:t>-</w:t>
            </w:r>
          </w:p>
        </w:tc>
      </w:tr>
      <w:tr w:rsidR="0081147A" w:rsidRPr="005B1F37" w:rsidTr="00BE7681">
        <w:trPr>
          <w:trHeight w:val="889"/>
        </w:trPr>
        <w:tc>
          <w:tcPr>
            <w:tcW w:w="2660" w:type="dxa"/>
            <w:gridSpan w:val="4"/>
          </w:tcPr>
          <w:p w:rsidR="001D6DFE" w:rsidRPr="005B1F37" w:rsidRDefault="00E07AF2" w:rsidP="00475CB6">
            <w:pPr>
              <w:jc w:val="both"/>
            </w:pPr>
            <w:r w:rsidRPr="005B1F37">
              <w:lastRenderedPageBreak/>
              <w:t>pamatbudžeta apakšprogrammā 01.05.00 "Dotācija privātajām mācību iestādēm"</w:t>
            </w:r>
          </w:p>
        </w:tc>
        <w:tc>
          <w:tcPr>
            <w:tcW w:w="1417" w:type="dxa"/>
          </w:tcPr>
          <w:p w:rsidR="001D6DFE" w:rsidRPr="005B1F37" w:rsidRDefault="001D6DFE" w:rsidP="00475CB6">
            <w:pPr>
              <w:jc w:val="center"/>
            </w:pPr>
            <w:r w:rsidRPr="005B1F37">
              <w:t>0</w:t>
            </w:r>
          </w:p>
        </w:tc>
        <w:tc>
          <w:tcPr>
            <w:tcW w:w="1701" w:type="dxa"/>
          </w:tcPr>
          <w:p w:rsidR="001D6DFE" w:rsidRPr="005B1F37" w:rsidRDefault="00E07AF2" w:rsidP="00090467">
            <w:pPr>
              <w:jc w:val="center"/>
            </w:pPr>
            <w:r w:rsidRPr="005B1F37">
              <w:t>+3 174.2</w:t>
            </w:r>
          </w:p>
        </w:tc>
        <w:tc>
          <w:tcPr>
            <w:tcW w:w="1418" w:type="dxa"/>
            <w:vAlign w:val="center"/>
          </w:tcPr>
          <w:p w:rsidR="001D6DFE" w:rsidRPr="005B1F37" w:rsidRDefault="001D6DFE" w:rsidP="00090467">
            <w:pPr>
              <w:jc w:val="center"/>
            </w:pPr>
            <w:r w:rsidRPr="005B1F37">
              <w:t>-</w:t>
            </w:r>
          </w:p>
        </w:tc>
        <w:tc>
          <w:tcPr>
            <w:tcW w:w="1134" w:type="dxa"/>
            <w:vAlign w:val="center"/>
          </w:tcPr>
          <w:p w:rsidR="001D6DFE" w:rsidRPr="005B1F37" w:rsidRDefault="001D6DFE" w:rsidP="00090467">
            <w:pPr>
              <w:jc w:val="center"/>
            </w:pPr>
            <w:r w:rsidRPr="005B1F37">
              <w:t>-</w:t>
            </w:r>
          </w:p>
        </w:tc>
        <w:tc>
          <w:tcPr>
            <w:tcW w:w="1165" w:type="dxa"/>
            <w:vAlign w:val="center"/>
          </w:tcPr>
          <w:p w:rsidR="001D6DFE" w:rsidRPr="005B1F37" w:rsidRDefault="001D6DFE" w:rsidP="00090467">
            <w:pPr>
              <w:jc w:val="center"/>
            </w:pPr>
            <w:r w:rsidRPr="005B1F37">
              <w:t>-</w:t>
            </w:r>
          </w:p>
        </w:tc>
      </w:tr>
      <w:tr w:rsidR="0081147A" w:rsidRPr="005B1F37" w:rsidTr="00090467">
        <w:trPr>
          <w:trHeight w:val="1416"/>
        </w:trPr>
        <w:tc>
          <w:tcPr>
            <w:tcW w:w="2660" w:type="dxa"/>
            <w:gridSpan w:val="4"/>
          </w:tcPr>
          <w:p w:rsidR="00AB3F9C" w:rsidRPr="005B1F37" w:rsidRDefault="000769DB" w:rsidP="00475CB6">
            <w:r w:rsidRPr="005B1F37">
              <w:t>pamatbudžeta apakšprogrammā 06.08.00 "Nozares politikas veidošana un uzraudzība"</w:t>
            </w:r>
          </w:p>
        </w:tc>
        <w:tc>
          <w:tcPr>
            <w:tcW w:w="1417" w:type="dxa"/>
          </w:tcPr>
          <w:p w:rsidR="00AB3F9C" w:rsidRPr="005B1F37" w:rsidRDefault="00AB3F9C" w:rsidP="00475CB6">
            <w:pPr>
              <w:jc w:val="center"/>
            </w:pPr>
            <w:r w:rsidRPr="005B1F37">
              <w:t>0</w:t>
            </w:r>
          </w:p>
        </w:tc>
        <w:tc>
          <w:tcPr>
            <w:tcW w:w="1701" w:type="dxa"/>
          </w:tcPr>
          <w:p w:rsidR="00AB3F9C" w:rsidRPr="005B1F37" w:rsidRDefault="00AB3F9C" w:rsidP="00F73CB4">
            <w:pPr>
              <w:jc w:val="center"/>
            </w:pPr>
          </w:p>
          <w:p w:rsidR="00AB3F9C" w:rsidRPr="005B1F37" w:rsidRDefault="000769DB" w:rsidP="00F73CB4">
            <w:pPr>
              <w:jc w:val="center"/>
            </w:pPr>
            <w:r w:rsidRPr="005B1F37">
              <w:t>+6.9</w:t>
            </w:r>
          </w:p>
          <w:p w:rsidR="00AB3F9C" w:rsidRPr="005B1F37" w:rsidRDefault="00AB3F9C" w:rsidP="00090467">
            <w:pPr>
              <w:jc w:val="center"/>
            </w:pPr>
          </w:p>
        </w:tc>
        <w:tc>
          <w:tcPr>
            <w:tcW w:w="1418" w:type="dxa"/>
            <w:vAlign w:val="center"/>
          </w:tcPr>
          <w:p w:rsidR="00AB3F9C" w:rsidRPr="005B1F37" w:rsidRDefault="00AB3F9C" w:rsidP="00090467">
            <w:pPr>
              <w:jc w:val="center"/>
            </w:pPr>
            <w:r w:rsidRPr="005B1F37">
              <w:t>-</w:t>
            </w:r>
          </w:p>
        </w:tc>
        <w:tc>
          <w:tcPr>
            <w:tcW w:w="1134" w:type="dxa"/>
            <w:vAlign w:val="center"/>
          </w:tcPr>
          <w:p w:rsidR="00AB3F9C" w:rsidRPr="005B1F37" w:rsidRDefault="00AB3F9C" w:rsidP="00090467">
            <w:pPr>
              <w:jc w:val="center"/>
            </w:pPr>
            <w:r w:rsidRPr="005B1F37">
              <w:t>-</w:t>
            </w:r>
          </w:p>
        </w:tc>
        <w:tc>
          <w:tcPr>
            <w:tcW w:w="1165" w:type="dxa"/>
            <w:vAlign w:val="center"/>
          </w:tcPr>
          <w:p w:rsidR="00AB3F9C" w:rsidRPr="005B1F37" w:rsidRDefault="00AB3F9C" w:rsidP="00090467">
            <w:pPr>
              <w:jc w:val="center"/>
            </w:pPr>
            <w:r w:rsidRPr="005B1F37">
              <w:t>-</w:t>
            </w:r>
          </w:p>
        </w:tc>
      </w:tr>
      <w:tr w:rsidR="0081147A" w:rsidRPr="005B1F37" w:rsidTr="00875795">
        <w:tc>
          <w:tcPr>
            <w:tcW w:w="2660" w:type="dxa"/>
            <w:gridSpan w:val="4"/>
          </w:tcPr>
          <w:p w:rsidR="00AB3F9C" w:rsidRPr="005B1F37" w:rsidRDefault="00AB3F9C" w:rsidP="00475CB6">
            <w:r w:rsidRPr="005B1F37">
              <w:t>2.2. valsts speciālais budžets</w:t>
            </w:r>
          </w:p>
        </w:tc>
        <w:tc>
          <w:tcPr>
            <w:tcW w:w="6835" w:type="dxa"/>
            <w:gridSpan w:val="5"/>
            <w:vMerge w:val="restart"/>
            <w:vAlign w:val="center"/>
          </w:tcPr>
          <w:p w:rsidR="00AB3F9C" w:rsidRPr="005B1F37" w:rsidRDefault="00AB3F9C" w:rsidP="00475CB6">
            <w:pPr>
              <w:jc w:val="center"/>
            </w:pPr>
            <w:r w:rsidRPr="005B1F37">
              <w:t>Noteikumu projekts šo jomu neskar.</w:t>
            </w:r>
          </w:p>
        </w:tc>
      </w:tr>
      <w:tr w:rsidR="0081147A" w:rsidRPr="005B1F37" w:rsidTr="00875795">
        <w:tc>
          <w:tcPr>
            <w:tcW w:w="2660" w:type="dxa"/>
            <w:gridSpan w:val="4"/>
          </w:tcPr>
          <w:p w:rsidR="00AB3F9C" w:rsidRPr="005B1F37" w:rsidRDefault="00AB3F9C" w:rsidP="00475CB6">
            <w:r w:rsidRPr="005B1F37">
              <w:t xml:space="preserve">2.3. pašvaldību budžets </w:t>
            </w:r>
          </w:p>
        </w:tc>
        <w:tc>
          <w:tcPr>
            <w:tcW w:w="6835" w:type="dxa"/>
            <w:gridSpan w:val="5"/>
            <w:vMerge/>
            <w:vAlign w:val="center"/>
          </w:tcPr>
          <w:p w:rsidR="00AB3F9C" w:rsidRPr="005B1F37" w:rsidRDefault="00AB3F9C" w:rsidP="00090467">
            <w:pPr>
              <w:jc w:val="center"/>
            </w:pPr>
          </w:p>
        </w:tc>
      </w:tr>
      <w:tr w:rsidR="0081147A" w:rsidRPr="005B1F37" w:rsidTr="00875795">
        <w:tc>
          <w:tcPr>
            <w:tcW w:w="2660" w:type="dxa"/>
            <w:gridSpan w:val="4"/>
          </w:tcPr>
          <w:p w:rsidR="00AB3F9C" w:rsidRPr="005B1F37" w:rsidRDefault="00AB3F9C" w:rsidP="00475CB6">
            <w:pPr>
              <w:rPr>
                <w:b/>
              </w:rPr>
            </w:pPr>
            <w:r w:rsidRPr="005B1F37">
              <w:rPr>
                <w:b/>
              </w:rPr>
              <w:t>3. Finansiālā ietekme:</w:t>
            </w:r>
          </w:p>
        </w:tc>
        <w:tc>
          <w:tcPr>
            <w:tcW w:w="1417" w:type="dxa"/>
            <w:vAlign w:val="center"/>
          </w:tcPr>
          <w:p w:rsidR="00AB3F9C" w:rsidRPr="005B1F37" w:rsidRDefault="00AB3F9C" w:rsidP="00090467">
            <w:pPr>
              <w:pStyle w:val="naisf"/>
              <w:spacing w:before="0" w:beforeAutospacing="0" w:after="0" w:afterAutospacing="0"/>
              <w:jc w:val="center"/>
              <w:rPr>
                <w:color w:val="auto"/>
              </w:rPr>
            </w:pPr>
            <w:r w:rsidRPr="005B1F37">
              <w:rPr>
                <w:color w:val="auto"/>
              </w:rPr>
              <w:t>0</w:t>
            </w:r>
          </w:p>
          <w:p w:rsidR="00AB3F9C" w:rsidRPr="005B1F37" w:rsidRDefault="00AB3F9C" w:rsidP="00090467">
            <w:pPr>
              <w:pStyle w:val="naisf"/>
              <w:spacing w:before="0" w:beforeAutospacing="0" w:after="0" w:afterAutospacing="0"/>
              <w:rPr>
                <w:color w:val="auto"/>
              </w:rPr>
            </w:pPr>
          </w:p>
        </w:tc>
        <w:tc>
          <w:tcPr>
            <w:tcW w:w="1701" w:type="dxa"/>
          </w:tcPr>
          <w:p w:rsidR="00AB3F9C" w:rsidRPr="005B1F37" w:rsidRDefault="004E490F" w:rsidP="00475CB6">
            <w:pPr>
              <w:jc w:val="center"/>
              <w:rPr>
                <w:b/>
              </w:rPr>
            </w:pPr>
            <w:r w:rsidRPr="005B1F37">
              <w:rPr>
                <w:b/>
              </w:rPr>
              <w:t>0</w:t>
            </w:r>
          </w:p>
        </w:tc>
        <w:tc>
          <w:tcPr>
            <w:tcW w:w="1418" w:type="dxa"/>
            <w:vAlign w:val="center"/>
          </w:tcPr>
          <w:p w:rsidR="00AB3F9C" w:rsidRPr="005B1F37" w:rsidRDefault="00AB3F9C" w:rsidP="00475CB6">
            <w:pPr>
              <w:jc w:val="center"/>
              <w:rPr>
                <w:b/>
              </w:rPr>
            </w:pPr>
            <w:r w:rsidRPr="005B1F37">
              <w:t>-</w:t>
            </w:r>
          </w:p>
        </w:tc>
        <w:tc>
          <w:tcPr>
            <w:tcW w:w="1134" w:type="dxa"/>
            <w:vAlign w:val="center"/>
          </w:tcPr>
          <w:p w:rsidR="00AB3F9C" w:rsidRPr="005B1F37" w:rsidRDefault="00AB3F9C" w:rsidP="00090467">
            <w:pPr>
              <w:jc w:val="center"/>
              <w:rPr>
                <w:b/>
              </w:rPr>
            </w:pPr>
            <w:r w:rsidRPr="005B1F37">
              <w:t>-</w:t>
            </w:r>
          </w:p>
        </w:tc>
        <w:tc>
          <w:tcPr>
            <w:tcW w:w="1165" w:type="dxa"/>
            <w:vAlign w:val="center"/>
          </w:tcPr>
          <w:p w:rsidR="00AB3F9C" w:rsidRPr="005B1F37" w:rsidRDefault="00AB3F9C" w:rsidP="00090467">
            <w:pPr>
              <w:jc w:val="center"/>
              <w:rPr>
                <w:b/>
              </w:rPr>
            </w:pPr>
            <w:r w:rsidRPr="005B1F37">
              <w:t>-</w:t>
            </w:r>
          </w:p>
        </w:tc>
      </w:tr>
      <w:tr w:rsidR="0081147A" w:rsidRPr="005B1F37" w:rsidTr="00875795">
        <w:tc>
          <w:tcPr>
            <w:tcW w:w="2660" w:type="dxa"/>
            <w:gridSpan w:val="4"/>
          </w:tcPr>
          <w:p w:rsidR="00AB3F9C" w:rsidRPr="005B1F37" w:rsidRDefault="00AB3F9C" w:rsidP="00475CB6">
            <w:pPr>
              <w:jc w:val="both"/>
            </w:pPr>
            <w:r w:rsidRPr="005B1F37">
              <w:t>3.1. valsts pamatbudžets</w:t>
            </w:r>
          </w:p>
        </w:tc>
        <w:tc>
          <w:tcPr>
            <w:tcW w:w="1417" w:type="dxa"/>
            <w:vAlign w:val="center"/>
          </w:tcPr>
          <w:p w:rsidR="00AB3F9C" w:rsidRPr="005B1F37" w:rsidRDefault="00AB3F9C" w:rsidP="00475CB6">
            <w:pPr>
              <w:jc w:val="center"/>
              <w:rPr>
                <w:bCs/>
              </w:rPr>
            </w:pPr>
            <w:r w:rsidRPr="005B1F37">
              <w:t>0</w:t>
            </w:r>
          </w:p>
        </w:tc>
        <w:tc>
          <w:tcPr>
            <w:tcW w:w="1701" w:type="dxa"/>
          </w:tcPr>
          <w:p w:rsidR="00AB3F9C" w:rsidRPr="005B1F37" w:rsidRDefault="004E490F" w:rsidP="00090467">
            <w:pPr>
              <w:jc w:val="center"/>
            </w:pPr>
            <w:r w:rsidRPr="005B1F37">
              <w:t>0</w:t>
            </w:r>
          </w:p>
        </w:tc>
        <w:tc>
          <w:tcPr>
            <w:tcW w:w="1418" w:type="dxa"/>
            <w:vAlign w:val="center"/>
          </w:tcPr>
          <w:p w:rsidR="00AB3F9C" w:rsidRPr="005B1F37" w:rsidRDefault="00AB3F9C" w:rsidP="00090467">
            <w:pPr>
              <w:jc w:val="center"/>
            </w:pPr>
            <w:r w:rsidRPr="005B1F37">
              <w:t>-</w:t>
            </w:r>
          </w:p>
        </w:tc>
        <w:tc>
          <w:tcPr>
            <w:tcW w:w="1134" w:type="dxa"/>
            <w:vAlign w:val="center"/>
          </w:tcPr>
          <w:p w:rsidR="00AB3F9C" w:rsidRPr="005B1F37" w:rsidRDefault="00AB3F9C" w:rsidP="00090467">
            <w:pPr>
              <w:jc w:val="center"/>
            </w:pPr>
            <w:r w:rsidRPr="005B1F37">
              <w:t>-</w:t>
            </w:r>
          </w:p>
        </w:tc>
        <w:tc>
          <w:tcPr>
            <w:tcW w:w="1165" w:type="dxa"/>
            <w:vAlign w:val="center"/>
          </w:tcPr>
          <w:p w:rsidR="00AB3F9C" w:rsidRPr="005B1F37" w:rsidRDefault="00AB3F9C" w:rsidP="00090467">
            <w:pPr>
              <w:jc w:val="center"/>
            </w:pPr>
            <w:r w:rsidRPr="005B1F37">
              <w:t>-</w:t>
            </w:r>
          </w:p>
        </w:tc>
      </w:tr>
      <w:tr w:rsidR="0081147A" w:rsidRPr="005B1F37" w:rsidTr="00875795">
        <w:tc>
          <w:tcPr>
            <w:tcW w:w="2660" w:type="dxa"/>
            <w:gridSpan w:val="4"/>
          </w:tcPr>
          <w:p w:rsidR="00AB3F9C" w:rsidRPr="005B1F37" w:rsidRDefault="00AB3F9C" w:rsidP="00475CB6">
            <w:pPr>
              <w:jc w:val="both"/>
            </w:pPr>
            <w:r w:rsidRPr="005B1F37">
              <w:t>3.2.</w:t>
            </w:r>
            <w:proofErr w:type="gramStart"/>
            <w:r w:rsidRPr="005B1F37">
              <w:t xml:space="preserve">  </w:t>
            </w:r>
            <w:proofErr w:type="gramEnd"/>
            <w:r w:rsidRPr="005B1F37">
              <w:t>valsts speciālais budžets</w:t>
            </w:r>
          </w:p>
        </w:tc>
        <w:tc>
          <w:tcPr>
            <w:tcW w:w="6835" w:type="dxa"/>
            <w:gridSpan w:val="5"/>
            <w:vMerge w:val="restart"/>
            <w:vAlign w:val="center"/>
          </w:tcPr>
          <w:p w:rsidR="00AB3F9C" w:rsidRPr="005B1F37" w:rsidRDefault="00AB3F9C" w:rsidP="00090467">
            <w:pPr>
              <w:pStyle w:val="naisf"/>
              <w:spacing w:before="0" w:beforeAutospacing="0" w:after="0" w:afterAutospacing="0"/>
              <w:jc w:val="center"/>
              <w:rPr>
                <w:color w:val="auto"/>
              </w:rPr>
            </w:pPr>
            <w:r w:rsidRPr="005B1F37">
              <w:rPr>
                <w:color w:val="auto"/>
              </w:rPr>
              <w:t>Noteikumu projekts šo jomu neskar.</w:t>
            </w:r>
          </w:p>
        </w:tc>
      </w:tr>
      <w:tr w:rsidR="0081147A" w:rsidRPr="005B1F37" w:rsidTr="00875795">
        <w:tc>
          <w:tcPr>
            <w:tcW w:w="2660" w:type="dxa"/>
            <w:gridSpan w:val="4"/>
          </w:tcPr>
          <w:p w:rsidR="00AB3F9C" w:rsidRPr="005B1F37" w:rsidRDefault="00AB3F9C" w:rsidP="00475CB6">
            <w:pPr>
              <w:jc w:val="both"/>
            </w:pPr>
            <w:r w:rsidRPr="005B1F37">
              <w:t xml:space="preserve">3.3. pašvaldību budžets </w:t>
            </w:r>
          </w:p>
        </w:tc>
        <w:tc>
          <w:tcPr>
            <w:tcW w:w="6835" w:type="dxa"/>
            <w:gridSpan w:val="5"/>
            <w:vMerge/>
            <w:vAlign w:val="center"/>
          </w:tcPr>
          <w:p w:rsidR="00AB3F9C" w:rsidRPr="005B1F37" w:rsidRDefault="00AB3F9C" w:rsidP="00090467">
            <w:pPr>
              <w:pStyle w:val="naisf"/>
              <w:spacing w:before="0" w:beforeAutospacing="0" w:after="0" w:afterAutospacing="0"/>
              <w:jc w:val="center"/>
              <w:rPr>
                <w:color w:val="auto"/>
              </w:rPr>
            </w:pPr>
          </w:p>
        </w:tc>
      </w:tr>
      <w:tr w:rsidR="0081147A" w:rsidRPr="005B1F37" w:rsidTr="00875795">
        <w:tc>
          <w:tcPr>
            <w:tcW w:w="2660" w:type="dxa"/>
            <w:gridSpan w:val="4"/>
          </w:tcPr>
          <w:p w:rsidR="00AB3F9C" w:rsidRPr="005B1F37" w:rsidRDefault="00AB3F9C" w:rsidP="00475CB6">
            <w:r w:rsidRPr="005B1F37">
              <w:t>4. Finanšu līdzekļi papildu izdevumu finansēšanai (kompensējošu izdevumu samazinājumu norāda ar "+" zīmi)</w:t>
            </w:r>
          </w:p>
        </w:tc>
        <w:tc>
          <w:tcPr>
            <w:tcW w:w="1417" w:type="dxa"/>
            <w:vAlign w:val="center"/>
          </w:tcPr>
          <w:p w:rsidR="00AB3F9C" w:rsidRPr="005B1F37" w:rsidRDefault="004E490F" w:rsidP="00090467">
            <w:pPr>
              <w:jc w:val="center"/>
              <w:rPr>
                <w:highlight w:val="yellow"/>
              </w:rPr>
            </w:pPr>
            <w:r w:rsidRPr="005B1F37">
              <w:t>x</w:t>
            </w:r>
          </w:p>
        </w:tc>
        <w:tc>
          <w:tcPr>
            <w:tcW w:w="1701" w:type="dxa"/>
          </w:tcPr>
          <w:p w:rsidR="00AB3F9C" w:rsidRPr="005B1F37" w:rsidRDefault="0084533C" w:rsidP="00475CB6">
            <w:pPr>
              <w:jc w:val="center"/>
              <w:rPr>
                <w:b/>
              </w:rPr>
            </w:pPr>
            <w:r w:rsidRPr="005B1F37">
              <w:rPr>
                <w:b/>
              </w:rPr>
              <w:t>0</w:t>
            </w:r>
          </w:p>
        </w:tc>
        <w:tc>
          <w:tcPr>
            <w:tcW w:w="1418" w:type="dxa"/>
            <w:vAlign w:val="center"/>
          </w:tcPr>
          <w:p w:rsidR="00AB3F9C" w:rsidRPr="005B1F37" w:rsidRDefault="00AB3F9C" w:rsidP="00475CB6">
            <w:pPr>
              <w:jc w:val="center"/>
              <w:rPr>
                <w:b/>
              </w:rPr>
            </w:pPr>
            <w:r w:rsidRPr="005B1F37">
              <w:t>-</w:t>
            </w:r>
          </w:p>
        </w:tc>
        <w:tc>
          <w:tcPr>
            <w:tcW w:w="1134" w:type="dxa"/>
            <w:vAlign w:val="center"/>
          </w:tcPr>
          <w:p w:rsidR="00AB3F9C" w:rsidRPr="005B1F37" w:rsidRDefault="00AB3F9C" w:rsidP="00090467">
            <w:pPr>
              <w:jc w:val="center"/>
              <w:rPr>
                <w:b/>
              </w:rPr>
            </w:pPr>
            <w:r w:rsidRPr="005B1F37">
              <w:t>-</w:t>
            </w:r>
          </w:p>
        </w:tc>
        <w:tc>
          <w:tcPr>
            <w:tcW w:w="1165" w:type="dxa"/>
            <w:vAlign w:val="center"/>
          </w:tcPr>
          <w:p w:rsidR="00AB3F9C" w:rsidRPr="005B1F37" w:rsidRDefault="00AB3F9C" w:rsidP="00090467">
            <w:pPr>
              <w:jc w:val="center"/>
              <w:rPr>
                <w:b/>
              </w:rPr>
            </w:pPr>
            <w:r w:rsidRPr="005B1F37">
              <w:t>-</w:t>
            </w:r>
          </w:p>
        </w:tc>
      </w:tr>
      <w:tr w:rsidR="0081147A" w:rsidRPr="005B1F37" w:rsidTr="00875795">
        <w:tc>
          <w:tcPr>
            <w:tcW w:w="2660" w:type="dxa"/>
            <w:gridSpan w:val="4"/>
          </w:tcPr>
          <w:p w:rsidR="00AB3F9C" w:rsidRPr="005B1F37" w:rsidRDefault="00AB3F9C" w:rsidP="00475CB6">
            <w:r w:rsidRPr="005B1F37">
              <w:t>5. Precizēta finansiālā ietekme:</w:t>
            </w:r>
          </w:p>
        </w:tc>
        <w:tc>
          <w:tcPr>
            <w:tcW w:w="1417" w:type="dxa"/>
            <w:vMerge w:val="restart"/>
            <w:vAlign w:val="center"/>
          </w:tcPr>
          <w:p w:rsidR="00AB3F9C" w:rsidRPr="005B1F37" w:rsidRDefault="004E490F" w:rsidP="00475CB6">
            <w:pPr>
              <w:jc w:val="center"/>
            </w:pPr>
            <w:r w:rsidRPr="005B1F37">
              <w:t>x</w:t>
            </w:r>
          </w:p>
        </w:tc>
        <w:tc>
          <w:tcPr>
            <w:tcW w:w="1701" w:type="dxa"/>
            <w:vMerge w:val="restart"/>
            <w:shd w:val="clear" w:color="auto" w:fill="auto"/>
          </w:tcPr>
          <w:p w:rsidR="00AB3F9C" w:rsidRPr="005B1F37" w:rsidRDefault="00AB3F9C" w:rsidP="00090467">
            <w:pPr>
              <w:jc w:val="center"/>
            </w:pPr>
            <w:r w:rsidRPr="005B1F37">
              <w:t>0</w:t>
            </w:r>
          </w:p>
        </w:tc>
        <w:tc>
          <w:tcPr>
            <w:tcW w:w="1418" w:type="dxa"/>
            <w:vMerge w:val="restart"/>
            <w:shd w:val="clear" w:color="auto" w:fill="auto"/>
            <w:vAlign w:val="center"/>
          </w:tcPr>
          <w:p w:rsidR="00AB3F9C" w:rsidRPr="005B1F37" w:rsidRDefault="00AB3F9C" w:rsidP="00090467">
            <w:pPr>
              <w:jc w:val="center"/>
            </w:pPr>
            <w:r w:rsidRPr="005B1F37">
              <w:t>-</w:t>
            </w:r>
          </w:p>
        </w:tc>
        <w:tc>
          <w:tcPr>
            <w:tcW w:w="1134" w:type="dxa"/>
            <w:vMerge w:val="restart"/>
            <w:shd w:val="clear" w:color="auto" w:fill="auto"/>
            <w:vAlign w:val="center"/>
          </w:tcPr>
          <w:p w:rsidR="00AB3F9C" w:rsidRPr="005B1F37" w:rsidRDefault="00AB3F9C" w:rsidP="00090467">
            <w:pPr>
              <w:jc w:val="center"/>
            </w:pPr>
            <w:r w:rsidRPr="005B1F37">
              <w:t>-</w:t>
            </w:r>
          </w:p>
        </w:tc>
        <w:tc>
          <w:tcPr>
            <w:tcW w:w="1165" w:type="dxa"/>
            <w:vMerge w:val="restart"/>
            <w:shd w:val="clear" w:color="auto" w:fill="auto"/>
            <w:vAlign w:val="center"/>
          </w:tcPr>
          <w:p w:rsidR="00AB3F9C" w:rsidRPr="005B1F37" w:rsidRDefault="00AB3F9C" w:rsidP="00090467">
            <w:pPr>
              <w:jc w:val="center"/>
            </w:pPr>
            <w:r w:rsidRPr="005B1F37">
              <w:t>-</w:t>
            </w:r>
          </w:p>
        </w:tc>
      </w:tr>
      <w:tr w:rsidR="0081147A" w:rsidRPr="005B1F37" w:rsidTr="00875795">
        <w:tc>
          <w:tcPr>
            <w:tcW w:w="2660" w:type="dxa"/>
            <w:gridSpan w:val="4"/>
          </w:tcPr>
          <w:p w:rsidR="00AB3F9C" w:rsidRPr="005B1F37" w:rsidRDefault="00AB3F9C" w:rsidP="00475CB6">
            <w:pPr>
              <w:jc w:val="both"/>
            </w:pPr>
            <w:r w:rsidRPr="00C53AAD">
              <w:t>5.1. valsts pamatbudžets</w:t>
            </w:r>
          </w:p>
        </w:tc>
        <w:tc>
          <w:tcPr>
            <w:tcW w:w="1417" w:type="dxa"/>
            <w:vMerge/>
          </w:tcPr>
          <w:p w:rsidR="00AB3F9C" w:rsidRPr="005B1F37" w:rsidRDefault="00AB3F9C" w:rsidP="00090467">
            <w:pPr>
              <w:jc w:val="center"/>
            </w:pPr>
          </w:p>
        </w:tc>
        <w:tc>
          <w:tcPr>
            <w:tcW w:w="1701" w:type="dxa"/>
            <w:vMerge/>
            <w:shd w:val="clear" w:color="auto" w:fill="auto"/>
            <w:vAlign w:val="center"/>
          </w:tcPr>
          <w:p w:rsidR="00AB3F9C" w:rsidRPr="005B1F37" w:rsidRDefault="00AB3F9C" w:rsidP="00090467">
            <w:pPr>
              <w:jc w:val="center"/>
            </w:pPr>
          </w:p>
        </w:tc>
        <w:tc>
          <w:tcPr>
            <w:tcW w:w="1418" w:type="dxa"/>
            <w:vMerge/>
            <w:shd w:val="clear" w:color="auto" w:fill="auto"/>
            <w:vAlign w:val="center"/>
          </w:tcPr>
          <w:p w:rsidR="00AB3F9C" w:rsidRPr="005B1F37" w:rsidRDefault="00AB3F9C" w:rsidP="00090467">
            <w:pPr>
              <w:jc w:val="center"/>
            </w:pPr>
          </w:p>
        </w:tc>
        <w:tc>
          <w:tcPr>
            <w:tcW w:w="1134" w:type="dxa"/>
            <w:vMerge/>
            <w:shd w:val="clear" w:color="auto" w:fill="auto"/>
            <w:vAlign w:val="center"/>
          </w:tcPr>
          <w:p w:rsidR="00AB3F9C" w:rsidRPr="005B1F37" w:rsidRDefault="00AB3F9C" w:rsidP="00090467">
            <w:pPr>
              <w:jc w:val="center"/>
            </w:pPr>
          </w:p>
        </w:tc>
        <w:tc>
          <w:tcPr>
            <w:tcW w:w="1165" w:type="dxa"/>
            <w:vMerge/>
            <w:shd w:val="clear" w:color="auto" w:fill="auto"/>
            <w:vAlign w:val="center"/>
          </w:tcPr>
          <w:p w:rsidR="00AB3F9C" w:rsidRPr="005B1F37" w:rsidRDefault="00AB3F9C" w:rsidP="00090467">
            <w:pPr>
              <w:jc w:val="center"/>
            </w:pPr>
          </w:p>
        </w:tc>
      </w:tr>
      <w:tr w:rsidR="0081147A" w:rsidRPr="005B1F37" w:rsidTr="00875795">
        <w:tc>
          <w:tcPr>
            <w:tcW w:w="2660" w:type="dxa"/>
            <w:gridSpan w:val="4"/>
          </w:tcPr>
          <w:p w:rsidR="00AB3F9C" w:rsidRPr="005B1F37" w:rsidRDefault="00AB3F9C" w:rsidP="00475CB6">
            <w:pPr>
              <w:jc w:val="both"/>
            </w:pPr>
            <w:r w:rsidRPr="005B1F37">
              <w:t>5.2. speciālais budžets</w:t>
            </w:r>
          </w:p>
        </w:tc>
        <w:tc>
          <w:tcPr>
            <w:tcW w:w="6835" w:type="dxa"/>
            <w:gridSpan w:val="5"/>
            <w:vMerge w:val="restart"/>
          </w:tcPr>
          <w:p w:rsidR="00AB3F9C" w:rsidRPr="005B1F37" w:rsidRDefault="00AB3F9C" w:rsidP="00475CB6">
            <w:pPr>
              <w:jc w:val="center"/>
            </w:pPr>
          </w:p>
          <w:p w:rsidR="00AB3F9C" w:rsidRPr="005B1F37" w:rsidRDefault="00AB3F9C" w:rsidP="00090467">
            <w:pPr>
              <w:jc w:val="center"/>
            </w:pPr>
            <w:r w:rsidRPr="005B1F37">
              <w:t>Rīkojuma projekts šo jomu neskar.</w:t>
            </w:r>
          </w:p>
        </w:tc>
      </w:tr>
      <w:tr w:rsidR="0081147A" w:rsidRPr="005B1F37" w:rsidTr="00875795">
        <w:tc>
          <w:tcPr>
            <w:tcW w:w="2660" w:type="dxa"/>
            <w:gridSpan w:val="4"/>
          </w:tcPr>
          <w:p w:rsidR="00AB3F9C" w:rsidRPr="005B1F37" w:rsidRDefault="00AB3F9C" w:rsidP="00475CB6">
            <w:pPr>
              <w:jc w:val="both"/>
            </w:pPr>
            <w:r w:rsidRPr="005B1F37">
              <w:t xml:space="preserve">5.3. pašvaldību budžets </w:t>
            </w:r>
          </w:p>
        </w:tc>
        <w:tc>
          <w:tcPr>
            <w:tcW w:w="6835" w:type="dxa"/>
            <w:gridSpan w:val="5"/>
            <w:vMerge/>
          </w:tcPr>
          <w:p w:rsidR="00AB3F9C" w:rsidRPr="005B1F37" w:rsidRDefault="00AB3F9C" w:rsidP="00090467">
            <w:pPr>
              <w:jc w:val="center"/>
            </w:pPr>
          </w:p>
        </w:tc>
      </w:tr>
      <w:tr w:rsidR="0081147A" w:rsidRPr="005B1F37" w:rsidTr="00875795">
        <w:tc>
          <w:tcPr>
            <w:tcW w:w="9495" w:type="dxa"/>
            <w:gridSpan w:val="9"/>
          </w:tcPr>
          <w:p w:rsidR="00AB3F9C" w:rsidRPr="005B1F37" w:rsidRDefault="00AB3F9C" w:rsidP="00090467">
            <w:pPr>
              <w:jc w:val="both"/>
            </w:pPr>
            <w:r w:rsidRPr="005B1F37">
              <w:t>6. Detalizēts ieņēmumu un izdevumu aprēķins (ja nepieciešams, detalizētu ieņēmumu un izdevumu aprēķinu var pievienot anotācijas pielikumā):</w:t>
            </w:r>
          </w:p>
        </w:tc>
      </w:tr>
      <w:tr w:rsidR="0081147A" w:rsidRPr="005B1F37" w:rsidTr="00875795">
        <w:tc>
          <w:tcPr>
            <w:tcW w:w="2448" w:type="dxa"/>
            <w:gridSpan w:val="2"/>
          </w:tcPr>
          <w:p w:rsidR="00AB3F9C" w:rsidRPr="005B1F37" w:rsidRDefault="00AB3F9C" w:rsidP="00475CB6">
            <w:r w:rsidRPr="005B1F37">
              <w:t>6.1. Detalizēts ieņēmumu aprēķins</w:t>
            </w:r>
          </w:p>
        </w:tc>
        <w:tc>
          <w:tcPr>
            <w:tcW w:w="7047" w:type="dxa"/>
            <w:gridSpan w:val="7"/>
            <w:vAlign w:val="center"/>
          </w:tcPr>
          <w:p w:rsidR="00AB3F9C" w:rsidRPr="005B1F37" w:rsidRDefault="00AB3F9C" w:rsidP="00475CB6">
            <w:pPr>
              <w:autoSpaceDE w:val="0"/>
              <w:autoSpaceDN w:val="0"/>
              <w:adjustRightInd w:val="0"/>
              <w:jc w:val="both"/>
            </w:pPr>
            <w:r w:rsidRPr="005B1F37">
              <w:t>Rīkojumu projekts šo jomu neskar.</w:t>
            </w:r>
          </w:p>
        </w:tc>
      </w:tr>
      <w:tr w:rsidR="0081147A" w:rsidRPr="005B1F37" w:rsidTr="00163A44">
        <w:trPr>
          <w:trHeight w:val="841"/>
        </w:trPr>
        <w:tc>
          <w:tcPr>
            <w:tcW w:w="2448" w:type="dxa"/>
            <w:gridSpan w:val="2"/>
          </w:tcPr>
          <w:p w:rsidR="00AB3F9C" w:rsidRPr="005B1F37" w:rsidRDefault="00AB3F9C" w:rsidP="00475CB6">
            <w:r w:rsidRPr="005B1F37">
              <w:t>6.2. Detalizēts izdevumu aprēķins</w:t>
            </w:r>
          </w:p>
        </w:tc>
        <w:tc>
          <w:tcPr>
            <w:tcW w:w="7047" w:type="dxa"/>
            <w:gridSpan w:val="7"/>
          </w:tcPr>
          <w:p w:rsidR="00AB3F9C" w:rsidRPr="009920ED" w:rsidRDefault="00AB3F9C" w:rsidP="00B92E52">
            <w:pPr>
              <w:pStyle w:val="naisf"/>
              <w:tabs>
                <w:tab w:val="left" w:pos="993"/>
              </w:tabs>
              <w:spacing w:before="0" w:beforeAutospacing="0" w:after="0" w:afterAutospacing="0"/>
              <w:jc w:val="both"/>
              <w:rPr>
                <w:color w:val="auto"/>
              </w:rPr>
            </w:pPr>
            <w:r w:rsidRPr="009920ED">
              <w:rPr>
                <w:color w:val="auto"/>
              </w:rPr>
              <w:t xml:space="preserve">Saskaņā ar 2013.gada 16.jūlija Ministru kabineta sēdes </w:t>
            </w:r>
            <w:r w:rsidRPr="009920ED">
              <w:rPr>
                <w:bCs/>
                <w:color w:val="auto"/>
                <w:shd w:val="clear" w:color="auto" w:fill="FFFFFF"/>
              </w:rPr>
              <w:t xml:space="preserve">protokola Nr.40 </w:t>
            </w:r>
            <w:r w:rsidRPr="009920ED">
              <w:rPr>
                <w:color w:val="auto"/>
              </w:rPr>
              <w:t>20</w:t>
            </w:r>
            <w:r w:rsidRPr="009920ED">
              <w:rPr>
                <w:rFonts w:eastAsia="Calibri"/>
                <w:color w:val="auto"/>
                <w:lang w:eastAsia="en-US"/>
              </w:rPr>
              <w:t>.§.</w:t>
            </w:r>
            <w:r w:rsidRPr="009920ED">
              <w:rPr>
                <w:color w:val="auto"/>
              </w:rPr>
              <w:t xml:space="preserve"> Izglītības kvalitātes valsts dienestam reģistra kārtošanas funkcijas izpildes nodrošināšanai no 2013.gada 1.septembra</w:t>
            </w:r>
            <w:r w:rsidRPr="009920ED">
              <w:rPr>
                <w:b/>
                <w:color w:val="auto"/>
                <w:u w:val="single"/>
              </w:rPr>
              <w:t xml:space="preserve"> </w:t>
            </w:r>
            <w:r w:rsidRPr="009920ED">
              <w:rPr>
                <w:color w:val="auto"/>
              </w:rPr>
              <w:t>papildus nepieciešamais finansējums ir 18 168 Ls</w:t>
            </w:r>
            <w:r w:rsidR="00475CB6" w:rsidRPr="009920ED">
              <w:rPr>
                <w:color w:val="auto"/>
              </w:rPr>
              <w:t xml:space="preserve"> (Izglītības un zinātnes ministrijas budžeta apakšprogrammā 42.01.00 „Iestāžu darbības nodrošināšana”)</w:t>
            </w:r>
            <w:r w:rsidR="00B92E52" w:rsidRPr="009920ED">
              <w:rPr>
                <w:color w:val="auto"/>
              </w:rPr>
              <w:t>.</w:t>
            </w:r>
          </w:p>
          <w:p w:rsidR="00AB3F9C" w:rsidRPr="005B1F37" w:rsidRDefault="00B92E52" w:rsidP="00F53873">
            <w:pPr>
              <w:pStyle w:val="naisf"/>
              <w:tabs>
                <w:tab w:val="left" w:pos="564"/>
                <w:tab w:val="left" w:pos="993"/>
                <w:tab w:val="left" w:pos="4644"/>
              </w:tabs>
              <w:spacing w:before="0" w:beforeAutospacing="0" w:after="0" w:afterAutospacing="0"/>
              <w:jc w:val="both"/>
              <w:rPr>
                <w:color w:val="auto"/>
              </w:rPr>
            </w:pPr>
            <w:r w:rsidRPr="009920ED">
              <w:rPr>
                <w:color w:val="auto"/>
              </w:rPr>
              <w:t xml:space="preserve">Saskaņā ar 2013.gada 16.jūlija Ministru kabineta sēdes </w:t>
            </w:r>
            <w:r w:rsidRPr="009920ED">
              <w:rPr>
                <w:bCs/>
                <w:color w:val="auto"/>
                <w:shd w:val="clear" w:color="auto" w:fill="FFFFFF"/>
              </w:rPr>
              <w:t xml:space="preserve">protokola Nr.40 </w:t>
            </w:r>
            <w:r w:rsidRPr="009920ED">
              <w:rPr>
                <w:color w:val="auto"/>
              </w:rPr>
              <w:t>21</w:t>
            </w:r>
            <w:r w:rsidRPr="009920ED">
              <w:rPr>
                <w:rFonts w:eastAsia="Calibri"/>
                <w:color w:val="auto"/>
                <w:lang w:eastAsia="en-US"/>
              </w:rPr>
              <w:t>.§.</w:t>
            </w:r>
            <w:r w:rsidRPr="005B1F37">
              <w:rPr>
                <w:rFonts w:eastAsia="Calibri"/>
                <w:color w:val="auto"/>
                <w:lang w:eastAsia="en-US"/>
              </w:rPr>
              <w:t xml:space="preserve"> </w:t>
            </w:r>
            <w:r w:rsidR="00AB3F9C" w:rsidRPr="005B1F37">
              <w:rPr>
                <w:color w:val="auto"/>
              </w:rPr>
              <w:t xml:space="preserve">Izglītības un zinātnes ministrijai, </w:t>
            </w:r>
            <w:r w:rsidR="00AB3F9C" w:rsidRPr="0081147A">
              <w:rPr>
                <w:color w:val="auto"/>
              </w:rPr>
              <w:t xml:space="preserve">lai </w:t>
            </w:r>
            <w:r w:rsidRPr="0081147A">
              <w:rPr>
                <w:color w:val="auto"/>
              </w:rPr>
              <w:t xml:space="preserve">ar 2013.gada 1.septembri </w:t>
            </w:r>
            <w:r w:rsidR="00AB3F9C" w:rsidRPr="0081147A">
              <w:rPr>
                <w:color w:val="auto"/>
              </w:rPr>
              <w:t xml:space="preserve">nodrošinātu valsts atbalstu bērniem no pusotra gada vecuma līdz obligātai bērna sagatavošanas pamatizglītības ieguves uzsākšanai, papildus nepieciešamais finansējums ir </w:t>
            </w:r>
            <w:r w:rsidR="00AB3F9C" w:rsidRPr="005B1F37">
              <w:rPr>
                <w:color w:val="auto"/>
              </w:rPr>
              <w:t xml:space="preserve">3 190 773 Ls (tai skaitā: apakšprogrammām 01.05.00 "Dotācija privātajām mācību iestādēm" </w:t>
            </w:r>
            <w:r w:rsidRPr="005B1F37">
              <w:rPr>
                <w:color w:val="auto"/>
              </w:rPr>
              <w:t xml:space="preserve">- </w:t>
            </w:r>
            <w:r w:rsidR="00AB3F9C" w:rsidRPr="005B1F37">
              <w:rPr>
                <w:color w:val="auto"/>
              </w:rPr>
              <w:t xml:space="preserve">3 174 226 latu apmērā, 06.08.00 "Nozares politikas </w:t>
            </w:r>
            <w:r w:rsidR="00AB3F9C" w:rsidRPr="005B1F37">
              <w:rPr>
                <w:color w:val="auto"/>
              </w:rPr>
              <w:lastRenderedPageBreak/>
              <w:t xml:space="preserve">veidošana un uzraudzība" - 6 929 latu apmērā, 07.00.00 "Informācijas tehnoloģiju attīstība un uzturēšana izglītībā, Microsoft līguma un projektu nodrošināšana" </w:t>
            </w:r>
            <w:r w:rsidRPr="005B1F37">
              <w:rPr>
                <w:color w:val="auto"/>
              </w:rPr>
              <w:t xml:space="preserve">- </w:t>
            </w:r>
            <w:r w:rsidR="00AB3F9C" w:rsidRPr="005B1F37">
              <w:rPr>
                <w:color w:val="auto"/>
              </w:rPr>
              <w:t>9 618 latu apmērā).</w:t>
            </w:r>
          </w:p>
          <w:p w:rsidR="00AB3F9C" w:rsidRPr="0081147A" w:rsidRDefault="00AB3F9C" w:rsidP="00475CB6">
            <w:pPr>
              <w:jc w:val="both"/>
            </w:pPr>
            <w:r w:rsidRPr="005B1F37">
              <w:t>Gan Izglītības kvalitātes valsts dienestam, gan Izglītības un zinātnes ministrijai nepieciešamais finansējums tiek pārdalīts no Labklājības ministrijas pamatbudžeta apakšprogrammas 05.67.00 "Valsts atbalsts pašvaldību pirmsskolas izglītības iestāžu rindu likvidēšanai".</w:t>
            </w:r>
          </w:p>
        </w:tc>
      </w:tr>
      <w:tr w:rsidR="0081147A" w:rsidRPr="005B1F37" w:rsidTr="00875795">
        <w:tc>
          <w:tcPr>
            <w:tcW w:w="2448" w:type="dxa"/>
            <w:gridSpan w:val="2"/>
          </w:tcPr>
          <w:p w:rsidR="00AB3F9C" w:rsidRPr="005B1F37" w:rsidRDefault="00AB3F9C" w:rsidP="00475CB6">
            <w:pPr>
              <w:jc w:val="both"/>
            </w:pPr>
            <w:r w:rsidRPr="005B1F37">
              <w:lastRenderedPageBreak/>
              <w:t>7. Cita informācija</w:t>
            </w:r>
          </w:p>
        </w:tc>
        <w:tc>
          <w:tcPr>
            <w:tcW w:w="7047" w:type="dxa"/>
            <w:gridSpan w:val="7"/>
          </w:tcPr>
          <w:p w:rsidR="00AB3F9C" w:rsidRPr="005B1F37" w:rsidRDefault="00AB3F9C" w:rsidP="00090467">
            <w:pPr>
              <w:autoSpaceDE w:val="0"/>
              <w:autoSpaceDN w:val="0"/>
              <w:adjustRightInd w:val="0"/>
              <w:jc w:val="both"/>
            </w:pPr>
            <w:r w:rsidRPr="005B1F37">
              <w:t>Labklājības ministrijas budžeta apakšprogrammā 05.67.00 „Valsts atbalsts pašvaldību pirmsskolas izglītības iestāžu rindu likvidēšanai” laika periodā no 2013.-2015.gadam bāzes izdevumos bija paredzēts finansējums pakalpojuma nodrošināšanai 2013.gadā</w:t>
            </w:r>
            <w:proofErr w:type="gramStart"/>
            <w:r w:rsidRPr="005B1F37">
              <w:t xml:space="preserve">  </w:t>
            </w:r>
            <w:proofErr w:type="gramEnd"/>
            <w:r w:rsidRPr="005B1F37">
              <w:t>3 218 800 Ls, un 2014.-2015.gadā ik gadu 9 656 400 Ls. Attiecībā uz finansējuma pārdali starp Labklājības ministriju un Izglītības un zinātnes ministriju 2014.-2015.gadā Finanšu ministrijā ir iesniegti attiecīgi pamatbudžeta bāzes precizējumi.</w:t>
            </w:r>
          </w:p>
        </w:tc>
      </w:tr>
    </w:tbl>
    <w:p w:rsidR="000612F9" w:rsidRPr="005B1F37" w:rsidRDefault="000612F9" w:rsidP="00475CB6">
      <w:pPr>
        <w:jc w:val="center"/>
      </w:pPr>
    </w:p>
    <w:p w:rsidR="00DA6839" w:rsidRPr="005B1F37" w:rsidRDefault="00DA6839" w:rsidP="00090467">
      <w:pPr>
        <w:jc w:val="center"/>
        <w:outlineLvl w:val="0"/>
        <w:rPr>
          <w:i/>
          <w:iCs/>
        </w:rPr>
      </w:pPr>
      <w:r w:rsidRPr="005B1F37">
        <w:rPr>
          <w:i/>
          <w:iCs/>
        </w:rPr>
        <w:t>Anotācijas</w:t>
      </w:r>
      <w:proofErr w:type="gramStart"/>
      <w:r w:rsidRPr="005B1F37">
        <w:rPr>
          <w:i/>
          <w:iCs/>
        </w:rPr>
        <w:t xml:space="preserve">  </w:t>
      </w:r>
      <w:proofErr w:type="gramEnd"/>
      <w:r w:rsidRPr="005B1F37">
        <w:rPr>
          <w:i/>
          <w:iCs/>
        </w:rPr>
        <w:t>IV, V un VI sadaļa – rīkojuma projekts šīs jomas neskar.</w:t>
      </w:r>
    </w:p>
    <w:p w:rsidR="00DA6839" w:rsidRPr="005B1F37" w:rsidRDefault="00DA6839" w:rsidP="00475CB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1147A" w:rsidRPr="005B1F37" w:rsidTr="003E5E7A">
        <w:tc>
          <w:tcPr>
            <w:tcW w:w="9287" w:type="dxa"/>
            <w:gridSpan w:val="3"/>
          </w:tcPr>
          <w:p w:rsidR="000612F9" w:rsidRPr="005B1F37" w:rsidRDefault="000612F9" w:rsidP="00475CB6">
            <w:pPr>
              <w:jc w:val="center"/>
              <w:rPr>
                <w:b/>
              </w:rPr>
            </w:pPr>
            <w:r w:rsidRPr="005B1F37">
              <w:rPr>
                <w:b/>
              </w:rPr>
              <w:t>VII Tiesību akta projekta izpildes nodrošināšana un tās ietekme uz institūcijām</w:t>
            </w:r>
          </w:p>
        </w:tc>
      </w:tr>
      <w:tr w:rsidR="0081147A" w:rsidRPr="005B1F37" w:rsidTr="003E5E7A">
        <w:tc>
          <w:tcPr>
            <w:tcW w:w="396" w:type="dxa"/>
          </w:tcPr>
          <w:p w:rsidR="000612F9" w:rsidRPr="005B1F37" w:rsidRDefault="000612F9" w:rsidP="00475CB6">
            <w:r w:rsidRPr="005B1F37">
              <w:t xml:space="preserve">1. </w:t>
            </w:r>
          </w:p>
        </w:tc>
        <w:tc>
          <w:tcPr>
            <w:tcW w:w="3072" w:type="dxa"/>
          </w:tcPr>
          <w:p w:rsidR="000612F9" w:rsidRPr="005B1F37" w:rsidRDefault="000612F9" w:rsidP="00475CB6">
            <w:r w:rsidRPr="005B1F37">
              <w:t>Projekta izpildē iesaistītās institūcijas</w:t>
            </w:r>
          </w:p>
        </w:tc>
        <w:tc>
          <w:tcPr>
            <w:tcW w:w="5819" w:type="dxa"/>
          </w:tcPr>
          <w:p w:rsidR="000612F9" w:rsidRPr="005B1F37" w:rsidRDefault="000612F9" w:rsidP="00090467">
            <w:pPr>
              <w:jc w:val="both"/>
            </w:pPr>
            <w:r w:rsidRPr="005B1F37">
              <w:t>Izglītības kvalitātes valsts dienests, Izglītības un zinātnes ministrija</w:t>
            </w:r>
            <w:r w:rsidRPr="005B1F37">
              <w:rPr>
                <w:bCs/>
                <w:shd w:val="clear" w:color="auto" w:fill="FFFFFF"/>
              </w:rPr>
              <w:t>.</w:t>
            </w:r>
          </w:p>
        </w:tc>
      </w:tr>
      <w:tr w:rsidR="0081147A" w:rsidRPr="005B1F37" w:rsidTr="003E5E7A">
        <w:tc>
          <w:tcPr>
            <w:tcW w:w="396" w:type="dxa"/>
          </w:tcPr>
          <w:p w:rsidR="000612F9" w:rsidRPr="005B1F37" w:rsidRDefault="000612F9" w:rsidP="00475CB6">
            <w:r w:rsidRPr="005B1F37">
              <w:t xml:space="preserve">2. </w:t>
            </w:r>
          </w:p>
        </w:tc>
        <w:tc>
          <w:tcPr>
            <w:tcW w:w="3072" w:type="dxa"/>
          </w:tcPr>
          <w:p w:rsidR="000612F9" w:rsidRPr="005B1F37" w:rsidRDefault="000612F9" w:rsidP="00475CB6">
            <w:r w:rsidRPr="005B1F37">
              <w:t>Projekta izpildes ietekme uz pārvaldes funkcijām</w:t>
            </w:r>
          </w:p>
        </w:tc>
        <w:tc>
          <w:tcPr>
            <w:tcW w:w="5819" w:type="dxa"/>
          </w:tcPr>
          <w:p w:rsidR="000612F9" w:rsidRPr="005B1F37" w:rsidRDefault="00DA6839" w:rsidP="00090467">
            <w:pPr>
              <w:jc w:val="both"/>
            </w:pPr>
            <w:r w:rsidRPr="005B1F37">
              <w:t xml:space="preserve">Tiek </w:t>
            </w:r>
            <w:r w:rsidR="000612F9" w:rsidRPr="005B1F37">
              <w:t>paplašin</w:t>
            </w:r>
            <w:r w:rsidRPr="005B1F37">
              <w:t>āta kompetence un noteiktas</w:t>
            </w:r>
            <w:r w:rsidR="000612F9" w:rsidRPr="005B1F37">
              <w:t xml:space="preserve"> jaunas funkcijas:</w:t>
            </w:r>
          </w:p>
          <w:p w:rsidR="000612F9" w:rsidRPr="005B1F37" w:rsidRDefault="000612F9" w:rsidP="00090467">
            <w:pPr>
              <w:numPr>
                <w:ilvl w:val="0"/>
                <w:numId w:val="9"/>
              </w:numPr>
              <w:jc w:val="both"/>
            </w:pPr>
            <w:r w:rsidRPr="005B1F37">
              <w:t>Izglītības kvalitātes valsts dienestam, t.sk. reģistra izveide un kārtošana, lēmumu pieņemšanu par bērna uzraudzības pakalpojuma sniedzēju reģistrēšanu un izslēgšanu no reģistra, sadarbība ar citām iestādēm;</w:t>
            </w:r>
          </w:p>
          <w:p w:rsidR="000612F9" w:rsidRPr="0081147A" w:rsidRDefault="000612F9" w:rsidP="00090467">
            <w:pPr>
              <w:numPr>
                <w:ilvl w:val="0"/>
                <w:numId w:val="9"/>
              </w:numPr>
              <w:jc w:val="both"/>
            </w:pPr>
            <w:r w:rsidRPr="005B1F37">
              <w:rPr>
                <w:bCs/>
                <w:shd w:val="clear" w:color="auto" w:fill="FFFFFF"/>
              </w:rPr>
              <w:t xml:space="preserve">Izglītības un zinātnes ministrijai, t.sk., reģistra funkcionēšana </w:t>
            </w:r>
            <w:r w:rsidR="00DA6839" w:rsidRPr="005B1F37">
              <w:rPr>
                <w:bCs/>
                <w:shd w:val="clear" w:color="auto" w:fill="FFFFFF"/>
              </w:rPr>
              <w:t>Valsts izglītības informācijas sistēmas</w:t>
            </w:r>
            <w:r w:rsidRPr="005B1F37">
              <w:rPr>
                <w:bCs/>
                <w:shd w:val="clear" w:color="auto" w:fill="FFFFFF"/>
              </w:rPr>
              <w:t xml:space="preserve"> vidē.</w:t>
            </w:r>
          </w:p>
        </w:tc>
      </w:tr>
      <w:tr w:rsidR="0081147A" w:rsidRPr="005B1F37" w:rsidTr="003E5E7A">
        <w:tc>
          <w:tcPr>
            <w:tcW w:w="396" w:type="dxa"/>
          </w:tcPr>
          <w:p w:rsidR="000612F9" w:rsidRPr="005B1F37" w:rsidRDefault="000612F9" w:rsidP="00475CB6">
            <w:r w:rsidRPr="005B1F37">
              <w:t>3.</w:t>
            </w:r>
          </w:p>
        </w:tc>
        <w:tc>
          <w:tcPr>
            <w:tcW w:w="3072" w:type="dxa"/>
          </w:tcPr>
          <w:p w:rsidR="000612F9" w:rsidRPr="005B1F37" w:rsidRDefault="000612F9" w:rsidP="00475CB6">
            <w:r w:rsidRPr="005B1F37">
              <w:t>Projekta izpildes ietekme uz pārvaldes institucionālo struktūru.</w:t>
            </w:r>
          </w:p>
          <w:p w:rsidR="000612F9" w:rsidRPr="005B1F37" w:rsidRDefault="000612F9" w:rsidP="00090467">
            <w:r w:rsidRPr="005B1F37">
              <w:t>Jaunu institūciju izveide.</w:t>
            </w:r>
          </w:p>
        </w:tc>
        <w:tc>
          <w:tcPr>
            <w:tcW w:w="5819" w:type="dxa"/>
          </w:tcPr>
          <w:p w:rsidR="000612F9" w:rsidRPr="005B1F37" w:rsidRDefault="00DA6839" w:rsidP="00090467">
            <w:pPr>
              <w:jc w:val="both"/>
            </w:pPr>
            <w:r w:rsidRPr="005B1F37">
              <w:t>N</w:t>
            </w:r>
            <w:r w:rsidR="000612F9" w:rsidRPr="005B1F37">
              <w:t xml:space="preserve">av nepieciešams veidot jaunas institūcijas. </w:t>
            </w:r>
          </w:p>
        </w:tc>
      </w:tr>
      <w:tr w:rsidR="0081147A" w:rsidRPr="005B1F37" w:rsidTr="003E5E7A">
        <w:tc>
          <w:tcPr>
            <w:tcW w:w="396" w:type="dxa"/>
          </w:tcPr>
          <w:p w:rsidR="000612F9" w:rsidRPr="005B1F37" w:rsidRDefault="000612F9" w:rsidP="00475CB6">
            <w:r w:rsidRPr="005B1F37">
              <w:t>4.</w:t>
            </w:r>
          </w:p>
        </w:tc>
        <w:tc>
          <w:tcPr>
            <w:tcW w:w="3072" w:type="dxa"/>
          </w:tcPr>
          <w:p w:rsidR="000612F9" w:rsidRPr="005B1F37" w:rsidRDefault="000612F9" w:rsidP="00475CB6">
            <w:r w:rsidRPr="005B1F37">
              <w:t>Projekta izpildes ietekme uz pārvaldes institucionālo struktūru.</w:t>
            </w:r>
          </w:p>
          <w:p w:rsidR="000612F9" w:rsidRPr="005B1F37" w:rsidRDefault="000612F9" w:rsidP="00090467">
            <w:r w:rsidRPr="005B1F37">
              <w:t>Esošo institūciju likvidācija.</w:t>
            </w:r>
          </w:p>
        </w:tc>
        <w:tc>
          <w:tcPr>
            <w:tcW w:w="5819" w:type="dxa"/>
          </w:tcPr>
          <w:p w:rsidR="000612F9" w:rsidRPr="005B1F37" w:rsidRDefault="00DA6839" w:rsidP="00090467">
            <w:pPr>
              <w:jc w:val="both"/>
            </w:pPr>
            <w:r w:rsidRPr="005B1F37">
              <w:t>Rīkojuma</w:t>
            </w:r>
            <w:r w:rsidR="000612F9" w:rsidRPr="005B1F37">
              <w:t xml:space="preserve"> projekts šo jomu neskar. </w:t>
            </w:r>
          </w:p>
        </w:tc>
      </w:tr>
      <w:tr w:rsidR="0081147A" w:rsidRPr="005B1F37" w:rsidTr="003E5E7A">
        <w:tc>
          <w:tcPr>
            <w:tcW w:w="396" w:type="dxa"/>
          </w:tcPr>
          <w:p w:rsidR="000612F9" w:rsidRPr="005B1F37" w:rsidRDefault="000612F9" w:rsidP="00475CB6">
            <w:r w:rsidRPr="005B1F37">
              <w:t>5.</w:t>
            </w:r>
          </w:p>
        </w:tc>
        <w:tc>
          <w:tcPr>
            <w:tcW w:w="3072" w:type="dxa"/>
          </w:tcPr>
          <w:p w:rsidR="000612F9" w:rsidRPr="005B1F37" w:rsidRDefault="000612F9" w:rsidP="00475CB6">
            <w:r w:rsidRPr="005B1F37">
              <w:t>Projekta izpildes ietekme uz pārvaldes institucionālo struktūru.</w:t>
            </w:r>
          </w:p>
          <w:p w:rsidR="000612F9" w:rsidRPr="005B1F37" w:rsidRDefault="000612F9" w:rsidP="00090467">
            <w:r w:rsidRPr="005B1F37">
              <w:t>Esošo institūciju reorganizācija.</w:t>
            </w:r>
          </w:p>
        </w:tc>
        <w:tc>
          <w:tcPr>
            <w:tcW w:w="5819" w:type="dxa"/>
          </w:tcPr>
          <w:p w:rsidR="000612F9" w:rsidRPr="005B1F37" w:rsidRDefault="00DA6839" w:rsidP="00090467">
            <w:pPr>
              <w:jc w:val="both"/>
            </w:pPr>
            <w:r w:rsidRPr="005B1F37">
              <w:t>Rīkojuma</w:t>
            </w:r>
            <w:r w:rsidR="000612F9" w:rsidRPr="005B1F37">
              <w:t xml:space="preserve"> projekts šo jomu neskar.</w:t>
            </w:r>
          </w:p>
        </w:tc>
      </w:tr>
      <w:tr w:rsidR="000612F9" w:rsidRPr="005B1F37" w:rsidTr="003E5E7A">
        <w:tc>
          <w:tcPr>
            <w:tcW w:w="396" w:type="dxa"/>
          </w:tcPr>
          <w:p w:rsidR="000612F9" w:rsidRPr="005B1F37" w:rsidRDefault="000612F9" w:rsidP="00475CB6">
            <w:r w:rsidRPr="005B1F37">
              <w:t xml:space="preserve">6. </w:t>
            </w:r>
          </w:p>
        </w:tc>
        <w:tc>
          <w:tcPr>
            <w:tcW w:w="3072" w:type="dxa"/>
          </w:tcPr>
          <w:p w:rsidR="000612F9" w:rsidRPr="005B1F37" w:rsidRDefault="000612F9" w:rsidP="00475CB6">
            <w:r w:rsidRPr="005B1F37">
              <w:t>Cita informācija</w:t>
            </w:r>
          </w:p>
        </w:tc>
        <w:tc>
          <w:tcPr>
            <w:tcW w:w="5819" w:type="dxa"/>
          </w:tcPr>
          <w:p w:rsidR="000612F9" w:rsidRPr="005B1F37" w:rsidRDefault="000612F9" w:rsidP="00090467">
            <w:pPr>
              <w:jc w:val="both"/>
              <w:rPr>
                <w:iCs/>
              </w:rPr>
            </w:pPr>
            <w:r w:rsidRPr="005B1F37">
              <w:rPr>
                <w:iCs/>
              </w:rPr>
              <w:t>Nav</w:t>
            </w:r>
            <w:r w:rsidR="00DA6839" w:rsidRPr="005B1F37">
              <w:rPr>
                <w:iCs/>
              </w:rPr>
              <w:t>.</w:t>
            </w:r>
            <w:r w:rsidRPr="005B1F37">
              <w:rPr>
                <w:iCs/>
              </w:rPr>
              <w:t xml:space="preserve"> </w:t>
            </w:r>
          </w:p>
        </w:tc>
      </w:tr>
    </w:tbl>
    <w:p w:rsidR="000612F9" w:rsidRPr="005B1F37" w:rsidRDefault="000612F9" w:rsidP="00475CB6">
      <w:pPr>
        <w:jc w:val="center"/>
      </w:pPr>
    </w:p>
    <w:p w:rsidR="000612F9" w:rsidRPr="005B1F37" w:rsidRDefault="000612F9" w:rsidP="00475CB6">
      <w:pPr>
        <w:jc w:val="center"/>
      </w:pPr>
    </w:p>
    <w:p w:rsidR="000612F9" w:rsidRPr="005B1F37" w:rsidRDefault="000612F9" w:rsidP="00090467">
      <w:pPr>
        <w:rPr>
          <w:sz w:val="26"/>
          <w:szCs w:val="26"/>
        </w:rPr>
      </w:pPr>
      <w:r w:rsidRPr="005B1F37">
        <w:rPr>
          <w:sz w:val="26"/>
          <w:szCs w:val="26"/>
        </w:rPr>
        <w:t>Labklājības ministre</w:t>
      </w:r>
      <w:r w:rsidRPr="005B1F37">
        <w:rPr>
          <w:sz w:val="26"/>
          <w:szCs w:val="26"/>
        </w:rPr>
        <w:tab/>
      </w:r>
      <w:r w:rsidRPr="005B1F37">
        <w:rPr>
          <w:sz w:val="26"/>
          <w:szCs w:val="26"/>
        </w:rPr>
        <w:tab/>
      </w:r>
      <w:r w:rsidRPr="005B1F37">
        <w:rPr>
          <w:sz w:val="26"/>
          <w:szCs w:val="26"/>
        </w:rPr>
        <w:tab/>
      </w:r>
      <w:r w:rsidRPr="005B1F37">
        <w:rPr>
          <w:sz w:val="26"/>
          <w:szCs w:val="26"/>
        </w:rPr>
        <w:tab/>
      </w:r>
      <w:r w:rsidRPr="005B1F37">
        <w:rPr>
          <w:sz w:val="26"/>
          <w:szCs w:val="26"/>
        </w:rPr>
        <w:tab/>
      </w:r>
      <w:proofErr w:type="gramStart"/>
      <w:r w:rsidRPr="005B1F37">
        <w:rPr>
          <w:sz w:val="26"/>
          <w:szCs w:val="26"/>
        </w:rPr>
        <w:t xml:space="preserve">                                </w:t>
      </w:r>
      <w:proofErr w:type="spellStart"/>
      <w:proofErr w:type="gramEnd"/>
      <w:r w:rsidRPr="005B1F37">
        <w:rPr>
          <w:sz w:val="26"/>
          <w:szCs w:val="26"/>
        </w:rPr>
        <w:t>I.Viņķele</w:t>
      </w:r>
      <w:proofErr w:type="spellEnd"/>
    </w:p>
    <w:p w:rsidR="000612F9" w:rsidRPr="005B1F37" w:rsidRDefault="000612F9" w:rsidP="00090467">
      <w:pPr>
        <w:rPr>
          <w:sz w:val="20"/>
          <w:szCs w:val="20"/>
        </w:rPr>
      </w:pPr>
    </w:p>
    <w:p w:rsidR="00643832" w:rsidRPr="005B1F37" w:rsidRDefault="00643832" w:rsidP="00090467">
      <w:pPr>
        <w:rPr>
          <w:sz w:val="20"/>
          <w:szCs w:val="20"/>
        </w:rPr>
      </w:pPr>
    </w:p>
    <w:p w:rsidR="000612F9" w:rsidRPr="005B1F37" w:rsidRDefault="000612F9" w:rsidP="00090467">
      <w:pPr>
        <w:rPr>
          <w:sz w:val="20"/>
          <w:szCs w:val="20"/>
        </w:rPr>
      </w:pPr>
      <w:r w:rsidRPr="005B1F37">
        <w:rPr>
          <w:sz w:val="20"/>
          <w:szCs w:val="20"/>
        </w:rPr>
        <w:t>2013.07.</w:t>
      </w:r>
      <w:r w:rsidR="00A3035D" w:rsidRPr="005B1F37">
        <w:rPr>
          <w:sz w:val="20"/>
          <w:szCs w:val="20"/>
        </w:rPr>
        <w:t>2</w:t>
      </w:r>
      <w:r w:rsidR="00A867ED">
        <w:rPr>
          <w:sz w:val="20"/>
          <w:szCs w:val="20"/>
        </w:rPr>
        <w:t>9</w:t>
      </w:r>
      <w:r w:rsidRPr="005B1F37">
        <w:rPr>
          <w:sz w:val="20"/>
          <w:szCs w:val="20"/>
        </w:rPr>
        <w:t xml:space="preserve">. </w:t>
      </w:r>
      <w:r w:rsidR="00893FB3">
        <w:rPr>
          <w:sz w:val="20"/>
          <w:szCs w:val="20"/>
        </w:rPr>
        <w:t>14:07</w:t>
      </w:r>
      <w:bookmarkStart w:id="0" w:name="_GoBack"/>
      <w:bookmarkEnd w:id="0"/>
    </w:p>
    <w:p w:rsidR="000612F9" w:rsidRPr="005B1F37" w:rsidRDefault="00893FB3" w:rsidP="00090467">
      <w:pPr>
        <w:tabs>
          <w:tab w:val="left" w:pos="2918"/>
        </w:tabs>
        <w:rPr>
          <w:sz w:val="20"/>
          <w:szCs w:val="20"/>
        </w:rPr>
      </w:pPr>
      <w:r>
        <w:rPr>
          <w:sz w:val="20"/>
          <w:szCs w:val="20"/>
        </w:rPr>
        <w:t>2122</w:t>
      </w:r>
      <w:r w:rsidR="000612F9" w:rsidRPr="005B1F37">
        <w:rPr>
          <w:sz w:val="20"/>
          <w:szCs w:val="20"/>
        </w:rPr>
        <w:tab/>
      </w:r>
    </w:p>
    <w:p w:rsidR="000612F9" w:rsidRPr="005B1F37" w:rsidRDefault="000612F9" w:rsidP="00090467">
      <w:pPr>
        <w:rPr>
          <w:sz w:val="20"/>
          <w:szCs w:val="20"/>
        </w:rPr>
      </w:pPr>
      <w:r w:rsidRPr="005B1F37">
        <w:rPr>
          <w:sz w:val="20"/>
          <w:szCs w:val="20"/>
        </w:rPr>
        <w:t>L.Liepa 67021632</w:t>
      </w:r>
    </w:p>
    <w:p w:rsidR="000612F9" w:rsidRPr="0081147A" w:rsidRDefault="00893FB3" w:rsidP="00090467">
      <w:pPr>
        <w:rPr>
          <w:sz w:val="20"/>
          <w:szCs w:val="20"/>
        </w:rPr>
      </w:pPr>
      <w:hyperlink r:id="rId9" w:history="1">
        <w:r w:rsidR="000612F9" w:rsidRPr="005B1F37">
          <w:rPr>
            <w:rStyle w:val="Hyperlink"/>
            <w:color w:val="auto"/>
            <w:sz w:val="20"/>
            <w:szCs w:val="20"/>
          </w:rPr>
          <w:t>Linda.Liepa@lm.gov.lv</w:t>
        </w:r>
      </w:hyperlink>
    </w:p>
    <w:p w:rsidR="000612F9" w:rsidRPr="00C53AAD" w:rsidRDefault="000612F9" w:rsidP="00090467"/>
    <w:p w:rsidR="006670E0" w:rsidRPr="00C53AAD" w:rsidRDefault="006670E0" w:rsidP="00090467"/>
    <w:sectPr w:rsidR="006670E0" w:rsidRPr="00C53AAD" w:rsidSect="003E5E7A">
      <w:headerReference w:type="even" r:id="rId10"/>
      <w:headerReference w:type="default" r:id="rId11"/>
      <w:footerReference w:type="default" r:id="rId12"/>
      <w:footerReference w:type="first" r:id="rId13"/>
      <w:pgSz w:w="11906" w:h="16838"/>
      <w:pgMar w:top="1418" w:right="92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80" w:rsidRDefault="006C1C80" w:rsidP="000612F9">
      <w:r>
        <w:separator/>
      </w:r>
    </w:p>
  </w:endnote>
  <w:endnote w:type="continuationSeparator" w:id="0">
    <w:p w:rsidR="006C1C80" w:rsidRDefault="006C1C80" w:rsidP="0006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32" w:rsidRPr="00767C54" w:rsidRDefault="001D3132" w:rsidP="001D3132">
    <w:pPr>
      <w:pStyle w:val="Default"/>
      <w:rPr>
        <w:sz w:val="20"/>
        <w:szCs w:val="20"/>
      </w:rPr>
    </w:pPr>
    <w:r>
      <w:rPr>
        <w:sz w:val="22"/>
        <w:szCs w:val="22"/>
      </w:rPr>
      <w:t>LManot_</w:t>
    </w:r>
    <w:r w:rsidR="00163A44">
      <w:rPr>
        <w:sz w:val="22"/>
        <w:szCs w:val="22"/>
      </w:rPr>
      <w:t>2</w:t>
    </w:r>
    <w:r w:rsidR="00A867ED">
      <w:rPr>
        <w:sz w:val="22"/>
        <w:szCs w:val="22"/>
      </w:rPr>
      <w:t>9</w:t>
    </w:r>
    <w:r>
      <w:rPr>
        <w:sz w:val="22"/>
        <w:szCs w:val="22"/>
      </w:rPr>
      <w:t>707</w:t>
    </w:r>
    <w:r w:rsidRPr="00203F14">
      <w:rPr>
        <w:sz w:val="22"/>
        <w:szCs w:val="22"/>
      </w:rPr>
      <w:t>13;</w:t>
    </w:r>
    <w:r w:rsidRPr="00767C54">
      <w:rPr>
        <w:sz w:val="20"/>
        <w:szCs w:val="20"/>
      </w:rPr>
      <w:t xml:space="preserve"> </w:t>
    </w:r>
    <w:r w:rsidRPr="00767C54">
      <w:rPr>
        <w:bCs/>
        <w:sz w:val="20"/>
        <w:szCs w:val="20"/>
      </w:rPr>
      <w:t>Par pamatbudžeta apropriācijas pārdali</w:t>
    </w:r>
    <w:r>
      <w:rPr>
        <w:bCs/>
        <w:sz w:val="20"/>
        <w:szCs w:val="20"/>
      </w:rPr>
      <w:t xml:space="preserve"> starp Labklājības ministriju un Izglītības un zinātnes ministriju 2013.gadā</w:t>
    </w:r>
  </w:p>
  <w:p w:rsidR="006C1C80" w:rsidRPr="00CE5AB8" w:rsidRDefault="006C1C80" w:rsidP="003E5E7A">
    <w:pPr>
      <w:pStyle w:val="Footer"/>
      <w:jc w:val="both"/>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80" w:rsidRPr="00767C54" w:rsidRDefault="006C1C80" w:rsidP="0099040F">
    <w:pPr>
      <w:pStyle w:val="Default"/>
      <w:rPr>
        <w:sz w:val="20"/>
        <w:szCs w:val="20"/>
      </w:rPr>
    </w:pPr>
    <w:r>
      <w:rPr>
        <w:sz w:val="22"/>
        <w:szCs w:val="22"/>
      </w:rPr>
      <w:t>LManot_</w:t>
    </w:r>
    <w:r w:rsidR="00163A44">
      <w:rPr>
        <w:sz w:val="22"/>
        <w:szCs w:val="22"/>
      </w:rPr>
      <w:t>2</w:t>
    </w:r>
    <w:r w:rsidR="00A867ED">
      <w:rPr>
        <w:sz w:val="22"/>
        <w:szCs w:val="22"/>
      </w:rPr>
      <w:t>9</w:t>
    </w:r>
    <w:r>
      <w:rPr>
        <w:sz w:val="22"/>
        <w:szCs w:val="22"/>
      </w:rPr>
      <w:t>707</w:t>
    </w:r>
    <w:r w:rsidRPr="00203F14">
      <w:rPr>
        <w:sz w:val="22"/>
        <w:szCs w:val="22"/>
      </w:rPr>
      <w:t>13;</w:t>
    </w:r>
    <w:r w:rsidRPr="00767C54">
      <w:rPr>
        <w:sz w:val="20"/>
        <w:szCs w:val="20"/>
      </w:rPr>
      <w:t xml:space="preserve"> </w:t>
    </w:r>
    <w:r w:rsidRPr="00767C54">
      <w:rPr>
        <w:bCs/>
        <w:sz w:val="20"/>
        <w:szCs w:val="20"/>
      </w:rPr>
      <w:t>Par pamatbudžeta apropriācijas pārdali</w:t>
    </w:r>
    <w:r w:rsidR="00BD525C">
      <w:rPr>
        <w:bCs/>
        <w:sz w:val="20"/>
        <w:szCs w:val="20"/>
      </w:rPr>
      <w:t xml:space="preserve"> starp Labklājības ministriju un Izglītības un zinātnes ministriju 2013.gadā</w:t>
    </w:r>
  </w:p>
  <w:p w:rsidR="006C1C80" w:rsidRPr="00B03ADC" w:rsidRDefault="006C1C80" w:rsidP="003E5E7A">
    <w:pPr>
      <w:pStyle w:val="Footer"/>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80" w:rsidRDefault="006C1C80" w:rsidP="000612F9">
      <w:r>
        <w:separator/>
      </w:r>
    </w:p>
  </w:footnote>
  <w:footnote w:type="continuationSeparator" w:id="0">
    <w:p w:rsidR="006C1C80" w:rsidRDefault="006C1C80" w:rsidP="00061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80" w:rsidRDefault="006C1C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C80" w:rsidRDefault="006C1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80" w:rsidRDefault="006C1C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FB3">
      <w:rPr>
        <w:rStyle w:val="PageNumber"/>
        <w:noProof/>
      </w:rPr>
      <w:t>9</w:t>
    </w:r>
    <w:r>
      <w:rPr>
        <w:rStyle w:val="PageNumber"/>
      </w:rPr>
      <w:fldChar w:fldCharType="end"/>
    </w:r>
  </w:p>
  <w:p w:rsidR="006C1C80" w:rsidRDefault="006C1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121"/>
    <w:multiLevelType w:val="hybridMultilevel"/>
    <w:tmpl w:val="F18061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1D26A74"/>
    <w:multiLevelType w:val="hybridMultilevel"/>
    <w:tmpl w:val="3FE481F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9DD681C"/>
    <w:multiLevelType w:val="hybridMultilevel"/>
    <w:tmpl w:val="9E3A9A8C"/>
    <w:lvl w:ilvl="0" w:tplc="7BD6232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E33A06"/>
    <w:multiLevelType w:val="hybridMultilevel"/>
    <w:tmpl w:val="BC102106"/>
    <w:lvl w:ilvl="0" w:tplc="4D6CA476">
      <w:start w:val="1"/>
      <w:numFmt w:val="decimal"/>
      <w:lvlText w:val="%1)"/>
      <w:lvlJc w:val="left"/>
      <w:pPr>
        <w:ind w:left="408" w:hanging="360"/>
      </w:pPr>
      <w:rPr>
        <w:rFonts w:hint="default"/>
        <w:color w:val="2A2A2A"/>
        <w:sz w:val="24"/>
        <w:szCs w:val="24"/>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4">
    <w:nsid w:val="2D9F6CA6"/>
    <w:multiLevelType w:val="hybridMultilevel"/>
    <w:tmpl w:val="25022F34"/>
    <w:lvl w:ilvl="0" w:tplc="2BC0AF1A">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5">
    <w:nsid w:val="3216410E"/>
    <w:multiLevelType w:val="hybridMultilevel"/>
    <w:tmpl w:val="C9E01A3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5DA2B2D"/>
    <w:multiLevelType w:val="hybridMultilevel"/>
    <w:tmpl w:val="D9702338"/>
    <w:lvl w:ilvl="0" w:tplc="106C4AA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40966C7F"/>
    <w:multiLevelType w:val="hybridMultilevel"/>
    <w:tmpl w:val="02CCB2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3681E3B"/>
    <w:multiLevelType w:val="hybridMultilevel"/>
    <w:tmpl w:val="ED4E74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D4B6E73"/>
    <w:multiLevelType w:val="hybridMultilevel"/>
    <w:tmpl w:val="4B042F7A"/>
    <w:lvl w:ilvl="0" w:tplc="04260011">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5363F27"/>
    <w:multiLevelType w:val="hybridMultilevel"/>
    <w:tmpl w:val="F7B2F5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99A41BC"/>
    <w:multiLevelType w:val="hybridMultilevel"/>
    <w:tmpl w:val="ED0C9544"/>
    <w:lvl w:ilvl="0" w:tplc="4E28C916">
      <w:start w:val="1"/>
      <w:numFmt w:val="decimal"/>
      <w:lvlText w:val="%1)"/>
      <w:lvlJc w:val="left"/>
      <w:pPr>
        <w:ind w:left="360" w:hanging="360"/>
      </w:pPr>
      <w:rPr>
        <w:rFonts w:hint="default"/>
        <w:color w:val="000000"/>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5A9D0A01"/>
    <w:multiLevelType w:val="hybridMultilevel"/>
    <w:tmpl w:val="4EFC988E"/>
    <w:lvl w:ilvl="0" w:tplc="CB306D7A">
      <w:start w:val="2"/>
      <w:numFmt w:val="bullet"/>
      <w:lvlText w:val="-"/>
      <w:lvlJc w:val="left"/>
      <w:pPr>
        <w:tabs>
          <w:tab w:val="num" w:pos="795"/>
        </w:tabs>
        <w:ind w:left="795" w:hanging="435"/>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616B0302"/>
    <w:multiLevelType w:val="hybridMultilevel"/>
    <w:tmpl w:val="2D905CC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20E7298"/>
    <w:multiLevelType w:val="hybridMultilevel"/>
    <w:tmpl w:val="F83C98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52475C9"/>
    <w:multiLevelType w:val="hybridMultilevel"/>
    <w:tmpl w:val="B40EEFE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79344C2"/>
    <w:multiLevelType w:val="hybridMultilevel"/>
    <w:tmpl w:val="060A075A"/>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7">
    <w:nsid w:val="6B2B2742"/>
    <w:multiLevelType w:val="hybridMultilevel"/>
    <w:tmpl w:val="25022F34"/>
    <w:lvl w:ilvl="0" w:tplc="2BC0AF1A">
      <w:start w:val="1"/>
      <w:numFmt w:val="decimal"/>
      <w:lvlText w:val="%1)"/>
      <w:lvlJc w:val="left"/>
      <w:pPr>
        <w:ind w:left="644" w:hanging="360"/>
      </w:pPr>
      <w:rPr>
        <w:rFonts w:ascii="Times New Roman" w:eastAsia="Times New Roman" w:hAnsi="Times New Roman" w:cs="Times New Roman"/>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8">
    <w:nsid w:val="749C4661"/>
    <w:multiLevelType w:val="hybridMultilevel"/>
    <w:tmpl w:val="698205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75731887"/>
    <w:multiLevelType w:val="hybridMultilevel"/>
    <w:tmpl w:val="F39422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nsid w:val="779155B8"/>
    <w:multiLevelType w:val="hybridMultilevel"/>
    <w:tmpl w:val="16448BAA"/>
    <w:lvl w:ilvl="0" w:tplc="E9CCD39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
  </w:num>
  <w:num w:numId="4">
    <w:abstractNumId w:val="19"/>
  </w:num>
  <w:num w:numId="5">
    <w:abstractNumId w:val="0"/>
  </w:num>
  <w:num w:numId="6">
    <w:abstractNumId w:val="16"/>
  </w:num>
  <w:num w:numId="7">
    <w:abstractNumId w:val="10"/>
  </w:num>
  <w:num w:numId="8">
    <w:abstractNumId w:val="6"/>
  </w:num>
  <w:num w:numId="9">
    <w:abstractNumId w:val="18"/>
  </w:num>
  <w:num w:numId="10">
    <w:abstractNumId w:val="14"/>
  </w:num>
  <w:num w:numId="11">
    <w:abstractNumId w:val="5"/>
  </w:num>
  <w:num w:numId="12">
    <w:abstractNumId w:val="8"/>
  </w:num>
  <w:num w:numId="13">
    <w:abstractNumId w:val="15"/>
  </w:num>
  <w:num w:numId="14">
    <w:abstractNumId w:val="7"/>
  </w:num>
  <w:num w:numId="15">
    <w:abstractNumId w:val="12"/>
  </w:num>
  <w:num w:numId="16">
    <w:abstractNumId w:val="3"/>
  </w:num>
  <w:num w:numId="17">
    <w:abstractNumId w:val="17"/>
  </w:num>
  <w:num w:numId="18">
    <w:abstractNumId w:val="4"/>
  </w:num>
  <w:num w:numId="19">
    <w:abstractNumId w:val="11"/>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F9"/>
    <w:rsid w:val="00011A99"/>
    <w:rsid w:val="00013C78"/>
    <w:rsid w:val="00015246"/>
    <w:rsid w:val="00023B93"/>
    <w:rsid w:val="000457E1"/>
    <w:rsid w:val="00053D51"/>
    <w:rsid w:val="000612F9"/>
    <w:rsid w:val="000769DB"/>
    <w:rsid w:val="00087C4E"/>
    <w:rsid w:val="00090467"/>
    <w:rsid w:val="000A14D2"/>
    <w:rsid w:val="000D5A06"/>
    <w:rsid w:val="000E200A"/>
    <w:rsid w:val="00104E01"/>
    <w:rsid w:val="0011332F"/>
    <w:rsid w:val="0015725D"/>
    <w:rsid w:val="00163A44"/>
    <w:rsid w:val="0018259F"/>
    <w:rsid w:val="001977FA"/>
    <w:rsid w:val="001A79D2"/>
    <w:rsid w:val="001C21DF"/>
    <w:rsid w:val="001D1750"/>
    <w:rsid w:val="001D3132"/>
    <w:rsid w:val="001D6DFE"/>
    <w:rsid w:val="001E1CAE"/>
    <w:rsid w:val="001F6BBC"/>
    <w:rsid w:val="001F70EC"/>
    <w:rsid w:val="002142A2"/>
    <w:rsid w:val="0021765A"/>
    <w:rsid w:val="00235561"/>
    <w:rsid w:val="00240F9C"/>
    <w:rsid w:val="00294EBC"/>
    <w:rsid w:val="00317805"/>
    <w:rsid w:val="0032036B"/>
    <w:rsid w:val="00332EC0"/>
    <w:rsid w:val="00352180"/>
    <w:rsid w:val="003B0774"/>
    <w:rsid w:val="003B50BA"/>
    <w:rsid w:val="003C071D"/>
    <w:rsid w:val="003C14B3"/>
    <w:rsid w:val="003E1F77"/>
    <w:rsid w:val="003E2DDF"/>
    <w:rsid w:val="003E5E7A"/>
    <w:rsid w:val="003F7B68"/>
    <w:rsid w:val="0040133B"/>
    <w:rsid w:val="0040346F"/>
    <w:rsid w:val="00406319"/>
    <w:rsid w:val="00414EE6"/>
    <w:rsid w:val="00425E4D"/>
    <w:rsid w:val="0043563B"/>
    <w:rsid w:val="00446360"/>
    <w:rsid w:val="004545E5"/>
    <w:rsid w:val="00456017"/>
    <w:rsid w:val="00475CB6"/>
    <w:rsid w:val="00482A56"/>
    <w:rsid w:val="004A310A"/>
    <w:rsid w:val="004C2510"/>
    <w:rsid w:val="004E490F"/>
    <w:rsid w:val="005070C9"/>
    <w:rsid w:val="005304E0"/>
    <w:rsid w:val="00540EA8"/>
    <w:rsid w:val="00546EB9"/>
    <w:rsid w:val="00552253"/>
    <w:rsid w:val="00554D6B"/>
    <w:rsid w:val="0055733C"/>
    <w:rsid w:val="005A73FF"/>
    <w:rsid w:val="005A7D36"/>
    <w:rsid w:val="005B17D9"/>
    <w:rsid w:val="005B1F37"/>
    <w:rsid w:val="005C228A"/>
    <w:rsid w:val="005D392D"/>
    <w:rsid w:val="005E15AD"/>
    <w:rsid w:val="005F31A2"/>
    <w:rsid w:val="00603280"/>
    <w:rsid w:val="006317E8"/>
    <w:rsid w:val="006414E2"/>
    <w:rsid w:val="00643832"/>
    <w:rsid w:val="00647C2E"/>
    <w:rsid w:val="006670E0"/>
    <w:rsid w:val="006B10A5"/>
    <w:rsid w:val="006C1C80"/>
    <w:rsid w:val="006E309E"/>
    <w:rsid w:val="0071436E"/>
    <w:rsid w:val="007147E0"/>
    <w:rsid w:val="00725866"/>
    <w:rsid w:val="0074203E"/>
    <w:rsid w:val="007450B6"/>
    <w:rsid w:val="00766F67"/>
    <w:rsid w:val="007743EE"/>
    <w:rsid w:val="00774D4F"/>
    <w:rsid w:val="00777981"/>
    <w:rsid w:val="007A395A"/>
    <w:rsid w:val="0080745B"/>
    <w:rsid w:val="0081147A"/>
    <w:rsid w:val="00814AF5"/>
    <w:rsid w:val="0084533C"/>
    <w:rsid w:val="00857DB2"/>
    <w:rsid w:val="008661DC"/>
    <w:rsid w:val="00875795"/>
    <w:rsid w:val="00877042"/>
    <w:rsid w:val="008910D0"/>
    <w:rsid w:val="00893FB3"/>
    <w:rsid w:val="008952EE"/>
    <w:rsid w:val="008F7CA3"/>
    <w:rsid w:val="00904E01"/>
    <w:rsid w:val="0091721E"/>
    <w:rsid w:val="00917925"/>
    <w:rsid w:val="00951419"/>
    <w:rsid w:val="009560FC"/>
    <w:rsid w:val="009731F2"/>
    <w:rsid w:val="0099040F"/>
    <w:rsid w:val="009920ED"/>
    <w:rsid w:val="009A09BF"/>
    <w:rsid w:val="009C30C1"/>
    <w:rsid w:val="009D027C"/>
    <w:rsid w:val="00A3035D"/>
    <w:rsid w:val="00A34BA7"/>
    <w:rsid w:val="00A410A4"/>
    <w:rsid w:val="00A847AE"/>
    <w:rsid w:val="00A867ED"/>
    <w:rsid w:val="00AB3F9C"/>
    <w:rsid w:val="00B07DAA"/>
    <w:rsid w:val="00B26610"/>
    <w:rsid w:val="00B4500B"/>
    <w:rsid w:val="00B52972"/>
    <w:rsid w:val="00B92E52"/>
    <w:rsid w:val="00B94EB2"/>
    <w:rsid w:val="00B950FF"/>
    <w:rsid w:val="00B95BA9"/>
    <w:rsid w:val="00BB2297"/>
    <w:rsid w:val="00BB5CED"/>
    <w:rsid w:val="00BD525C"/>
    <w:rsid w:val="00BF10E8"/>
    <w:rsid w:val="00C11D67"/>
    <w:rsid w:val="00C14694"/>
    <w:rsid w:val="00C350BC"/>
    <w:rsid w:val="00C45161"/>
    <w:rsid w:val="00C50DEA"/>
    <w:rsid w:val="00C51535"/>
    <w:rsid w:val="00C53AAD"/>
    <w:rsid w:val="00C63727"/>
    <w:rsid w:val="00C657F4"/>
    <w:rsid w:val="00C9340A"/>
    <w:rsid w:val="00CB0F43"/>
    <w:rsid w:val="00CC4592"/>
    <w:rsid w:val="00CD5D7A"/>
    <w:rsid w:val="00CF4A47"/>
    <w:rsid w:val="00D0517B"/>
    <w:rsid w:val="00D15484"/>
    <w:rsid w:val="00D25D42"/>
    <w:rsid w:val="00D35B47"/>
    <w:rsid w:val="00D503CD"/>
    <w:rsid w:val="00D730B9"/>
    <w:rsid w:val="00D76D93"/>
    <w:rsid w:val="00D81067"/>
    <w:rsid w:val="00D82855"/>
    <w:rsid w:val="00DA3724"/>
    <w:rsid w:val="00DA6839"/>
    <w:rsid w:val="00DC0730"/>
    <w:rsid w:val="00DE0752"/>
    <w:rsid w:val="00E07AF2"/>
    <w:rsid w:val="00E119C6"/>
    <w:rsid w:val="00E12454"/>
    <w:rsid w:val="00E243EA"/>
    <w:rsid w:val="00E351E6"/>
    <w:rsid w:val="00E4690B"/>
    <w:rsid w:val="00E770F9"/>
    <w:rsid w:val="00E853CF"/>
    <w:rsid w:val="00E9374E"/>
    <w:rsid w:val="00E93E21"/>
    <w:rsid w:val="00EB09E3"/>
    <w:rsid w:val="00EC567A"/>
    <w:rsid w:val="00ED6BE1"/>
    <w:rsid w:val="00EE301C"/>
    <w:rsid w:val="00EF68C2"/>
    <w:rsid w:val="00F00930"/>
    <w:rsid w:val="00F06B56"/>
    <w:rsid w:val="00F34012"/>
    <w:rsid w:val="00F34EC5"/>
    <w:rsid w:val="00F53873"/>
    <w:rsid w:val="00F605A5"/>
    <w:rsid w:val="00F73CB4"/>
    <w:rsid w:val="00F83B02"/>
    <w:rsid w:val="00F872F5"/>
    <w:rsid w:val="00FA445A"/>
    <w:rsid w:val="00FD0D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F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0612F9"/>
    <w:pPr>
      <w:keepNext/>
      <w:keepLines/>
      <w:spacing w:after="240" w:line="240" w:lineRule="atLeast"/>
      <w:outlineLvl w:val="2"/>
    </w:pPr>
    <w:rPr>
      <w:rFonts w:ascii="Garamond" w:hAnsi="Garamond"/>
      <w:i/>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2F9"/>
    <w:rPr>
      <w:rFonts w:ascii="Garamond" w:eastAsia="Times New Roman" w:hAnsi="Garamond" w:cs="Times New Roman"/>
      <w:i/>
      <w:kern w:val="20"/>
      <w:sz w:val="20"/>
      <w:szCs w:val="20"/>
      <w:lang w:eastAsia="lv-LV"/>
    </w:rPr>
  </w:style>
  <w:style w:type="paragraph" w:customStyle="1" w:styleId="naisf">
    <w:name w:val="naisf"/>
    <w:basedOn w:val="Normal"/>
    <w:link w:val="naisfChar"/>
    <w:rsid w:val="000612F9"/>
    <w:pPr>
      <w:spacing w:before="100" w:beforeAutospacing="1" w:after="100" w:afterAutospacing="1"/>
    </w:pPr>
    <w:rPr>
      <w:color w:val="000000"/>
    </w:rPr>
  </w:style>
  <w:style w:type="character" w:styleId="Hyperlink">
    <w:name w:val="Hyperlink"/>
    <w:rsid w:val="000612F9"/>
    <w:rPr>
      <w:color w:val="0000FF"/>
      <w:u w:val="single"/>
    </w:rPr>
  </w:style>
  <w:style w:type="paragraph" w:styleId="Footer">
    <w:name w:val="footer"/>
    <w:basedOn w:val="Normal"/>
    <w:link w:val="FooterChar"/>
    <w:rsid w:val="000612F9"/>
    <w:pPr>
      <w:spacing w:before="100" w:beforeAutospacing="1" w:after="100" w:afterAutospacing="1"/>
    </w:pPr>
    <w:rPr>
      <w:color w:val="000000"/>
    </w:rPr>
  </w:style>
  <w:style w:type="character" w:customStyle="1" w:styleId="FooterChar">
    <w:name w:val="Footer Char"/>
    <w:basedOn w:val="DefaultParagraphFont"/>
    <w:link w:val="Footer"/>
    <w:rsid w:val="000612F9"/>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0612F9"/>
    <w:pPr>
      <w:tabs>
        <w:tab w:val="center" w:pos="4153"/>
        <w:tab w:val="right" w:pos="8306"/>
      </w:tabs>
    </w:pPr>
  </w:style>
  <w:style w:type="character" w:customStyle="1" w:styleId="HeaderChar">
    <w:name w:val="Header Char"/>
    <w:basedOn w:val="DefaultParagraphFont"/>
    <w:link w:val="Header"/>
    <w:rsid w:val="000612F9"/>
    <w:rPr>
      <w:rFonts w:ascii="Times New Roman" w:eastAsia="Times New Roman" w:hAnsi="Times New Roman" w:cs="Times New Roman"/>
      <w:sz w:val="24"/>
      <w:szCs w:val="24"/>
      <w:lang w:eastAsia="lv-LV"/>
    </w:rPr>
  </w:style>
  <w:style w:type="character" w:styleId="PageNumber">
    <w:name w:val="page number"/>
    <w:basedOn w:val="DefaultParagraphFont"/>
    <w:rsid w:val="000612F9"/>
  </w:style>
  <w:style w:type="paragraph" w:styleId="BodyText">
    <w:name w:val="Body Text"/>
    <w:basedOn w:val="Normal"/>
    <w:link w:val="BodyTextChar"/>
    <w:rsid w:val="000612F9"/>
    <w:pPr>
      <w:jc w:val="center"/>
      <w:outlineLvl w:val="2"/>
    </w:pPr>
    <w:rPr>
      <w:b/>
      <w:bCs/>
      <w:color w:val="000000"/>
      <w:sz w:val="28"/>
      <w:szCs w:val="28"/>
    </w:rPr>
  </w:style>
  <w:style w:type="character" w:customStyle="1" w:styleId="BodyTextChar">
    <w:name w:val="Body Text Char"/>
    <w:basedOn w:val="DefaultParagraphFont"/>
    <w:link w:val="BodyText"/>
    <w:rsid w:val="000612F9"/>
    <w:rPr>
      <w:rFonts w:ascii="Times New Roman" w:eastAsia="Times New Roman" w:hAnsi="Times New Roman" w:cs="Times New Roman"/>
      <w:b/>
      <w:bCs/>
      <w:color w:val="000000"/>
      <w:sz w:val="28"/>
      <w:szCs w:val="28"/>
      <w:lang w:eastAsia="lv-LV"/>
    </w:rPr>
  </w:style>
  <w:style w:type="paragraph" w:customStyle="1" w:styleId="naiskr">
    <w:name w:val="naiskr"/>
    <w:basedOn w:val="Normal"/>
    <w:rsid w:val="000612F9"/>
    <w:pPr>
      <w:spacing w:before="75" w:after="75"/>
    </w:pPr>
  </w:style>
  <w:style w:type="paragraph" w:customStyle="1" w:styleId="naisnod">
    <w:name w:val="naisnod"/>
    <w:basedOn w:val="Normal"/>
    <w:rsid w:val="000612F9"/>
    <w:pPr>
      <w:spacing w:before="150" w:after="150"/>
      <w:jc w:val="center"/>
    </w:pPr>
    <w:rPr>
      <w:b/>
      <w:bCs/>
    </w:rPr>
  </w:style>
  <w:style w:type="character" w:customStyle="1" w:styleId="CharChar1">
    <w:name w:val="Char Char1"/>
    <w:semiHidden/>
    <w:rsid w:val="000612F9"/>
    <w:rPr>
      <w:lang w:val="lv-LV" w:eastAsia="lv-LV" w:bidi="ar-SA"/>
    </w:rPr>
  </w:style>
  <w:style w:type="paragraph" w:styleId="BodyText2">
    <w:name w:val="Body Text 2"/>
    <w:basedOn w:val="Normal"/>
    <w:link w:val="BodyText2Char"/>
    <w:rsid w:val="000612F9"/>
    <w:pPr>
      <w:jc w:val="both"/>
    </w:pPr>
    <w:rPr>
      <w:iCs/>
    </w:rPr>
  </w:style>
  <w:style w:type="character" w:customStyle="1" w:styleId="BodyText2Char">
    <w:name w:val="Body Text 2 Char"/>
    <w:basedOn w:val="DefaultParagraphFont"/>
    <w:link w:val="BodyText2"/>
    <w:rsid w:val="000612F9"/>
    <w:rPr>
      <w:rFonts w:ascii="Times New Roman" w:eastAsia="Times New Roman" w:hAnsi="Times New Roman" w:cs="Times New Roman"/>
      <w:iCs/>
      <w:sz w:val="24"/>
      <w:szCs w:val="24"/>
      <w:lang w:eastAsia="lv-LV"/>
    </w:rPr>
  </w:style>
  <w:style w:type="paragraph" w:styleId="BalloonText">
    <w:name w:val="Balloon Text"/>
    <w:basedOn w:val="Normal"/>
    <w:link w:val="BalloonTextChar"/>
    <w:semiHidden/>
    <w:rsid w:val="000612F9"/>
    <w:rPr>
      <w:rFonts w:ascii="Tahoma" w:hAnsi="Tahoma" w:cs="Tahoma"/>
      <w:sz w:val="16"/>
      <w:szCs w:val="16"/>
    </w:rPr>
  </w:style>
  <w:style w:type="character" w:customStyle="1" w:styleId="BalloonTextChar">
    <w:name w:val="Balloon Text Char"/>
    <w:basedOn w:val="DefaultParagraphFont"/>
    <w:link w:val="BalloonText"/>
    <w:semiHidden/>
    <w:rsid w:val="000612F9"/>
    <w:rPr>
      <w:rFonts w:ascii="Tahoma" w:eastAsia="Times New Roman" w:hAnsi="Tahoma" w:cs="Tahoma"/>
      <w:sz w:val="16"/>
      <w:szCs w:val="16"/>
      <w:lang w:eastAsia="lv-LV"/>
    </w:rPr>
  </w:style>
  <w:style w:type="character" w:styleId="FootnoteReference">
    <w:name w:val="footnote reference"/>
    <w:aliases w:val="Footnote Reference Number,Footnote symbol,SUPERS,ftref"/>
    <w:semiHidden/>
    <w:rsid w:val="000612F9"/>
    <w:rPr>
      <w:rFonts w:cs="Times New Roman"/>
      <w:vertAlign w:val="superscript"/>
    </w:rPr>
  </w:style>
  <w:style w:type="paragraph" w:styleId="FootnoteText">
    <w:name w:val="footnote text"/>
    <w:aliases w:val="Footnote,Fußnote,Char, Char, Char Rakstz. Rakstz. Rakstz. Rakstz. Rakstz. Rakstz. Rakstz., Char Rakstz. Rakstz. Rakstz. Rakstz. Rakstz. Rakstz., Char Rakstz. Rakstz. Rakstz. Rakstz. Rakstz. Rakstz. Rakstz. Rakstz. Rakstz. Rakstz. Rakstz."/>
    <w:basedOn w:val="Normal"/>
    <w:link w:val="FootnoteTextChar"/>
    <w:semiHidden/>
    <w:rsid w:val="000612F9"/>
    <w:rPr>
      <w:sz w:val="20"/>
      <w:szCs w:val="20"/>
      <w:lang w:val="en-GB" w:eastAsia="en-US"/>
    </w:rPr>
  </w:style>
  <w:style w:type="character" w:customStyle="1" w:styleId="FootnoteTextChar">
    <w:name w:val="Footnote Text Char"/>
    <w:aliases w:val="Footnote Char,Fußnote Char,Char Char, Char Char, Char Rakstz. Rakstz. Rakstz. Rakstz. Rakstz. Rakstz. Rakstz. Char, Char Rakstz. Rakstz. Rakstz. Rakstz. Rakstz. Rakstz. Char"/>
    <w:basedOn w:val="DefaultParagraphFont"/>
    <w:link w:val="FootnoteText"/>
    <w:semiHidden/>
    <w:rsid w:val="000612F9"/>
    <w:rPr>
      <w:rFonts w:ascii="Times New Roman" w:eastAsia="Times New Roman" w:hAnsi="Times New Roman" w:cs="Times New Roman"/>
      <w:sz w:val="20"/>
      <w:szCs w:val="20"/>
      <w:lang w:val="en-GB"/>
    </w:rPr>
  </w:style>
  <w:style w:type="paragraph" w:customStyle="1" w:styleId="tv213limenis2">
    <w:name w:val="tv213 limenis2"/>
    <w:basedOn w:val="Normal"/>
    <w:rsid w:val="000612F9"/>
    <w:pPr>
      <w:spacing w:before="100" w:beforeAutospacing="1" w:after="100" w:afterAutospacing="1"/>
    </w:pPr>
  </w:style>
  <w:style w:type="paragraph" w:customStyle="1" w:styleId="tv213limenis3">
    <w:name w:val="tv213 limenis3"/>
    <w:basedOn w:val="Normal"/>
    <w:rsid w:val="000612F9"/>
    <w:pPr>
      <w:spacing w:before="100" w:beforeAutospacing="1" w:after="100" w:afterAutospacing="1"/>
    </w:pPr>
  </w:style>
  <w:style w:type="paragraph" w:styleId="PlainText">
    <w:name w:val="Plain Text"/>
    <w:basedOn w:val="Normal"/>
    <w:link w:val="PlainTextChar"/>
    <w:unhideWhenUsed/>
    <w:rsid w:val="000612F9"/>
    <w:rPr>
      <w:rFonts w:ascii="Calibri" w:eastAsia="Calibri" w:hAnsi="Calibri"/>
      <w:sz w:val="22"/>
      <w:szCs w:val="21"/>
      <w:lang w:val="x-none" w:eastAsia="x-none"/>
    </w:rPr>
  </w:style>
  <w:style w:type="character" w:customStyle="1" w:styleId="PlainTextChar">
    <w:name w:val="Plain Text Char"/>
    <w:basedOn w:val="DefaultParagraphFont"/>
    <w:link w:val="PlainText"/>
    <w:rsid w:val="000612F9"/>
    <w:rPr>
      <w:rFonts w:ascii="Calibri" w:eastAsia="Calibri" w:hAnsi="Calibri" w:cs="Times New Roman"/>
      <w:szCs w:val="21"/>
      <w:lang w:val="x-none" w:eastAsia="x-none"/>
    </w:rPr>
  </w:style>
  <w:style w:type="character" w:customStyle="1" w:styleId="apple-converted-space">
    <w:name w:val="apple-converted-space"/>
    <w:basedOn w:val="DefaultParagraphFont"/>
    <w:rsid w:val="000612F9"/>
  </w:style>
  <w:style w:type="character" w:customStyle="1" w:styleId="naisfChar">
    <w:name w:val="naisf Char"/>
    <w:link w:val="naisf"/>
    <w:locked/>
    <w:rsid w:val="000612F9"/>
    <w:rPr>
      <w:rFonts w:ascii="Times New Roman" w:eastAsia="Times New Roman" w:hAnsi="Times New Roman" w:cs="Times New Roman"/>
      <w:color w:val="000000"/>
      <w:sz w:val="24"/>
      <w:szCs w:val="24"/>
      <w:lang w:eastAsia="lv-LV"/>
    </w:rPr>
  </w:style>
  <w:style w:type="paragraph" w:customStyle="1" w:styleId="Z">
    <w:name w:val="Z"/>
    <w:basedOn w:val="Normal"/>
    <w:rsid w:val="000612F9"/>
    <w:pPr>
      <w:jc w:val="center"/>
    </w:pPr>
    <w:rPr>
      <w:b/>
      <w:i/>
      <w:szCs w:val="20"/>
      <w:lang w:eastAsia="en-US"/>
    </w:rPr>
  </w:style>
  <w:style w:type="paragraph" w:styleId="NormalWeb">
    <w:name w:val="Normal (Web)"/>
    <w:basedOn w:val="Normal"/>
    <w:rsid w:val="000612F9"/>
    <w:pPr>
      <w:spacing w:before="100" w:beforeAutospacing="1" w:after="100" w:afterAutospacing="1"/>
    </w:pPr>
  </w:style>
  <w:style w:type="character" w:styleId="CommentReference">
    <w:name w:val="annotation reference"/>
    <w:rsid w:val="000612F9"/>
    <w:rPr>
      <w:sz w:val="16"/>
      <w:szCs w:val="16"/>
    </w:rPr>
  </w:style>
  <w:style w:type="paragraph" w:styleId="CommentText">
    <w:name w:val="annotation text"/>
    <w:basedOn w:val="Normal"/>
    <w:link w:val="CommentTextChar"/>
    <w:rsid w:val="000612F9"/>
    <w:rPr>
      <w:sz w:val="20"/>
      <w:szCs w:val="20"/>
    </w:rPr>
  </w:style>
  <w:style w:type="character" w:customStyle="1" w:styleId="CommentTextChar">
    <w:name w:val="Comment Text Char"/>
    <w:basedOn w:val="DefaultParagraphFont"/>
    <w:link w:val="CommentText"/>
    <w:rsid w:val="000612F9"/>
    <w:rPr>
      <w:rFonts w:ascii="Times New Roman" w:eastAsia="Times New Roman" w:hAnsi="Times New Roman" w:cs="Times New Roman"/>
      <w:sz w:val="20"/>
      <w:szCs w:val="20"/>
      <w:lang w:eastAsia="lv-LV"/>
    </w:rPr>
  </w:style>
  <w:style w:type="table" w:styleId="TableGrid">
    <w:name w:val="Table Grid"/>
    <w:basedOn w:val="TableNormal"/>
    <w:rsid w:val="000612F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EE301C"/>
    <w:pPr>
      <w:spacing w:before="100" w:beforeAutospacing="1" w:after="100" w:afterAutospacing="1"/>
    </w:pPr>
  </w:style>
  <w:style w:type="paragraph" w:customStyle="1" w:styleId="Default">
    <w:name w:val="Default"/>
    <w:rsid w:val="0099040F"/>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B0774"/>
    <w:rPr>
      <w:b/>
      <w:bCs/>
    </w:rPr>
  </w:style>
  <w:style w:type="character" w:customStyle="1" w:styleId="CommentSubjectChar">
    <w:name w:val="Comment Subject Char"/>
    <w:basedOn w:val="CommentTextChar"/>
    <w:link w:val="CommentSubject"/>
    <w:uiPriority w:val="99"/>
    <w:semiHidden/>
    <w:rsid w:val="003B0774"/>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F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0612F9"/>
    <w:pPr>
      <w:keepNext/>
      <w:keepLines/>
      <w:spacing w:after="240" w:line="240" w:lineRule="atLeast"/>
      <w:outlineLvl w:val="2"/>
    </w:pPr>
    <w:rPr>
      <w:rFonts w:ascii="Garamond" w:hAnsi="Garamond"/>
      <w:i/>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2F9"/>
    <w:rPr>
      <w:rFonts w:ascii="Garamond" w:eastAsia="Times New Roman" w:hAnsi="Garamond" w:cs="Times New Roman"/>
      <w:i/>
      <w:kern w:val="20"/>
      <w:sz w:val="20"/>
      <w:szCs w:val="20"/>
      <w:lang w:eastAsia="lv-LV"/>
    </w:rPr>
  </w:style>
  <w:style w:type="paragraph" w:customStyle="1" w:styleId="naisf">
    <w:name w:val="naisf"/>
    <w:basedOn w:val="Normal"/>
    <w:link w:val="naisfChar"/>
    <w:rsid w:val="000612F9"/>
    <w:pPr>
      <w:spacing w:before="100" w:beforeAutospacing="1" w:after="100" w:afterAutospacing="1"/>
    </w:pPr>
    <w:rPr>
      <w:color w:val="000000"/>
    </w:rPr>
  </w:style>
  <w:style w:type="character" w:styleId="Hyperlink">
    <w:name w:val="Hyperlink"/>
    <w:rsid w:val="000612F9"/>
    <w:rPr>
      <w:color w:val="0000FF"/>
      <w:u w:val="single"/>
    </w:rPr>
  </w:style>
  <w:style w:type="paragraph" w:styleId="Footer">
    <w:name w:val="footer"/>
    <w:basedOn w:val="Normal"/>
    <w:link w:val="FooterChar"/>
    <w:rsid w:val="000612F9"/>
    <w:pPr>
      <w:spacing w:before="100" w:beforeAutospacing="1" w:after="100" w:afterAutospacing="1"/>
    </w:pPr>
    <w:rPr>
      <w:color w:val="000000"/>
    </w:rPr>
  </w:style>
  <w:style w:type="character" w:customStyle="1" w:styleId="FooterChar">
    <w:name w:val="Footer Char"/>
    <w:basedOn w:val="DefaultParagraphFont"/>
    <w:link w:val="Footer"/>
    <w:rsid w:val="000612F9"/>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0612F9"/>
    <w:pPr>
      <w:tabs>
        <w:tab w:val="center" w:pos="4153"/>
        <w:tab w:val="right" w:pos="8306"/>
      </w:tabs>
    </w:pPr>
  </w:style>
  <w:style w:type="character" w:customStyle="1" w:styleId="HeaderChar">
    <w:name w:val="Header Char"/>
    <w:basedOn w:val="DefaultParagraphFont"/>
    <w:link w:val="Header"/>
    <w:rsid w:val="000612F9"/>
    <w:rPr>
      <w:rFonts w:ascii="Times New Roman" w:eastAsia="Times New Roman" w:hAnsi="Times New Roman" w:cs="Times New Roman"/>
      <w:sz w:val="24"/>
      <w:szCs w:val="24"/>
      <w:lang w:eastAsia="lv-LV"/>
    </w:rPr>
  </w:style>
  <w:style w:type="character" w:styleId="PageNumber">
    <w:name w:val="page number"/>
    <w:basedOn w:val="DefaultParagraphFont"/>
    <w:rsid w:val="000612F9"/>
  </w:style>
  <w:style w:type="paragraph" w:styleId="BodyText">
    <w:name w:val="Body Text"/>
    <w:basedOn w:val="Normal"/>
    <w:link w:val="BodyTextChar"/>
    <w:rsid w:val="000612F9"/>
    <w:pPr>
      <w:jc w:val="center"/>
      <w:outlineLvl w:val="2"/>
    </w:pPr>
    <w:rPr>
      <w:b/>
      <w:bCs/>
      <w:color w:val="000000"/>
      <w:sz w:val="28"/>
      <w:szCs w:val="28"/>
    </w:rPr>
  </w:style>
  <w:style w:type="character" w:customStyle="1" w:styleId="BodyTextChar">
    <w:name w:val="Body Text Char"/>
    <w:basedOn w:val="DefaultParagraphFont"/>
    <w:link w:val="BodyText"/>
    <w:rsid w:val="000612F9"/>
    <w:rPr>
      <w:rFonts w:ascii="Times New Roman" w:eastAsia="Times New Roman" w:hAnsi="Times New Roman" w:cs="Times New Roman"/>
      <w:b/>
      <w:bCs/>
      <w:color w:val="000000"/>
      <w:sz w:val="28"/>
      <w:szCs w:val="28"/>
      <w:lang w:eastAsia="lv-LV"/>
    </w:rPr>
  </w:style>
  <w:style w:type="paragraph" w:customStyle="1" w:styleId="naiskr">
    <w:name w:val="naiskr"/>
    <w:basedOn w:val="Normal"/>
    <w:rsid w:val="000612F9"/>
    <w:pPr>
      <w:spacing w:before="75" w:after="75"/>
    </w:pPr>
  </w:style>
  <w:style w:type="paragraph" w:customStyle="1" w:styleId="naisnod">
    <w:name w:val="naisnod"/>
    <w:basedOn w:val="Normal"/>
    <w:rsid w:val="000612F9"/>
    <w:pPr>
      <w:spacing w:before="150" w:after="150"/>
      <w:jc w:val="center"/>
    </w:pPr>
    <w:rPr>
      <w:b/>
      <w:bCs/>
    </w:rPr>
  </w:style>
  <w:style w:type="character" w:customStyle="1" w:styleId="CharChar1">
    <w:name w:val="Char Char1"/>
    <w:semiHidden/>
    <w:rsid w:val="000612F9"/>
    <w:rPr>
      <w:lang w:val="lv-LV" w:eastAsia="lv-LV" w:bidi="ar-SA"/>
    </w:rPr>
  </w:style>
  <w:style w:type="paragraph" w:styleId="BodyText2">
    <w:name w:val="Body Text 2"/>
    <w:basedOn w:val="Normal"/>
    <w:link w:val="BodyText2Char"/>
    <w:rsid w:val="000612F9"/>
    <w:pPr>
      <w:jc w:val="both"/>
    </w:pPr>
    <w:rPr>
      <w:iCs/>
    </w:rPr>
  </w:style>
  <w:style w:type="character" w:customStyle="1" w:styleId="BodyText2Char">
    <w:name w:val="Body Text 2 Char"/>
    <w:basedOn w:val="DefaultParagraphFont"/>
    <w:link w:val="BodyText2"/>
    <w:rsid w:val="000612F9"/>
    <w:rPr>
      <w:rFonts w:ascii="Times New Roman" w:eastAsia="Times New Roman" w:hAnsi="Times New Roman" w:cs="Times New Roman"/>
      <w:iCs/>
      <w:sz w:val="24"/>
      <w:szCs w:val="24"/>
      <w:lang w:eastAsia="lv-LV"/>
    </w:rPr>
  </w:style>
  <w:style w:type="paragraph" w:styleId="BalloonText">
    <w:name w:val="Balloon Text"/>
    <w:basedOn w:val="Normal"/>
    <w:link w:val="BalloonTextChar"/>
    <w:semiHidden/>
    <w:rsid w:val="000612F9"/>
    <w:rPr>
      <w:rFonts w:ascii="Tahoma" w:hAnsi="Tahoma" w:cs="Tahoma"/>
      <w:sz w:val="16"/>
      <w:szCs w:val="16"/>
    </w:rPr>
  </w:style>
  <w:style w:type="character" w:customStyle="1" w:styleId="BalloonTextChar">
    <w:name w:val="Balloon Text Char"/>
    <w:basedOn w:val="DefaultParagraphFont"/>
    <w:link w:val="BalloonText"/>
    <w:semiHidden/>
    <w:rsid w:val="000612F9"/>
    <w:rPr>
      <w:rFonts w:ascii="Tahoma" w:eastAsia="Times New Roman" w:hAnsi="Tahoma" w:cs="Tahoma"/>
      <w:sz w:val="16"/>
      <w:szCs w:val="16"/>
      <w:lang w:eastAsia="lv-LV"/>
    </w:rPr>
  </w:style>
  <w:style w:type="character" w:styleId="FootnoteReference">
    <w:name w:val="footnote reference"/>
    <w:aliases w:val="Footnote Reference Number,Footnote symbol,SUPERS,ftref"/>
    <w:semiHidden/>
    <w:rsid w:val="000612F9"/>
    <w:rPr>
      <w:rFonts w:cs="Times New Roman"/>
      <w:vertAlign w:val="superscript"/>
    </w:rPr>
  </w:style>
  <w:style w:type="paragraph" w:styleId="FootnoteText">
    <w:name w:val="footnote text"/>
    <w:aliases w:val="Footnote,Fußnote,Char, Char, Char Rakstz. Rakstz. Rakstz. Rakstz. Rakstz. Rakstz. Rakstz., Char Rakstz. Rakstz. Rakstz. Rakstz. Rakstz. Rakstz., Char Rakstz. Rakstz. Rakstz. Rakstz. Rakstz. Rakstz. Rakstz. Rakstz. Rakstz. Rakstz. Rakstz."/>
    <w:basedOn w:val="Normal"/>
    <w:link w:val="FootnoteTextChar"/>
    <w:semiHidden/>
    <w:rsid w:val="000612F9"/>
    <w:rPr>
      <w:sz w:val="20"/>
      <w:szCs w:val="20"/>
      <w:lang w:val="en-GB" w:eastAsia="en-US"/>
    </w:rPr>
  </w:style>
  <w:style w:type="character" w:customStyle="1" w:styleId="FootnoteTextChar">
    <w:name w:val="Footnote Text Char"/>
    <w:aliases w:val="Footnote Char,Fußnote Char,Char Char, Char Char, Char Rakstz. Rakstz. Rakstz. Rakstz. Rakstz. Rakstz. Rakstz. Char, Char Rakstz. Rakstz. Rakstz. Rakstz. Rakstz. Rakstz. Char"/>
    <w:basedOn w:val="DefaultParagraphFont"/>
    <w:link w:val="FootnoteText"/>
    <w:semiHidden/>
    <w:rsid w:val="000612F9"/>
    <w:rPr>
      <w:rFonts w:ascii="Times New Roman" w:eastAsia="Times New Roman" w:hAnsi="Times New Roman" w:cs="Times New Roman"/>
      <w:sz w:val="20"/>
      <w:szCs w:val="20"/>
      <w:lang w:val="en-GB"/>
    </w:rPr>
  </w:style>
  <w:style w:type="paragraph" w:customStyle="1" w:styleId="tv213limenis2">
    <w:name w:val="tv213 limenis2"/>
    <w:basedOn w:val="Normal"/>
    <w:rsid w:val="000612F9"/>
    <w:pPr>
      <w:spacing w:before="100" w:beforeAutospacing="1" w:after="100" w:afterAutospacing="1"/>
    </w:pPr>
  </w:style>
  <w:style w:type="paragraph" w:customStyle="1" w:styleId="tv213limenis3">
    <w:name w:val="tv213 limenis3"/>
    <w:basedOn w:val="Normal"/>
    <w:rsid w:val="000612F9"/>
    <w:pPr>
      <w:spacing w:before="100" w:beforeAutospacing="1" w:after="100" w:afterAutospacing="1"/>
    </w:pPr>
  </w:style>
  <w:style w:type="paragraph" w:styleId="PlainText">
    <w:name w:val="Plain Text"/>
    <w:basedOn w:val="Normal"/>
    <w:link w:val="PlainTextChar"/>
    <w:unhideWhenUsed/>
    <w:rsid w:val="000612F9"/>
    <w:rPr>
      <w:rFonts w:ascii="Calibri" w:eastAsia="Calibri" w:hAnsi="Calibri"/>
      <w:sz w:val="22"/>
      <w:szCs w:val="21"/>
      <w:lang w:val="x-none" w:eastAsia="x-none"/>
    </w:rPr>
  </w:style>
  <w:style w:type="character" w:customStyle="1" w:styleId="PlainTextChar">
    <w:name w:val="Plain Text Char"/>
    <w:basedOn w:val="DefaultParagraphFont"/>
    <w:link w:val="PlainText"/>
    <w:rsid w:val="000612F9"/>
    <w:rPr>
      <w:rFonts w:ascii="Calibri" w:eastAsia="Calibri" w:hAnsi="Calibri" w:cs="Times New Roman"/>
      <w:szCs w:val="21"/>
      <w:lang w:val="x-none" w:eastAsia="x-none"/>
    </w:rPr>
  </w:style>
  <w:style w:type="character" w:customStyle="1" w:styleId="apple-converted-space">
    <w:name w:val="apple-converted-space"/>
    <w:basedOn w:val="DefaultParagraphFont"/>
    <w:rsid w:val="000612F9"/>
  </w:style>
  <w:style w:type="character" w:customStyle="1" w:styleId="naisfChar">
    <w:name w:val="naisf Char"/>
    <w:link w:val="naisf"/>
    <w:locked/>
    <w:rsid w:val="000612F9"/>
    <w:rPr>
      <w:rFonts w:ascii="Times New Roman" w:eastAsia="Times New Roman" w:hAnsi="Times New Roman" w:cs="Times New Roman"/>
      <w:color w:val="000000"/>
      <w:sz w:val="24"/>
      <w:szCs w:val="24"/>
      <w:lang w:eastAsia="lv-LV"/>
    </w:rPr>
  </w:style>
  <w:style w:type="paragraph" w:customStyle="1" w:styleId="Z">
    <w:name w:val="Z"/>
    <w:basedOn w:val="Normal"/>
    <w:rsid w:val="000612F9"/>
    <w:pPr>
      <w:jc w:val="center"/>
    </w:pPr>
    <w:rPr>
      <w:b/>
      <w:i/>
      <w:szCs w:val="20"/>
      <w:lang w:eastAsia="en-US"/>
    </w:rPr>
  </w:style>
  <w:style w:type="paragraph" w:styleId="NormalWeb">
    <w:name w:val="Normal (Web)"/>
    <w:basedOn w:val="Normal"/>
    <w:rsid w:val="000612F9"/>
    <w:pPr>
      <w:spacing w:before="100" w:beforeAutospacing="1" w:after="100" w:afterAutospacing="1"/>
    </w:pPr>
  </w:style>
  <w:style w:type="character" w:styleId="CommentReference">
    <w:name w:val="annotation reference"/>
    <w:rsid w:val="000612F9"/>
    <w:rPr>
      <w:sz w:val="16"/>
      <w:szCs w:val="16"/>
    </w:rPr>
  </w:style>
  <w:style w:type="paragraph" w:styleId="CommentText">
    <w:name w:val="annotation text"/>
    <w:basedOn w:val="Normal"/>
    <w:link w:val="CommentTextChar"/>
    <w:rsid w:val="000612F9"/>
    <w:rPr>
      <w:sz w:val="20"/>
      <w:szCs w:val="20"/>
    </w:rPr>
  </w:style>
  <w:style w:type="character" w:customStyle="1" w:styleId="CommentTextChar">
    <w:name w:val="Comment Text Char"/>
    <w:basedOn w:val="DefaultParagraphFont"/>
    <w:link w:val="CommentText"/>
    <w:rsid w:val="000612F9"/>
    <w:rPr>
      <w:rFonts w:ascii="Times New Roman" w:eastAsia="Times New Roman" w:hAnsi="Times New Roman" w:cs="Times New Roman"/>
      <w:sz w:val="20"/>
      <w:szCs w:val="20"/>
      <w:lang w:eastAsia="lv-LV"/>
    </w:rPr>
  </w:style>
  <w:style w:type="table" w:styleId="TableGrid">
    <w:name w:val="Table Grid"/>
    <w:basedOn w:val="TableNormal"/>
    <w:rsid w:val="000612F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EE301C"/>
    <w:pPr>
      <w:spacing w:before="100" w:beforeAutospacing="1" w:after="100" w:afterAutospacing="1"/>
    </w:pPr>
  </w:style>
  <w:style w:type="paragraph" w:customStyle="1" w:styleId="Default">
    <w:name w:val="Default"/>
    <w:rsid w:val="0099040F"/>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B0774"/>
    <w:rPr>
      <w:b/>
      <w:bCs/>
    </w:rPr>
  </w:style>
  <w:style w:type="character" w:customStyle="1" w:styleId="CommentSubjectChar">
    <w:name w:val="Comment Subject Char"/>
    <w:basedOn w:val="CommentTextChar"/>
    <w:link w:val="CommentSubject"/>
    <w:uiPriority w:val="99"/>
    <w:semiHidden/>
    <w:rsid w:val="003B077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5605">
      <w:bodyDiv w:val="1"/>
      <w:marLeft w:val="0"/>
      <w:marRight w:val="0"/>
      <w:marTop w:val="0"/>
      <w:marBottom w:val="0"/>
      <w:divBdr>
        <w:top w:val="none" w:sz="0" w:space="0" w:color="auto"/>
        <w:left w:val="none" w:sz="0" w:space="0" w:color="auto"/>
        <w:bottom w:val="none" w:sz="0" w:space="0" w:color="auto"/>
        <w:right w:val="none" w:sz="0" w:space="0" w:color="auto"/>
      </w:divBdr>
    </w:div>
    <w:div w:id="582105239">
      <w:bodyDiv w:val="1"/>
      <w:marLeft w:val="0"/>
      <w:marRight w:val="0"/>
      <w:marTop w:val="0"/>
      <w:marBottom w:val="0"/>
      <w:divBdr>
        <w:top w:val="none" w:sz="0" w:space="0" w:color="auto"/>
        <w:left w:val="none" w:sz="0" w:space="0" w:color="auto"/>
        <w:bottom w:val="none" w:sz="0" w:space="0" w:color="auto"/>
        <w:right w:val="none" w:sz="0" w:space="0" w:color="auto"/>
      </w:divBdr>
    </w:div>
    <w:div w:id="740756831">
      <w:bodyDiv w:val="1"/>
      <w:marLeft w:val="0"/>
      <w:marRight w:val="0"/>
      <w:marTop w:val="0"/>
      <w:marBottom w:val="0"/>
      <w:divBdr>
        <w:top w:val="none" w:sz="0" w:space="0" w:color="auto"/>
        <w:left w:val="none" w:sz="0" w:space="0" w:color="auto"/>
        <w:bottom w:val="none" w:sz="0" w:space="0" w:color="auto"/>
        <w:right w:val="none" w:sz="0" w:space="0" w:color="auto"/>
      </w:divBdr>
    </w:div>
    <w:div w:id="932128226">
      <w:bodyDiv w:val="1"/>
      <w:marLeft w:val="0"/>
      <w:marRight w:val="0"/>
      <w:marTop w:val="0"/>
      <w:marBottom w:val="0"/>
      <w:divBdr>
        <w:top w:val="none" w:sz="0" w:space="0" w:color="auto"/>
        <w:left w:val="none" w:sz="0" w:space="0" w:color="auto"/>
        <w:bottom w:val="none" w:sz="0" w:space="0" w:color="auto"/>
        <w:right w:val="none" w:sz="0" w:space="0" w:color="auto"/>
      </w:divBdr>
    </w:div>
    <w:div w:id="21345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Liep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5107-C8BC-4375-A5E7-5590E1E6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10994</Words>
  <Characters>6267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Par pamatbudžeta apropriācijas pārdali starp Labklājības ministriju un Izglītības un zinātnes ministriju 2013.gadā</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pamatbudžeta apropriācijas pārdali starp Labklājības ministriju un Izglītības un zinātnes ministriju 2013.gadā</dc:title>
  <dc:creator>Linda Liepa</dc:creator>
  <dc:description>Linda.Liepa@lm.gov.lv, 67021632</dc:description>
  <cp:lastModifiedBy>Linda Liepa</cp:lastModifiedBy>
  <cp:revision>132</cp:revision>
  <dcterms:created xsi:type="dcterms:W3CDTF">2013-07-16T14:02:00Z</dcterms:created>
  <dcterms:modified xsi:type="dcterms:W3CDTF">2013-07-29T11:07:00Z</dcterms:modified>
</cp:coreProperties>
</file>