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49" w:rsidRPr="00E870C6" w:rsidRDefault="00C11F49" w:rsidP="009F4447">
      <w:pPr>
        <w:jc w:val="right"/>
        <w:rPr>
          <w:sz w:val="20"/>
          <w:szCs w:val="20"/>
        </w:rPr>
      </w:pP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r w:rsidRPr="00280239">
        <w:rPr>
          <w:sz w:val="28"/>
          <w:szCs w:val="28"/>
        </w:rPr>
        <w:tab/>
      </w:r>
    </w:p>
    <w:p w:rsidR="009F4447" w:rsidRPr="00C11F49" w:rsidRDefault="009F4447" w:rsidP="009F4447">
      <w:pPr>
        <w:jc w:val="right"/>
        <w:rPr>
          <w:i/>
          <w:sz w:val="26"/>
          <w:szCs w:val="26"/>
        </w:rPr>
      </w:pPr>
      <w:r w:rsidRPr="00C11F49">
        <w:rPr>
          <w:i/>
          <w:sz w:val="26"/>
          <w:szCs w:val="26"/>
        </w:rPr>
        <w:t xml:space="preserve">Likumprojekts </w:t>
      </w:r>
    </w:p>
    <w:p w:rsidR="009F4447" w:rsidRPr="00C11F49" w:rsidRDefault="009F4447" w:rsidP="009F4447">
      <w:pPr>
        <w:rPr>
          <w:sz w:val="26"/>
          <w:szCs w:val="26"/>
        </w:rPr>
      </w:pPr>
    </w:p>
    <w:p w:rsidR="009F4447" w:rsidRPr="00C11F49" w:rsidRDefault="009F4447" w:rsidP="009F4447">
      <w:pPr>
        <w:jc w:val="center"/>
        <w:rPr>
          <w:b/>
          <w:sz w:val="26"/>
          <w:szCs w:val="26"/>
        </w:rPr>
      </w:pPr>
      <w:r w:rsidRPr="00C11F49">
        <w:rPr>
          <w:b/>
          <w:sz w:val="26"/>
          <w:szCs w:val="26"/>
        </w:rPr>
        <w:t xml:space="preserve">Grozījumi Valsts fondēto pensiju likumā </w:t>
      </w:r>
    </w:p>
    <w:p w:rsidR="009F4447" w:rsidRPr="00C11F49" w:rsidRDefault="009F4447" w:rsidP="009F4447">
      <w:pPr>
        <w:jc w:val="center"/>
        <w:rPr>
          <w:b/>
          <w:i/>
          <w:sz w:val="26"/>
          <w:szCs w:val="26"/>
          <w:u w:val="single"/>
        </w:rPr>
      </w:pPr>
    </w:p>
    <w:p w:rsidR="009F4447" w:rsidRPr="00C11F49" w:rsidRDefault="009F4447" w:rsidP="009F4447">
      <w:pPr>
        <w:jc w:val="both"/>
        <w:rPr>
          <w:sz w:val="26"/>
          <w:szCs w:val="26"/>
        </w:rPr>
      </w:pPr>
      <w:r w:rsidRPr="00C11F49">
        <w:rPr>
          <w:sz w:val="26"/>
          <w:szCs w:val="26"/>
        </w:rPr>
        <w:tab/>
        <w:t xml:space="preserve">Izdarīt </w:t>
      </w:r>
      <w:hyperlink r:id="rId8" w:tgtFrame="_blank" w:history="1">
        <w:r w:rsidRPr="00C11F49">
          <w:rPr>
            <w:sz w:val="26"/>
            <w:szCs w:val="26"/>
          </w:rPr>
          <w:t>Valsts fondēto pensiju likumā</w:t>
        </w:r>
      </w:hyperlink>
      <w:r w:rsidRPr="00C11F49">
        <w:rPr>
          <w:sz w:val="26"/>
          <w:szCs w:val="26"/>
        </w:rPr>
        <w:t xml:space="preserve"> (Latvijas Republikas Saeimas un Ministru Kabineta Ziņotājs, 2000, 7.nr.; 2002, 24.nr.; 2004, 2., 9.nr.; 2005, 12.nr.; 2006, 21.nr.; 2007, 12.nr.; 2008, 21.nr.; 2009, 1., 10., 14.nr.; Latvijas Vēstnesis, 2010, 206.nr.; 2012, 189.nr.) šādus grozījumus:</w:t>
      </w:r>
    </w:p>
    <w:p w:rsidR="009F4447" w:rsidRPr="00C11F49" w:rsidRDefault="009F4447" w:rsidP="009F4447">
      <w:pPr>
        <w:jc w:val="both"/>
        <w:rPr>
          <w:sz w:val="26"/>
          <w:szCs w:val="26"/>
        </w:rPr>
      </w:pPr>
    </w:p>
    <w:p w:rsidR="009F4447" w:rsidRPr="00C11F49" w:rsidRDefault="009F4447" w:rsidP="009F4447">
      <w:pPr>
        <w:numPr>
          <w:ilvl w:val="0"/>
          <w:numId w:val="1"/>
        </w:numPr>
        <w:jc w:val="both"/>
        <w:rPr>
          <w:sz w:val="26"/>
          <w:szCs w:val="26"/>
        </w:rPr>
      </w:pPr>
      <w:r w:rsidRPr="00C11F49">
        <w:rPr>
          <w:sz w:val="26"/>
          <w:szCs w:val="26"/>
        </w:rPr>
        <w:t>11.pantā:</w:t>
      </w:r>
    </w:p>
    <w:p w:rsidR="009F4447" w:rsidRPr="00C11F49" w:rsidRDefault="009F4447" w:rsidP="009F4447">
      <w:pPr>
        <w:ind w:firstLine="720"/>
        <w:jc w:val="both"/>
        <w:rPr>
          <w:sz w:val="26"/>
          <w:szCs w:val="26"/>
        </w:rPr>
      </w:pPr>
      <w:r w:rsidRPr="00C11F49">
        <w:rPr>
          <w:sz w:val="26"/>
          <w:szCs w:val="26"/>
        </w:rPr>
        <w:t>papildināt ar 1.</w:t>
      </w:r>
      <w:r w:rsidRPr="00C11F49">
        <w:rPr>
          <w:sz w:val="26"/>
          <w:szCs w:val="26"/>
          <w:vertAlign w:val="superscript"/>
        </w:rPr>
        <w:t>1</w:t>
      </w:r>
      <w:r>
        <w:rPr>
          <w:sz w:val="26"/>
          <w:szCs w:val="26"/>
          <w:vertAlign w:val="superscript"/>
        </w:rPr>
        <w:t xml:space="preserve"> </w:t>
      </w:r>
      <w:r w:rsidRPr="00C11F49">
        <w:rPr>
          <w:sz w:val="26"/>
          <w:szCs w:val="26"/>
        </w:rPr>
        <w:t>daļu šādā redakcijā:</w:t>
      </w:r>
    </w:p>
    <w:p w:rsidR="009F4447" w:rsidRPr="00C11F49" w:rsidRDefault="009F4447" w:rsidP="009F4447">
      <w:pPr>
        <w:jc w:val="both"/>
        <w:rPr>
          <w:sz w:val="26"/>
          <w:szCs w:val="26"/>
        </w:rPr>
      </w:pPr>
      <w:r w:rsidRPr="00C11F49">
        <w:rPr>
          <w:sz w:val="26"/>
          <w:szCs w:val="26"/>
        </w:rPr>
        <w:t>„(1.</w:t>
      </w:r>
      <w:r w:rsidRPr="00C11F49">
        <w:rPr>
          <w:sz w:val="26"/>
          <w:szCs w:val="26"/>
          <w:vertAlign w:val="superscript"/>
        </w:rPr>
        <w:t>1</w:t>
      </w:r>
      <w:r w:rsidRPr="00C11F49">
        <w:rPr>
          <w:sz w:val="26"/>
          <w:szCs w:val="26"/>
        </w:rPr>
        <w:t xml:space="preserve">) Fondēto pensiju shēmas līdzekļu pārvaldītājs nodrošina, ka tā minimālais pamatkapitāls ir vismaz: </w:t>
      </w:r>
    </w:p>
    <w:p w:rsidR="009F4447" w:rsidRPr="00C11F49" w:rsidRDefault="009F4447" w:rsidP="009F4447">
      <w:pPr>
        <w:jc w:val="both"/>
        <w:rPr>
          <w:sz w:val="26"/>
          <w:szCs w:val="26"/>
        </w:rPr>
      </w:pPr>
      <w:r w:rsidRPr="00C11F49">
        <w:rPr>
          <w:sz w:val="26"/>
          <w:szCs w:val="26"/>
        </w:rPr>
        <w:t xml:space="preserve">1) 500 000 </w:t>
      </w:r>
      <w:proofErr w:type="spellStart"/>
      <w:r w:rsidRPr="00C11F49">
        <w:rPr>
          <w:sz w:val="26"/>
          <w:szCs w:val="26"/>
        </w:rPr>
        <w:t>euro</w:t>
      </w:r>
      <w:proofErr w:type="spellEnd"/>
      <w:r w:rsidRPr="00C11F49">
        <w:rPr>
          <w:sz w:val="26"/>
          <w:szCs w:val="26"/>
        </w:rPr>
        <w:t xml:space="preserve">, ja fondēto pensiju shēmas līdzekļu pārvaldītājs plāno pārvaldīt vai pārvalda fondēto pensiju shēmas līdzekļus, kuru apjoms ir līdz 50 000 000 </w:t>
      </w:r>
      <w:proofErr w:type="spellStart"/>
      <w:r w:rsidRPr="00C11F49">
        <w:rPr>
          <w:sz w:val="26"/>
          <w:szCs w:val="26"/>
        </w:rPr>
        <w:t>euro</w:t>
      </w:r>
      <w:proofErr w:type="spellEnd"/>
      <w:r w:rsidRPr="00C11F49">
        <w:rPr>
          <w:sz w:val="26"/>
          <w:szCs w:val="26"/>
        </w:rPr>
        <w:t>;</w:t>
      </w:r>
    </w:p>
    <w:p w:rsidR="009F4447" w:rsidRPr="00C11F49" w:rsidRDefault="009F4447" w:rsidP="009F4447">
      <w:pPr>
        <w:jc w:val="both"/>
        <w:rPr>
          <w:sz w:val="26"/>
          <w:szCs w:val="26"/>
        </w:rPr>
      </w:pPr>
      <w:r w:rsidRPr="00C11F49">
        <w:rPr>
          <w:sz w:val="26"/>
          <w:szCs w:val="26"/>
        </w:rPr>
        <w:t xml:space="preserve">2) 1 000 000 </w:t>
      </w:r>
      <w:proofErr w:type="spellStart"/>
      <w:r w:rsidRPr="00C11F49">
        <w:rPr>
          <w:sz w:val="26"/>
          <w:szCs w:val="26"/>
        </w:rPr>
        <w:t>euro</w:t>
      </w:r>
      <w:proofErr w:type="spellEnd"/>
      <w:r w:rsidRPr="00C11F49">
        <w:rPr>
          <w:sz w:val="26"/>
          <w:szCs w:val="26"/>
        </w:rPr>
        <w:t xml:space="preserve">, ja fondēto pensiju shēmas līdzekļu pārvaldītājs plāno pārvaldīt vai pārvalda fondēto pensiju shēmas līdzekļus, kuru apjoms ir no 50 000 001 </w:t>
      </w:r>
      <w:proofErr w:type="spellStart"/>
      <w:r w:rsidRPr="00C11F49">
        <w:rPr>
          <w:sz w:val="26"/>
          <w:szCs w:val="26"/>
        </w:rPr>
        <w:t>euro</w:t>
      </w:r>
      <w:proofErr w:type="spellEnd"/>
      <w:r w:rsidRPr="00C11F49">
        <w:rPr>
          <w:sz w:val="26"/>
          <w:szCs w:val="26"/>
        </w:rPr>
        <w:t xml:space="preserve"> līdz 100 000 000 </w:t>
      </w:r>
      <w:proofErr w:type="spellStart"/>
      <w:r w:rsidRPr="00C11F49">
        <w:rPr>
          <w:sz w:val="26"/>
          <w:szCs w:val="26"/>
        </w:rPr>
        <w:t>euro</w:t>
      </w:r>
      <w:proofErr w:type="spellEnd"/>
      <w:r w:rsidRPr="00C11F49">
        <w:rPr>
          <w:sz w:val="26"/>
          <w:szCs w:val="26"/>
        </w:rPr>
        <w:t>;</w:t>
      </w:r>
    </w:p>
    <w:p w:rsidR="009F4447" w:rsidRPr="00C11F49" w:rsidRDefault="009F4447" w:rsidP="009F4447">
      <w:pPr>
        <w:jc w:val="both"/>
        <w:rPr>
          <w:sz w:val="26"/>
          <w:szCs w:val="26"/>
        </w:rPr>
      </w:pPr>
      <w:r w:rsidRPr="00C11F49">
        <w:rPr>
          <w:sz w:val="26"/>
          <w:szCs w:val="26"/>
        </w:rPr>
        <w:t xml:space="preserve">3) 2 000 000 </w:t>
      </w:r>
      <w:proofErr w:type="spellStart"/>
      <w:r w:rsidRPr="00C11F49">
        <w:rPr>
          <w:sz w:val="26"/>
          <w:szCs w:val="26"/>
        </w:rPr>
        <w:t>euro</w:t>
      </w:r>
      <w:proofErr w:type="spellEnd"/>
      <w:r w:rsidRPr="00C11F49">
        <w:rPr>
          <w:sz w:val="26"/>
          <w:szCs w:val="26"/>
        </w:rPr>
        <w:t xml:space="preserve">, ja fondēto pensiju shēmas līdzekļu pārvaldītājs plāno pārvaldīt vai pārvalda fondēto pensiju shēmas līdzekļus, kuru apjoms ir no 100 000 001 </w:t>
      </w:r>
      <w:proofErr w:type="spellStart"/>
      <w:r w:rsidRPr="00C11F49">
        <w:rPr>
          <w:sz w:val="26"/>
          <w:szCs w:val="26"/>
        </w:rPr>
        <w:t>euro</w:t>
      </w:r>
      <w:proofErr w:type="spellEnd"/>
      <w:r w:rsidRPr="00C11F49">
        <w:rPr>
          <w:sz w:val="26"/>
          <w:szCs w:val="26"/>
        </w:rPr>
        <w:t xml:space="preserve"> līdz 200 000 000 </w:t>
      </w:r>
      <w:proofErr w:type="spellStart"/>
      <w:r w:rsidRPr="00C11F49">
        <w:rPr>
          <w:sz w:val="26"/>
          <w:szCs w:val="26"/>
        </w:rPr>
        <w:t>euro</w:t>
      </w:r>
      <w:proofErr w:type="spellEnd"/>
      <w:r w:rsidRPr="00C11F49">
        <w:rPr>
          <w:sz w:val="26"/>
          <w:szCs w:val="26"/>
        </w:rPr>
        <w:t>;</w:t>
      </w:r>
    </w:p>
    <w:p w:rsidR="009F4447" w:rsidRPr="00C11F49" w:rsidRDefault="009F4447" w:rsidP="009F4447">
      <w:pPr>
        <w:jc w:val="both"/>
        <w:rPr>
          <w:sz w:val="26"/>
          <w:szCs w:val="26"/>
        </w:rPr>
      </w:pPr>
      <w:r w:rsidRPr="00C11F49">
        <w:rPr>
          <w:sz w:val="26"/>
          <w:szCs w:val="26"/>
        </w:rPr>
        <w:t xml:space="preserve">4) 3 000 000 </w:t>
      </w:r>
      <w:proofErr w:type="spellStart"/>
      <w:r w:rsidRPr="00C11F49">
        <w:rPr>
          <w:sz w:val="26"/>
          <w:szCs w:val="26"/>
        </w:rPr>
        <w:t>euro</w:t>
      </w:r>
      <w:proofErr w:type="spellEnd"/>
      <w:r w:rsidRPr="00C11F49">
        <w:rPr>
          <w:sz w:val="26"/>
          <w:szCs w:val="26"/>
        </w:rPr>
        <w:t xml:space="preserve">, ja fondēto pensiju shēmas līdzekļu pārvaldītājs plāno pārvaldīt vai pārvalda fondēto pensiju shēmas līdzekļus, kuru apjoms ir no 200 000 000 </w:t>
      </w:r>
      <w:proofErr w:type="spellStart"/>
      <w:r w:rsidRPr="00C11F49">
        <w:rPr>
          <w:sz w:val="26"/>
          <w:szCs w:val="26"/>
        </w:rPr>
        <w:t>euro</w:t>
      </w:r>
      <w:proofErr w:type="spellEnd"/>
      <w:r w:rsidRPr="00C11F49">
        <w:rPr>
          <w:sz w:val="26"/>
          <w:szCs w:val="26"/>
        </w:rPr>
        <w:t>”;</w:t>
      </w:r>
    </w:p>
    <w:p w:rsidR="009F4447" w:rsidRPr="00C11F49" w:rsidRDefault="009F4447" w:rsidP="009F4447">
      <w:pPr>
        <w:jc w:val="both"/>
        <w:rPr>
          <w:sz w:val="26"/>
          <w:szCs w:val="26"/>
        </w:rPr>
      </w:pPr>
    </w:p>
    <w:p w:rsidR="009F4447" w:rsidRPr="00C11F49" w:rsidRDefault="009F4447" w:rsidP="009F4447">
      <w:pPr>
        <w:ind w:firstLine="720"/>
        <w:jc w:val="both"/>
        <w:rPr>
          <w:sz w:val="26"/>
          <w:szCs w:val="26"/>
        </w:rPr>
      </w:pPr>
      <w:r w:rsidRPr="00C11F49">
        <w:rPr>
          <w:sz w:val="26"/>
          <w:szCs w:val="26"/>
        </w:rPr>
        <w:t>izteikt ceturto daļu šādā redakcijā:</w:t>
      </w:r>
    </w:p>
    <w:p w:rsidR="009F4447" w:rsidRPr="00C11F49" w:rsidRDefault="009F4447" w:rsidP="009F4447">
      <w:pPr>
        <w:jc w:val="both"/>
        <w:rPr>
          <w:sz w:val="26"/>
          <w:szCs w:val="26"/>
        </w:rPr>
      </w:pPr>
      <w:r w:rsidRPr="00C11F49">
        <w:rPr>
          <w:sz w:val="26"/>
          <w:szCs w:val="26"/>
        </w:rPr>
        <w:t>„(4) Fondēto pensiju shēmas līdzekļu pārvaldītājs izstrādā vienu vai vairākus fondēto pensiju shēmas līdzekļu ieguldījumu plānus — sistematizētu tādu noteikumu kopumus, pēc kuriem notiek fondēto pensiju shēmas līdzekļu pārvaldīšana un kuri ir izklāstīti katra attiecīgā ieguldījumu plāna prospektā un fondēto pensiju shēmas dalībniekiem paredzētajā pamatinformācijā. Ieguldījumu plāna prospekts (prospekti) un fondēto pensiju shēmas dalībniekiem paredzētā pamatinformācija ir Aģentūras un fondēto pensiju shēmas līdzekļu pārvaldītāja noslēgtā līguma neatņemama sastāvdaļa. Fondēto pensiju shēmas līdzekļu pārvaldīšanu atbilstoši ieguldījumu plānam fondēto pensiju shēmas līdzekļu pārvaldītājs ir tiesīgs veikt tikai pēc attiecīgā ieguldījumu plāna prospekta un fondēto pensiju shēmas dalībniekiem paredzētās pamatinformācijas reģistrēšanas Komisijā. Ja ieguldījumu plāna prospekts vai fondēto pensiju shēmas dalībniekiem paredzētā pamatinformācija neatbilst fondēto pensiju shēmas darbību regulējošo normatīvo aktu noteiktajām prasībām, Komisija atsaka tā reģistrāciju”;</w:t>
      </w:r>
    </w:p>
    <w:p w:rsidR="009F4447" w:rsidRPr="00C11F49" w:rsidRDefault="009F4447" w:rsidP="009F4447">
      <w:pPr>
        <w:jc w:val="both"/>
        <w:rPr>
          <w:sz w:val="26"/>
          <w:szCs w:val="26"/>
        </w:rPr>
      </w:pPr>
    </w:p>
    <w:p w:rsidR="009F4447" w:rsidRPr="00C11F49" w:rsidRDefault="009F4447" w:rsidP="009F4447">
      <w:pPr>
        <w:ind w:firstLine="720"/>
        <w:jc w:val="both"/>
        <w:rPr>
          <w:sz w:val="26"/>
          <w:szCs w:val="26"/>
        </w:rPr>
      </w:pPr>
      <w:r w:rsidRPr="00C11F49">
        <w:rPr>
          <w:sz w:val="26"/>
          <w:szCs w:val="26"/>
        </w:rPr>
        <w:t>papildināt ar 4.</w:t>
      </w:r>
      <w:r w:rsidRPr="00C11F49">
        <w:rPr>
          <w:sz w:val="26"/>
          <w:szCs w:val="26"/>
          <w:vertAlign w:val="superscript"/>
        </w:rPr>
        <w:t>2</w:t>
      </w:r>
      <w:r>
        <w:rPr>
          <w:sz w:val="26"/>
          <w:szCs w:val="26"/>
          <w:vertAlign w:val="superscript"/>
        </w:rPr>
        <w:t xml:space="preserve"> </w:t>
      </w:r>
      <w:r w:rsidRPr="00C11F49">
        <w:rPr>
          <w:sz w:val="26"/>
          <w:szCs w:val="26"/>
        </w:rPr>
        <w:t>daļu šādā redakcijā:</w:t>
      </w:r>
    </w:p>
    <w:p w:rsidR="009F4447" w:rsidRPr="00C11F49" w:rsidRDefault="009F4447" w:rsidP="009F4447">
      <w:pPr>
        <w:jc w:val="both"/>
        <w:rPr>
          <w:sz w:val="26"/>
          <w:szCs w:val="26"/>
        </w:rPr>
      </w:pPr>
      <w:r w:rsidRPr="00C11F49">
        <w:rPr>
          <w:sz w:val="26"/>
          <w:szCs w:val="26"/>
        </w:rPr>
        <w:t>„(4.</w:t>
      </w:r>
      <w:r w:rsidRPr="00C11F49">
        <w:rPr>
          <w:sz w:val="26"/>
          <w:szCs w:val="26"/>
          <w:vertAlign w:val="superscript"/>
        </w:rPr>
        <w:t>2</w:t>
      </w:r>
      <w:r w:rsidRPr="00C11F49">
        <w:rPr>
          <w:sz w:val="26"/>
          <w:szCs w:val="26"/>
        </w:rPr>
        <w:t>) Fondēto pensiju shēmas dalībniekiem</w:t>
      </w:r>
      <w:r w:rsidRPr="00C11F49" w:rsidDel="000B2C1E">
        <w:rPr>
          <w:sz w:val="26"/>
          <w:szCs w:val="26"/>
        </w:rPr>
        <w:t xml:space="preserve"> </w:t>
      </w:r>
      <w:r w:rsidRPr="00C11F49">
        <w:rPr>
          <w:sz w:val="26"/>
          <w:szCs w:val="26"/>
        </w:rPr>
        <w:t>paredzētās pamatinformācijas formātu un saturu, kā arī tās sagatavošanas kārtību nosaka Komisija";</w:t>
      </w:r>
    </w:p>
    <w:p w:rsidR="009F4447" w:rsidRPr="00C11F49" w:rsidRDefault="009F4447" w:rsidP="009F4447">
      <w:pPr>
        <w:ind w:firstLine="720"/>
        <w:jc w:val="both"/>
        <w:rPr>
          <w:sz w:val="26"/>
          <w:szCs w:val="26"/>
        </w:rPr>
      </w:pPr>
    </w:p>
    <w:p w:rsidR="009F4447" w:rsidRPr="00C11F49" w:rsidRDefault="009F4447" w:rsidP="009F4447">
      <w:pPr>
        <w:ind w:firstLine="720"/>
        <w:jc w:val="both"/>
        <w:rPr>
          <w:sz w:val="26"/>
          <w:szCs w:val="26"/>
        </w:rPr>
      </w:pPr>
      <w:r w:rsidRPr="00C11F49">
        <w:rPr>
          <w:sz w:val="26"/>
          <w:szCs w:val="26"/>
        </w:rPr>
        <w:t>izslēgt piektās daļas otro un trešo teikumu;</w:t>
      </w:r>
    </w:p>
    <w:p w:rsidR="009F4447" w:rsidRPr="00C11F49" w:rsidRDefault="009F4447" w:rsidP="009F4447">
      <w:pPr>
        <w:jc w:val="both"/>
        <w:rPr>
          <w:sz w:val="26"/>
          <w:szCs w:val="26"/>
        </w:rPr>
      </w:pPr>
    </w:p>
    <w:p w:rsidR="009F4447" w:rsidRPr="00C11F49" w:rsidRDefault="009F4447" w:rsidP="009F4447">
      <w:pPr>
        <w:ind w:firstLine="720"/>
        <w:jc w:val="both"/>
        <w:rPr>
          <w:sz w:val="26"/>
          <w:szCs w:val="26"/>
        </w:rPr>
      </w:pPr>
      <w:r w:rsidRPr="00C11F49">
        <w:rPr>
          <w:sz w:val="26"/>
          <w:szCs w:val="26"/>
        </w:rPr>
        <w:t>izteikt 5.</w:t>
      </w:r>
      <w:r w:rsidRPr="00C11F49">
        <w:rPr>
          <w:sz w:val="26"/>
          <w:szCs w:val="26"/>
          <w:vertAlign w:val="superscript"/>
        </w:rPr>
        <w:t>1</w:t>
      </w:r>
      <w:r>
        <w:rPr>
          <w:sz w:val="26"/>
          <w:szCs w:val="26"/>
          <w:vertAlign w:val="superscript"/>
        </w:rPr>
        <w:t xml:space="preserve"> </w:t>
      </w:r>
      <w:r w:rsidRPr="00C11F49">
        <w:rPr>
          <w:sz w:val="26"/>
          <w:szCs w:val="26"/>
        </w:rPr>
        <w:t>daļu šādā redakcijā:</w:t>
      </w:r>
    </w:p>
    <w:p w:rsidR="009F4447" w:rsidRPr="00C11F49" w:rsidRDefault="009F4447" w:rsidP="009F4447">
      <w:pPr>
        <w:spacing w:after="120"/>
        <w:jc w:val="both"/>
        <w:rPr>
          <w:sz w:val="26"/>
          <w:szCs w:val="26"/>
        </w:rPr>
      </w:pPr>
      <w:r w:rsidRPr="00C11F49">
        <w:rPr>
          <w:sz w:val="26"/>
          <w:szCs w:val="26"/>
        </w:rPr>
        <w:t>„(5.¹) Fondēto pensiju shēmas līdzekļu pārvaldītājs nodrošina, lai maksimālie maksājumi par ieguldījumu plāna pārvaldi, ietverot līdzekļu pārvaldītājam un līdzekļu turētājam izmaksājamās atlīdzības, kā arī maksājumus trešajām personām, kurus veic no ieguldījumu plāna līdzekļiem, rēķinot par pēdējo 12 mēnešu periodu, nepārsniedz:</w:t>
      </w:r>
    </w:p>
    <w:p w:rsidR="009F4447" w:rsidRPr="00C11F49" w:rsidRDefault="009F4447" w:rsidP="009F4447">
      <w:pPr>
        <w:pStyle w:val="ListParagraph"/>
        <w:numPr>
          <w:ilvl w:val="0"/>
          <w:numId w:val="3"/>
        </w:numPr>
        <w:spacing w:after="120"/>
        <w:jc w:val="both"/>
        <w:rPr>
          <w:sz w:val="26"/>
          <w:szCs w:val="26"/>
        </w:rPr>
      </w:pPr>
      <w:r w:rsidRPr="00C11F49">
        <w:rPr>
          <w:sz w:val="26"/>
          <w:szCs w:val="26"/>
        </w:rPr>
        <w:t>1,5 procentus no ieguldījumu plāna aktīvu vidējās vērtības ieguldījumu plāniem, kuru prospektos nav paredzēti tiešie vai netiešie ieguldījumi komercsabiedrību kapitālā, kapitāla vērtspapīros vai citos riska ziņā tiem pielīdzināmos finanšu instrumentos;</w:t>
      </w:r>
    </w:p>
    <w:p w:rsidR="009F4447" w:rsidRPr="00C11F49" w:rsidRDefault="009F4447" w:rsidP="009F4447">
      <w:pPr>
        <w:pStyle w:val="ListParagraph"/>
        <w:numPr>
          <w:ilvl w:val="0"/>
          <w:numId w:val="3"/>
        </w:numPr>
        <w:spacing w:after="120"/>
        <w:jc w:val="both"/>
        <w:rPr>
          <w:sz w:val="26"/>
          <w:szCs w:val="26"/>
        </w:rPr>
      </w:pPr>
      <w:r w:rsidRPr="00C11F49">
        <w:rPr>
          <w:sz w:val="26"/>
          <w:szCs w:val="26"/>
        </w:rPr>
        <w:t>divus procentus no ieguldījumu plāna aktīvu vidējās vērtības pārējiem ieguldījumu plāniem”;</w:t>
      </w:r>
    </w:p>
    <w:p w:rsidR="009F4447" w:rsidRPr="00C11F49" w:rsidRDefault="009F4447" w:rsidP="009F4447">
      <w:pPr>
        <w:spacing w:after="120"/>
        <w:ind w:firstLine="720"/>
        <w:jc w:val="both"/>
        <w:rPr>
          <w:sz w:val="26"/>
          <w:szCs w:val="26"/>
        </w:rPr>
      </w:pPr>
      <w:r w:rsidRPr="00C11F49">
        <w:rPr>
          <w:sz w:val="26"/>
          <w:szCs w:val="26"/>
        </w:rPr>
        <w:t>papildināt pantu ar 5.</w:t>
      </w:r>
      <w:r w:rsidRPr="00C11F49">
        <w:rPr>
          <w:sz w:val="26"/>
          <w:szCs w:val="26"/>
          <w:vertAlign w:val="superscript"/>
        </w:rPr>
        <w:t>2</w:t>
      </w:r>
      <w:r w:rsidRPr="00C11F49">
        <w:rPr>
          <w:sz w:val="26"/>
          <w:szCs w:val="26"/>
        </w:rPr>
        <w:t>, 5.</w:t>
      </w:r>
      <w:r w:rsidRPr="00C11F49">
        <w:rPr>
          <w:sz w:val="26"/>
          <w:szCs w:val="26"/>
          <w:vertAlign w:val="superscript"/>
        </w:rPr>
        <w:t xml:space="preserve">3 </w:t>
      </w:r>
      <w:r w:rsidRPr="00C11F49">
        <w:rPr>
          <w:sz w:val="26"/>
          <w:szCs w:val="26"/>
        </w:rPr>
        <w:t>un 5.</w:t>
      </w:r>
      <w:r w:rsidRPr="00C11F49">
        <w:rPr>
          <w:sz w:val="26"/>
          <w:szCs w:val="26"/>
          <w:vertAlign w:val="superscript"/>
        </w:rPr>
        <w:t>4</w:t>
      </w:r>
      <w:r>
        <w:rPr>
          <w:sz w:val="26"/>
          <w:szCs w:val="26"/>
          <w:vertAlign w:val="superscript"/>
        </w:rPr>
        <w:t xml:space="preserve"> </w:t>
      </w:r>
      <w:r w:rsidRPr="00C11F49">
        <w:rPr>
          <w:sz w:val="26"/>
          <w:szCs w:val="26"/>
        </w:rPr>
        <w:t>daļu šādā redakcijā:</w:t>
      </w:r>
    </w:p>
    <w:p w:rsidR="009F4447" w:rsidRPr="00C11F49" w:rsidRDefault="009F4447" w:rsidP="009F4447">
      <w:pPr>
        <w:spacing w:after="120"/>
        <w:jc w:val="both"/>
        <w:rPr>
          <w:sz w:val="26"/>
          <w:szCs w:val="26"/>
        </w:rPr>
      </w:pPr>
      <w:r w:rsidRPr="00C11F49">
        <w:rPr>
          <w:sz w:val="26"/>
          <w:szCs w:val="26"/>
        </w:rPr>
        <w:t>„(5.</w:t>
      </w:r>
      <w:r w:rsidRPr="00C11F49">
        <w:rPr>
          <w:sz w:val="26"/>
          <w:szCs w:val="26"/>
          <w:vertAlign w:val="superscript"/>
        </w:rPr>
        <w:t>2</w:t>
      </w:r>
      <w:r w:rsidRPr="00C11F49">
        <w:rPr>
          <w:sz w:val="26"/>
          <w:szCs w:val="26"/>
        </w:rPr>
        <w:t>) Šā panta 5.</w:t>
      </w:r>
      <w:r w:rsidRPr="00C11F49">
        <w:rPr>
          <w:sz w:val="26"/>
          <w:szCs w:val="26"/>
          <w:vertAlign w:val="superscript"/>
        </w:rPr>
        <w:t>1</w:t>
      </w:r>
      <w:r>
        <w:rPr>
          <w:sz w:val="26"/>
          <w:szCs w:val="26"/>
          <w:vertAlign w:val="superscript"/>
        </w:rPr>
        <w:t xml:space="preserve"> </w:t>
      </w:r>
      <w:r w:rsidRPr="00C11F49">
        <w:rPr>
          <w:sz w:val="26"/>
          <w:szCs w:val="26"/>
        </w:rPr>
        <w:t>daļā minētajos maksājumos neietilpst izdevumi, kas radušies, veicot darījumus ar ieguldījumu plāna aktīvu pārdošanu ar atpirkšanu. Kopējā maksājuma par ieguldījumu plāna pārvaldi sastāvdaļas, uzskaiti un ieturēšanas kārtību nosaka Ministru kabinets.</w:t>
      </w:r>
    </w:p>
    <w:p w:rsidR="009F4447" w:rsidRPr="00C11F49" w:rsidRDefault="009F4447" w:rsidP="009F4447">
      <w:pPr>
        <w:spacing w:after="120"/>
        <w:jc w:val="both"/>
        <w:rPr>
          <w:sz w:val="26"/>
          <w:szCs w:val="26"/>
        </w:rPr>
      </w:pPr>
      <w:r w:rsidRPr="00C11F49">
        <w:rPr>
          <w:sz w:val="26"/>
          <w:szCs w:val="26"/>
        </w:rPr>
        <w:t>(5.</w:t>
      </w:r>
      <w:r w:rsidRPr="00C11F49">
        <w:rPr>
          <w:sz w:val="26"/>
          <w:szCs w:val="26"/>
          <w:vertAlign w:val="superscript"/>
        </w:rPr>
        <w:t>3</w:t>
      </w:r>
      <w:r w:rsidRPr="00C11F49">
        <w:rPr>
          <w:sz w:val="26"/>
          <w:szCs w:val="26"/>
        </w:rPr>
        <w:t>) Fondēto pensiju shēmas līdzekļu pārvaldītājs pārvaldīšanā esošos fondēto pensiju shēmas līdzekļus iegrāmato un pārvalda šķirti no jebkuras citas fondēto pensiju shēmas līdzekļu pārvaldītāja un tā pārvaldīšanā esošās mantas. Fondēto pensiju shēmas līdzekļu daļu, kas tiek pārvaldīta saskaņā ar noteiktu ieguldījumu plānu (ieguldījumu plāna līdzekļi), fondēto pensiju shēmas līdzekļu pārvaldītājs pārvalda šķirti no citiem tā aktīviem un pārējo ieguldījumu plānu līdzekļiem.</w:t>
      </w:r>
    </w:p>
    <w:p w:rsidR="009F4447" w:rsidRPr="00C11F49" w:rsidRDefault="009F4447" w:rsidP="009F4447">
      <w:pPr>
        <w:jc w:val="both"/>
        <w:rPr>
          <w:sz w:val="26"/>
          <w:szCs w:val="26"/>
        </w:rPr>
      </w:pPr>
      <w:r w:rsidRPr="00C11F49" w:rsidDel="00FC2A93">
        <w:rPr>
          <w:sz w:val="26"/>
          <w:szCs w:val="26"/>
        </w:rPr>
        <w:t xml:space="preserve"> </w:t>
      </w:r>
      <w:r w:rsidRPr="00C11F49">
        <w:rPr>
          <w:sz w:val="26"/>
          <w:szCs w:val="26"/>
        </w:rPr>
        <w:t>(5.</w:t>
      </w:r>
      <w:r w:rsidRPr="00C11F49">
        <w:rPr>
          <w:sz w:val="26"/>
          <w:szCs w:val="26"/>
          <w:vertAlign w:val="superscript"/>
        </w:rPr>
        <w:t>4</w:t>
      </w:r>
      <w:r w:rsidRPr="00C11F49">
        <w:rPr>
          <w:sz w:val="26"/>
          <w:szCs w:val="26"/>
        </w:rPr>
        <w:t>) Fondēto pensiju shēmas līdzekļu pārvaldīšana ietver šādus pakalpojumus:</w:t>
      </w:r>
    </w:p>
    <w:p w:rsidR="009F4447" w:rsidRPr="00C11F49" w:rsidRDefault="009F4447" w:rsidP="009F4447">
      <w:pPr>
        <w:pStyle w:val="ListParagraph"/>
        <w:numPr>
          <w:ilvl w:val="0"/>
          <w:numId w:val="4"/>
        </w:numPr>
        <w:jc w:val="both"/>
        <w:rPr>
          <w:sz w:val="26"/>
          <w:szCs w:val="26"/>
        </w:rPr>
      </w:pPr>
      <w:r w:rsidRPr="00C11F49">
        <w:rPr>
          <w:sz w:val="26"/>
          <w:szCs w:val="26"/>
        </w:rPr>
        <w:t xml:space="preserve">ieguldījumu plāna līdzekļu ieguldījumu pārvaldīšana; </w:t>
      </w:r>
    </w:p>
    <w:p w:rsidR="009F4447" w:rsidRPr="00C11F49" w:rsidRDefault="009F4447" w:rsidP="009F4447">
      <w:pPr>
        <w:pStyle w:val="ListParagraph"/>
        <w:numPr>
          <w:ilvl w:val="0"/>
          <w:numId w:val="4"/>
        </w:numPr>
        <w:jc w:val="both"/>
        <w:rPr>
          <w:sz w:val="26"/>
          <w:szCs w:val="26"/>
        </w:rPr>
      </w:pPr>
      <w:r w:rsidRPr="00C11F49">
        <w:rPr>
          <w:sz w:val="26"/>
          <w:szCs w:val="26"/>
        </w:rPr>
        <w:t>ieguldījumu plāna līdzekļu administratīvā vadība, kas ietver šādas darbības:</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juridisko un grāmatvedības jautājumu kārtošana;</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informācijas sniegšana par ieguldījumu plāna darbību;</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ieguldījumu plāna vērtības un ieguldījuma plāna daļas vērtības noteikšana;</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ieguldījumu plāna darbību regulējošo prasību ievērošanas uzraudzība;</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ieguldījumu plāna ienākuma sadale;</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Aģentūras rīkojumu un paziņojumu izpilde par darījumiem ar ieguldījumu plāna līdzekļiem;</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norēķinu par līgumsaistībām izpilde;</w:t>
      </w:r>
    </w:p>
    <w:p w:rsidR="009F4447" w:rsidRPr="00C11F49" w:rsidRDefault="009F4447" w:rsidP="009F4447">
      <w:pPr>
        <w:pStyle w:val="ListParagraph"/>
        <w:numPr>
          <w:ilvl w:val="1"/>
          <w:numId w:val="4"/>
        </w:numPr>
        <w:ind w:left="1134" w:hanging="425"/>
        <w:jc w:val="both"/>
        <w:rPr>
          <w:sz w:val="26"/>
          <w:szCs w:val="26"/>
        </w:rPr>
      </w:pPr>
      <w:r w:rsidRPr="00C11F49">
        <w:rPr>
          <w:sz w:val="26"/>
          <w:szCs w:val="26"/>
        </w:rPr>
        <w:t>ar ieguldījumu plāna līdzekļiem saistīto darījumu uzskaites kārtošana.</w:t>
      </w:r>
    </w:p>
    <w:p w:rsidR="009F4447" w:rsidRPr="00C11F49" w:rsidRDefault="009F4447" w:rsidP="009F4447">
      <w:pPr>
        <w:pStyle w:val="ListParagraph"/>
        <w:numPr>
          <w:ilvl w:val="0"/>
          <w:numId w:val="4"/>
        </w:numPr>
        <w:jc w:val="both"/>
        <w:rPr>
          <w:sz w:val="26"/>
          <w:szCs w:val="26"/>
        </w:rPr>
      </w:pPr>
      <w:r w:rsidRPr="00C11F49">
        <w:rPr>
          <w:sz w:val="26"/>
          <w:szCs w:val="26"/>
        </w:rPr>
        <w:t>ieguldījumu plāna mārketings (reklamēšana, tirgus izpēte un citi līdzīgi pakalpojumi)”.</w:t>
      </w:r>
    </w:p>
    <w:p w:rsidR="009F4447" w:rsidRPr="00C11F49" w:rsidRDefault="009F4447" w:rsidP="009F4447">
      <w:pPr>
        <w:jc w:val="both"/>
        <w:rPr>
          <w:sz w:val="26"/>
          <w:szCs w:val="26"/>
        </w:rPr>
      </w:pPr>
    </w:p>
    <w:p w:rsidR="009F4447" w:rsidRPr="00C11F49" w:rsidRDefault="009F4447" w:rsidP="009F4447">
      <w:pPr>
        <w:autoSpaceDE w:val="0"/>
        <w:autoSpaceDN w:val="0"/>
        <w:adjustRightInd w:val="0"/>
        <w:ind w:firstLine="720"/>
        <w:rPr>
          <w:sz w:val="26"/>
          <w:szCs w:val="26"/>
        </w:rPr>
      </w:pPr>
      <w:r w:rsidRPr="00C11F49">
        <w:rPr>
          <w:sz w:val="26"/>
          <w:szCs w:val="26"/>
        </w:rPr>
        <w:t>2. Izteikt 11.</w:t>
      </w:r>
      <w:r w:rsidRPr="00C11F49">
        <w:rPr>
          <w:sz w:val="26"/>
          <w:szCs w:val="26"/>
          <w:vertAlign w:val="superscript"/>
        </w:rPr>
        <w:t>2</w:t>
      </w:r>
      <w:r>
        <w:rPr>
          <w:sz w:val="26"/>
          <w:szCs w:val="26"/>
          <w:vertAlign w:val="superscript"/>
        </w:rPr>
        <w:t xml:space="preserve"> </w:t>
      </w:r>
      <w:r w:rsidRPr="00C11F49">
        <w:rPr>
          <w:sz w:val="26"/>
          <w:szCs w:val="26"/>
        </w:rPr>
        <w:t>panta otro daļu šādā redakcijā:</w:t>
      </w:r>
    </w:p>
    <w:p w:rsidR="009F4447" w:rsidRPr="00C11F49" w:rsidRDefault="009F4447" w:rsidP="009F4447">
      <w:pPr>
        <w:autoSpaceDE w:val="0"/>
        <w:autoSpaceDN w:val="0"/>
        <w:adjustRightInd w:val="0"/>
        <w:jc w:val="both"/>
        <w:rPr>
          <w:sz w:val="26"/>
          <w:szCs w:val="26"/>
        </w:rPr>
      </w:pPr>
    </w:p>
    <w:p w:rsidR="009F4447" w:rsidRPr="00C11F49" w:rsidRDefault="009F4447" w:rsidP="009F4447">
      <w:pPr>
        <w:autoSpaceDE w:val="0"/>
        <w:autoSpaceDN w:val="0"/>
        <w:adjustRightInd w:val="0"/>
        <w:jc w:val="both"/>
        <w:rPr>
          <w:sz w:val="26"/>
          <w:szCs w:val="26"/>
        </w:rPr>
      </w:pPr>
      <w:r w:rsidRPr="00C11F49" w:rsidDel="00353961">
        <w:rPr>
          <w:sz w:val="26"/>
          <w:szCs w:val="26"/>
        </w:rPr>
        <w:t xml:space="preserve"> </w:t>
      </w:r>
      <w:r w:rsidRPr="00C11F49">
        <w:rPr>
          <w:sz w:val="26"/>
          <w:szCs w:val="26"/>
        </w:rPr>
        <w:t xml:space="preserve">(2) Piemērojot šā panta pirmo daļu, ieguldījumu plāns ir pielīdzināms ieguldījumu fondam, ieguldījumu plāna līdzekļu ieguldījumu pārvaldīšana ir pielīdzināma fonda ieguldījumu pārvaldīšanai, ieguldījumu plāna līdzekļu administratīvā vadība pielīdzināma </w:t>
      </w:r>
      <w:r w:rsidRPr="00C11F49">
        <w:rPr>
          <w:color w:val="414142"/>
          <w:sz w:val="26"/>
          <w:szCs w:val="26"/>
        </w:rPr>
        <w:t xml:space="preserve">fonda administratīvajai vadībai un </w:t>
      </w:r>
      <w:r w:rsidRPr="00C11F49">
        <w:rPr>
          <w:sz w:val="26"/>
          <w:szCs w:val="26"/>
        </w:rPr>
        <w:t xml:space="preserve">ieguldījumu </w:t>
      </w:r>
      <w:r w:rsidRPr="00C11F49">
        <w:rPr>
          <w:sz w:val="26"/>
          <w:szCs w:val="26"/>
        </w:rPr>
        <w:lastRenderedPageBreak/>
        <w:t>plāna mārketings pielīdzināms</w:t>
      </w:r>
      <w:r w:rsidRPr="00C11F49">
        <w:rPr>
          <w:color w:val="414142"/>
          <w:sz w:val="26"/>
          <w:szCs w:val="26"/>
        </w:rPr>
        <w:t xml:space="preserve"> fonda mārketingam</w:t>
      </w:r>
      <w:r w:rsidRPr="00C11F49">
        <w:rPr>
          <w:sz w:val="26"/>
          <w:szCs w:val="26"/>
        </w:rPr>
        <w:t xml:space="preserve"> </w:t>
      </w:r>
      <w:hyperlink r:id="rId9" w:tgtFrame="_blank" w:history="1">
        <w:r w:rsidRPr="00C11F49">
          <w:rPr>
            <w:color w:val="16497B"/>
            <w:sz w:val="26"/>
            <w:szCs w:val="26"/>
          </w:rPr>
          <w:t>Ieguldījumu pārvaldes sabiedrību likuma</w:t>
        </w:r>
      </w:hyperlink>
      <w:r w:rsidRPr="00C11F49">
        <w:rPr>
          <w:sz w:val="26"/>
          <w:szCs w:val="26"/>
        </w:rPr>
        <w:t xml:space="preserve"> izpratnē. </w:t>
      </w:r>
    </w:p>
    <w:p w:rsidR="009F4447" w:rsidRPr="00C11F49" w:rsidRDefault="009F4447" w:rsidP="009F4447">
      <w:pPr>
        <w:autoSpaceDE w:val="0"/>
        <w:autoSpaceDN w:val="0"/>
        <w:adjustRightInd w:val="0"/>
        <w:jc w:val="both"/>
        <w:rPr>
          <w:sz w:val="26"/>
          <w:szCs w:val="26"/>
        </w:rPr>
      </w:pPr>
    </w:p>
    <w:p w:rsidR="009F4447" w:rsidRPr="00C11F49" w:rsidRDefault="009F4447" w:rsidP="009F4447">
      <w:pPr>
        <w:numPr>
          <w:ilvl w:val="0"/>
          <w:numId w:val="2"/>
        </w:numPr>
        <w:autoSpaceDE w:val="0"/>
        <w:autoSpaceDN w:val="0"/>
        <w:adjustRightInd w:val="0"/>
        <w:jc w:val="both"/>
        <w:rPr>
          <w:sz w:val="26"/>
          <w:szCs w:val="26"/>
        </w:rPr>
      </w:pPr>
      <w:r w:rsidRPr="00C11F49">
        <w:rPr>
          <w:sz w:val="26"/>
          <w:szCs w:val="26"/>
        </w:rPr>
        <w:t>11.</w:t>
      </w:r>
      <w:r w:rsidRPr="00C11F49">
        <w:rPr>
          <w:sz w:val="26"/>
          <w:szCs w:val="26"/>
          <w:vertAlign w:val="superscript"/>
        </w:rPr>
        <w:t>3</w:t>
      </w:r>
      <w:r>
        <w:rPr>
          <w:sz w:val="26"/>
          <w:szCs w:val="26"/>
          <w:vertAlign w:val="superscript"/>
        </w:rPr>
        <w:t xml:space="preserve"> </w:t>
      </w:r>
      <w:r w:rsidRPr="00C11F49">
        <w:rPr>
          <w:sz w:val="26"/>
          <w:szCs w:val="26"/>
        </w:rPr>
        <w:t>pantā:</w:t>
      </w:r>
    </w:p>
    <w:p w:rsidR="009F4447" w:rsidRPr="00C11F49" w:rsidRDefault="009F4447" w:rsidP="009F4447">
      <w:pPr>
        <w:autoSpaceDE w:val="0"/>
        <w:autoSpaceDN w:val="0"/>
        <w:adjustRightInd w:val="0"/>
        <w:ind w:left="108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papildināt pirmās daļas 1.punktu ar c) apakšpunktu šādā redakcijā:</w:t>
      </w:r>
    </w:p>
    <w:p w:rsidR="009F4447" w:rsidRPr="00C11F49" w:rsidRDefault="009F4447" w:rsidP="009F4447">
      <w:pPr>
        <w:autoSpaceDE w:val="0"/>
        <w:autoSpaceDN w:val="0"/>
        <w:adjustRightInd w:val="0"/>
        <w:ind w:firstLine="300"/>
        <w:jc w:val="both"/>
        <w:rPr>
          <w:sz w:val="26"/>
          <w:szCs w:val="26"/>
        </w:rPr>
      </w:pPr>
      <w:r w:rsidRPr="00C11F49">
        <w:rPr>
          <w:sz w:val="26"/>
          <w:szCs w:val="26"/>
        </w:rPr>
        <w:t>„c) plānoto pārvaldīšanā piesaistīto fondēto pensiju shēmas līdzekļu apmēru”;</w:t>
      </w:r>
    </w:p>
    <w:p w:rsidR="009F4447" w:rsidRPr="00C11F49" w:rsidRDefault="009F4447" w:rsidP="009F4447">
      <w:pPr>
        <w:autoSpaceDE w:val="0"/>
        <w:autoSpaceDN w:val="0"/>
        <w:adjustRightInd w:val="0"/>
        <w:ind w:firstLine="30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izteikt otrās daļas 1.punktu šādā redakcijā:</w:t>
      </w:r>
    </w:p>
    <w:p w:rsidR="009F4447" w:rsidRPr="00C11F49" w:rsidRDefault="009F4447" w:rsidP="009F4447">
      <w:pPr>
        <w:autoSpaceDE w:val="0"/>
        <w:autoSpaceDN w:val="0"/>
        <w:adjustRightInd w:val="0"/>
        <w:jc w:val="both"/>
        <w:rPr>
          <w:sz w:val="26"/>
          <w:szCs w:val="26"/>
        </w:rPr>
      </w:pPr>
      <w:r w:rsidRPr="00C11F49">
        <w:rPr>
          <w:sz w:val="26"/>
          <w:szCs w:val="26"/>
        </w:rPr>
        <w:t>„1) dalībvalstī licencētas ieguldījumu pārvaldes sabiedrības pamatkapitāls atbilst šā likuma 11.panta 1.</w:t>
      </w:r>
      <w:r w:rsidRPr="00C11F49">
        <w:rPr>
          <w:sz w:val="26"/>
          <w:szCs w:val="26"/>
          <w:vertAlign w:val="superscript"/>
        </w:rPr>
        <w:t>1</w:t>
      </w:r>
      <w:r w:rsidRPr="00C11F49">
        <w:rPr>
          <w:sz w:val="26"/>
          <w:szCs w:val="26"/>
        </w:rPr>
        <w:t xml:space="preserve"> daļā noteiktajām prasībām un gada laikā pirms reģistrācijas iesnieguma iesniegšanas nav konstatēti kapitāla prasību pārkāpumi”;</w:t>
      </w:r>
    </w:p>
    <w:p w:rsidR="009F4447" w:rsidRPr="00C11F49" w:rsidRDefault="009F4447" w:rsidP="009F4447">
      <w:pPr>
        <w:autoSpaceDE w:val="0"/>
        <w:autoSpaceDN w:val="0"/>
        <w:adjustRightInd w:val="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papildināt otro daļu ar 5.punktu šādā redakcijā:</w:t>
      </w:r>
    </w:p>
    <w:p w:rsidR="009F4447" w:rsidRPr="00C11F49" w:rsidRDefault="009F4447" w:rsidP="009F4447">
      <w:pPr>
        <w:autoSpaceDE w:val="0"/>
        <w:autoSpaceDN w:val="0"/>
        <w:adjustRightInd w:val="0"/>
        <w:jc w:val="both"/>
        <w:rPr>
          <w:sz w:val="26"/>
          <w:szCs w:val="26"/>
        </w:rPr>
      </w:pPr>
      <w:r w:rsidRPr="00C11F49">
        <w:rPr>
          <w:sz w:val="26"/>
          <w:szCs w:val="26"/>
        </w:rPr>
        <w:t>„5) dalībvalsts uzraudzības institūcija nekavējoties informēs Komisiju, ja dalībvalstī licencētas ieguldījumu pārvaldes sabiedrības pamatkapitāla apmērs vairs neatbilst šā likuma 11.panta 1.</w:t>
      </w:r>
      <w:r w:rsidRPr="00C11F49">
        <w:rPr>
          <w:sz w:val="26"/>
          <w:szCs w:val="26"/>
          <w:vertAlign w:val="superscript"/>
        </w:rPr>
        <w:t>1</w:t>
      </w:r>
      <w:r>
        <w:rPr>
          <w:sz w:val="26"/>
          <w:szCs w:val="26"/>
          <w:vertAlign w:val="superscript"/>
        </w:rPr>
        <w:t xml:space="preserve"> </w:t>
      </w:r>
      <w:r w:rsidRPr="00C11F49">
        <w:rPr>
          <w:sz w:val="26"/>
          <w:szCs w:val="26"/>
        </w:rPr>
        <w:t xml:space="preserve">daļā noteiktajām prasībām”; </w:t>
      </w:r>
    </w:p>
    <w:p w:rsidR="009F4447" w:rsidRPr="00C11F49" w:rsidRDefault="009F4447" w:rsidP="009F4447">
      <w:pPr>
        <w:autoSpaceDE w:val="0"/>
        <w:autoSpaceDN w:val="0"/>
        <w:adjustRightInd w:val="0"/>
        <w:ind w:firstLine="30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 xml:space="preserve">izteikt ceturtās daļas 1.punktu šādā redakcijā: </w:t>
      </w:r>
    </w:p>
    <w:p w:rsidR="009F4447" w:rsidRPr="00C11F49" w:rsidRDefault="009F4447" w:rsidP="009F4447">
      <w:pPr>
        <w:autoSpaceDE w:val="0"/>
        <w:autoSpaceDN w:val="0"/>
        <w:adjustRightInd w:val="0"/>
        <w:jc w:val="both"/>
        <w:rPr>
          <w:sz w:val="26"/>
          <w:szCs w:val="26"/>
        </w:rPr>
      </w:pPr>
      <w:r w:rsidRPr="00C11F49">
        <w:rPr>
          <w:sz w:val="26"/>
          <w:szCs w:val="26"/>
        </w:rPr>
        <w:t xml:space="preserve">„1) iesnieguma iesniedzējs neatbilst šā likuma </w:t>
      </w:r>
      <w:hyperlink r:id="rId10" w:anchor="p11#p11" w:history="1">
        <w:r w:rsidRPr="00C11F49">
          <w:rPr>
            <w:sz w:val="26"/>
            <w:szCs w:val="26"/>
          </w:rPr>
          <w:t>11.panta</w:t>
        </w:r>
      </w:hyperlink>
      <w:r w:rsidRPr="00C11F49">
        <w:rPr>
          <w:sz w:val="26"/>
          <w:szCs w:val="26"/>
        </w:rPr>
        <w:t xml:space="preserve"> pirmās vai 1.</w:t>
      </w:r>
      <w:r w:rsidRPr="00C11F49">
        <w:rPr>
          <w:sz w:val="26"/>
          <w:szCs w:val="26"/>
          <w:vertAlign w:val="superscript"/>
        </w:rPr>
        <w:t>1</w:t>
      </w:r>
      <w:r>
        <w:rPr>
          <w:sz w:val="26"/>
          <w:szCs w:val="26"/>
          <w:vertAlign w:val="superscript"/>
        </w:rPr>
        <w:t xml:space="preserve"> </w:t>
      </w:r>
      <w:r w:rsidRPr="00C11F49">
        <w:rPr>
          <w:sz w:val="26"/>
          <w:szCs w:val="26"/>
        </w:rPr>
        <w:t>daļas prasībām”;</w:t>
      </w:r>
    </w:p>
    <w:p w:rsidR="009F4447" w:rsidRPr="00C11F49" w:rsidRDefault="009F4447" w:rsidP="009F4447">
      <w:pPr>
        <w:autoSpaceDE w:val="0"/>
        <w:autoSpaceDN w:val="0"/>
        <w:adjustRightInd w:val="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izteikt ceturtās daļas 7.punktu šādā redakcijā:</w:t>
      </w:r>
    </w:p>
    <w:p w:rsidR="009F4447" w:rsidRPr="00C11F49" w:rsidRDefault="009F4447" w:rsidP="009F4447">
      <w:pPr>
        <w:autoSpaceDE w:val="0"/>
        <w:autoSpaceDN w:val="0"/>
        <w:adjustRightInd w:val="0"/>
        <w:jc w:val="both"/>
        <w:rPr>
          <w:sz w:val="26"/>
          <w:szCs w:val="26"/>
        </w:rPr>
      </w:pPr>
      <w:r w:rsidRPr="00C11F49">
        <w:rPr>
          <w:sz w:val="26"/>
          <w:szCs w:val="26"/>
        </w:rPr>
        <w:t>„7) dalībvalsts uzraudzības institūcija nav piekritusi informēt Komisiju par faktiem, kas apdraud vai var apdraudēt dalībvalsts filiāles darbību Latvijā, vai par dalībvalstī licencētas ieguldījumu pārvaldes sabiedrības pamatkapitāla apmēra neatbilstību šā likuma 11.panta 1.</w:t>
      </w:r>
      <w:r w:rsidRPr="00C11F49">
        <w:rPr>
          <w:sz w:val="26"/>
          <w:szCs w:val="26"/>
          <w:vertAlign w:val="superscript"/>
        </w:rPr>
        <w:t>1</w:t>
      </w:r>
      <w:r>
        <w:rPr>
          <w:sz w:val="26"/>
          <w:szCs w:val="26"/>
          <w:vertAlign w:val="superscript"/>
        </w:rPr>
        <w:t xml:space="preserve"> </w:t>
      </w:r>
      <w:r w:rsidRPr="00C11F49">
        <w:rPr>
          <w:sz w:val="26"/>
          <w:szCs w:val="26"/>
        </w:rPr>
        <w:t>daļā noteiktajām prasībām”;</w:t>
      </w:r>
    </w:p>
    <w:p w:rsidR="009F4447" w:rsidRPr="00C11F49" w:rsidRDefault="009F4447" w:rsidP="009F4447">
      <w:pPr>
        <w:autoSpaceDE w:val="0"/>
        <w:autoSpaceDN w:val="0"/>
        <w:adjustRightInd w:val="0"/>
        <w:ind w:firstLine="30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izteikt piektās daļas 9.punktu šādā redakcijā:</w:t>
      </w:r>
    </w:p>
    <w:p w:rsidR="009F4447" w:rsidRPr="00C11F49" w:rsidRDefault="009F4447" w:rsidP="009F4447">
      <w:pPr>
        <w:autoSpaceDE w:val="0"/>
        <w:autoSpaceDN w:val="0"/>
        <w:adjustRightInd w:val="0"/>
        <w:jc w:val="both"/>
        <w:rPr>
          <w:sz w:val="26"/>
          <w:szCs w:val="26"/>
        </w:rPr>
      </w:pPr>
      <w:r w:rsidRPr="00C11F49">
        <w:rPr>
          <w:sz w:val="26"/>
          <w:szCs w:val="26"/>
        </w:rPr>
        <w:t>„9) dalībvalsts filiāles uzraudzības institūcija informē Komisiju par faktiem, kas apdraud vai var apdraudēt dalībvalsts filiāles darbību Latvijā, vai par dalībvalstī licencētas ieguldījumu pārvaldes sabiedrības pamatkapitāla apmēra neatbilstību šā likuma 11.panta 1.</w:t>
      </w:r>
      <w:r w:rsidRPr="00C11F49">
        <w:rPr>
          <w:sz w:val="26"/>
          <w:szCs w:val="26"/>
          <w:vertAlign w:val="superscript"/>
        </w:rPr>
        <w:t>1</w:t>
      </w:r>
      <w:r>
        <w:rPr>
          <w:sz w:val="26"/>
          <w:szCs w:val="26"/>
          <w:vertAlign w:val="superscript"/>
        </w:rPr>
        <w:t xml:space="preserve"> </w:t>
      </w:r>
      <w:r w:rsidRPr="00C11F49">
        <w:rPr>
          <w:sz w:val="26"/>
          <w:szCs w:val="26"/>
        </w:rPr>
        <w:t>daļā noteiktajām prasībām”;</w:t>
      </w:r>
    </w:p>
    <w:p w:rsidR="009F4447" w:rsidRPr="00C11F49" w:rsidRDefault="009F4447" w:rsidP="009F4447">
      <w:pPr>
        <w:autoSpaceDE w:val="0"/>
        <w:autoSpaceDN w:val="0"/>
        <w:adjustRightInd w:val="0"/>
        <w:ind w:firstLine="300"/>
        <w:jc w:val="both"/>
        <w:rPr>
          <w:sz w:val="26"/>
          <w:szCs w:val="26"/>
        </w:rPr>
      </w:pPr>
    </w:p>
    <w:p w:rsidR="009F4447" w:rsidRPr="00C11F49" w:rsidRDefault="009F4447" w:rsidP="009F4447">
      <w:pPr>
        <w:autoSpaceDE w:val="0"/>
        <w:autoSpaceDN w:val="0"/>
        <w:adjustRightInd w:val="0"/>
        <w:ind w:firstLine="720"/>
        <w:jc w:val="both"/>
        <w:rPr>
          <w:sz w:val="26"/>
          <w:szCs w:val="26"/>
        </w:rPr>
      </w:pPr>
      <w:r w:rsidRPr="00C11F49">
        <w:rPr>
          <w:sz w:val="26"/>
          <w:szCs w:val="26"/>
        </w:rPr>
        <w:t xml:space="preserve">papildināt piekto daļu ar 10.punktu šādā redakcijā: </w:t>
      </w:r>
    </w:p>
    <w:p w:rsidR="009F4447" w:rsidRPr="00C11F49" w:rsidRDefault="009F4447" w:rsidP="009F4447">
      <w:pPr>
        <w:autoSpaceDE w:val="0"/>
        <w:autoSpaceDN w:val="0"/>
        <w:adjustRightInd w:val="0"/>
        <w:jc w:val="both"/>
        <w:rPr>
          <w:sz w:val="26"/>
          <w:szCs w:val="26"/>
        </w:rPr>
      </w:pPr>
      <w:r w:rsidRPr="00C11F49">
        <w:rPr>
          <w:sz w:val="26"/>
          <w:szCs w:val="26"/>
        </w:rPr>
        <w:t>„10) fondēto pensiju shēmas līdzekļu pārvaldītāja pamatkapitāls neatbilst šā likuma 11.panta 1.</w:t>
      </w:r>
      <w:r w:rsidRPr="00C11F49">
        <w:rPr>
          <w:sz w:val="26"/>
          <w:szCs w:val="26"/>
          <w:vertAlign w:val="superscript"/>
        </w:rPr>
        <w:t>1</w:t>
      </w:r>
      <w:r>
        <w:rPr>
          <w:sz w:val="26"/>
          <w:szCs w:val="26"/>
          <w:vertAlign w:val="superscript"/>
        </w:rPr>
        <w:t xml:space="preserve"> </w:t>
      </w:r>
      <w:r w:rsidRPr="00C11F49">
        <w:rPr>
          <w:sz w:val="26"/>
          <w:szCs w:val="26"/>
        </w:rPr>
        <w:t>daļā noteiktajām prasībām”.</w:t>
      </w:r>
    </w:p>
    <w:p w:rsidR="009F4447" w:rsidRPr="00C11F49" w:rsidRDefault="009F4447" w:rsidP="009F4447">
      <w:pPr>
        <w:autoSpaceDE w:val="0"/>
        <w:autoSpaceDN w:val="0"/>
        <w:adjustRightInd w:val="0"/>
        <w:jc w:val="both"/>
        <w:rPr>
          <w:sz w:val="26"/>
          <w:szCs w:val="26"/>
        </w:rPr>
      </w:pPr>
    </w:p>
    <w:p w:rsidR="009F4447" w:rsidRPr="00C11F49" w:rsidRDefault="009F4447" w:rsidP="009F4447">
      <w:pPr>
        <w:numPr>
          <w:ilvl w:val="0"/>
          <w:numId w:val="2"/>
        </w:numPr>
        <w:jc w:val="both"/>
        <w:rPr>
          <w:sz w:val="26"/>
          <w:szCs w:val="26"/>
        </w:rPr>
      </w:pPr>
      <w:r w:rsidRPr="00C11F49">
        <w:rPr>
          <w:sz w:val="26"/>
          <w:szCs w:val="26"/>
        </w:rPr>
        <w:t>12.pantā:</w:t>
      </w:r>
    </w:p>
    <w:p w:rsidR="009F4447" w:rsidRPr="00C11F49" w:rsidRDefault="009F4447" w:rsidP="009F4447">
      <w:pPr>
        <w:ind w:left="1080"/>
        <w:jc w:val="both"/>
        <w:rPr>
          <w:sz w:val="26"/>
          <w:szCs w:val="26"/>
        </w:rPr>
      </w:pPr>
    </w:p>
    <w:p w:rsidR="009F4447" w:rsidRPr="00C11F49" w:rsidRDefault="009F4447" w:rsidP="009F4447">
      <w:pPr>
        <w:ind w:firstLine="720"/>
        <w:jc w:val="both"/>
        <w:rPr>
          <w:sz w:val="26"/>
          <w:szCs w:val="26"/>
        </w:rPr>
      </w:pPr>
      <w:r w:rsidRPr="00C11F49">
        <w:rPr>
          <w:sz w:val="26"/>
          <w:szCs w:val="26"/>
        </w:rPr>
        <w:t>izteikt otrās daļas 7.punktu šādā redakcijā:</w:t>
      </w:r>
    </w:p>
    <w:p w:rsidR="009F4447" w:rsidRPr="00C11F49" w:rsidRDefault="009F4447" w:rsidP="009F4447">
      <w:pPr>
        <w:jc w:val="both"/>
        <w:rPr>
          <w:color w:val="000000"/>
          <w:sz w:val="26"/>
          <w:szCs w:val="26"/>
        </w:rPr>
      </w:pPr>
      <w:r w:rsidRPr="00C11F49">
        <w:rPr>
          <w:color w:val="000000"/>
          <w:sz w:val="26"/>
          <w:szCs w:val="26"/>
        </w:rPr>
        <w:t xml:space="preserve"> „7) ieguldījumi vienā ieguldījumu fondā nedrīkst pārsniegt 10 procentus no ieguldījumu plāna aktīviem un 30 procentus no šā ieguldījumu fonda neto aktīviem”;</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 xml:space="preserve">    </w:t>
      </w:r>
      <w:r w:rsidRPr="00C11F49">
        <w:rPr>
          <w:sz w:val="26"/>
          <w:szCs w:val="26"/>
        </w:rPr>
        <w:tab/>
        <w:t>papildināt otro daļu ar 7.</w:t>
      </w:r>
      <w:r w:rsidRPr="00C11F49">
        <w:rPr>
          <w:sz w:val="26"/>
          <w:szCs w:val="26"/>
          <w:vertAlign w:val="superscript"/>
        </w:rPr>
        <w:t>1</w:t>
      </w:r>
      <w:r>
        <w:rPr>
          <w:sz w:val="26"/>
          <w:szCs w:val="26"/>
          <w:vertAlign w:val="superscript"/>
        </w:rPr>
        <w:t xml:space="preserve"> </w:t>
      </w:r>
      <w:r w:rsidRPr="00C11F49">
        <w:rPr>
          <w:sz w:val="26"/>
          <w:szCs w:val="26"/>
        </w:rPr>
        <w:t>punktu šādā redakcijā:</w:t>
      </w:r>
    </w:p>
    <w:p w:rsidR="009F4447" w:rsidRPr="00C11F49" w:rsidRDefault="009F4447" w:rsidP="009F4447">
      <w:pPr>
        <w:ind w:firstLine="720"/>
        <w:jc w:val="both"/>
        <w:rPr>
          <w:color w:val="000000"/>
          <w:sz w:val="26"/>
          <w:szCs w:val="26"/>
        </w:rPr>
      </w:pPr>
      <w:r w:rsidRPr="00C11F49">
        <w:rPr>
          <w:sz w:val="26"/>
          <w:szCs w:val="26"/>
        </w:rPr>
        <w:t>„</w:t>
      </w:r>
      <w:r w:rsidRPr="00C11F49">
        <w:rPr>
          <w:color w:val="000000"/>
          <w:sz w:val="26"/>
          <w:szCs w:val="26"/>
        </w:rPr>
        <w:t>7.</w:t>
      </w:r>
      <w:r w:rsidRPr="00C11F49">
        <w:rPr>
          <w:color w:val="000000"/>
          <w:sz w:val="26"/>
          <w:szCs w:val="26"/>
          <w:vertAlign w:val="superscript"/>
        </w:rPr>
        <w:t>1</w:t>
      </w:r>
      <w:r w:rsidRPr="00C11F49">
        <w:rPr>
          <w:color w:val="000000"/>
          <w:sz w:val="26"/>
          <w:szCs w:val="26"/>
        </w:rPr>
        <w:t xml:space="preserve">) ieguldījumi vienā alternatīvo ieguldījumu fondā nedrīkst pārsniegt 10 procentus no ieguldījumu plāna aktīviem un 30 procentus no šā alternatīvo </w:t>
      </w:r>
      <w:r w:rsidRPr="00C11F49">
        <w:rPr>
          <w:color w:val="000000"/>
          <w:sz w:val="26"/>
          <w:szCs w:val="26"/>
        </w:rPr>
        <w:lastRenderedPageBreak/>
        <w:t>ieguldījumu fonda neto aktīviem, bet visu ieguldījumu kopsumma alternatīvo ieguldījumu fondos nedrīkst pārsniegt 10 procentus no ieguld</w:t>
      </w:r>
      <w:r>
        <w:rPr>
          <w:color w:val="000000"/>
          <w:sz w:val="26"/>
          <w:szCs w:val="26"/>
        </w:rPr>
        <w:t>ījumu plāna aktīviem”</w:t>
      </w:r>
      <w:r w:rsidRPr="00C11F49">
        <w:rPr>
          <w:color w:val="000000"/>
          <w:sz w:val="26"/>
          <w:szCs w:val="26"/>
        </w:rPr>
        <w:t>;</w:t>
      </w:r>
    </w:p>
    <w:p w:rsidR="009F4447" w:rsidRPr="00C11F49" w:rsidRDefault="009F4447" w:rsidP="009F4447">
      <w:pPr>
        <w:jc w:val="both"/>
        <w:rPr>
          <w:sz w:val="26"/>
          <w:szCs w:val="26"/>
        </w:rPr>
      </w:pPr>
    </w:p>
    <w:p w:rsidR="009F4447" w:rsidRPr="00C11F49" w:rsidRDefault="009F4447" w:rsidP="009F4447">
      <w:pPr>
        <w:jc w:val="both"/>
        <w:rPr>
          <w:color w:val="000000"/>
          <w:sz w:val="26"/>
          <w:szCs w:val="26"/>
        </w:rPr>
      </w:pPr>
      <w:r w:rsidRPr="00C11F49">
        <w:rPr>
          <w:color w:val="000000"/>
          <w:sz w:val="26"/>
          <w:szCs w:val="26"/>
        </w:rPr>
        <w:t xml:space="preserve">          izteikt otrās daļas 13.punkta pirmo teikumu šādā redakcijā:</w:t>
      </w:r>
    </w:p>
    <w:p w:rsidR="009F4447" w:rsidRPr="00C11F49" w:rsidRDefault="009F4447" w:rsidP="009F4447">
      <w:pPr>
        <w:jc w:val="both"/>
        <w:rPr>
          <w:sz w:val="26"/>
          <w:szCs w:val="26"/>
        </w:rPr>
      </w:pPr>
      <w:r w:rsidRPr="00C11F49">
        <w:rPr>
          <w:color w:val="000000"/>
          <w:sz w:val="26"/>
          <w:szCs w:val="26"/>
        </w:rPr>
        <w:t>„viena ieguldījuma kopsumma riska kapitāla tirgū nedrīkst pārsniegt 5 procentus no ieguldījumu plāna aktīviem, bet visu ieguldījumu kopsumma riska kapitāla tirgū nedrīkst pārsniegt 10 procentus no ieguldījumu plāna aktīviem.”;</w:t>
      </w:r>
    </w:p>
    <w:p w:rsidR="009F4447" w:rsidRPr="00C11F49" w:rsidRDefault="009F4447" w:rsidP="009F4447">
      <w:pPr>
        <w:jc w:val="both"/>
        <w:rPr>
          <w:sz w:val="26"/>
          <w:szCs w:val="26"/>
        </w:rPr>
      </w:pPr>
      <w:r w:rsidRPr="00C11F49">
        <w:rPr>
          <w:sz w:val="26"/>
          <w:szCs w:val="26"/>
        </w:rPr>
        <w:t xml:space="preserve">  </w:t>
      </w:r>
    </w:p>
    <w:p w:rsidR="009F4447" w:rsidRPr="00C11F49" w:rsidRDefault="009F4447" w:rsidP="009F4447">
      <w:pPr>
        <w:jc w:val="both"/>
        <w:rPr>
          <w:sz w:val="26"/>
          <w:szCs w:val="26"/>
        </w:rPr>
      </w:pPr>
      <w:r w:rsidRPr="00C11F49">
        <w:rPr>
          <w:sz w:val="26"/>
          <w:szCs w:val="26"/>
        </w:rPr>
        <w:t xml:space="preserve">    </w:t>
      </w:r>
      <w:r w:rsidRPr="00C11F49">
        <w:rPr>
          <w:sz w:val="26"/>
          <w:szCs w:val="26"/>
        </w:rPr>
        <w:tab/>
        <w:t xml:space="preserve">izteikt </w:t>
      </w:r>
      <w:r w:rsidRPr="00C11F49">
        <w:rPr>
          <w:color w:val="000000"/>
          <w:sz w:val="26"/>
          <w:szCs w:val="26"/>
        </w:rPr>
        <w:t xml:space="preserve">otrās daļas </w:t>
      </w:r>
      <w:r w:rsidRPr="00C11F49">
        <w:rPr>
          <w:sz w:val="26"/>
          <w:szCs w:val="26"/>
        </w:rPr>
        <w:t>14.punktu šādā redakcijā:</w:t>
      </w:r>
    </w:p>
    <w:p w:rsidR="009F4447" w:rsidRPr="00C11F49" w:rsidRDefault="009F4447" w:rsidP="009F4447">
      <w:pPr>
        <w:jc w:val="both"/>
        <w:rPr>
          <w:bCs/>
          <w:sz w:val="26"/>
          <w:szCs w:val="26"/>
        </w:rPr>
      </w:pPr>
      <w:r w:rsidRPr="00C11F49">
        <w:rPr>
          <w:sz w:val="26"/>
          <w:szCs w:val="26"/>
        </w:rPr>
        <w:t>„14) kopējie ieguldījumi alternatīvo ieguldījumu fondos un riska kapitāla tirgū nedrīkst pārsniegt</w:t>
      </w:r>
      <w:r w:rsidRPr="00C11F49">
        <w:rPr>
          <w:color w:val="000000"/>
          <w:sz w:val="26"/>
          <w:szCs w:val="26"/>
        </w:rPr>
        <w:t xml:space="preserve"> 20 procentus no ieguldījumu plāna aktīviem, ievērojot šā panta otrās daļas </w:t>
      </w:r>
      <w:r w:rsidRPr="00C11F49">
        <w:rPr>
          <w:sz w:val="26"/>
          <w:szCs w:val="26"/>
        </w:rPr>
        <w:t>7.</w:t>
      </w:r>
      <w:r w:rsidRPr="00C11F49">
        <w:rPr>
          <w:sz w:val="26"/>
          <w:szCs w:val="26"/>
          <w:vertAlign w:val="superscript"/>
        </w:rPr>
        <w:t>1</w:t>
      </w:r>
      <w:r>
        <w:rPr>
          <w:sz w:val="26"/>
          <w:szCs w:val="26"/>
          <w:vertAlign w:val="superscript"/>
        </w:rPr>
        <w:t xml:space="preserve"> </w:t>
      </w:r>
      <w:r w:rsidRPr="00C11F49">
        <w:rPr>
          <w:sz w:val="26"/>
          <w:szCs w:val="26"/>
        </w:rPr>
        <w:t xml:space="preserve">punktā noteiktos </w:t>
      </w:r>
      <w:r w:rsidRPr="00C11F49">
        <w:rPr>
          <w:color w:val="000000"/>
          <w:sz w:val="26"/>
          <w:szCs w:val="26"/>
        </w:rPr>
        <w:t xml:space="preserve">ierobežojumus </w:t>
      </w:r>
      <w:r w:rsidRPr="00C11F49">
        <w:rPr>
          <w:sz w:val="26"/>
          <w:szCs w:val="26"/>
        </w:rPr>
        <w:t xml:space="preserve">ieguldījumiem alternatīvo ieguldījumu fondos un </w:t>
      </w:r>
      <w:r w:rsidRPr="00C11F49">
        <w:rPr>
          <w:color w:val="000000"/>
          <w:sz w:val="26"/>
          <w:szCs w:val="26"/>
        </w:rPr>
        <w:t xml:space="preserve">šā panta otrās daļas </w:t>
      </w:r>
      <w:r w:rsidRPr="00C11F49">
        <w:rPr>
          <w:sz w:val="26"/>
          <w:szCs w:val="26"/>
        </w:rPr>
        <w:t xml:space="preserve">13.punktā noteiktos </w:t>
      </w:r>
      <w:r w:rsidRPr="00C11F49">
        <w:rPr>
          <w:color w:val="000000"/>
          <w:sz w:val="26"/>
          <w:szCs w:val="26"/>
        </w:rPr>
        <w:t xml:space="preserve">ierobežojumus </w:t>
      </w:r>
      <w:r w:rsidRPr="00C11F49">
        <w:rPr>
          <w:sz w:val="26"/>
          <w:szCs w:val="26"/>
        </w:rPr>
        <w:t>ieguldījumiem riska kapitāla tirgū</w:t>
      </w:r>
      <w:r w:rsidRPr="00C11F49">
        <w:rPr>
          <w:color w:val="000000"/>
          <w:sz w:val="26"/>
          <w:szCs w:val="26"/>
        </w:rPr>
        <w:t>”;</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 xml:space="preserve">    </w:t>
      </w:r>
      <w:r w:rsidRPr="00C11F49">
        <w:rPr>
          <w:sz w:val="26"/>
          <w:szCs w:val="26"/>
        </w:rPr>
        <w:tab/>
        <w:t>izslēgt piekto, sesto un septīto daļu.</w:t>
      </w:r>
    </w:p>
    <w:p w:rsidR="009F4447" w:rsidRPr="00C11F49" w:rsidRDefault="009F4447" w:rsidP="009F4447">
      <w:pPr>
        <w:jc w:val="both"/>
        <w:rPr>
          <w:sz w:val="26"/>
          <w:szCs w:val="26"/>
        </w:rPr>
      </w:pPr>
    </w:p>
    <w:p w:rsidR="009F4447" w:rsidRPr="00C11F49" w:rsidRDefault="009F4447" w:rsidP="009F4447">
      <w:pPr>
        <w:numPr>
          <w:ilvl w:val="0"/>
          <w:numId w:val="2"/>
        </w:numPr>
        <w:jc w:val="both"/>
        <w:rPr>
          <w:sz w:val="26"/>
          <w:szCs w:val="26"/>
        </w:rPr>
      </w:pPr>
      <w:r w:rsidRPr="00C11F49">
        <w:rPr>
          <w:sz w:val="26"/>
          <w:szCs w:val="26"/>
        </w:rPr>
        <w:t>Papildināt likumu ar 12.</w:t>
      </w:r>
      <w:r w:rsidRPr="00C11F49">
        <w:rPr>
          <w:sz w:val="26"/>
          <w:szCs w:val="26"/>
          <w:vertAlign w:val="superscript"/>
        </w:rPr>
        <w:t xml:space="preserve">1 </w:t>
      </w:r>
      <w:r w:rsidRPr="00C11F49">
        <w:rPr>
          <w:sz w:val="26"/>
          <w:szCs w:val="26"/>
        </w:rPr>
        <w:t>un 12.</w:t>
      </w:r>
      <w:r w:rsidRPr="00C11F49">
        <w:rPr>
          <w:sz w:val="26"/>
          <w:szCs w:val="26"/>
          <w:vertAlign w:val="superscript"/>
        </w:rPr>
        <w:t>2</w:t>
      </w:r>
      <w:r>
        <w:rPr>
          <w:sz w:val="26"/>
          <w:szCs w:val="26"/>
          <w:vertAlign w:val="superscript"/>
        </w:rPr>
        <w:t xml:space="preserve"> </w:t>
      </w:r>
      <w:r w:rsidRPr="00C11F49">
        <w:rPr>
          <w:sz w:val="26"/>
          <w:szCs w:val="26"/>
        </w:rPr>
        <w:t>pantu šādā redakcijā:</w:t>
      </w:r>
    </w:p>
    <w:p w:rsidR="009F4447" w:rsidRPr="00C11F49" w:rsidRDefault="009F4447" w:rsidP="009F4447">
      <w:pPr>
        <w:ind w:firstLine="300"/>
        <w:jc w:val="both"/>
        <w:rPr>
          <w:b/>
          <w:sz w:val="26"/>
          <w:szCs w:val="26"/>
        </w:rPr>
      </w:pPr>
      <w:r w:rsidRPr="00C11F49">
        <w:rPr>
          <w:sz w:val="26"/>
          <w:szCs w:val="26"/>
        </w:rPr>
        <w:t>„</w:t>
      </w:r>
      <w:r w:rsidRPr="00C11F49">
        <w:rPr>
          <w:b/>
          <w:sz w:val="26"/>
          <w:szCs w:val="26"/>
        </w:rPr>
        <w:t>12.</w:t>
      </w:r>
      <w:r w:rsidRPr="00C11F49">
        <w:rPr>
          <w:b/>
          <w:sz w:val="26"/>
          <w:szCs w:val="26"/>
          <w:vertAlign w:val="superscript"/>
        </w:rPr>
        <w:t xml:space="preserve">1 </w:t>
      </w:r>
      <w:r w:rsidRPr="00C11F49">
        <w:rPr>
          <w:b/>
          <w:sz w:val="26"/>
          <w:szCs w:val="26"/>
        </w:rPr>
        <w:t xml:space="preserve">pants. Fondēto pensiju shēmas līdzekļu ieguldījumu noteikumu pārkāpšana </w:t>
      </w:r>
    </w:p>
    <w:p w:rsidR="009F4447" w:rsidRPr="00C11F49" w:rsidRDefault="009F4447" w:rsidP="009F4447">
      <w:pPr>
        <w:ind w:firstLine="301"/>
        <w:jc w:val="both"/>
        <w:rPr>
          <w:sz w:val="26"/>
          <w:szCs w:val="26"/>
        </w:rPr>
      </w:pPr>
      <w:r w:rsidRPr="00C11F49">
        <w:rPr>
          <w:sz w:val="26"/>
          <w:szCs w:val="26"/>
        </w:rPr>
        <w:t>(1) Ieguldījumu plāna prospektā noteikto ieguldījumu noteikumu pārkāpšana neatceļ attiecīgā darījuma spēkā esamību, bet fondēto pensiju shēmas līdzekļu pārvaldītājam ir pienākums atlīdzināt visus zaudējumus, kas radušies ieguldījumu plāna dalībniekiem šādas darbības dēļ. Līdzekļu pārvaldītājam ir pienākums izstrādāt procedūru, kas nosaka zaudējumu novērtēšanas un atlīdzināšanas kārtību.</w:t>
      </w:r>
    </w:p>
    <w:p w:rsidR="009F4447" w:rsidRPr="00C11F49" w:rsidRDefault="009F4447" w:rsidP="009F4447">
      <w:pPr>
        <w:ind w:firstLine="301"/>
        <w:jc w:val="both"/>
        <w:rPr>
          <w:sz w:val="26"/>
          <w:szCs w:val="26"/>
        </w:rPr>
      </w:pPr>
    </w:p>
    <w:p w:rsidR="009F4447" w:rsidRPr="00C11F49" w:rsidRDefault="009F4447" w:rsidP="009F4447">
      <w:pPr>
        <w:ind w:firstLine="301"/>
        <w:jc w:val="both"/>
        <w:rPr>
          <w:sz w:val="26"/>
          <w:szCs w:val="26"/>
        </w:rPr>
      </w:pPr>
      <w:r w:rsidRPr="00C11F49">
        <w:rPr>
          <w:sz w:val="26"/>
          <w:szCs w:val="26"/>
        </w:rPr>
        <w:t xml:space="preserve"> (2) Fondēto pensiju shēmas līdzekļu pārvaldītājs nekavējoties, bet ne vēlāk kā nākamajā dienā rakstveidā informē Komisiju par ieguldījumu noteikumu pārkāpšanu, kā arī par pasākumiem šo pārkāpumu novēršanai, norādot pārkāpumu novēršanas termiņus. </w:t>
      </w:r>
    </w:p>
    <w:p w:rsidR="009F4447" w:rsidRPr="00C11F49" w:rsidRDefault="009F4447" w:rsidP="009F4447">
      <w:pPr>
        <w:autoSpaceDE w:val="0"/>
        <w:autoSpaceDN w:val="0"/>
        <w:adjustRightInd w:val="0"/>
        <w:spacing w:before="240"/>
        <w:ind w:firstLine="360"/>
        <w:jc w:val="both"/>
        <w:rPr>
          <w:color w:val="000000"/>
          <w:sz w:val="26"/>
          <w:szCs w:val="26"/>
        </w:rPr>
      </w:pPr>
      <w:r w:rsidRPr="00C11F49">
        <w:rPr>
          <w:sz w:val="26"/>
          <w:szCs w:val="26"/>
        </w:rPr>
        <w:t>(3) Ja fondēto pensiju shēmas līdzekļu pārvaldītājam</w:t>
      </w:r>
      <w:r w:rsidRPr="00C11F49">
        <w:rPr>
          <w:color w:val="000000"/>
          <w:sz w:val="26"/>
          <w:szCs w:val="26"/>
        </w:rPr>
        <w:t xml:space="preserve"> </w:t>
      </w:r>
      <w:r w:rsidRPr="00C11F49">
        <w:rPr>
          <w:sz w:val="26"/>
          <w:szCs w:val="26"/>
        </w:rPr>
        <w:t>ieguldījumu noteikumu pārkāpšanas</w:t>
      </w:r>
      <w:r w:rsidRPr="00C11F49">
        <w:rPr>
          <w:color w:val="000000"/>
          <w:sz w:val="26"/>
          <w:szCs w:val="26"/>
        </w:rPr>
        <w:t xml:space="preserve"> novēršanai</w:t>
      </w:r>
      <w:r w:rsidRPr="00C11F49">
        <w:rPr>
          <w:sz w:val="26"/>
          <w:szCs w:val="26"/>
        </w:rPr>
        <w:t xml:space="preserve"> </w:t>
      </w:r>
      <w:r w:rsidRPr="00C11F49">
        <w:rPr>
          <w:color w:val="000000"/>
          <w:sz w:val="26"/>
          <w:szCs w:val="26"/>
        </w:rPr>
        <w:t xml:space="preserve">ir jārealizē ieguldījumu plāna ieguldījumi, bet šāda aktīvu realizācija finanšu tirgos nav iespējama, līdzekļu pārvaldītājam ir pienākums atpirkt minētos ieguldījumus par to patieso vērtību. </w:t>
      </w:r>
    </w:p>
    <w:p w:rsidR="009F4447" w:rsidRPr="00C11F49" w:rsidRDefault="009F4447" w:rsidP="009F4447">
      <w:pPr>
        <w:pStyle w:val="tv2131"/>
        <w:spacing w:line="240" w:lineRule="auto"/>
        <w:rPr>
          <w:rFonts w:ascii="Times New Roman" w:hAnsi="Times New Roman"/>
          <w:sz w:val="26"/>
          <w:szCs w:val="26"/>
        </w:rPr>
      </w:pPr>
      <w:r w:rsidRPr="00C11F49">
        <w:rPr>
          <w:rFonts w:ascii="Times New Roman" w:hAnsi="Times New Roman"/>
          <w:sz w:val="26"/>
          <w:szCs w:val="26"/>
        </w:rPr>
        <w:t xml:space="preserve">(4) Pēc ieguldījumu noteikumu pārkāpšanas novēršanas fondēto pensiju shēmas līdzekļu pārvaldītājam ir pienākums nekavējoties novērtēt, vai šādas darbības ir radījušas zaudējumus ieguldījumu plānu dalībniekiem. </w:t>
      </w:r>
    </w:p>
    <w:p w:rsidR="009F4447" w:rsidRPr="00C11F49" w:rsidRDefault="009F4447" w:rsidP="009F4447">
      <w:pPr>
        <w:pStyle w:val="tv2131"/>
        <w:spacing w:line="240" w:lineRule="auto"/>
        <w:rPr>
          <w:rFonts w:ascii="Times New Roman" w:hAnsi="Times New Roman"/>
          <w:sz w:val="26"/>
          <w:szCs w:val="26"/>
        </w:rPr>
      </w:pPr>
      <w:r w:rsidRPr="00C11F49">
        <w:rPr>
          <w:rFonts w:ascii="Times New Roman" w:hAnsi="Times New Roman"/>
          <w:sz w:val="26"/>
          <w:szCs w:val="26"/>
        </w:rPr>
        <w:t xml:space="preserve">(5) Ja fondēto pensiju shēmas līdzekļu pārvaldītājs konstatē, ka ieguldījumu noteikumu pārkāpšanas rezultātā ieguldījumu plānu dalībniekiem ir radušies zaudējumi, tad fondēto pensiju shēmas līdzekļu pārvaldītājam ir pienākums ne vēlāk kā nākamajā dienā pēc zaudējumu novērtēšanas atlīdzināt tos noteiktajā apmērā, iemaksājot naudas līdzekļus attiecīga ieguldījumu plāna kontā. </w:t>
      </w:r>
    </w:p>
    <w:p w:rsidR="009F4447" w:rsidRPr="00C11F49" w:rsidRDefault="009F4447" w:rsidP="009F4447">
      <w:pPr>
        <w:pStyle w:val="tv2131"/>
        <w:spacing w:line="240" w:lineRule="auto"/>
        <w:rPr>
          <w:rFonts w:ascii="Times New Roman" w:hAnsi="Times New Roman"/>
          <w:sz w:val="26"/>
          <w:szCs w:val="26"/>
        </w:rPr>
      </w:pPr>
      <w:r w:rsidRPr="00C11F49">
        <w:rPr>
          <w:rFonts w:ascii="Times New Roman" w:hAnsi="Times New Roman"/>
          <w:sz w:val="26"/>
          <w:szCs w:val="26"/>
        </w:rPr>
        <w:t xml:space="preserve">(6) Līdzekļu turētājam ir pienākums uzraudzīt kā fondēto pensiju shēmas līdzekļu pārvaldītājs ievēro ieguldījumu plāna prospektā noteiktos ieguldījumu </w:t>
      </w:r>
      <w:r w:rsidRPr="00C11F49">
        <w:rPr>
          <w:rFonts w:ascii="Times New Roman" w:hAnsi="Times New Roman"/>
          <w:sz w:val="26"/>
          <w:szCs w:val="26"/>
        </w:rPr>
        <w:lastRenderedPageBreak/>
        <w:t xml:space="preserve">noteikumus, un konstatējot šo noteikumu pārkāpumu, nekavējoties rakstveidā par to informēt fondēto pensiju shēmas līdzekļu pārvaldītāju un Komisiju. </w:t>
      </w:r>
    </w:p>
    <w:p w:rsidR="009F4447" w:rsidRPr="00C11F49" w:rsidRDefault="009F4447" w:rsidP="009F4447">
      <w:pPr>
        <w:pStyle w:val="tv2131"/>
        <w:spacing w:line="240" w:lineRule="auto"/>
        <w:rPr>
          <w:rFonts w:ascii="Times New Roman" w:hAnsi="Times New Roman"/>
          <w:sz w:val="26"/>
          <w:szCs w:val="26"/>
        </w:rPr>
      </w:pPr>
      <w:r w:rsidRPr="00C11F49">
        <w:rPr>
          <w:rFonts w:ascii="Times New Roman" w:hAnsi="Times New Roman"/>
          <w:sz w:val="26"/>
          <w:szCs w:val="26"/>
        </w:rPr>
        <w:t xml:space="preserve">(7) Līdzekļu turētājam ir pienākums uzraudzīt zaudējumu novērtēšanas un atlīdzināšanas procesu, kā arī iesniegt Komisijai apliecinājumu, ka fondēto pensiju shēmas līdzekļu pārvaldītāja veiktais zaudējumu novērtējums atbilst patiesajam zaudējumu apmēram, un informāciju par zaudējumu atlīdzināšanai paredzēto līdzekļu ieskaitīšanu attiecīga ieguldījumu plāna kontā. </w:t>
      </w:r>
    </w:p>
    <w:p w:rsidR="009F4447" w:rsidRPr="00C11F49" w:rsidRDefault="009F4447" w:rsidP="009F4447">
      <w:pPr>
        <w:ind w:firstLine="301"/>
        <w:jc w:val="both"/>
        <w:rPr>
          <w:sz w:val="26"/>
          <w:szCs w:val="26"/>
        </w:rPr>
      </w:pPr>
    </w:p>
    <w:p w:rsidR="009F4447" w:rsidRPr="00C11F49" w:rsidRDefault="009F4447" w:rsidP="009F4447">
      <w:pPr>
        <w:ind w:firstLine="301"/>
        <w:jc w:val="both"/>
        <w:rPr>
          <w:sz w:val="26"/>
          <w:szCs w:val="26"/>
        </w:rPr>
      </w:pPr>
      <w:r w:rsidRPr="00C11F49">
        <w:rPr>
          <w:sz w:val="26"/>
          <w:szCs w:val="26"/>
        </w:rPr>
        <w:t>(8) Ieguldījumu plānā noteiktos ieguldījumu ierobežojumus ir pieļaujams pārsniegt, ja tie radušies ārkārtēju un nelabvēlīgu notikumu dēļ finanšu tirgos.  Fondēto pensiju shēmas līdzekļu pārvaldītājs nekavējoties informē Komisiju par ieguldījumu ierobežojumu pārsniegšanu atbilstoši šā panta otrajā daļā noteiktajai kārtībai.</w:t>
      </w:r>
    </w:p>
    <w:p w:rsidR="009F4447" w:rsidRPr="00C11F49" w:rsidRDefault="009F4447" w:rsidP="009F4447">
      <w:pPr>
        <w:spacing w:before="240"/>
        <w:ind w:firstLine="301"/>
        <w:jc w:val="both"/>
        <w:rPr>
          <w:b/>
          <w:sz w:val="26"/>
          <w:szCs w:val="26"/>
        </w:rPr>
      </w:pPr>
      <w:r w:rsidRPr="00C11F49" w:rsidDel="000B4E2B">
        <w:rPr>
          <w:b/>
          <w:sz w:val="26"/>
          <w:szCs w:val="26"/>
        </w:rPr>
        <w:t xml:space="preserve"> </w:t>
      </w:r>
      <w:r w:rsidRPr="00C11F49">
        <w:rPr>
          <w:b/>
          <w:sz w:val="26"/>
          <w:szCs w:val="26"/>
        </w:rPr>
        <w:t>12.</w:t>
      </w:r>
      <w:r w:rsidRPr="00C11F49">
        <w:rPr>
          <w:b/>
          <w:sz w:val="26"/>
          <w:szCs w:val="26"/>
          <w:vertAlign w:val="superscript"/>
        </w:rPr>
        <w:t>2</w:t>
      </w:r>
      <w:r>
        <w:rPr>
          <w:b/>
          <w:sz w:val="26"/>
          <w:szCs w:val="26"/>
          <w:vertAlign w:val="superscript"/>
        </w:rPr>
        <w:t xml:space="preserve"> </w:t>
      </w:r>
      <w:r w:rsidRPr="00C11F49">
        <w:rPr>
          <w:b/>
          <w:sz w:val="26"/>
          <w:szCs w:val="26"/>
        </w:rPr>
        <w:t>pants. Naudas plūsma</w:t>
      </w:r>
    </w:p>
    <w:p w:rsidR="009F4447" w:rsidRPr="00C11F49" w:rsidRDefault="009F4447" w:rsidP="009F4447">
      <w:pPr>
        <w:autoSpaceDE w:val="0"/>
        <w:autoSpaceDN w:val="0"/>
        <w:adjustRightInd w:val="0"/>
        <w:spacing w:before="240"/>
        <w:ind w:firstLine="360"/>
        <w:jc w:val="both"/>
        <w:rPr>
          <w:color w:val="000000"/>
          <w:sz w:val="26"/>
          <w:szCs w:val="26"/>
        </w:rPr>
      </w:pPr>
      <w:r w:rsidRPr="00C11F49">
        <w:rPr>
          <w:color w:val="000000"/>
          <w:sz w:val="26"/>
          <w:szCs w:val="26"/>
        </w:rPr>
        <w:t xml:space="preserve">(1) Fondēto pensiju shēmas līdzekļu pārvaldītājam ir pienākums nodrošināt naudas plūsmu atbilstoši tā noslēgtajiem līgumiem. </w:t>
      </w:r>
    </w:p>
    <w:p w:rsidR="009F4447" w:rsidRPr="00C11F49" w:rsidRDefault="009F4447" w:rsidP="009F4447">
      <w:pPr>
        <w:autoSpaceDE w:val="0"/>
        <w:autoSpaceDN w:val="0"/>
        <w:adjustRightInd w:val="0"/>
        <w:spacing w:before="240"/>
        <w:ind w:firstLine="360"/>
        <w:jc w:val="both"/>
        <w:rPr>
          <w:color w:val="000000"/>
          <w:sz w:val="26"/>
          <w:szCs w:val="26"/>
        </w:rPr>
      </w:pPr>
      <w:r w:rsidRPr="00C11F49">
        <w:rPr>
          <w:color w:val="000000"/>
          <w:sz w:val="26"/>
          <w:szCs w:val="26"/>
        </w:rPr>
        <w:t xml:space="preserve">(2) Ja fondēto pensiju shēmas līdzekļu pārvaldītājam naudas plūsmas nodrošināšanai ir jārealizē ieguldījumu plāna ieguldījumi, bet šāda aktīvu realizācija finanšu tirgos nav iespējama, līdzekļu pārvaldītājam ir pienākums atpirkt minētos ieguldījumus par to patieso vērtību. Ja šāda ieguldījumu plāna ieguldījumu atpirkšana ir radījusi zaudējumus ieguldījumu plāna dalībniekiem, tad </w:t>
      </w:r>
      <w:r w:rsidRPr="00C11F49">
        <w:rPr>
          <w:sz w:val="26"/>
          <w:szCs w:val="26"/>
        </w:rPr>
        <w:t>fondēto pensiju shēmas līdzekļu pārvaldītājs un līdzekļu turētājs rīkojas atbilstoši šā likuma 12.</w:t>
      </w:r>
      <w:r w:rsidRPr="00C11F49">
        <w:rPr>
          <w:sz w:val="26"/>
          <w:szCs w:val="26"/>
          <w:vertAlign w:val="superscript"/>
        </w:rPr>
        <w:t>1</w:t>
      </w:r>
      <w:r w:rsidRPr="00C11F49">
        <w:rPr>
          <w:sz w:val="26"/>
          <w:szCs w:val="26"/>
        </w:rPr>
        <w:t>pantā noteiktajai kārtībai.”</w:t>
      </w:r>
    </w:p>
    <w:p w:rsidR="009F4447" w:rsidRPr="00C11F49" w:rsidRDefault="009F4447" w:rsidP="009F4447">
      <w:pPr>
        <w:autoSpaceDE w:val="0"/>
        <w:autoSpaceDN w:val="0"/>
        <w:adjustRightInd w:val="0"/>
        <w:jc w:val="both"/>
        <w:rPr>
          <w:color w:val="000000"/>
          <w:sz w:val="26"/>
          <w:szCs w:val="26"/>
        </w:rPr>
      </w:pPr>
    </w:p>
    <w:p w:rsidR="009F4447" w:rsidRPr="00C11F49" w:rsidRDefault="009F4447" w:rsidP="009F4447">
      <w:pPr>
        <w:ind w:firstLine="720"/>
        <w:jc w:val="both"/>
        <w:rPr>
          <w:sz w:val="26"/>
          <w:szCs w:val="26"/>
        </w:rPr>
      </w:pPr>
      <w:r w:rsidRPr="00C11F49">
        <w:rPr>
          <w:sz w:val="26"/>
          <w:szCs w:val="26"/>
        </w:rPr>
        <w:t xml:space="preserve">6. Papildināt Pārejas noteikumus ar 16., 17., 18., 19. un 20.punktu šādā redakcijā: </w:t>
      </w:r>
    </w:p>
    <w:p w:rsidR="009F4447" w:rsidRPr="00C11F49" w:rsidRDefault="009F4447" w:rsidP="009F4447">
      <w:pPr>
        <w:shd w:val="clear" w:color="auto" w:fill="FFFFFF"/>
        <w:spacing w:line="245" w:lineRule="atLeast"/>
        <w:jc w:val="both"/>
        <w:rPr>
          <w:color w:val="000000"/>
          <w:sz w:val="26"/>
          <w:szCs w:val="26"/>
        </w:rPr>
      </w:pPr>
      <w:r w:rsidRPr="00C11F49">
        <w:rPr>
          <w:sz w:val="26"/>
          <w:szCs w:val="26"/>
        </w:rPr>
        <w:t xml:space="preserve">„16. </w:t>
      </w:r>
      <w:r w:rsidRPr="00C11F49">
        <w:rPr>
          <w:color w:val="000000"/>
          <w:sz w:val="26"/>
          <w:szCs w:val="26"/>
        </w:rPr>
        <w:t>Uz ieguldījumiem, kas veikti līdz Alternatīvo ieguldījumu fondu pārvaldnieku likuma spēkā stāšanās, bet, kuri atbilstoši Alternatīvo ieguldījumu fondu pārvaldnieku likuma izpratnei, ir uzskatāmi par alternatīvo ieguldījumu fondu, ir attiecināmi šajā likumā alternatīvo ieguldījumu fondiem noteiktie ierobežojumi.</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 xml:space="preserve">17. </w:t>
      </w:r>
      <w:r w:rsidRPr="00C11F49">
        <w:rPr>
          <w:color w:val="414142"/>
          <w:sz w:val="26"/>
          <w:szCs w:val="26"/>
        </w:rPr>
        <w:t xml:space="preserve">Šā likuma 11.panta </w:t>
      </w:r>
      <w:r w:rsidRPr="00C11F49">
        <w:rPr>
          <w:sz w:val="26"/>
          <w:szCs w:val="26"/>
        </w:rPr>
        <w:t>1.</w:t>
      </w:r>
      <w:r w:rsidRPr="00C11F49">
        <w:rPr>
          <w:sz w:val="26"/>
          <w:szCs w:val="26"/>
          <w:vertAlign w:val="superscript"/>
        </w:rPr>
        <w:t>1</w:t>
      </w:r>
      <w:r>
        <w:rPr>
          <w:sz w:val="26"/>
          <w:szCs w:val="26"/>
          <w:vertAlign w:val="superscript"/>
        </w:rPr>
        <w:t xml:space="preserve"> </w:t>
      </w:r>
      <w:r w:rsidRPr="00C11F49">
        <w:rPr>
          <w:sz w:val="26"/>
          <w:szCs w:val="26"/>
        </w:rPr>
        <w:t>daļā norādīto minimālo pamatkapitālu fondēto pensiju shēmas līdzekļu pavaldītājs nodrošina:</w:t>
      </w:r>
    </w:p>
    <w:p w:rsidR="009F4447" w:rsidRPr="00C11F49" w:rsidRDefault="009F4447" w:rsidP="009F4447">
      <w:pPr>
        <w:jc w:val="both"/>
        <w:rPr>
          <w:sz w:val="26"/>
          <w:szCs w:val="26"/>
        </w:rPr>
      </w:pPr>
      <w:r w:rsidRPr="00C11F49">
        <w:rPr>
          <w:sz w:val="26"/>
          <w:szCs w:val="26"/>
        </w:rPr>
        <w:t>1) no 2015.gada 1.janvāra – 50% apmērā;</w:t>
      </w:r>
    </w:p>
    <w:p w:rsidR="009F4447" w:rsidRPr="00C11F49" w:rsidRDefault="009F4447" w:rsidP="009F4447">
      <w:pPr>
        <w:jc w:val="both"/>
        <w:rPr>
          <w:sz w:val="26"/>
          <w:szCs w:val="26"/>
        </w:rPr>
      </w:pPr>
      <w:r w:rsidRPr="00C11F49">
        <w:rPr>
          <w:sz w:val="26"/>
          <w:szCs w:val="26"/>
        </w:rPr>
        <w:t>2) no 2016.gada 1.janvāra – 100% apmērā.</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18. Šā likuma 11.panta ceturtajā daļā un 4.</w:t>
      </w:r>
      <w:r w:rsidRPr="00C11F49">
        <w:rPr>
          <w:sz w:val="26"/>
          <w:szCs w:val="26"/>
          <w:vertAlign w:val="superscript"/>
        </w:rPr>
        <w:t>2</w:t>
      </w:r>
      <w:r>
        <w:rPr>
          <w:sz w:val="26"/>
          <w:szCs w:val="26"/>
          <w:vertAlign w:val="superscript"/>
        </w:rPr>
        <w:t xml:space="preserve"> </w:t>
      </w:r>
      <w:r w:rsidRPr="00C11F49">
        <w:rPr>
          <w:sz w:val="26"/>
          <w:szCs w:val="26"/>
        </w:rPr>
        <w:t xml:space="preserve">daļā noteiktā prasība par fondēto pensiju shēmas līdzekļu pārvaldītāju pienākumu sagatavot </w:t>
      </w:r>
      <w:r w:rsidRPr="00C11F49">
        <w:rPr>
          <w:sz w:val="26"/>
          <w:szCs w:val="26"/>
          <w:lang w:eastAsia="en-US"/>
        </w:rPr>
        <w:t>fondēto pensiju shēmas</w:t>
      </w:r>
      <w:r w:rsidRPr="00C11F49">
        <w:rPr>
          <w:sz w:val="26"/>
          <w:szCs w:val="26"/>
        </w:rPr>
        <w:t xml:space="preserve"> dalībniekiem paredzēto pamatinformācijas dokumentu, šā likuma 11.panta 5.</w:t>
      </w:r>
      <w:r w:rsidRPr="00C11F49">
        <w:rPr>
          <w:sz w:val="26"/>
          <w:szCs w:val="26"/>
          <w:vertAlign w:val="superscript"/>
        </w:rPr>
        <w:t>1</w:t>
      </w:r>
      <w:r>
        <w:rPr>
          <w:sz w:val="26"/>
          <w:szCs w:val="26"/>
        </w:rPr>
        <w:t xml:space="preserve"> un</w:t>
      </w:r>
      <w:r w:rsidRPr="00C11F49">
        <w:rPr>
          <w:sz w:val="26"/>
          <w:szCs w:val="26"/>
        </w:rPr>
        <w:t xml:space="preserve"> 5.</w:t>
      </w:r>
      <w:r w:rsidRPr="00C11F49">
        <w:rPr>
          <w:sz w:val="26"/>
          <w:szCs w:val="26"/>
          <w:vertAlign w:val="superscript"/>
        </w:rPr>
        <w:t xml:space="preserve">2 </w:t>
      </w:r>
      <w:r w:rsidRPr="00C11F49">
        <w:rPr>
          <w:sz w:val="26"/>
          <w:szCs w:val="26"/>
        </w:rPr>
        <w:t>daļa attiecībā uz fondēto pensiju shēmas līdzekļu pārvaldītāja maksājumiem par ieguldījumu plāna pārvaldi un grozījumi likuma 11.</w:t>
      </w:r>
      <w:r w:rsidRPr="00C11F49">
        <w:rPr>
          <w:sz w:val="26"/>
          <w:szCs w:val="26"/>
          <w:vertAlign w:val="superscript"/>
        </w:rPr>
        <w:t>3</w:t>
      </w:r>
      <w:r w:rsidRPr="00C11F49">
        <w:rPr>
          <w:sz w:val="26"/>
          <w:szCs w:val="26"/>
        </w:rPr>
        <w:t xml:space="preserve"> pantā attiecībā uz pamatkapitāla prasību ieviešanu fondēto pensiju shēmas līdzekļu pārvaldītāju reģistrēšanas procesā stājas spēkā ar 2015.gada 1.janvāri.</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lastRenderedPageBreak/>
        <w:t>19. Fondēto pensiju shēmas līdzekļu pārvaldītāji nodrošina, ka ar 2015.gada 1.janvāri ieguldījumu plānu noteikumi atbilst šā likuma 11.panta 5.</w:t>
      </w:r>
      <w:r w:rsidRPr="00C11F49">
        <w:rPr>
          <w:sz w:val="26"/>
          <w:szCs w:val="26"/>
          <w:vertAlign w:val="superscript"/>
        </w:rPr>
        <w:t>1</w:t>
      </w:r>
      <w:r w:rsidRPr="00C11F49">
        <w:rPr>
          <w:sz w:val="26"/>
          <w:szCs w:val="26"/>
        </w:rPr>
        <w:t xml:space="preserve"> daļā noteiktajām prasībām, kas nosaka maksimālos maksājumus par ieguldījumu plāna pārvaldi.”</w:t>
      </w: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 xml:space="preserve">Likums stājas spēkā 2014.gada 1.janvārī. </w:t>
      </w:r>
    </w:p>
    <w:p w:rsidR="009F4447" w:rsidRPr="00C11F49" w:rsidRDefault="009F4447" w:rsidP="009F4447">
      <w:pPr>
        <w:jc w:val="both"/>
        <w:rPr>
          <w:sz w:val="26"/>
          <w:szCs w:val="26"/>
        </w:rPr>
      </w:pPr>
    </w:p>
    <w:p w:rsidR="009F4447" w:rsidRPr="00C11F49" w:rsidRDefault="009F4447" w:rsidP="009F4447">
      <w:pPr>
        <w:jc w:val="both"/>
        <w:rPr>
          <w:sz w:val="26"/>
          <w:szCs w:val="26"/>
        </w:rPr>
      </w:pPr>
    </w:p>
    <w:p w:rsidR="009F4447" w:rsidRPr="00C11F49" w:rsidRDefault="009F4447" w:rsidP="009F4447">
      <w:pPr>
        <w:jc w:val="both"/>
        <w:rPr>
          <w:sz w:val="26"/>
          <w:szCs w:val="26"/>
        </w:rPr>
      </w:pPr>
      <w:r w:rsidRPr="00C11F49">
        <w:rPr>
          <w:sz w:val="26"/>
          <w:szCs w:val="26"/>
        </w:rPr>
        <w:tab/>
      </w:r>
    </w:p>
    <w:p w:rsidR="009F4447" w:rsidRPr="00C11F49" w:rsidRDefault="009F4447" w:rsidP="009F4447">
      <w:pPr>
        <w:jc w:val="both"/>
        <w:rPr>
          <w:sz w:val="26"/>
          <w:szCs w:val="26"/>
        </w:rPr>
      </w:pPr>
      <w:r>
        <w:rPr>
          <w:sz w:val="26"/>
          <w:szCs w:val="26"/>
        </w:rPr>
        <w:t xml:space="preserve">         </w:t>
      </w:r>
      <w:r w:rsidRPr="00C11F49">
        <w:rPr>
          <w:sz w:val="26"/>
          <w:szCs w:val="26"/>
        </w:rPr>
        <w:t>Labklājības ministre</w:t>
      </w:r>
      <w:r w:rsidRPr="00C11F49">
        <w:rPr>
          <w:sz w:val="26"/>
          <w:szCs w:val="26"/>
        </w:rPr>
        <w:tab/>
      </w:r>
      <w:r w:rsidRPr="00C11F49">
        <w:rPr>
          <w:sz w:val="26"/>
          <w:szCs w:val="26"/>
        </w:rPr>
        <w:tab/>
      </w:r>
      <w:r w:rsidRPr="00C11F49">
        <w:rPr>
          <w:sz w:val="26"/>
          <w:szCs w:val="26"/>
        </w:rPr>
        <w:tab/>
      </w:r>
      <w:r w:rsidRPr="00C11F49">
        <w:rPr>
          <w:sz w:val="26"/>
          <w:szCs w:val="26"/>
        </w:rPr>
        <w:tab/>
      </w:r>
      <w:proofErr w:type="gramStart"/>
      <w:r>
        <w:rPr>
          <w:sz w:val="26"/>
          <w:szCs w:val="26"/>
        </w:rPr>
        <w:t xml:space="preserve">       </w:t>
      </w:r>
      <w:proofErr w:type="gramEnd"/>
      <w:r w:rsidRPr="00C11F49">
        <w:rPr>
          <w:sz w:val="26"/>
          <w:szCs w:val="26"/>
        </w:rPr>
        <w:tab/>
        <w:t xml:space="preserve">   </w:t>
      </w:r>
      <w:r>
        <w:rPr>
          <w:sz w:val="26"/>
          <w:szCs w:val="26"/>
        </w:rPr>
        <w:t xml:space="preserve">           </w:t>
      </w:r>
      <w:r w:rsidRPr="00C11F49">
        <w:rPr>
          <w:sz w:val="26"/>
          <w:szCs w:val="26"/>
        </w:rPr>
        <w:t xml:space="preserve"> </w:t>
      </w:r>
      <w:proofErr w:type="spellStart"/>
      <w:r w:rsidRPr="00C11F49">
        <w:rPr>
          <w:sz w:val="26"/>
          <w:szCs w:val="26"/>
        </w:rPr>
        <w:t>I.Viņķele</w:t>
      </w:r>
      <w:proofErr w:type="spellEnd"/>
    </w:p>
    <w:p w:rsidR="009F4447" w:rsidRPr="00C11F49" w:rsidRDefault="009F4447" w:rsidP="009F4447">
      <w:pPr>
        <w:jc w:val="both"/>
        <w:rPr>
          <w:sz w:val="26"/>
          <w:szCs w:val="26"/>
        </w:rPr>
      </w:pPr>
    </w:p>
    <w:p w:rsidR="009F4447" w:rsidRDefault="009F4447" w:rsidP="009F4447"/>
    <w:p w:rsidR="009F4447" w:rsidRDefault="009F4447" w:rsidP="009F4447"/>
    <w:p w:rsidR="009F4447" w:rsidRDefault="009F4447" w:rsidP="009F4447"/>
    <w:p w:rsidR="009F4447" w:rsidRDefault="009F4447" w:rsidP="009F4447"/>
    <w:p w:rsidR="009F4447" w:rsidRDefault="009F4447" w:rsidP="009F4447"/>
    <w:p w:rsidR="00544FA5" w:rsidRDefault="00544FA5" w:rsidP="009F4447">
      <w:pPr>
        <w:pStyle w:val="Footer"/>
        <w:rPr>
          <w:sz w:val="20"/>
          <w:szCs w:val="20"/>
        </w:rPr>
      </w:pPr>
      <w:r>
        <w:rPr>
          <w:sz w:val="20"/>
          <w:szCs w:val="20"/>
        </w:rPr>
        <w:t>19.09.2013 10:00</w:t>
      </w:r>
    </w:p>
    <w:p w:rsidR="009F4447" w:rsidRPr="00E870C6" w:rsidRDefault="009F4447" w:rsidP="009F4447">
      <w:pPr>
        <w:pStyle w:val="Footer"/>
        <w:rPr>
          <w:sz w:val="20"/>
          <w:szCs w:val="20"/>
        </w:rPr>
      </w:pPr>
      <w:r>
        <w:rPr>
          <w:sz w:val="20"/>
          <w:szCs w:val="20"/>
        </w:rPr>
        <w:t>1646</w:t>
      </w:r>
    </w:p>
    <w:p w:rsidR="009F4447" w:rsidRPr="00E870C6" w:rsidRDefault="009F4447" w:rsidP="009F4447">
      <w:pPr>
        <w:pStyle w:val="Footer"/>
        <w:rPr>
          <w:sz w:val="20"/>
          <w:szCs w:val="20"/>
        </w:rPr>
      </w:pPr>
      <w:r w:rsidRPr="00E870C6">
        <w:rPr>
          <w:sz w:val="20"/>
          <w:szCs w:val="20"/>
        </w:rPr>
        <w:t>J.Muižniece, tālr.67021550, fakss 67021560</w:t>
      </w:r>
    </w:p>
    <w:p w:rsidR="009F4447" w:rsidRPr="00E870C6" w:rsidRDefault="00544FA5" w:rsidP="009F4447">
      <w:pPr>
        <w:pStyle w:val="Footer"/>
        <w:rPr>
          <w:sz w:val="20"/>
          <w:szCs w:val="20"/>
        </w:rPr>
      </w:pPr>
      <w:hyperlink r:id="rId11" w:history="1">
        <w:r w:rsidR="009F4447" w:rsidRPr="00E870C6">
          <w:rPr>
            <w:rStyle w:val="Hyperlink"/>
            <w:sz w:val="20"/>
            <w:szCs w:val="20"/>
          </w:rPr>
          <w:t>Jana.Muizniece@lm.gov.lv</w:t>
        </w:r>
      </w:hyperlink>
    </w:p>
    <w:p w:rsidR="009F4447" w:rsidRPr="00E870C6" w:rsidRDefault="009F4447" w:rsidP="009F4447">
      <w:pPr>
        <w:rPr>
          <w:sz w:val="20"/>
          <w:szCs w:val="20"/>
        </w:rPr>
      </w:pPr>
    </w:p>
    <w:p w:rsidR="009F4447" w:rsidRDefault="009F4447" w:rsidP="009F4447"/>
    <w:p w:rsidR="00C11F49" w:rsidRDefault="00C11F49" w:rsidP="00C11F49">
      <w:bookmarkStart w:id="0" w:name="_GoBack"/>
      <w:bookmarkEnd w:id="0"/>
    </w:p>
    <w:p w:rsidR="00D0264F" w:rsidRDefault="00D0264F"/>
    <w:sectPr w:rsidR="00D0264F" w:rsidSect="001E4C99">
      <w:headerReference w:type="even" r:id="rId12"/>
      <w:headerReference w:type="default" r:id="rId13"/>
      <w:footerReference w:type="default" r:id="rId14"/>
      <w:footerReference w:type="first" r:id="rId15"/>
      <w:pgSz w:w="11906" w:h="16838"/>
      <w:pgMar w:top="1021" w:right="1588"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49" w:rsidRDefault="00C11F49" w:rsidP="00C11F49">
      <w:r>
        <w:separator/>
      </w:r>
    </w:p>
  </w:endnote>
  <w:endnote w:type="continuationSeparator" w:id="0">
    <w:p w:rsidR="00C11F49" w:rsidRDefault="00C11F49" w:rsidP="00C1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1" w:rsidRPr="00D91A67" w:rsidRDefault="00C11F49" w:rsidP="00D91A67">
    <w:pPr>
      <w:pStyle w:val="Footer"/>
      <w:rPr>
        <w:sz w:val="20"/>
        <w:szCs w:val="20"/>
      </w:rPr>
    </w:pPr>
    <w:r w:rsidRPr="00D91A67">
      <w:rPr>
        <w:sz w:val="20"/>
        <w:szCs w:val="20"/>
      </w:rPr>
      <w:t>LMlik_</w:t>
    </w:r>
    <w:r>
      <w:rPr>
        <w:sz w:val="20"/>
        <w:szCs w:val="20"/>
      </w:rPr>
      <w:t>1</w:t>
    </w:r>
    <w:r w:rsidR="00544FA5">
      <w:rPr>
        <w:sz w:val="20"/>
        <w:szCs w:val="20"/>
      </w:rPr>
      <w:t>9</w:t>
    </w:r>
    <w:r>
      <w:rPr>
        <w:sz w:val="20"/>
        <w:szCs w:val="20"/>
      </w:rPr>
      <w:t>09</w:t>
    </w:r>
    <w:r w:rsidRPr="00D91A67">
      <w:rPr>
        <w:sz w:val="20"/>
        <w:szCs w:val="20"/>
      </w:rPr>
      <w:t xml:space="preserve">13_VFPL; Grozījumi Valsts fondēto pensiju likumā </w:t>
    </w:r>
  </w:p>
  <w:p w:rsidR="00923EB1" w:rsidRDefault="0054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1" w:rsidRPr="00D91A67" w:rsidRDefault="00C11F49" w:rsidP="001E4C99">
    <w:pPr>
      <w:pStyle w:val="Footer"/>
      <w:rPr>
        <w:sz w:val="20"/>
        <w:szCs w:val="20"/>
      </w:rPr>
    </w:pPr>
    <w:r w:rsidRPr="00D91A67">
      <w:rPr>
        <w:sz w:val="20"/>
        <w:szCs w:val="20"/>
      </w:rPr>
      <w:t>LMlik_</w:t>
    </w:r>
    <w:r>
      <w:rPr>
        <w:sz w:val="20"/>
        <w:szCs w:val="20"/>
      </w:rPr>
      <w:t>1</w:t>
    </w:r>
    <w:r w:rsidR="00544FA5">
      <w:rPr>
        <w:sz w:val="20"/>
        <w:szCs w:val="20"/>
      </w:rPr>
      <w:t>9</w:t>
    </w:r>
    <w:r>
      <w:rPr>
        <w:sz w:val="20"/>
        <w:szCs w:val="20"/>
      </w:rPr>
      <w:t>09</w:t>
    </w:r>
    <w:r w:rsidRPr="00D91A67">
      <w:rPr>
        <w:sz w:val="20"/>
        <w:szCs w:val="20"/>
      </w:rPr>
      <w:t xml:space="preserve">13_VFPL; Grozījumi Valsts fondēto pensiju likumā </w:t>
    </w:r>
  </w:p>
  <w:p w:rsidR="00923EB1" w:rsidRPr="00F25CFB" w:rsidRDefault="00544FA5" w:rsidP="001E4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49" w:rsidRDefault="00C11F49" w:rsidP="00C11F49">
      <w:r>
        <w:separator/>
      </w:r>
    </w:p>
  </w:footnote>
  <w:footnote w:type="continuationSeparator" w:id="0">
    <w:p w:rsidR="00C11F49" w:rsidRDefault="00C11F49" w:rsidP="00C1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1" w:rsidRDefault="00C11F49" w:rsidP="001E4C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EB1" w:rsidRDefault="0054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1" w:rsidRDefault="00C11F49" w:rsidP="001E4C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FA5">
      <w:rPr>
        <w:rStyle w:val="PageNumber"/>
        <w:noProof/>
      </w:rPr>
      <w:t>4</w:t>
    </w:r>
    <w:r>
      <w:rPr>
        <w:rStyle w:val="PageNumber"/>
      </w:rPr>
      <w:fldChar w:fldCharType="end"/>
    </w:r>
  </w:p>
  <w:p w:rsidR="00923EB1" w:rsidRDefault="0054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8AB"/>
    <w:multiLevelType w:val="hybridMultilevel"/>
    <w:tmpl w:val="614874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19625BE"/>
    <w:multiLevelType w:val="hybridMultilevel"/>
    <w:tmpl w:val="00FE529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2330198"/>
    <w:multiLevelType w:val="hybridMultilevel"/>
    <w:tmpl w:val="02CA72A6"/>
    <w:lvl w:ilvl="0" w:tplc="EE6C6700">
      <w:start w:val="3"/>
      <w:numFmt w:val="decimal"/>
      <w:lvlText w:val="%1."/>
      <w:lvlJc w:val="left"/>
      <w:pPr>
        <w:ind w:left="108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3">
    <w:nsid w:val="666C1562"/>
    <w:multiLevelType w:val="hybridMultilevel"/>
    <w:tmpl w:val="9BA23A5E"/>
    <w:lvl w:ilvl="0" w:tplc="04260011">
      <w:start w:val="1"/>
      <w:numFmt w:val="decimal"/>
      <w:lvlText w:val="%1)"/>
      <w:lvlJc w:val="left"/>
      <w:pPr>
        <w:ind w:left="720" w:hanging="360"/>
      </w:pPr>
      <w:rPr>
        <w:rFonts w:cs="Times New Roman" w:hint="default"/>
      </w:rPr>
    </w:lvl>
    <w:lvl w:ilvl="1" w:tplc="99827CA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49"/>
    <w:rsid w:val="00544FA5"/>
    <w:rsid w:val="006914F9"/>
    <w:rsid w:val="009F4447"/>
    <w:rsid w:val="00C11F49"/>
    <w:rsid w:val="00D0264F"/>
    <w:rsid w:val="00DE0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F49"/>
    <w:pPr>
      <w:tabs>
        <w:tab w:val="center" w:pos="4153"/>
        <w:tab w:val="right" w:pos="8306"/>
      </w:tabs>
    </w:pPr>
    <w:rPr>
      <w:lang w:eastAsia="en-US"/>
    </w:rPr>
  </w:style>
  <w:style w:type="character" w:customStyle="1" w:styleId="FooterChar">
    <w:name w:val="Footer Char"/>
    <w:basedOn w:val="DefaultParagraphFont"/>
    <w:link w:val="Footer"/>
    <w:uiPriority w:val="99"/>
    <w:rsid w:val="00C11F49"/>
    <w:rPr>
      <w:rFonts w:ascii="Times New Roman" w:eastAsia="Times New Roman" w:hAnsi="Times New Roman" w:cs="Times New Roman"/>
      <w:sz w:val="24"/>
      <w:szCs w:val="24"/>
    </w:rPr>
  </w:style>
  <w:style w:type="paragraph" w:styleId="Header">
    <w:name w:val="header"/>
    <w:basedOn w:val="Normal"/>
    <w:link w:val="HeaderChar"/>
    <w:uiPriority w:val="99"/>
    <w:rsid w:val="00C11F49"/>
    <w:pPr>
      <w:tabs>
        <w:tab w:val="center" w:pos="4153"/>
        <w:tab w:val="right" w:pos="8306"/>
      </w:tabs>
    </w:pPr>
  </w:style>
  <w:style w:type="character" w:customStyle="1" w:styleId="HeaderChar">
    <w:name w:val="Header Char"/>
    <w:basedOn w:val="DefaultParagraphFont"/>
    <w:link w:val="Header"/>
    <w:uiPriority w:val="99"/>
    <w:rsid w:val="00C11F4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11F49"/>
    <w:rPr>
      <w:rFonts w:cs="Times New Roman"/>
    </w:rPr>
  </w:style>
  <w:style w:type="paragraph" w:customStyle="1" w:styleId="tv2131">
    <w:name w:val="tv2131"/>
    <w:basedOn w:val="Normal"/>
    <w:uiPriority w:val="99"/>
    <w:rsid w:val="00C11F49"/>
    <w:pPr>
      <w:spacing w:before="240" w:line="360" w:lineRule="auto"/>
      <w:ind w:firstLine="300"/>
      <w:jc w:val="both"/>
    </w:pPr>
    <w:rPr>
      <w:rFonts w:ascii="Verdana" w:eastAsia="Calibri" w:hAnsi="Verdana"/>
      <w:sz w:val="18"/>
      <w:szCs w:val="18"/>
    </w:rPr>
  </w:style>
  <w:style w:type="paragraph" w:styleId="ListParagraph">
    <w:name w:val="List Paragraph"/>
    <w:basedOn w:val="Normal"/>
    <w:uiPriority w:val="99"/>
    <w:qFormat/>
    <w:rsid w:val="00C11F49"/>
    <w:pPr>
      <w:ind w:left="720"/>
      <w:contextualSpacing/>
    </w:pPr>
  </w:style>
  <w:style w:type="character" w:styleId="Hyperlink">
    <w:name w:val="Hyperlink"/>
    <w:basedOn w:val="DefaultParagraphFont"/>
    <w:uiPriority w:val="99"/>
    <w:semiHidden/>
    <w:rsid w:val="00C11F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F49"/>
    <w:pPr>
      <w:tabs>
        <w:tab w:val="center" w:pos="4153"/>
        <w:tab w:val="right" w:pos="8306"/>
      </w:tabs>
    </w:pPr>
    <w:rPr>
      <w:lang w:eastAsia="en-US"/>
    </w:rPr>
  </w:style>
  <w:style w:type="character" w:customStyle="1" w:styleId="FooterChar">
    <w:name w:val="Footer Char"/>
    <w:basedOn w:val="DefaultParagraphFont"/>
    <w:link w:val="Footer"/>
    <w:uiPriority w:val="99"/>
    <w:rsid w:val="00C11F49"/>
    <w:rPr>
      <w:rFonts w:ascii="Times New Roman" w:eastAsia="Times New Roman" w:hAnsi="Times New Roman" w:cs="Times New Roman"/>
      <w:sz w:val="24"/>
      <w:szCs w:val="24"/>
    </w:rPr>
  </w:style>
  <w:style w:type="paragraph" w:styleId="Header">
    <w:name w:val="header"/>
    <w:basedOn w:val="Normal"/>
    <w:link w:val="HeaderChar"/>
    <w:uiPriority w:val="99"/>
    <w:rsid w:val="00C11F49"/>
    <w:pPr>
      <w:tabs>
        <w:tab w:val="center" w:pos="4153"/>
        <w:tab w:val="right" w:pos="8306"/>
      </w:tabs>
    </w:pPr>
  </w:style>
  <w:style w:type="character" w:customStyle="1" w:styleId="HeaderChar">
    <w:name w:val="Header Char"/>
    <w:basedOn w:val="DefaultParagraphFont"/>
    <w:link w:val="Header"/>
    <w:uiPriority w:val="99"/>
    <w:rsid w:val="00C11F4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11F49"/>
    <w:rPr>
      <w:rFonts w:cs="Times New Roman"/>
    </w:rPr>
  </w:style>
  <w:style w:type="paragraph" w:customStyle="1" w:styleId="tv2131">
    <w:name w:val="tv2131"/>
    <w:basedOn w:val="Normal"/>
    <w:uiPriority w:val="99"/>
    <w:rsid w:val="00C11F49"/>
    <w:pPr>
      <w:spacing w:before="240" w:line="360" w:lineRule="auto"/>
      <w:ind w:firstLine="300"/>
      <w:jc w:val="both"/>
    </w:pPr>
    <w:rPr>
      <w:rFonts w:ascii="Verdana" w:eastAsia="Calibri" w:hAnsi="Verdana"/>
      <w:sz w:val="18"/>
      <w:szCs w:val="18"/>
    </w:rPr>
  </w:style>
  <w:style w:type="paragraph" w:styleId="ListParagraph">
    <w:name w:val="List Paragraph"/>
    <w:basedOn w:val="Normal"/>
    <w:uiPriority w:val="99"/>
    <w:qFormat/>
    <w:rsid w:val="00C11F49"/>
    <w:pPr>
      <w:ind w:left="720"/>
      <w:contextualSpacing/>
    </w:pPr>
  </w:style>
  <w:style w:type="character" w:styleId="Hyperlink">
    <w:name w:val="Hyperlink"/>
    <w:basedOn w:val="DefaultParagraphFont"/>
    <w:uiPriority w:val="99"/>
    <w:semiHidden/>
    <w:rsid w:val="00C11F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4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a.Muizniec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2341&amp;mode=KDOC" TargetMode="External"/><Relationship Id="rId4" Type="http://schemas.openxmlformats.org/officeDocument/2006/relationships/settings" Target="settings.xml"/><Relationship Id="rId9" Type="http://schemas.openxmlformats.org/officeDocument/2006/relationships/hyperlink" Target="http://likumi.lv/doc.php?id=529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1688</Words>
  <Characters>11806</Characters>
  <Application>Microsoft Office Word</Application>
  <DocSecurity>0</DocSecurity>
  <Lines>268</Lines>
  <Paragraphs>101</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Likumprojekts</dc:subject>
  <dc:creator>Jana Muižniece</dc:creator>
  <dc:description>J.Muižniece_x000d_
tālr. 67021550, fakss 67021560_x000d_
Jana.Muizniece@lm.gov.lv</dc:description>
  <cp:lastModifiedBy>Irena Salmane</cp:lastModifiedBy>
  <cp:revision>5</cp:revision>
  <cp:lastPrinted>2013-09-18T07:52:00Z</cp:lastPrinted>
  <dcterms:created xsi:type="dcterms:W3CDTF">2013-09-17T08:22:00Z</dcterms:created>
  <dcterms:modified xsi:type="dcterms:W3CDTF">2013-09-19T07:01:00Z</dcterms:modified>
</cp:coreProperties>
</file>