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DC" w:rsidRPr="00825EDC" w:rsidRDefault="00825EDC" w:rsidP="00825EDC">
      <w:pPr>
        <w:pStyle w:val="Heading1"/>
        <w:jc w:val="left"/>
        <w:rPr>
          <w:b w:val="0"/>
          <w:sz w:val="26"/>
        </w:rPr>
      </w:pPr>
      <w:bookmarkStart w:id="0" w:name="_GoBack"/>
      <w:bookmarkEnd w:id="0"/>
      <w:r w:rsidRPr="00825EDC">
        <w:rPr>
          <w:b w:val="0"/>
          <w:sz w:val="26"/>
        </w:rPr>
        <w:t xml:space="preserve">Budžeta un finanšu (nodokļu) komisija </w:t>
      </w:r>
    </w:p>
    <w:p w:rsidR="00825EDC" w:rsidRPr="00F82F3A" w:rsidRDefault="00825EDC" w:rsidP="00825EDC">
      <w:pPr>
        <w:jc w:val="right"/>
        <w:rPr>
          <w:sz w:val="26"/>
          <w:szCs w:val="26"/>
        </w:rPr>
      </w:pPr>
      <w:r w:rsidRPr="00F82F3A">
        <w:rPr>
          <w:sz w:val="26"/>
          <w:szCs w:val="26"/>
        </w:rPr>
        <w:t>Likumprojekts (steidzams) otrajam lasījumam</w:t>
      </w:r>
    </w:p>
    <w:p w:rsidR="00D148B4" w:rsidRPr="00DB1D22" w:rsidRDefault="00D148B4" w:rsidP="00D148B4">
      <w:pPr>
        <w:jc w:val="center"/>
        <w:rPr>
          <w:b/>
          <w:sz w:val="28"/>
        </w:rPr>
      </w:pPr>
      <w:r>
        <w:rPr>
          <w:b/>
          <w:sz w:val="28"/>
        </w:rPr>
        <w:t>Par vidēja termiņa budžeta ietvaru 2014., 2015. un 2016.gadam</w:t>
      </w:r>
    </w:p>
    <w:p w:rsidR="00825EDC" w:rsidRPr="00216D7B" w:rsidRDefault="00D31F78" w:rsidP="00D31F78">
      <w:pPr>
        <w:jc w:val="center"/>
        <w:rPr>
          <w:b/>
          <w:bCs/>
          <w:i/>
          <w:sz w:val="26"/>
          <w:szCs w:val="26"/>
        </w:rPr>
      </w:pPr>
      <w:r w:rsidRPr="00216D7B">
        <w:rPr>
          <w:b/>
          <w:bCs/>
          <w:i/>
          <w:sz w:val="26"/>
          <w:szCs w:val="26"/>
        </w:rPr>
        <w:t xml:space="preserve"> </w:t>
      </w:r>
      <w:r w:rsidR="00F02BCB" w:rsidRPr="00216D7B">
        <w:rPr>
          <w:b/>
          <w:bCs/>
          <w:i/>
          <w:sz w:val="26"/>
          <w:szCs w:val="26"/>
        </w:rPr>
        <w:t>(Nr.</w:t>
      </w:r>
      <w:r w:rsidR="003D4677">
        <w:rPr>
          <w:b/>
          <w:bCs/>
          <w:i/>
          <w:sz w:val="26"/>
          <w:szCs w:val="26"/>
        </w:rPr>
        <w:t>947</w:t>
      </w:r>
      <w:r w:rsidR="00F32733" w:rsidRPr="00216D7B">
        <w:rPr>
          <w:b/>
          <w:bCs/>
          <w:i/>
          <w:sz w:val="26"/>
          <w:szCs w:val="26"/>
        </w:rPr>
        <w:t xml:space="preserve"> </w:t>
      </w:r>
      <w:r w:rsidR="00F02BCB" w:rsidRPr="00216D7B">
        <w:rPr>
          <w:b/>
          <w:bCs/>
          <w:i/>
          <w:sz w:val="26"/>
          <w:szCs w:val="26"/>
        </w:rPr>
        <w:t>/Lp1</w:t>
      </w:r>
      <w:r w:rsidR="005316B9" w:rsidRPr="00216D7B">
        <w:rPr>
          <w:b/>
          <w:bCs/>
          <w:i/>
          <w:sz w:val="26"/>
          <w:szCs w:val="26"/>
        </w:rPr>
        <w:t>1</w:t>
      </w:r>
      <w:r w:rsidR="00825EDC" w:rsidRPr="00216D7B">
        <w:rPr>
          <w:b/>
          <w:bCs/>
          <w:i/>
          <w:sz w:val="26"/>
          <w:szCs w:val="26"/>
        </w:rPr>
        <w:t xml:space="preserve"> )</w:t>
      </w:r>
    </w:p>
    <w:p w:rsidR="00825EDC" w:rsidRPr="00A141CA" w:rsidRDefault="00825EDC" w:rsidP="00825EDC">
      <w:pPr>
        <w:tabs>
          <w:tab w:val="left" w:pos="11880"/>
        </w:tabs>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5"/>
        <w:gridCol w:w="644"/>
        <w:gridCol w:w="5530"/>
        <w:gridCol w:w="1439"/>
        <w:gridCol w:w="1260"/>
      </w:tblGrid>
      <w:tr w:rsidR="005C5FDC" w:rsidRPr="008C4B57" w:rsidTr="004171B2">
        <w:tc>
          <w:tcPr>
            <w:tcW w:w="5815" w:type="dxa"/>
          </w:tcPr>
          <w:p w:rsidR="005C5FDC" w:rsidRPr="008C4B57" w:rsidRDefault="005C5FDC" w:rsidP="008C4B57">
            <w:pPr>
              <w:jc w:val="center"/>
              <w:rPr>
                <w:b/>
                <w:bCs/>
              </w:rPr>
            </w:pPr>
            <w:r w:rsidRPr="008C4B57">
              <w:rPr>
                <w:b/>
                <w:bCs/>
              </w:rPr>
              <w:t>Pirmā lasījuma redakcija</w:t>
            </w:r>
          </w:p>
        </w:tc>
        <w:tc>
          <w:tcPr>
            <w:tcW w:w="644" w:type="dxa"/>
          </w:tcPr>
          <w:p w:rsidR="005C5FDC" w:rsidRPr="008C4B57" w:rsidRDefault="005C5FDC" w:rsidP="008C4B57">
            <w:pPr>
              <w:jc w:val="center"/>
              <w:rPr>
                <w:b/>
                <w:bCs/>
              </w:rPr>
            </w:pPr>
            <w:r w:rsidRPr="008C4B57">
              <w:rPr>
                <w:b/>
                <w:bCs/>
              </w:rPr>
              <w:t>Nr.</w:t>
            </w:r>
          </w:p>
        </w:tc>
        <w:tc>
          <w:tcPr>
            <w:tcW w:w="5530" w:type="dxa"/>
          </w:tcPr>
          <w:p w:rsidR="005C5FDC" w:rsidRPr="008C4B57" w:rsidRDefault="005C5FDC" w:rsidP="008C4B57">
            <w:pPr>
              <w:ind w:firstLine="567"/>
              <w:jc w:val="center"/>
              <w:rPr>
                <w:b/>
                <w:bCs/>
              </w:rPr>
            </w:pPr>
            <w:r w:rsidRPr="008C4B57">
              <w:rPr>
                <w:b/>
                <w:bCs/>
              </w:rPr>
              <w:t>Priekšlikumi</w:t>
            </w:r>
          </w:p>
          <w:p w:rsidR="005C5FDC" w:rsidRPr="008C4B57" w:rsidRDefault="005C5FDC" w:rsidP="00181AC1">
            <w:pPr>
              <w:ind w:firstLine="567"/>
              <w:jc w:val="center"/>
              <w:rPr>
                <w:b/>
                <w:bCs/>
              </w:rPr>
            </w:pPr>
            <w:r w:rsidRPr="008C4B57">
              <w:rPr>
                <w:b/>
                <w:bCs/>
              </w:rPr>
              <w:t>(</w:t>
            </w:r>
            <w:r w:rsidR="00181AC1">
              <w:rPr>
                <w:b/>
                <w:bCs/>
              </w:rPr>
              <w:t>193</w:t>
            </w:r>
            <w:r w:rsidRPr="008C4B57">
              <w:rPr>
                <w:b/>
                <w:bCs/>
              </w:rPr>
              <w:t>)</w:t>
            </w:r>
          </w:p>
        </w:tc>
        <w:tc>
          <w:tcPr>
            <w:tcW w:w="1439" w:type="dxa"/>
          </w:tcPr>
          <w:p w:rsidR="005C5FDC" w:rsidRPr="008C4B57" w:rsidRDefault="005C5FDC" w:rsidP="008C4B57">
            <w:pPr>
              <w:jc w:val="center"/>
              <w:rPr>
                <w:b/>
                <w:bCs/>
              </w:rPr>
            </w:pPr>
            <w:r w:rsidRPr="008C4B57">
              <w:rPr>
                <w:b/>
                <w:bCs/>
              </w:rPr>
              <w:t>Ministru kabineta atzinums</w:t>
            </w:r>
          </w:p>
        </w:tc>
        <w:tc>
          <w:tcPr>
            <w:tcW w:w="1260" w:type="dxa"/>
          </w:tcPr>
          <w:p w:rsidR="005C5FDC" w:rsidRPr="008C4B57" w:rsidRDefault="005C5FDC" w:rsidP="008C4B57">
            <w:pPr>
              <w:jc w:val="center"/>
              <w:rPr>
                <w:b/>
                <w:bCs/>
              </w:rPr>
            </w:pPr>
            <w:r w:rsidRPr="008C4B57">
              <w:rPr>
                <w:b/>
                <w:bCs/>
              </w:rPr>
              <w:t>Komisijas</w:t>
            </w:r>
          </w:p>
          <w:p w:rsidR="005C5FDC" w:rsidRPr="008C4B57" w:rsidRDefault="005C5FDC" w:rsidP="008C4B57">
            <w:pPr>
              <w:jc w:val="center"/>
              <w:rPr>
                <w:b/>
                <w:bCs/>
              </w:rPr>
            </w:pPr>
            <w:r w:rsidRPr="008C4B57">
              <w:rPr>
                <w:b/>
                <w:bCs/>
              </w:rPr>
              <w:t>atzinums</w:t>
            </w:r>
          </w:p>
        </w:tc>
      </w:tr>
      <w:tr w:rsidR="00A20E2D" w:rsidRPr="008B6465" w:rsidTr="004171B2">
        <w:tc>
          <w:tcPr>
            <w:tcW w:w="5815" w:type="dxa"/>
          </w:tcPr>
          <w:p w:rsidR="00CC0242" w:rsidRPr="0056234A" w:rsidRDefault="00CC0242" w:rsidP="0056234A">
            <w:pPr>
              <w:ind w:firstLine="567"/>
              <w:jc w:val="both"/>
              <w:rPr>
                <w:sz w:val="22"/>
                <w:szCs w:val="22"/>
              </w:rPr>
            </w:pPr>
            <w:r w:rsidRPr="0056234A">
              <w:rPr>
                <w:b/>
                <w:sz w:val="22"/>
                <w:szCs w:val="22"/>
              </w:rPr>
              <w:t>1.pants.</w:t>
            </w:r>
            <w:r w:rsidRPr="0056234A">
              <w:rPr>
                <w:sz w:val="22"/>
                <w:szCs w:val="22"/>
              </w:rPr>
              <w:t xml:space="preserve"> </w:t>
            </w:r>
            <w:r w:rsidRPr="009F4F61">
              <w:rPr>
                <w:sz w:val="22"/>
                <w:szCs w:val="22"/>
                <w:u w:val="single"/>
              </w:rPr>
              <w:t>Noteikt, ka</w:t>
            </w:r>
            <w:r w:rsidRPr="0056234A">
              <w:rPr>
                <w:sz w:val="22"/>
                <w:szCs w:val="22"/>
              </w:rPr>
              <w:t xml:space="preserve"> ar gadskārtējā valsts budžeta likuma projekta sagatavošanu, vidēja termiņa budžeta ietvara likuma projekta sagatavošanu, ar valsts budžetu saistīto lēmumu pieņemšanu un rīcību tiek īstenoti šādi </w:t>
            </w:r>
            <w:r w:rsidRPr="009F4F61">
              <w:rPr>
                <w:sz w:val="22"/>
                <w:szCs w:val="22"/>
                <w:u w:val="single"/>
              </w:rPr>
              <w:t>vidēja termiņa budžeta politikas principi un prioritārie attīstības virzieni</w:t>
            </w:r>
            <w:r w:rsidRPr="0056234A">
              <w:rPr>
                <w:sz w:val="22"/>
                <w:szCs w:val="22"/>
              </w:rPr>
              <w:t>:</w:t>
            </w:r>
          </w:p>
          <w:p w:rsidR="00CC0242" w:rsidRPr="0056234A" w:rsidRDefault="00CC0242" w:rsidP="0056234A">
            <w:pPr>
              <w:tabs>
                <w:tab w:val="left" w:pos="1276"/>
              </w:tabs>
              <w:ind w:firstLine="567"/>
              <w:jc w:val="both"/>
              <w:rPr>
                <w:sz w:val="22"/>
                <w:szCs w:val="22"/>
              </w:rPr>
            </w:pPr>
            <w:r w:rsidRPr="0056234A">
              <w:rPr>
                <w:sz w:val="22"/>
                <w:szCs w:val="22"/>
              </w:rPr>
              <w:t>1) ekonomiskajā ciklā sabalansēta vispārējās valdības budžeta veidošana, nodrošinot ilgtspējīgu fiskālās politikas plānošanu un tādējādi arī makroekonomisko stabilitāti;</w:t>
            </w:r>
          </w:p>
          <w:p w:rsidR="00CC0242" w:rsidRPr="0056234A" w:rsidRDefault="00CC0242" w:rsidP="0056234A">
            <w:pPr>
              <w:tabs>
                <w:tab w:val="left" w:pos="1276"/>
              </w:tabs>
              <w:ind w:firstLine="567"/>
              <w:jc w:val="both"/>
              <w:rPr>
                <w:sz w:val="22"/>
                <w:szCs w:val="22"/>
              </w:rPr>
            </w:pPr>
            <w:r w:rsidRPr="0056234A">
              <w:rPr>
                <w:sz w:val="22"/>
                <w:szCs w:val="22"/>
              </w:rPr>
              <w:t>2) ilgtspējīgas un sabalansētas valsts ekonomiskās attīstības veicināšana, nodrošinot nozaru finansējumu valsts budžeta iespēju robežās;</w:t>
            </w:r>
          </w:p>
          <w:p w:rsidR="00A20E2D" w:rsidRPr="0056234A" w:rsidRDefault="00CC0242" w:rsidP="0056234A">
            <w:pPr>
              <w:tabs>
                <w:tab w:val="left" w:pos="1276"/>
              </w:tabs>
              <w:ind w:firstLine="567"/>
              <w:jc w:val="both"/>
              <w:rPr>
                <w:b/>
                <w:bCs/>
                <w:color w:val="000000"/>
                <w:sz w:val="22"/>
                <w:szCs w:val="22"/>
                <w:lang w:eastAsia="lv-LV"/>
              </w:rPr>
            </w:pPr>
            <w:r w:rsidRPr="0056234A">
              <w:rPr>
                <w:sz w:val="22"/>
                <w:szCs w:val="22"/>
              </w:rPr>
              <w:t>3) darbaspēka nodokļu sloga pārskatīšana, kas mērķēta uz iedzīvotāju ienākumu nevienlīdzības mazināšanu un dzīves kvalitātes paaugstināšanu, it īpaši ģimenēs ar bērniem.</w:t>
            </w:r>
          </w:p>
        </w:tc>
        <w:tc>
          <w:tcPr>
            <w:tcW w:w="644" w:type="dxa"/>
          </w:tcPr>
          <w:p w:rsidR="00A20E2D" w:rsidRDefault="009B6C81" w:rsidP="00EA09BE">
            <w:pPr>
              <w:jc w:val="center"/>
              <w:rPr>
                <w:b/>
                <w:sz w:val="22"/>
                <w:szCs w:val="22"/>
              </w:rPr>
            </w:pPr>
            <w:r>
              <w:rPr>
                <w:b/>
                <w:sz w:val="22"/>
                <w:szCs w:val="22"/>
              </w:rPr>
              <w:t>1</w:t>
            </w:r>
          </w:p>
          <w:p w:rsidR="009B6C81" w:rsidRDefault="009B6C81" w:rsidP="00EA09BE">
            <w:pPr>
              <w:jc w:val="center"/>
              <w:rPr>
                <w:b/>
                <w:sz w:val="22"/>
                <w:szCs w:val="22"/>
              </w:rPr>
            </w:pPr>
          </w:p>
          <w:p w:rsidR="009B6C81" w:rsidRDefault="009B6C81" w:rsidP="00EA09BE">
            <w:pPr>
              <w:jc w:val="center"/>
              <w:rPr>
                <w:b/>
                <w:sz w:val="22"/>
                <w:szCs w:val="22"/>
              </w:rPr>
            </w:pPr>
          </w:p>
          <w:p w:rsidR="009B6C81" w:rsidRDefault="009B6C81" w:rsidP="00EA09BE">
            <w:pPr>
              <w:jc w:val="center"/>
              <w:rPr>
                <w:b/>
                <w:sz w:val="22"/>
                <w:szCs w:val="22"/>
              </w:rPr>
            </w:pPr>
          </w:p>
          <w:p w:rsidR="009B6C81" w:rsidRDefault="009B6C81" w:rsidP="00EA09BE">
            <w:pPr>
              <w:jc w:val="center"/>
              <w:rPr>
                <w:b/>
                <w:sz w:val="22"/>
                <w:szCs w:val="22"/>
              </w:rPr>
            </w:pPr>
            <w:r>
              <w:rPr>
                <w:b/>
                <w:sz w:val="22"/>
                <w:szCs w:val="22"/>
              </w:rPr>
              <w:t>2</w:t>
            </w:r>
          </w:p>
          <w:p w:rsidR="009B6C81" w:rsidRDefault="009B6C81" w:rsidP="00EA09BE">
            <w:pPr>
              <w:jc w:val="center"/>
              <w:rPr>
                <w:b/>
                <w:sz w:val="22"/>
                <w:szCs w:val="22"/>
              </w:rPr>
            </w:pPr>
          </w:p>
          <w:p w:rsidR="009B6C81" w:rsidRDefault="009B6C81" w:rsidP="00EA09BE">
            <w:pPr>
              <w:jc w:val="center"/>
              <w:rPr>
                <w:b/>
                <w:sz w:val="22"/>
                <w:szCs w:val="22"/>
              </w:rPr>
            </w:pPr>
          </w:p>
          <w:p w:rsidR="009B6C81" w:rsidRDefault="009B6C81" w:rsidP="00EA09BE">
            <w:pPr>
              <w:jc w:val="center"/>
              <w:rPr>
                <w:b/>
                <w:sz w:val="22"/>
                <w:szCs w:val="22"/>
              </w:rPr>
            </w:pPr>
          </w:p>
          <w:p w:rsidR="009B6C81" w:rsidRDefault="009B6C81" w:rsidP="00EA09BE">
            <w:pPr>
              <w:jc w:val="center"/>
              <w:rPr>
                <w:b/>
                <w:sz w:val="22"/>
                <w:szCs w:val="22"/>
              </w:rPr>
            </w:pPr>
          </w:p>
          <w:p w:rsidR="009B6C81" w:rsidRDefault="009B6C81" w:rsidP="00EA09BE">
            <w:pPr>
              <w:jc w:val="center"/>
              <w:rPr>
                <w:b/>
                <w:sz w:val="22"/>
                <w:szCs w:val="22"/>
              </w:rPr>
            </w:pPr>
          </w:p>
          <w:p w:rsidR="009B6C81" w:rsidRDefault="009B6C81" w:rsidP="00EA09BE">
            <w:pPr>
              <w:jc w:val="center"/>
              <w:rPr>
                <w:b/>
                <w:sz w:val="22"/>
                <w:szCs w:val="22"/>
              </w:rPr>
            </w:pPr>
          </w:p>
          <w:p w:rsidR="009B6C81" w:rsidRPr="00D21B94" w:rsidRDefault="009B6C81" w:rsidP="00EA09BE">
            <w:pPr>
              <w:jc w:val="center"/>
              <w:rPr>
                <w:b/>
                <w:sz w:val="22"/>
                <w:szCs w:val="22"/>
              </w:rPr>
            </w:pPr>
            <w:r>
              <w:rPr>
                <w:b/>
                <w:sz w:val="22"/>
                <w:szCs w:val="22"/>
              </w:rPr>
              <w:t>3</w:t>
            </w:r>
          </w:p>
        </w:tc>
        <w:tc>
          <w:tcPr>
            <w:tcW w:w="5530" w:type="dxa"/>
          </w:tcPr>
          <w:p w:rsidR="009F4F61" w:rsidRPr="000435A6" w:rsidRDefault="009F4F61" w:rsidP="000435A6">
            <w:pPr>
              <w:ind w:firstLine="567"/>
              <w:jc w:val="both"/>
              <w:rPr>
                <w:b/>
                <w:sz w:val="22"/>
                <w:szCs w:val="22"/>
                <w:u w:val="single"/>
              </w:rPr>
            </w:pPr>
            <w:r w:rsidRPr="000435A6">
              <w:rPr>
                <w:b/>
                <w:sz w:val="22"/>
                <w:szCs w:val="22"/>
                <w:u w:val="single"/>
              </w:rPr>
              <w:t xml:space="preserve">Juridiskais birojs </w:t>
            </w:r>
          </w:p>
          <w:p w:rsidR="009F4F61" w:rsidRPr="000435A6" w:rsidRDefault="009F4F61" w:rsidP="000435A6">
            <w:pPr>
              <w:ind w:firstLine="567"/>
              <w:jc w:val="both"/>
              <w:rPr>
                <w:sz w:val="22"/>
                <w:szCs w:val="22"/>
              </w:rPr>
            </w:pPr>
            <w:r w:rsidRPr="000435A6">
              <w:rPr>
                <w:sz w:val="22"/>
                <w:szCs w:val="22"/>
              </w:rPr>
              <w:t>Ierosinām izslēgt likumprojekta 1. pantā vārdus ‘’Noteikt, ka’’.</w:t>
            </w:r>
          </w:p>
          <w:p w:rsidR="009F4F61" w:rsidRPr="000435A6" w:rsidRDefault="009F4F61" w:rsidP="000435A6">
            <w:pPr>
              <w:ind w:firstLine="567"/>
              <w:jc w:val="both"/>
              <w:rPr>
                <w:sz w:val="22"/>
                <w:szCs w:val="22"/>
              </w:rPr>
            </w:pPr>
          </w:p>
          <w:p w:rsidR="009F4F61" w:rsidRPr="000435A6" w:rsidRDefault="009F4F61" w:rsidP="000435A6">
            <w:pPr>
              <w:ind w:firstLine="567"/>
              <w:jc w:val="both"/>
              <w:rPr>
                <w:b/>
                <w:sz w:val="22"/>
                <w:szCs w:val="22"/>
                <w:u w:val="single"/>
              </w:rPr>
            </w:pPr>
            <w:r w:rsidRPr="000435A6">
              <w:rPr>
                <w:b/>
                <w:sz w:val="22"/>
                <w:szCs w:val="22"/>
                <w:u w:val="single"/>
              </w:rPr>
              <w:t xml:space="preserve">Juridiskais birojs </w:t>
            </w:r>
          </w:p>
          <w:p w:rsidR="009F4F61" w:rsidRDefault="009F4F61" w:rsidP="000435A6">
            <w:pPr>
              <w:ind w:firstLine="567"/>
              <w:jc w:val="both"/>
              <w:rPr>
                <w:i/>
                <w:sz w:val="22"/>
                <w:szCs w:val="22"/>
              </w:rPr>
            </w:pPr>
            <w:r w:rsidRPr="000435A6">
              <w:rPr>
                <w:i/>
                <w:sz w:val="22"/>
                <w:szCs w:val="22"/>
              </w:rPr>
              <w:t xml:space="preserve">Ierosinām precizēt likumprojekta 1. panta ievaddaļā lietotos vārdus’’ vidēja termiņa budžeta politikas principi un prioritārie attīstības virzieni’’, aizstājot tos ar vārdiem ‘’vidēja termiņa budžeta mērķi un prioritārie attīstības virzieni’’. </w:t>
            </w:r>
          </w:p>
          <w:p w:rsidR="000435A6" w:rsidRPr="000435A6" w:rsidRDefault="000435A6" w:rsidP="000435A6">
            <w:pPr>
              <w:ind w:firstLine="567"/>
              <w:jc w:val="both"/>
              <w:rPr>
                <w:i/>
                <w:sz w:val="22"/>
                <w:szCs w:val="22"/>
              </w:rPr>
            </w:pPr>
          </w:p>
          <w:p w:rsidR="000435A6" w:rsidRPr="000435A6" w:rsidRDefault="000435A6" w:rsidP="000435A6">
            <w:pPr>
              <w:pStyle w:val="ListParagraph"/>
              <w:tabs>
                <w:tab w:val="left" w:pos="993"/>
              </w:tabs>
              <w:suppressAutoHyphens/>
              <w:ind w:left="0" w:firstLine="567"/>
              <w:contextualSpacing w:val="0"/>
              <w:jc w:val="both"/>
              <w:rPr>
                <w:b/>
                <w:sz w:val="22"/>
                <w:szCs w:val="22"/>
                <w:u w:val="single"/>
              </w:rPr>
            </w:pPr>
            <w:r w:rsidRPr="000435A6">
              <w:rPr>
                <w:b/>
                <w:sz w:val="22"/>
                <w:szCs w:val="22"/>
                <w:u w:val="single"/>
              </w:rPr>
              <w:t>Deputāts I.Zariņš</w:t>
            </w:r>
          </w:p>
          <w:p w:rsidR="000435A6" w:rsidRPr="000435A6" w:rsidRDefault="000435A6" w:rsidP="000435A6">
            <w:pPr>
              <w:pStyle w:val="ListParagraph"/>
              <w:tabs>
                <w:tab w:val="left" w:pos="993"/>
              </w:tabs>
              <w:suppressAutoHyphens/>
              <w:ind w:left="0" w:firstLine="567"/>
              <w:contextualSpacing w:val="0"/>
              <w:jc w:val="both"/>
              <w:rPr>
                <w:sz w:val="22"/>
                <w:szCs w:val="22"/>
              </w:rPr>
            </w:pPr>
            <w:r w:rsidRPr="000435A6">
              <w:rPr>
                <w:sz w:val="22"/>
                <w:szCs w:val="22"/>
              </w:rPr>
              <w:t>Papildināt 1.pantu ar 4.punktu šādā redakcijā:</w:t>
            </w:r>
          </w:p>
          <w:p w:rsidR="00A20E2D" w:rsidRPr="000435A6" w:rsidRDefault="000435A6" w:rsidP="000435A6">
            <w:pPr>
              <w:pStyle w:val="ListParagraph"/>
              <w:tabs>
                <w:tab w:val="left" w:pos="993"/>
              </w:tabs>
              <w:ind w:left="0" w:firstLine="567"/>
              <w:jc w:val="both"/>
              <w:rPr>
                <w:b/>
                <w:sz w:val="22"/>
                <w:szCs w:val="22"/>
                <w:u w:val="single"/>
              </w:rPr>
            </w:pPr>
            <w:r w:rsidRPr="000435A6">
              <w:rPr>
                <w:sz w:val="22"/>
                <w:szCs w:val="22"/>
              </w:rPr>
              <w:t>„4) sabiedrības integrācija un kultūras identitātes ilgtspējas nodrošināšana, vienotas multikulturālas vides pilnveidošana.”</w:t>
            </w:r>
          </w:p>
        </w:tc>
        <w:tc>
          <w:tcPr>
            <w:tcW w:w="1439" w:type="dxa"/>
          </w:tcPr>
          <w:p w:rsidR="00A20E2D" w:rsidRPr="008C4B57" w:rsidRDefault="00A20E2D" w:rsidP="008C4B57">
            <w:pPr>
              <w:jc w:val="center"/>
              <w:rPr>
                <w:b/>
                <w:sz w:val="22"/>
                <w:szCs w:val="22"/>
              </w:rPr>
            </w:pPr>
          </w:p>
        </w:tc>
        <w:tc>
          <w:tcPr>
            <w:tcW w:w="1260" w:type="dxa"/>
          </w:tcPr>
          <w:p w:rsidR="00A20E2D" w:rsidRPr="008B6465" w:rsidRDefault="00A20E2D" w:rsidP="008B6465">
            <w:pPr>
              <w:jc w:val="both"/>
              <w:rPr>
                <w:b/>
                <w:sz w:val="22"/>
                <w:szCs w:val="22"/>
              </w:rPr>
            </w:pPr>
          </w:p>
        </w:tc>
      </w:tr>
      <w:tr w:rsidR="005C5FDC" w:rsidRPr="008B6465" w:rsidTr="004171B2">
        <w:tc>
          <w:tcPr>
            <w:tcW w:w="5815" w:type="dxa"/>
          </w:tcPr>
          <w:p w:rsidR="005C5FDC" w:rsidRPr="0056234A" w:rsidRDefault="00CC0242" w:rsidP="0056234A">
            <w:pPr>
              <w:ind w:firstLine="567"/>
              <w:jc w:val="both"/>
              <w:rPr>
                <w:b/>
                <w:sz w:val="22"/>
                <w:szCs w:val="22"/>
              </w:rPr>
            </w:pPr>
            <w:r w:rsidRPr="0056234A">
              <w:rPr>
                <w:b/>
                <w:sz w:val="22"/>
                <w:szCs w:val="22"/>
              </w:rPr>
              <w:t>2.pants.</w:t>
            </w:r>
            <w:r w:rsidRPr="0056234A">
              <w:rPr>
                <w:sz w:val="22"/>
                <w:szCs w:val="22"/>
              </w:rPr>
              <w:t xml:space="preserve"> Izstrādājot turpmāko gadu vidēja termiņa budžeta ietvara likumu projektus, ņemot vērā valsts ekonomisko situāciju un valsts budžeta iespējas, nodrošināt pakāpenisku virzību uz 2012. gada 10. maijā Saeimā apstiprinātajā Valsts aizsardzības koncepcijā noteikto indikatīvo mērķi - sasniegt valsts aizsardzības finansējuma apmēru līdz 2 procentiem no iekšzemes kopprodukta (turpmāk – IKP) līdz 2020. gadam.</w:t>
            </w:r>
          </w:p>
        </w:tc>
        <w:tc>
          <w:tcPr>
            <w:tcW w:w="644" w:type="dxa"/>
          </w:tcPr>
          <w:p w:rsidR="00CA3ADC" w:rsidRPr="00D21B94" w:rsidRDefault="00CA3ADC" w:rsidP="00EA09BE">
            <w:pPr>
              <w:jc w:val="center"/>
              <w:rPr>
                <w:b/>
                <w:sz w:val="22"/>
                <w:szCs w:val="22"/>
              </w:rPr>
            </w:pPr>
          </w:p>
        </w:tc>
        <w:tc>
          <w:tcPr>
            <w:tcW w:w="5530" w:type="dxa"/>
          </w:tcPr>
          <w:p w:rsidR="00D21B94" w:rsidRPr="000435A6" w:rsidRDefault="00D21B94" w:rsidP="000435A6">
            <w:pPr>
              <w:ind w:firstLine="567"/>
              <w:jc w:val="both"/>
              <w:rPr>
                <w:b/>
                <w:i/>
                <w:sz w:val="22"/>
                <w:szCs w:val="22"/>
              </w:rPr>
            </w:pPr>
          </w:p>
        </w:tc>
        <w:tc>
          <w:tcPr>
            <w:tcW w:w="1439"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4171B2">
        <w:tc>
          <w:tcPr>
            <w:tcW w:w="5815" w:type="dxa"/>
          </w:tcPr>
          <w:p w:rsidR="00B60EDA" w:rsidRPr="0056234A" w:rsidRDefault="00CC0242" w:rsidP="0056234A">
            <w:pPr>
              <w:ind w:firstLine="567"/>
              <w:jc w:val="both"/>
              <w:rPr>
                <w:color w:val="000000"/>
                <w:sz w:val="22"/>
                <w:szCs w:val="22"/>
                <w:lang w:eastAsia="lv-LV"/>
              </w:rPr>
            </w:pPr>
            <w:r w:rsidRPr="0056234A">
              <w:rPr>
                <w:b/>
                <w:sz w:val="22"/>
                <w:szCs w:val="22"/>
              </w:rPr>
              <w:t>3.pants.</w:t>
            </w:r>
            <w:r w:rsidRPr="0056234A">
              <w:rPr>
                <w:sz w:val="22"/>
                <w:szCs w:val="22"/>
              </w:rPr>
              <w:t xml:space="preserve"> Šā likuma sagatavošanā izmantota IKP </w:t>
            </w:r>
            <w:r w:rsidRPr="0056234A">
              <w:rPr>
                <w:sz w:val="22"/>
                <w:szCs w:val="22"/>
              </w:rPr>
              <w:lastRenderedPageBreak/>
              <w:t xml:space="preserve">prognoze salīdzināmajās cenās 2014. gadam 11 562 300 000 </w:t>
            </w:r>
            <w:proofErr w:type="spellStart"/>
            <w:r w:rsidRPr="0056234A">
              <w:rPr>
                <w:i/>
                <w:sz w:val="22"/>
                <w:szCs w:val="22"/>
              </w:rPr>
              <w:t>euro</w:t>
            </w:r>
            <w:proofErr w:type="spellEnd"/>
            <w:r w:rsidRPr="0056234A">
              <w:rPr>
                <w:sz w:val="22"/>
                <w:szCs w:val="22"/>
              </w:rPr>
              <w:t xml:space="preserve"> apmērā, 2015. gadam 12 021 800 000 </w:t>
            </w:r>
            <w:proofErr w:type="spellStart"/>
            <w:r w:rsidRPr="0056234A">
              <w:rPr>
                <w:i/>
                <w:sz w:val="22"/>
                <w:szCs w:val="22"/>
              </w:rPr>
              <w:t>euro</w:t>
            </w:r>
            <w:proofErr w:type="spellEnd"/>
            <w:r w:rsidRPr="0056234A">
              <w:rPr>
                <w:i/>
                <w:sz w:val="22"/>
                <w:szCs w:val="22"/>
              </w:rPr>
              <w:t xml:space="preserve"> </w:t>
            </w:r>
            <w:r w:rsidRPr="0056234A">
              <w:rPr>
                <w:sz w:val="22"/>
                <w:szCs w:val="22"/>
              </w:rPr>
              <w:t xml:space="preserve">apmērā un 2016. gadam 12 501 800 000 </w:t>
            </w:r>
            <w:proofErr w:type="spellStart"/>
            <w:r w:rsidRPr="0056234A">
              <w:rPr>
                <w:i/>
                <w:sz w:val="22"/>
                <w:szCs w:val="22"/>
              </w:rPr>
              <w:t>euro</w:t>
            </w:r>
            <w:proofErr w:type="spellEnd"/>
            <w:r w:rsidRPr="0056234A">
              <w:rPr>
                <w:sz w:val="22"/>
                <w:szCs w:val="22"/>
              </w:rPr>
              <w:t xml:space="preserve"> apmērā. Šā likuma sagatavošanā izmantota IKP prognoze faktiskajās cenās 2014. gadam 24 763 600 000 </w:t>
            </w:r>
            <w:proofErr w:type="spellStart"/>
            <w:r w:rsidRPr="0056234A">
              <w:rPr>
                <w:i/>
                <w:sz w:val="22"/>
                <w:szCs w:val="22"/>
              </w:rPr>
              <w:t>euro</w:t>
            </w:r>
            <w:proofErr w:type="spellEnd"/>
            <w:r w:rsidRPr="0056234A">
              <w:rPr>
                <w:sz w:val="22"/>
                <w:szCs w:val="22"/>
              </w:rPr>
              <w:t xml:space="preserve"> apmērā, 2015. gadam 26 391 800 000 </w:t>
            </w:r>
            <w:proofErr w:type="spellStart"/>
            <w:r w:rsidRPr="0056234A">
              <w:rPr>
                <w:i/>
                <w:sz w:val="22"/>
                <w:szCs w:val="22"/>
              </w:rPr>
              <w:t>euro</w:t>
            </w:r>
            <w:proofErr w:type="spellEnd"/>
            <w:r w:rsidRPr="0056234A">
              <w:rPr>
                <w:sz w:val="22"/>
                <w:szCs w:val="22"/>
              </w:rPr>
              <w:t xml:space="preserve"> apmērā un 2016. gadam 28 136 300 000 </w:t>
            </w:r>
            <w:proofErr w:type="spellStart"/>
            <w:r w:rsidRPr="0056234A">
              <w:rPr>
                <w:i/>
                <w:sz w:val="22"/>
                <w:szCs w:val="22"/>
              </w:rPr>
              <w:t>euro</w:t>
            </w:r>
            <w:proofErr w:type="spellEnd"/>
            <w:r w:rsidRPr="0056234A">
              <w:rPr>
                <w:sz w:val="22"/>
                <w:szCs w:val="22"/>
              </w:rPr>
              <w:t xml:space="preserve"> apmērā.</w:t>
            </w:r>
          </w:p>
        </w:tc>
        <w:tc>
          <w:tcPr>
            <w:tcW w:w="644" w:type="dxa"/>
          </w:tcPr>
          <w:p w:rsidR="00B60EDA" w:rsidRPr="00D21B94" w:rsidRDefault="00B60EDA" w:rsidP="00EA09BE">
            <w:pPr>
              <w:jc w:val="center"/>
              <w:rPr>
                <w:b/>
                <w:sz w:val="22"/>
                <w:szCs w:val="22"/>
              </w:rPr>
            </w:pPr>
          </w:p>
        </w:tc>
        <w:tc>
          <w:tcPr>
            <w:tcW w:w="5530" w:type="dxa"/>
          </w:tcPr>
          <w:p w:rsidR="00CA3ADC" w:rsidRPr="000435A6" w:rsidRDefault="00CA3ADC" w:rsidP="000435A6">
            <w:pPr>
              <w:pStyle w:val="BodyText"/>
              <w:ind w:firstLine="567"/>
              <w:rPr>
                <w:b/>
                <w:sz w:val="22"/>
                <w:szCs w:val="22"/>
                <w:u w:val="single"/>
              </w:rPr>
            </w:pPr>
          </w:p>
        </w:tc>
        <w:tc>
          <w:tcPr>
            <w:tcW w:w="1439"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B60EDA" w:rsidRPr="008B6465" w:rsidTr="004171B2">
        <w:tc>
          <w:tcPr>
            <w:tcW w:w="5815" w:type="dxa"/>
          </w:tcPr>
          <w:p w:rsidR="00B60EDA" w:rsidRPr="0056234A" w:rsidRDefault="00CC0242" w:rsidP="0056234A">
            <w:pPr>
              <w:ind w:firstLine="567"/>
              <w:jc w:val="both"/>
              <w:rPr>
                <w:b/>
                <w:color w:val="000000"/>
                <w:sz w:val="22"/>
                <w:szCs w:val="22"/>
                <w:lang w:eastAsia="lv-LV"/>
              </w:rPr>
            </w:pPr>
            <w:r w:rsidRPr="0056234A">
              <w:rPr>
                <w:b/>
                <w:sz w:val="22"/>
                <w:szCs w:val="22"/>
              </w:rPr>
              <w:lastRenderedPageBreak/>
              <w:t>4.pants.</w:t>
            </w:r>
            <w:r w:rsidRPr="0056234A">
              <w:rPr>
                <w:sz w:val="22"/>
                <w:szCs w:val="22"/>
              </w:rPr>
              <w:t xml:space="preserve"> Šā likuma sagatavošanā izmantota potenciālā IKP prognoze salīdzināmajās cenās 2014. gadam 11 502 800 000 </w:t>
            </w:r>
            <w:proofErr w:type="spellStart"/>
            <w:r w:rsidRPr="0056234A">
              <w:rPr>
                <w:i/>
                <w:sz w:val="22"/>
                <w:szCs w:val="22"/>
              </w:rPr>
              <w:t>euro</w:t>
            </w:r>
            <w:proofErr w:type="spellEnd"/>
            <w:r w:rsidRPr="0056234A">
              <w:rPr>
                <w:sz w:val="22"/>
                <w:szCs w:val="22"/>
              </w:rPr>
              <w:t xml:space="preserve"> apmērā, 2015. gadam 11 972 400 000 </w:t>
            </w:r>
            <w:proofErr w:type="spellStart"/>
            <w:r w:rsidRPr="0056234A">
              <w:rPr>
                <w:i/>
                <w:sz w:val="22"/>
                <w:szCs w:val="22"/>
              </w:rPr>
              <w:t>euro</w:t>
            </w:r>
            <w:proofErr w:type="spellEnd"/>
            <w:r w:rsidRPr="0056234A">
              <w:rPr>
                <w:sz w:val="22"/>
                <w:szCs w:val="22"/>
              </w:rPr>
              <w:t xml:space="preserve"> apmērā un 2016. gadam </w:t>
            </w:r>
            <w:r w:rsidRPr="0056234A">
              <w:rPr>
                <w:color w:val="000000"/>
                <w:sz w:val="22"/>
                <w:szCs w:val="22"/>
                <w:lang w:eastAsia="lv-LV"/>
              </w:rPr>
              <w:t>12 465 5</w:t>
            </w:r>
            <w:r w:rsidRPr="0056234A">
              <w:rPr>
                <w:sz w:val="22"/>
                <w:szCs w:val="22"/>
              </w:rPr>
              <w:t xml:space="preserve">00 000 </w:t>
            </w:r>
            <w:proofErr w:type="spellStart"/>
            <w:r w:rsidRPr="0056234A">
              <w:rPr>
                <w:i/>
                <w:sz w:val="22"/>
                <w:szCs w:val="22"/>
              </w:rPr>
              <w:t>euro</w:t>
            </w:r>
            <w:proofErr w:type="spellEnd"/>
            <w:r w:rsidRPr="0056234A">
              <w:rPr>
                <w:sz w:val="22"/>
                <w:szCs w:val="22"/>
              </w:rPr>
              <w:t xml:space="preserve"> apmērā. Šā likuma sagatavošanā izmantota potenciālā IKP pieauguma tempa prognoze 2014. gadam 3,7 %, 2015. gadam 4,0 %, 2016. gadam 4,1 %, 2017. gadam 4,1 % un 2018. gadam 3,9 %.</w:t>
            </w:r>
          </w:p>
        </w:tc>
        <w:tc>
          <w:tcPr>
            <w:tcW w:w="644" w:type="dxa"/>
          </w:tcPr>
          <w:p w:rsidR="00B60EDA" w:rsidRPr="00D21B94" w:rsidRDefault="00B60EDA" w:rsidP="00EA09BE">
            <w:pPr>
              <w:jc w:val="center"/>
              <w:rPr>
                <w:b/>
                <w:sz w:val="22"/>
                <w:szCs w:val="22"/>
              </w:rPr>
            </w:pPr>
          </w:p>
        </w:tc>
        <w:tc>
          <w:tcPr>
            <w:tcW w:w="5530" w:type="dxa"/>
          </w:tcPr>
          <w:p w:rsidR="00B60EDA" w:rsidRPr="000435A6" w:rsidRDefault="00B60EDA" w:rsidP="000435A6">
            <w:pPr>
              <w:ind w:firstLine="567"/>
              <w:jc w:val="both"/>
              <w:rPr>
                <w:b/>
                <w:sz w:val="22"/>
                <w:szCs w:val="22"/>
                <w:u w:val="single"/>
              </w:rPr>
            </w:pPr>
          </w:p>
        </w:tc>
        <w:tc>
          <w:tcPr>
            <w:tcW w:w="1439"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4171B2">
        <w:tc>
          <w:tcPr>
            <w:tcW w:w="5815" w:type="dxa"/>
          </w:tcPr>
          <w:p w:rsidR="005C5FDC" w:rsidRPr="0056234A" w:rsidRDefault="00CC0242" w:rsidP="0056234A">
            <w:pPr>
              <w:ind w:firstLine="567"/>
              <w:jc w:val="both"/>
              <w:rPr>
                <w:sz w:val="22"/>
                <w:szCs w:val="22"/>
              </w:rPr>
            </w:pPr>
            <w:r w:rsidRPr="0056234A">
              <w:rPr>
                <w:b/>
                <w:sz w:val="22"/>
                <w:szCs w:val="22"/>
              </w:rPr>
              <w:t>5.pants.</w:t>
            </w:r>
            <w:r w:rsidRPr="0056234A">
              <w:rPr>
                <w:sz w:val="22"/>
                <w:szCs w:val="22"/>
              </w:rPr>
              <w:t xml:space="preserve"> Noteikt vispārējās valdības budžeta strukturālās bilances mērķi atbilstoši Eiropas nacionālo un reģionālo kontu sistēmai Eiropas Savienībā 2014. gadā -1 % no IKP, 2015. gadā -1 % no IKP un 2016. gadā -0,9 % no IKP.</w:t>
            </w:r>
          </w:p>
        </w:tc>
        <w:tc>
          <w:tcPr>
            <w:tcW w:w="644" w:type="dxa"/>
          </w:tcPr>
          <w:p w:rsidR="00CA3ADC" w:rsidRPr="00D21B94" w:rsidRDefault="009B6C81" w:rsidP="00EA09BE">
            <w:pPr>
              <w:jc w:val="center"/>
              <w:rPr>
                <w:b/>
                <w:sz w:val="22"/>
                <w:szCs w:val="22"/>
              </w:rPr>
            </w:pPr>
            <w:r>
              <w:rPr>
                <w:b/>
                <w:sz w:val="22"/>
                <w:szCs w:val="22"/>
              </w:rPr>
              <w:t>4</w:t>
            </w:r>
          </w:p>
        </w:tc>
        <w:tc>
          <w:tcPr>
            <w:tcW w:w="5530" w:type="dxa"/>
          </w:tcPr>
          <w:p w:rsidR="005D62F6" w:rsidRPr="000435A6" w:rsidRDefault="009F4F61" w:rsidP="000435A6">
            <w:pPr>
              <w:ind w:firstLine="567"/>
              <w:jc w:val="both"/>
              <w:rPr>
                <w:b/>
                <w:sz w:val="22"/>
                <w:szCs w:val="22"/>
                <w:u w:val="single"/>
              </w:rPr>
            </w:pPr>
            <w:r w:rsidRPr="000435A6">
              <w:rPr>
                <w:b/>
                <w:sz w:val="22"/>
                <w:szCs w:val="22"/>
                <w:u w:val="single"/>
              </w:rPr>
              <w:t xml:space="preserve">Juridiskais birojs </w:t>
            </w:r>
          </w:p>
          <w:p w:rsidR="009F4F61" w:rsidRPr="000435A6" w:rsidRDefault="009F4F61" w:rsidP="000435A6">
            <w:pPr>
              <w:ind w:firstLine="567"/>
              <w:jc w:val="both"/>
              <w:rPr>
                <w:sz w:val="22"/>
                <w:szCs w:val="22"/>
              </w:rPr>
            </w:pPr>
            <w:r w:rsidRPr="000435A6">
              <w:rPr>
                <w:sz w:val="22"/>
                <w:szCs w:val="22"/>
              </w:rPr>
              <w:t>Ierosinām izteikt likumprojekta 5. pantu šādā redakcijā:</w:t>
            </w:r>
          </w:p>
          <w:p w:rsidR="00AF3DE2" w:rsidRPr="000435A6" w:rsidRDefault="009F4F61" w:rsidP="000435A6">
            <w:pPr>
              <w:ind w:firstLine="567"/>
              <w:jc w:val="both"/>
              <w:rPr>
                <w:i/>
                <w:sz w:val="22"/>
                <w:szCs w:val="22"/>
              </w:rPr>
            </w:pPr>
            <w:r w:rsidRPr="000435A6">
              <w:rPr>
                <w:sz w:val="22"/>
                <w:szCs w:val="22"/>
              </w:rPr>
              <w:t>‘’</w:t>
            </w:r>
            <w:r w:rsidRPr="000435A6">
              <w:rPr>
                <w:b/>
                <w:sz w:val="22"/>
                <w:szCs w:val="22"/>
              </w:rPr>
              <w:t>5. pants.</w:t>
            </w:r>
            <w:r w:rsidRPr="000435A6">
              <w:rPr>
                <w:sz w:val="22"/>
                <w:szCs w:val="22"/>
              </w:rPr>
              <w:t xml:space="preserve"> Vispārējās valdības budžeta strukturālās bilances mērķis atbilstoši Eiropas Kontu sistēmas (EKS’95) metodoloģijai, kas noteikta saskaņā ar Padomes 1996. gada 25. jūnija regulu (EK) </w:t>
            </w:r>
            <w:proofErr w:type="spellStart"/>
            <w:r w:rsidRPr="000435A6">
              <w:rPr>
                <w:sz w:val="22"/>
                <w:szCs w:val="22"/>
              </w:rPr>
              <w:t>Nr</w:t>
            </w:r>
            <w:proofErr w:type="spellEnd"/>
            <w:r w:rsidRPr="000435A6">
              <w:rPr>
                <w:sz w:val="22"/>
                <w:szCs w:val="22"/>
              </w:rPr>
              <w:t xml:space="preserve">. 2223/96 par Eiropas nacionālo un reģionālo kontu sistēmu Kopienā (turpmāk -  Eiropas nacionālo un reģionālo kontu sistēma </w:t>
            </w:r>
            <w:proofErr w:type="gramStart"/>
            <w:r w:rsidRPr="000435A6">
              <w:rPr>
                <w:sz w:val="22"/>
                <w:szCs w:val="22"/>
              </w:rPr>
              <w:t>Eiropas savienībā</w:t>
            </w:r>
            <w:proofErr w:type="gramEnd"/>
            <w:r w:rsidRPr="000435A6">
              <w:rPr>
                <w:sz w:val="22"/>
                <w:szCs w:val="22"/>
              </w:rPr>
              <w:t>) 2014. gadā  ir 1 % no IKP, 2015. gadā -1 % no IKP un 2016. gadā -0,9 % no IKP.’’</w:t>
            </w:r>
          </w:p>
        </w:tc>
        <w:tc>
          <w:tcPr>
            <w:tcW w:w="1439"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4171B2">
        <w:tc>
          <w:tcPr>
            <w:tcW w:w="5815" w:type="dxa"/>
          </w:tcPr>
          <w:p w:rsidR="00B60EDA" w:rsidRPr="0056234A" w:rsidRDefault="00CC0242" w:rsidP="0056234A">
            <w:pPr>
              <w:ind w:firstLine="567"/>
              <w:jc w:val="both"/>
              <w:rPr>
                <w:b/>
                <w:bCs/>
                <w:color w:val="000000"/>
                <w:sz w:val="22"/>
                <w:szCs w:val="22"/>
                <w:lang w:eastAsia="lv-LV"/>
              </w:rPr>
            </w:pPr>
            <w:r w:rsidRPr="0056234A">
              <w:rPr>
                <w:b/>
                <w:sz w:val="22"/>
                <w:szCs w:val="22"/>
              </w:rPr>
              <w:t>6.pants.</w:t>
            </w:r>
            <w:r w:rsidRPr="0056234A">
              <w:rPr>
                <w:sz w:val="22"/>
                <w:szCs w:val="22"/>
              </w:rPr>
              <w:t xml:space="preserve"> Noteikt vispārējās valdības budžeta bilanci atbilstoši Eiropas nacionālo un reģionālo kontu sistēmai Eiropas Savienībā 2014. gadā -0,9 % no IKP, 2015.gadā -0,9 % no IKP un 2016. gadā ir -0,8 % no IKP.</w:t>
            </w:r>
          </w:p>
        </w:tc>
        <w:tc>
          <w:tcPr>
            <w:tcW w:w="644" w:type="dxa"/>
          </w:tcPr>
          <w:p w:rsidR="00B60EDA" w:rsidRPr="00D21B94" w:rsidRDefault="009B6C81" w:rsidP="00EA09BE">
            <w:pPr>
              <w:jc w:val="center"/>
              <w:rPr>
                <w:b/>
                <w:sz w:val="22"/>
                <w:szCs w:val="22"/>
              </w:rPr>
            </w:pPr>
            <w:r>
              <w:rPr>
                <w:b/>
                <w:sz w:val="22"/>
                <w:szCs w:val="22"/>
              </w:rPr>
              <w:t>5</w:t>
            </w:r>
          </w:p>
        </w:tc>
        <w:tc>
          <w:tcPr>
            <w:tcW w:w="5530" w:type="dxa"/>
          </w:tcPr>
          <w:p w:rsidR="005D62F6" w:rsidRPr="000435A6" w:rsidRDefault="009F4F61" w:rsidP="000435A6">
            <w:pPr>
              <w:ind w:firstLine="567"/>
              <w:jc w:val="both"/>
              <w:rPr>
                <w:b/>
                <w:sz w:val="22"/>
                <w:szCs w:val="22"/>
                <w:u w:val="single"/>
              </w:rPr>
            </w:pPr>
            <w:r w:rsidRPr="000435A6">
              <w:rPr>
                <w:b/>
                <w:sz w:val="22"/>
                <w:szCs w:val="22"/>
                <w:u w:val="single"/>
              </w:rPr>
              <w:t xml:space="preserve">Juridiskais birojs </w:t>
            </w:r>
          </w:p>
          <w:p w:rsidR="00B60EDA" w:rsidRPr="000435A6" w:rsidRDefault="009F4F61" w:rsidP="000435A6">
            <w:pPr>
              <w:ind w:firstLine="567"/>
              <w:jc w:val="both"/>
              <w:rPr>
                <w:b/>
                <w:i/>
                <w:sz w:val="22"/>
                <w:szCs w:val="22"/>
                <w:u w:val="single"/>
              </w:rPr>
            </w:pPr>
            <w:r w:rsidRPr="000435A6">
              <w:rPr>
                <w:i/>
                <w:sz w:val="22"/>
                <w:szCs w:val="22"/>
              </w:rPr>
              <w:t>Ierosinām izslēgt 6. pantā vārdus ‘’Noteikt, ka’’ (izdarot šādam izslēgumam atbilstošus redakcionālus precizējumus panta tekstā).</w:t>
            </w:r>
          </w:p>
        </w:tc>
        <w:tc>
          <w:tcPr>
            <w:tcW w:w="1439"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4171B2">
        <w:tc>
          <w:tcPr>
            <w:tcW w:w="5815" w:type="dxa"/>
          </w:tcPr>
          <w:p w:rsidR="00293B17" w:rsidRPr="0056234A" w:rsidRDefault="00CC0242" w:rsidP="0056234A">
            <w:pPr>
              <w:ind w:firstLine="567"/>
              <w:jc w:val="both"/>
              <w:rPr>
                <w:b/>
                <w:bCs/>
                <w:color w:val="000000"/>
                <w:sz w:val="22"/>
                <w:szCs w:val="22"/>
                <w:lang w:eastAsia="lv-LV"/>
              </w:rPr>
            </w:pPr>
            <w:r w:rsidRPr="0056234A">
              <w:rPr>
                <w:b/>
                <w:sz w:val="22"/>
                <w:szCs w:val="22"/>
              </w:rPr>
              <w:t>7.pants.</w:t>
            </w:r>
            <w:r w:rsidRPr="0056234A">
              <w:rPr>
                <w:sz w:val="22"/>
                <w:szCs w:val="22"/>
              </w:rPr>
              <w:t xml:space="preserve"> Noteikt valsts budžeta finansiālās bilances apjomu un maksimāli pieļaujamo valsts budžeta izdevumu kopapjomu 2014., 2015. un 2016. gadam saskaņā ar 1.pielikumu.</w:t>
            </w:r>
          </w:p>
        </w:tc>
        <w:tc>
          <w:tcPr>
            <w:tcW w:w="644" w:type="dxa"/>
          </w:tcPr>
          <w:p w:rsidR="00CA3ADC" w:rsidRPr="00D21B94" w:rsidRDefault="00CA3ADC" w:rsidP="00EA09BE">
            <w:pPr>
              <w:jc w:val="center"/>
              <w:rPr>
                <w:b/>
                <w:sz w:val="22"/>
                <w:szCs w:val="22"/>
              </w:rPr>
            </w:pPr>
          </w:p>
        </w:tc>
        <w:tc>
          <w:tcPr>
            <w:tcW w:w="5530" w:type="dxa"/>
          </w:tcPr>
          <w:p w:rsidR="00CC407E" w:rsidRPr="000435A6" w:rsidRDefault="00CC407E" w:rsidP="000435A6">
            <w:pPr>
              <w:ind w:firstLine="567"/>
              <w:jc w:val="both"/>
              <w:rPr>
                <w:b/>
                <w:sz w:val="22"/>
                <w:szCs w:val="22"/>
                <w:u w:val="single"/>
              </w:rPr>
            </w:pPr>
          </w:p>
        </w:tc>
        <w:tc>
          <w:tcPr>
            <w:tcW w:w="1439"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4171B2">
        <w:tc>
          <w:tcPr>
            <w:tcW w:w="5815" w:type="dxa"/>
          </w:tcPr>
          <w:p w:rsidR="005C5FDC" w:rsidRPr="0056234A" w:rsidRDefault="00CC0242" w:rsidP="0056234A">
            <w:pPr>
              <w:ind w:firstLine="567"/>
              <w:jc w:val="both"/>
              <w:rPr>
                <w:sz w:val="22"/>
                <w:szCs w:val="22"/>
              </w:rPr>
            </w:pPr>
            <w:r w:rsidRPr="0056234A">
              <w:rPr>
                <w:b/>
                <w:sz w:val="22"/>
                <w:szCs w:val="22"/>
              </w:rPr>
              <w:t>8.pants.</w:t>
            </w:r>
            <w:r w:rsidRPr="0056234A">
              <w:rPr>
                <w:sz w:val="22"/>
                <w:szCs w:val="22"/>
              </w:rPr>
              <w:t xml:space="preserve"> Noteikt valsts budžeta ieņēmumu prognozes </w:t>
            </w:r>
            <w:r w:rsidRPr="0056234A">
              <w:rPr>
                <w:sz w:val="22"/>
                <w:szCs w:val="22"/>
              </w:rPr>
              <w:lastRenderedPageBreak/>
              <w:t>2014., 2015. un 2016. gadam saskaņā ar 1. un 2. pielikumu.</w:t>
            </w:r>
          </w:p>
        </w:tc>
        <w:tc>
          <w:tcPr>
            <w:tcW w:w="644" w:type="dxa"/>
          </w:tcPr>
          <w:p w:rsidR="00CA3ADC" w:rsidRPr="00D21B94" w:rsidRDefault="00CA3ADC" w:rsidP="00EA09BE">
            <w:pPr>
              <w:jc w:val="center"/>
              <w:rPr>
                <w:b/>
                <w:sz w:val="22"/>
                <w:szCs w:val="22"/>
              </w:rPr>
            </w:pPr>
          </w:p>
        </w:tc>
        <w:tc>
          <w:tcPr>
            <w:tcW w:w="5530" w:type="dxa"/>
          </w:tcPr>
          <w:p w:rsidR="00D507D8" w:rsidRPr="000435A6" w:rsidRDefault="00D507D8" w:rsidP="000435A6">
            <w:pPr>
              <w:ind w:firstLine="567"/>
              <w:jc w:val="both"/>
              <w:rPr>
                <w:color w:val="000000"/>
                <w:sz w:val="22"/>
                <w:szCs w:val="22"/>
              </w:rPr>
            </w:pPr>
          </w:p>
        </w:tc>
        <w:tc>
          <w:tcPr>
            <w:tcW w:w="1439"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4171B2">
        <w:tc>
          <w:tcPr>
            <w:tcW w:w="5815" w:type="dxa"/>
          </w:tcPr>
          <w:p w:rsidR="005C5FDC" w:rsidRPr="0056234A" w:rsidRDefault="00CC0242" w:rsidP="0056234A">
            <w:pPr>
              <w:ind w:firstLine="567"/>
              <w:jc w:val="both"/>
              <w:rPr>
                <w:sz w:val="22"/>
                <w:szCs w:val="22"/>
              </w:rPr>
            </w:pPr>
            <w:r w:rsidRPr="0056234A">
              <w:rPr>
                <w:b/>
                <w:sz w:val="22"/>
                <w:szCs w:val="22"/>
              </w:rPr>
              <w:lastRenderedPageBreak/>
              <w:t>9.pants.</w:t>
            </w:r>
            <w:r w:rsidRPr="0056234A">
              <w:rPr>
                <w:sz w:val="22"/>
                <w:szCs w:val="22"/>
              </w:rPr>
              <w:t xml:space="preserve"> </w:t>
            </w:r>
            <w:r w:rsidRPr="005D62F6">
              <w:rPr>
                <w:sz w:val="22"/>
                <w:szCs w:val="22"/>
                <w:u w:val="single"/>
              </w:rPr>
              <w:t>Saskaņā ar Fiskālās disciplīnas likuma (turpmāk – FDL) 18. pantu un ievērojot FDL pārejas noteikumu 5. un 6. punktu</w:t>
            </w:r>
            <w:r w:rsidRPr="0056234A">
              <w:rPr>
                <w:sz w:val="22"/>
                <w:szCs w:val="22"/>
              </w:rPr>
              <w:t xml:space="preserve">, noteikt izlīdzinātos izdevumus 2016. gadā 1 069 823 066 </w:t>
            </w:r>
            <w:proofErr w:type="spellStart"/>
            <w:r w:rsidRPr="0056234A">
              <w:rPr>
                <w:i/>
                <w:sz w:val="22"/>
                <w:szCs w:val="22"/>
              </w:rPr>
              <w:t>euro</w:t>
            </w:r>
            <w:proofErr w:type="spellEnd"/>
            <w:r w:rsidRPr="0056234A">
              <w:rPr>
                <w:sz w:val="22"/>
                <w:szCs w:val="22"/>
              </w:rPr>
              <w:t xml:space="preserve">, tai skaitā Eiropas Savienības struktūrfondu un Kohēzijas fonda izlīdzinātos izdevumus 482 809 182 </w:t>
            </w:r>
            <w:proofErr w:type="spellStart"/>
            <w:r w:rsidRPr="0056234A">
              <w:rPr>
                <w:i/>
                <w:sz w:val="22"/>
                <w:szCs w:val="22"/>
              </w:rPr>
              <w:t>euro</w:t>
            </w:r>
            <w:proofErr w:type="spellEnd"/>
            <w:r w:rsidRPr="0056234A">
              <w:rPr>
                <w:sz w:val="22"/>
                <w:szCs w:val="22"/>
              </w:rPr>
              <w:t xml:space="preserve"> un kopējās lauksaimniecības politikas un kopējās zivsaimniecības politikas izlīdzinātos izdevumus 2016. gadā 587 013 884 </w:t>
            </w:r>
            <w:proofErr w:type="spellStart"/>
            <w:r w:rsidRPr="0056234A">
              <w:rPr>
                <w:i/>
                <w:sz w:val="22"/>
                <w:szCs w:val="22"/>
              </w:rPr>
              <w:t>euro</w:t>
            </w:r>
            <w:proofErr w:type="spellEnd"/>
            <w:r w:rsidRPr="0056234A">
              <w:rPr>
                <w:sz w:val="22"/>
                <w:szCs w:val="22"/>
              </w:rPr>
              <w:t>.</w:t>
            </w:r>
          </w:p>
        </w:tc>
        <w:tc>
          <w:tcPr>
            <w:tcW w:w="644" w:type="dxa"/>
          </w:tcPr>
          <w:p w:rsidR="00E531A9" w:rsidRPr="00D21B94" w:rsidRDefault="009B6C81" w:rsidP="00EA09BE">
            <w:pPr>
              <w:jc w:val="center"/>
              <w:rPr>
                <w:b/>
                <w:sz w:val="22"/>
                <w:szCs w:val="22"/>
              </w:rPr>
            </w:pPr>
            <w:r>
              <w:rPr>
                <w:b/>
                <w:sz w:val="22"/>
                <w:szCs w:val="22"/>
              </w:rPr>
              <w:t>6</w:t>
            </w:r>
          </w:p>
        </w:tc>
        <w:tc>
          <w:tcPr>
            <w:tcW w:w="5530" w:type="dxa"/>
          </w:tcPr>
          <w:p w:rsidR="005D62F6" w:rsidRPr="000435A6" w:rsidRDefault="009F4F61" w:rsidP="000435A6">
            <w:pPr>
              <w:ind w:firstLine="567"/>
              <w:jc w:val="both"/>
              <w:rPr>
                <w:b/>
                <w:sz w:val="22"/>
                <w:szCs w:val="22"/>
                <w:u w:val="single"/>
              </w:rPr>
            </w:pPr>
            <w:r w:rsidRPr="000435A6">
              <w:rPr>
                <w:b/>
                <w:sz w:val="22"/>
                <w:szCs w:val="22"/>
                <w:u w:val="single"/>
              </w:rPr>
              <w:t>Juridiskais birojs</w:t>
            </w:r>
          </w:p>
          <w:p w:rsidR="009F4F61" w:rsidRPr="000435A6" w:rsidRDefault="009F4F61" w:rsidP="000435A6">
            <w:pPr>
              <w:ind w:firstLine="567"/>
              <w:jc w:val="both"/>
              <w:rPr>
                <w:sz w:val="22"/>
                <w:szCs w:val="22"/>
              </w:rPr>
            </w:pPr>
            <w:r w:rsidRPr="000435A6">
              <w:rPr>
                <w:sz w:val="22"/>
                <w:szCs w:val="22"/>
              </w:rPr>
              <w:t>Ierosinām aizstāt likumprojekta 9. pantā vārdus ‘’Saskaņā ar Fiskālās disciplīnas likuma (turpmāk – FDL) 18. pantu un ievērojot FDL pārejas noteikumu 5. un 6. punktu’’ ar vārdiem ‘’Saskaņā ar Fiskālās disciplīnas likumu’’.</w:t>
            </w:r>
          </w:p>
          <w:p w:rsidR="00E531A9" w:rsidRPr="000435A6" w:rsidRDefault="00E531A9" w:rsidP="000435A6">
            <w:pPr>
              <w:ind w:firstLine="567"/>
              <w:jc w:val="both"/>
              <w:rPr>
                <w:color w:val="000000"/>
                <w:sz w:val="22"/>
                <w:szCs w:val="22"/>
              </w:rPr>
            </w:pPr>
          </w:p>
        </w:tc>
        <w:tc>
          <w:tcPr>
            <w:tcW w:w="1439" w:type="dxa"/>
          </w:tcPr>
          <w:p w:rsidR="00E531A9" w:rsidRPr="008C4B57" w:rsidRDefault="00E531A9"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4171B2">
        <w:tc>
          <w:tcPr>
            <w:tcW w:w="5815" w:type="dxa"/>
          </w:tcPr>
          <w:p w:rsidR="005C5FDC" w:rsidRPr="0056234A" w:rsidRDefault="00CC0242" w:rsidP="0056234A">
            <w:pPr>
              <w:ind w:firstLine="567"/>
              <w:jc w:val="both"/>
              <w:rPr>
                <w:sz w:val="22"/>
                <w:szCs w:val="22"/>
              </w:rPr>
            </w:pPr>
            <w:r w:rsidRPr="0056234A">
              <w:rPr>
                <w:b/>
                <w:sz w:val="22"/>
                <w:szCs w:val="22"/>
              </w:rPr>
              <w:t>10.pants.</w:t>
            </w:r>
            <w:r w:rsidRPr="0056234A">
              <w:rPr>
                <w:sz w:val="22"/>
                <w:szCs w:val="22"/>
              </w:rPr>
              <w:t xml:space="preserve"> </w:t>
            </w:r>
            <w:r w:rsidRPr="005D62F6">
              <w:rPr>
                <w:sz w:val="22"/>
                <w:szCs w:val="22"/>
                <w:u w:val="single"/>
              </w:rPr>
              <w:t>Saskaņā ar FDL 5. pantu</w:t>
            </w:r>
            <w:r w:rsidRPr="0056234A">
              <w:rPr>
                <w:sz w:val="22"/>
                <w:szCs w:val="22"/>
              </w:rPr>
              <w:t xml:space="preserve">, noteikt koriģētos maksimāli pieļaujamos valsts budžeta izdevumus 2014. gadā 7 151 805 255 </w:t>
            </w:r>
            <w:proofErr w:type="spellStart"/>
            <w:r w:rsidRPr="0056234A">
              <w:rPr>
                <w:i/>
                <w:sz w:val="22"/>
                <w:szCs w:val="22"/>
              </w:rPr>
              <w:t>euro</w:t>
            </w:r>
            <w:proofErr w:type="spellEnd"/>
            <w:r w:rsidRPr="0056234A">
              <w:rPr>
                <w:sz w:val="22"/>
                <w:szCs w:val="22"/>
              </w:rPr>
              <w:t xml:space="preserve">, 2015. gadā 7 017 285 770 </w:t>
            </w:r>
            <w:proofErr w:type="spellStart"/>
            <w:r w:rsidRPr="0056234A">
              <w:rPr>
                <w:i/>
                <w:sz w:val="22"/>
                <w:szCs w:val="22"/>
              </w:rPr>
              <w:t>euro</w:t>
            </w:r>
            <w:proofErr w:type="spellEnd"/>
            <w:r w:rsidRPr="0056234A">
              <w:rPr>
                <w:sz w:val="22"/>
                <w:szCs w:val="22"/>
              </w:rPr>
              <w:t xml:space="preserve"> un 2016.gadā 6 386 502 440 </w:t>
            </w:r>
            <w:proofErr w:type="spellStart"/>
            <w:r w:rsidRPr="0056234A">
              <w:rPr>
                <w:i/>
                <w:sz w:val="22"/>
                <w:szCs w:val="22"/>
              </w:rPr>
              <w:t>euro</w:t>
            </w:r>
            <w:proofErr w:type="spellEnd"/>
            <w:r w:rsidRPr="0056234A">
              <w:rPr>
                <w:sz w:val="22"/>
                <w:szCs w:val="22"/>
              </w:rPr>
              <w:t>.</w:t>
            </w:r>
          </w:p>
        </w:tc>
        <w:tc>
          <w:tcPr>
            <w:tcW w:w="644" w:type="dxa"/>
          </w:tcPr>
          <w:p w:rsidR="00CA3ADC" w:rsidRPr="00D21B94" w:rsidRDefault="009B6C81" w:rsidP="00EA09BE">
            <w:pPr>
              <w:jc w:val="center"/>
              <w:rPr>
                <w:b/>
                <w:sz w:val="22"/>
                <w:szCs w:val="22"/>
              </w:rPr>
            </w:pPr>
            <w:r>
              <w:rPr>
                <w:b/>
                <w:sz w:val="22"/>
                <w:szCs w:val="22"/>
              </w:rPr>
              <w:t>7</w:t>
            </w:r>
          </w:p>
        </w:tc>
        <w:tc>
          <w:tcPr>
            <w:tcW w:w="5530" w:type="dxa"/>
          </w:tcPr>
          <w:p w:rsidR="005D62F6" w:rsidRPr="000435A6" w:rsidRDefault="009F4F61" w:rsidP="000435A6">
            <w:pPr>
              <w:ind w:firstLine="567"/>
              <w:jc w:val="both"/>
              <w:rPr>
                <w:b/>
                <w:sz w:val="22"/>
                <w:szCs w:val="22"/>
                <w:u w:val="single"/>
              </w:rPr>
            </w:pPr>
            <w:r w:rsidRPr="000435A6">
              <w:rPr>
                <w:b/>
                <w:sz w:val="22"/>
                <w:szCs w:val="22"/>
                <w:u w:val="single"/>
              </w:rPr>
              <w:t xml:space="preserve">Juridiskais birojs </w:t>
            </w:r>
          </w:p>
          <w:p w:rsidR="00A37292" w:rsidRPr="000435A6" w:rsidRDefault="009F4F61" w:rsidP="000435A6">
            <w:pPr>
              <w:ind w:firstLine="567"/>
              <w:jc w:val="both"/>
              <w:rPr>
                <w:i/>
                <w:sz w:val="22"/>
                <w:szCs w:val="22"/>
              </w:rPr>
            </w:pPr>
            <w:r w:rsidRPr="000435A6">
              <w:rPr>
                <w:sz w:val="22"/>
                <w:szCs w:val="22"/>
              </w:rPr>
              <w:t>Ierosinām aizstāt likumprojekta 10. pantā vārdus ‘’Saskaņā ar FDL 5. pantu’’ ar vārdiem ‘’Saskaņā ar Fiskālās disciplīnas likumu’’.</w:t>
            </w:r>
          </w:p>
        </w:tc>
        <w:tc>
          <w:tcPr>
            <w:tcW w:w="1439"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4171B2">
        <w:tc>
          <w:tcPr>
            <w:tcW w:w="5815" w:type="dxa"/>
          </w:tcPr>
          <w:p w:rsidR="005C5FDC" w:rsidRPr="0056234A" w:rsidRDefault="00CC0242" w:rsidP="0056234A">
            <w:pPr>
              <w:ind w:firstLine="567"/>
              <w:jc w:val="both"/>
              <w:rPr>
                <w:b/>
                <w:bCs/>
                <w:sz w:val="22"/>
                <w:szCs w:val="22"/>
              </w:rPr>
            </w:pPr>
            <w:r w:rsidRPr="0056234A">
              <w:rPr>
                <w:b/>
                <w:sz w:val="22"/>
                <w:szCs w:val="22"/>
              </w:rPr>
              <w:t>11.pants.</w:t>
            </w:r>
            <w:r w:rsidRPr="0056234A">
              <w:rPr>
                <w:sz w:val="22"/>
                <w:szCs w:val="22"/>
              </w:rPr>
              <w:t xml:space="preserve"> Noteikt maksimāli pieļaujamo valsts budžeta kopējo izdevumu apjomu katrai ministrijai un citai centrālajai valsts iestādei 2014., 2015. un 2016. gadam saskaņā ar 3. pielikumu.</w:t>
            </w:r>
          </w:p>
        </w:tc>
        <w:tc>
          <w:tcPr>
            <w:tcW w:w="644" w:type="dxa"/>
          </w:tcPr>
          <w:p w:rsidR="00CA3ADC" w:rsidRPr="00D21B94" w:rsidRDefault="00CA3ADC" w:rsidP="00EA09BE">
            <w:pPr>
              <w:jc w:val="center"/>
              <w:rPr>
                <w:b/>
                <w:bCs/>
                <w:sz w:val="22"/>
                <w:szCs w:val="22"/>
              </w:rPr>
            </w:pPr>
          </w:p>
        </w:tc>
        <w:tc>
          <w:tcPr>
            <w:tcW w:w="5530" w:type="dxa"/>
          </w:tcPr>
          <w:p w:rsidR="005C5FDC" w:rsidRPr="000435A6" w:rsidRDefault="005C5FDC" w:rsidP="000435A6">
            <w:pPr>
              <w:ind w:firstLine="567"/>
              <w:jc w:val="both"/>
              <w:rPr>
                <w:b/>
                <w:bCs/>
                <w:i/>
                <w:sz w:val="22"/>
                <w:szCs w:val="22"/>
              </w:rPr>
            </w:pPr>
          </w:p>
        </w:tc>
        <w:tc>
          <w:tcPr>
            <w:tcW w:w="1439"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4171B2">
        <w:tc>
          <w:tcPr>
            <w:tcW w:w="5815" w:type="dxa"/>
          </w:tcPr>
          <w:p w:rsidR="005C5FDC" w:rsidRPr="0056234A" w:rsidRDefault="00CC0242" w:rsidP="0056234A">
            <w:pPr>
              <w:ind w:firstLine="567"/>
              <w:jc w:val="both"/>
              <w:rPr>
                <w:b/>
                <w:sz w:val="22"/>
                <w:szCs w:val="22"/>
              </w:rPr>
            </w:pPr>
            <w:r w:rsidRPr="0056234A">
              <w:rPr>
                <w:b/>
                <w:sz w:val="22"/>
                <w:szCs w:val="22"/>
              </w:rPr>
              <w:t>12. pants.</w:t>
            </w:r>
            <w:r w:rsidRPr="0056234A">
              <w:rPr>
                <w:sz w:val="22"/>
                <w:szCs w:val="22"/>
              </w:rPr>
              <w:t xml:space="preserve"> Pamatojoties uz sagatavotajām ieņēmumu prognozēm un apstiprinātajiem valsts budžeta izdevumiem 2014., 2015. un 2016. gadam, kā arī ņemot vērā apstiprinātos pasākumus nodokļu politikas jomā, pašvaldībām vidējā termiņā tiek nodrošināts stabils ieņēmumu pieauguma temps pie iedzīvotāju ienākuma nodokļa ieņēmumu sadalījuma pašvaldību budžetiem 80 % un valsts budžetā attiecīgi 20 % apmēra.</w:t>
            </w:r>
          </w:p>
        </w:tc>
        <w:tc>
          <w:tcPr>
            <w:tcW w:w="644" w:type="dxa"/>
          </w:tcPr>
          <w:p w:rsidR="00CA3ADC" w:rsidRDefault="009B6C81" w:rsidP="00EA09BE">
            <w:pPr>
              <w:jc w:val="center"/>
              <w:rPr>
                <w:b/>
                <w:sz w:val="22"/>
                <w:szCs w:val="22"/>
              </w:rPr>
            </w:pPr>
            <w:r>
              <w:rPr>
                <w:b/>
                <w:sz w:val="22"/>
                <w:szCs w:val="22"/>
              </w:rPr>
              <w:t>8</w:t>
            </w:r>
          </w:p>
          <w:p w:rsidR="009B6C81" w:rsidRDefault="009B6C81" w:rsidP="00EA09BE">
            <w:pPr>
              <w:jc w:val="center"/>
              <w:rPr>
                <w:b/>
                <w:sz w:val="22"/>
                <w:szCs w:val="22"/>
              </w:rPr>
            </w:pPr>
          </w:p>
          <w:p w:rsidR="009B6C81" w:rsidRDefault="009B6C81" w:rsidP="00EA09BE">
            <w:pPr>
              <w:jc w:val="center"/>
              <w:rPr>
                <w:b/>
                <w:sz w:val="22"/>
                <w:szCs w:val="22"/>
              </w:rPr>
            </w:pPr>
          </w:p>
          <w:p w:rsidR="009B6C81" w:rsidRDefault="009B6C81" w:rsidP="00EA09BE">
            <w:pPr>
              <w:jc w:val="center"/>
              <w:rPr>
                <w:b/>
                <w:sz w:val="22"/>
                <w:szCs w:val="22"/>
              </w:rPr>
            </w:pPr>
          </w:p>
          <w:p w:rsidR="001B60BF" w:rsidRDefault="001B60BF" w:rsidP="00EA09BE">
            <w:pPr>
              <w:jc w:val="center"/>
              <w:rPr>
                <w:b/>
                <w:sz w:val="22"/>
                <w:szCs w:val="22"/>
              </w:rPr>
            </w:pPr>
          </w:p>
          <w:p w:rsidR="009B6C81" w:rsidRDefault="009B6C81" w:rsidP="00EA09BE">
            <w:pPr>
              <w:jc w:val="center"/>
              <w:rPr>
                <w:b/>
                <w:sz w:val="22"/>
                <w:szCs w:val="22"/>
              </w:rPr>
            </w:pPr>
          </w:p>
          <w:p w:rsidR="009B6C81" w:rsidRDefault="009B6C81" w:rsidP="00EA09BE">
            <w:pPr>
              <w:jc w:val="center"/>
              <w:rPr>
                <w:b/>
                <w:sz w:val="22"/>
                <w:szCs w:val="22"/>
              </w:rPr>
            </w:pPr>
          </w:p>
          <w:p w:rsidR="009B6C81" w:rsidRDefault="009B6C81" w:rsidP="00EA09BE">
            <w:pPr>
              <w:jc w:val="center"/>
              <w:rPr>
                <w:b/>
                <w:sz w:val="22"/>
                <w:szCs w:val="22"/>
              </w:rPr>
            </w:pPr>
            <w:r>
              <w:rPr>
                <w:b/>
                <w:sz w:val="22"/>
                <w:szCs w:val="22"/>
              </w:rPr>
              <w:t>9</w:t>
            </w:r>
          </w:p>
          <w:p w:rsidR="00E53D11" w:rsidRDefault="00E53D11" w:rsidP="00EA09BE">
            <w:pPr>
              <w:jc w:val="center"/>
              <w:rPr>
                <w:b/>
                <w:sz w:val="22"/>
                <w:szCs w:val="22"/>
              </w:rPr>
            </w:pPr>
          </w:p>
          <w:p w:rsidR="00E53D11" w:rsidRDefault="00E53D11" w:rsidP="00EA09BE">
            <w:pPr>
              <w:jc w:val="center"/>
              <w:rPr>
                <w:b/>
                <w:sz w:val="22"/>
                <w:szCs w:val="22"/>
              </w:rPr>
            </w:pPr>
          </w:p>
          <w:p w:rsidR="00E53D11" w:rsidRDefault="00E53D11" w:rsidP="00EA09BE">
            <w:pPr>
              <w:jc w:val="center"/>
              <w:rPr>
                <w:b/>
                <w:sz w:val="22"/>
                <w:szCs w:val="22"/>
              </w:rPr>
            </w:pPr>
          </w:p>
          <w:p w:rsidR="00E53D11" w:rsidRDefault="00E53D11" w:rsidP="00EA09BE">
            <w:pPr>
              <w:jc w:val="center"/>
              <w:rPr>
                <w:b/>
                <w:sz w:val="22"/>
                <w:szCs w:val="22"/>
              </w:rPr>
            </w:pPr>
          </w:p>
          <w:p w:rsidR="00E53D11" w:rsidRDefault="00E53D11" w:rsidP="00EA09BE">
            <w:pPr>
              <w:jc w:val="center"/>
              <w:rPr>
                <w:b/>
                <w:sz w:val="22"/>
                <w:szCs w:val="22"/>
              </w:rPr>
            </w:pPr>
          </w:p>
          <w:p w:rsidR="00E53D11" w:rsidRDefault="00E53D11" w:rsidP="00EA09BE">
            <w:pPr>
              <w:jc w:val="center"/>
              <w:rPr>
                <w:b/>
                <w:sz w:val="22"/>
                <w:szCs w:val="22"/>
              </w:rPr>
            </w:pPr>
          </w:p>
          <w:p w:rsidR="00E53D11" w:rsidRDefault="00E53D11" w:rsidP="00EA09BE">
            <w:pPr>
              <w:jc w:val="center"/>
              <w:rPr>
                <w:b/>
                <w:sz w:val="22"/>
                <w:szCs w:val="22"/>
              </w:rPr>
            </w:pPr>
          </w:p>
          <w:p w:rsidR="00E53D11" w:rsidRDefault="00E53D11" w:rsidP="00EA09BE">
            <w:pPr>
              <w:jc w:val="center"/>
              <w:rPr>
                <w:b/>
                <w:sz w:val="22"/>
                <w:szCs w:val="22"/>
              </w:rPr>
            </w:pPr>
          </w:p>
          <w:p w:rsidR="00E53D11" w:rsidRDefault="00E53D11" w:rsidP="00EA09BE">
            <w:pPr>
              <w:jc w:val="center"/>
              <w:rPr>
                <w:b/>
                <w:sz w:val="22"/>
                <w:szCs w:val="22"/>
              </w:rPr>
            </w:pPr>
          </w:p>
          <w:p w:rsidR="00E53D11" w:rsidRDefault="00E53D11" w:rsidP="00EA09BE">
            <w:pPr>
              <w:jc w:val="center"/>
              <w:rPr>
                <w:b/>
                <w:sz w:val="22"/>
                <w:szCs w:val="22"/>
              </w:rPr>
            </w:pPr>
          </w:p>
          <w:p w:rsidR="00E53D11" w:rsidRPr="00D21B94" w:rsidRDefault="00E53D11" w:rsidP="00EA09BE">
            <w:pPr>
              <w:jc w:val="center"/>
              <w:rPr>
                <w:b/>
                <w:sz w:val="22"/>
                <w:szCs w:val="22"/>
              </w:rPr>
            </w:pPr>
            <w:r>
              <w:rPr>
                <w:b/>
                <w:sz w:val="22"/>
                <w:szCs w:val="22"/>
              </w:rPr>
              <w:lastRenderedPageBreak/>
              <w:t>10</w:t>
            </w:r>
          </w:p>
        </w:tc>
        <w:tc>
          <w:tcPr>
            <w:tcW w:w="5530" w:type="dxa"/>
          </w:tcPr>
          <w:p w:rsidR="001B60BF" w:rsidRPr="00F57DCD" w:rsidRDefault="001B60BF" w:rsidP="001B60BF">
            <w:pPr>
              <w:ind w:firstLine="567"/>
              <w:jc w:val="both"/>
              <w:rPr>
                <w:b/>
                <w:sz w:val="22"/>
                <w:szCs w:val="22"/>
                <w:u w:val="single"/>
              </w:rPr>
            </w:pPr>
            <w:r w:rsidRPr="00F57DCD">
              <w:rPr>
                <w:b/>
                <w:sz w:val="22"/>
                <w:szCs w:val="22"/>
                <w:u w:val="single"/>
              </w:rPr>
              <w:lastRenderedPageBreak/>
              <w:t>Politisko partiju apvienības "Saskaņas Centrs" frakcija</w:t>
            </w:r>
          </w:p>
          <w:p w:rsidR="00E53D11" w:rsidRPr="00E53D11" w:rsidRDefault="00E53D11" w:rsidP="00E53D11">
            <w:pPr>
              <w:ind w:firstLine="567"/>
              <w:jc w:val="both"/>
              <w:rPr>
                <w:sz w:val="22"/>
                <w:szCs w:val="22"/>
              </w:rPr>
            </w:pPr>
            <w:r w:rsidRPr="00E53D11">
              <w:rPr>
                <w:sz w:val="22"/>
                <w:szCs w:val="22"/>
              </w:rPr>
              <w:t>Aizstāt 12.pantā vārdus un skaitļus „pašvaldību budžetiem 80% un valsts budžetā attiecīgi 20 % apmēra” ar vārdiem un skaitļiem „pašvaldību budžetiem 84% un valsts budžetā attiecīgi 16 % apmēra”.</w:t>
            </w:r>
          </w:p>
          <w:p w:rsidR="00E53D11" w:rsidRPr="00E53D11" w:rsidRDefault="00E53D11" w:rsidP="00E53D11">
            <w:pPr>
              <w:ind w:firstLine="567"/>
              <w:jc w:val="both"/>
              <w:rPr>
                <w:b/>
                <w:sz w:val="22"/>
                <w:szCs w:val="22"/>
                <w:u w:val="single"/>
              </w:rPr>
            </w:pPr>
          </w:p>
          <w:p w:rsidR="00943926" w:rsidRPr="00E53D11" w:rsidRDefault="00943926" w:rsidP="00E53D11">
            <w:pPr>
              <w:ind w:firstLine="567"/>
              <w:jc w:val="both"/>
              <w:rPr>
                <w:b/>
                <w:sz w:val="22"/>
                <w:szCs w:val="22"/>
                <w:u w:val="single"/>
              </w:rPr>
            </w:pPr>
            <w:r w:rsidRPr="00E53D11">
              <w:rPr>
                <w:b/>
                <w:sz w:val="22"/>
                <w:szCs w:val="22"/>
                <w:u w:val="single"/>
              </w:rPr>
              <w:t xml:space="preserve">Deputāti </w:t>
            </w:r>
            <w:proofErr w:type="spellStart"/>
            <w:r w:rsidRPr="00E53D11">
              <w:rPr>
                <w:b/>
                <w:sz w:val="22"/>
                <w:szCs w:val="22"/>
                <w:u w:val="single"/>
              </w:rPr>
              <w:t>R.Vējonis</w:t>
            </w:r>
            <w:proofErr w:type="spellEnd"/>
            <w:r w:rsidRPr="00E53D11">
              <w:rPr>
                <w:b/>
                <w:sz w:val="22"/>
                <w:szCs w:val="22"/>
                <w:u w:val="single"/>
              </w:rPr>
              <w:t xml:space="preserve">, </w:t>
            </w:r>
            <w:proofErr w:type="spellStart"/>
            <w:r w:rsidRPr="00E53D11">
              <w:rPr>
                <w:b/>
                <w:sz w:val="22"/>
                <w:szCs w:val="22"/>
                <w:u w:val="single"/>
              </w:rPr>
              <w:t>D.Reizniece-Ozola</w:t>
            </w:r>
            <w:proofErr w:type="spellEnd"/>
            <w:r w:rsidRPr="00E53D11">
              <w:rPr>
                <w:b/>
                <w:sz w:val="22"/>
                <w:szCs w:val="22"/>
                <w:u w:val="single"/>
              </w:rPr>
              <w:t xml:space="preserve"> </w:t>
            </w:r>
          </w:p>
          <w:p w:rsidR="00896321" w:rsidRPr="00E53D11" w:rsidRDefault="00896321" w:rsidP="00E53D11">
            <w:pPr>
              <w:ind w:firstLine="567"/>
              <w:jc w:val="both"/>
              <w:rPr>
                <w:bCs/>
                <w:sz w:val="22"/>
                <w:szCs w:val="22"/>
              </w:rPr>
            </w:pPr>
            <w:r w:rsidRPr="00E53D11">
              <w:rPr>
                <w:bCs/>
                <w:sz w:val="22"/>
                <w:szCs w:val="22"/>
              </w:rPr>
              <w:t>Izteikt 12.pantu šādā redakcijā:</w:t>
            </w:r>
          </w:p>
          <w:p w:rsidR="00896321" w:rsidRPr="00E53D11" w:rsidRDefault="00896321" w:rsidP="00E53D11">
            <w:pPr>
              <w:ind w:firstLine="567"/>
              <w:jc w:val="both"/>
              <w:rPr>
                <w:sz w:val="22"/>
                <w:szCs w:val="22"/>
              </w:rPr>
            </w:pPr>
            <w:r w:rsidRPr="00E53D11">
              <w:rPr>
                <w:sz w:val="22"/>
                <w:szCs w:val="22"/>
              </w:rPr>
              <w:t>„</w:t>
            </w:r>
            <w:r w:rsidRPr="00E53D11">
              <w:rPr>
                <w:b/>
                <w:sz w:val="22"/>
                <w:szCs w:val="22"/>
              </w:rPr>
              <w:t>12. pants.</w:t>
            </w:r>
            <w:r w:rsidRPr="00E53D11">
              <w:rPr>
                <w:sz w:val="22"/>
                <w:szCs w:val="22"/>
              </w:rPr>
              <w:t xml:space="preserve"> Pamatojoties uz sagatavotajām ieņēmumu prognozēm un apstiprinātajiem valsts budžeta izdevumiem 2014., 2015. un 2016. gadam, kā arī ņemot vērā apstiprinātos pasākumus nodokļu politikas jomā, pašvaldībām vidējā termiņā tiek nodrošināts stabils ieņēmumu pieauguma temps pie iedzīvotāju ienākuma nodokļa ieņēmumu sadalījuma pašvaldību budžetiem 82 % un valsts budžetā attiecīgi 18 % apmēra.”</w:t>
            </w:r>
          </w:p>
          <w:p w:rsidR="00896321" w:rsidRPr="00E53D11" w:rsidRDefault="00896321" w:rsidP="00E53D11">
            <w:pPr>
              <w:ind w:firstLine="567"/>
              <w:jc w:val="both"/>
              <w:rPr>
                <w:sz w:val="22"/>
                <w:szCs w:val="22"/>
              </w:rPr>
            </w:pPr>
          </w:p>
          <w:p w:rsidR="009A0566" w:rsidRPr="00E53D11" w:rsidRDefault="009A0566" w:rsidP="00E53D11">
            <w:pPr>
              <w:ind w:firstLine="567"/>
              <w:jc w:val="both"/>
              <w:rPr>
                <w:b/>
                <w:sz w:val="22"/>
                <w:szCs w:val="22"/>
                <w:u w:val="single"/>
              </w:rPr>
            </w:pPr>
            <w:r w:rsidRPr="00E53D11">
              <w:rPr>
                <w:b/>
                <w:sz w:val="22"/>
                <w:szCs w:val="22"/>
                <w:u w:val="single"/>
              </w:rPr>
              <w:lastRenderedPageBreak/>
              <w:t>Zaļo un Zemnieku savienības frakcija</w:t>
            </w:r>
          </w:p>
          <w:p w:rsidR="009A0566" w:rsidRPr="00E53D11" w:rsidRDefault="009A0566" w:rsidP="00E53D11">
            <w:pPr>
              <w:ind w:firstLine="567"/>
              <w:jc w:val="both"/>
              <w:rPr>
                <w:bCs/>
                <w:sz w:val="22"/>
                <w:szCs w:val="22"/>
              </w:rPr>
            </w:pPr>
            <w:r w:rsidRPr="00E53D11">
              <w:rPr>
                <w:bCs/>
                <w:sz w:val="22"/>
                <w:szCs w:val="22"/>
              </w:rPr>
              <w:t>Izteikt 12.pantu šādā redakcijā:</w:t>
            </w:r>
          </w:p>
          <w:p w:rsidR="001172A3" w:rsidRPr="00E53D11" w:rsidRDefault="009A0566" w:rsidP="00E53D11">
            <w:pPr>
              <w:ind w:firstLine="567"/>
              <w:jc w:val="both"/>
              <w:rPr>
                <w:b/>
                <w:sz w:val="22"/>
                <w:szCs w:val="22"/>
              </w:rPr>
            </w:pPr>
            <w:r w:rsidRPr="00E53D11">
              <w:rPr>
                <w:sz w:val="22"/>
                <w:szCs w:val="22"/>
              </w:rPr>
              <w:t>„</w:t>
            </w:r>
            <w:r w:rsidRPr="00E53D11">
              <w:rPr>
                <w:b/>
                <w:sz w:val="22"/>
                <w:szCs w:val="22"/>
              </w:rPr>
              <w:t>12. pants.</w:t>
            </w:r>
            <w:r w:rsidRPr="00E53D11">
              <w:rPr>
                <w:sz w:val="22"/>
                <w:szCs w:val="22"/>
              </w:rPr>
              <w:t xml:space="preserve"> Pamatojoties uz sagatavotajām ieņēmumu prognozēm un apstiprinātajiem valsts budžeta izdevumiem 2014., 2015. un 2016. gadam, kā arī ņemot vērā apstiprinātos pasākumus nodokļu politikas jomā, pašvaldībām vidējā termiņā tiek nodrošināts stabils ieņēmumu pieauguma temps pie iedzīvotāju ienākuma nodokļa ieņēmumu sadalījuma pašvaldību budžetiem 81 % un valsts budžetā attiecīgi 19 % apmēra.”</w:t>
            </w:r>
          </w:p>
        </w:tc>
        <w:tc>
          <w:tcPr>
            <w:tcW w:w="1439"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5C5FDC" w:rsidRPr="008B6465" w:rsidTr="004171B2">
        <w:tc>
          <w:tcPr>
            <w:tcW w:w="5815" w:type="dxa"/>
          </w:tcPr>
          <w:p w:rsidR="005C5FDC" w:rsidRPr="0056234A" w:rsidRDefault="0056234A" w:rsidP="0056234A">
            <w:pPr>
              <w:ind w:firstLine="567"/>
              <w:jc w:val="both"/>
              <w:rPr>
                <w:sz w:val="22"/>
                <w:szCs w:val="22"/>
              </w:rPr>
            </w:pPr>
            <w:r w:rsidRPr="0056234A">
              <w:rPr>
                <w:b/>
                <w:sz w:val="22"/>
                <w:szCs w:val="22"/>
              </w:rPr>
              <w:lastRenderedPageBreak/>
              <w:t>13. pants.</w:t>
            </w:r>
            <w:r w:rsidRPr="0056234A">
              <w:rPr>
                <w:color w:val="000000"/>
                <w:sz w:val="22"/>
                <w:szCs w:val="22"/>
              </w:rPr>
              <w:t xml:space="preserve"> </w:t>
            </w:r>
            <w:r w:rsidRPr="0056234A">
              <w:rPr>
                <w:rStyle w:val="c12"/>
                <w:rFonts w:eastAsia="Calibri"/>
                <w:color w:val="000000"/>
                <w:sz w:val="22"/>
                <w:szCs w:val="22"/>
              </w:rPr>
              <w:t xml:space="preserve">Ikgadējais pašvaldību kopējais aizņēmumu pieļaujamais palielinājums vidējā termiņā </w:t>
            </w:r>
            <w:r w:rsidRPr="0056234A">
              <w:rPr>
                <w:sz w:val="22"/>
                <w:szCs w:val="22"/>
              </w:rPr>
              <w:t>2014., 2015. un 2016. gadam</w:t>
            </w:r>
            <w:r w:rsidRPr="0056234A">
              <w:rPr>
                <w:rStyle w:val="c12"/>
                <w:rFonts w:eastAsia="Calibri"/>
                <w:color w:val="000000"/>
                <w:sz w:val="22"/>
                <w:szCs w:val="22"/>
              </w:rPr>
              <w:t xml:space="preserve"> tiek noteikts 108 </w:t>
            </w:r>
            <w:proofErr w:type="spellStart"/>
            <w:r w:rsidRPr="0056234A">
              <w:rPr>
                <w:rStyle w:val="c12"/>
                <w:rFonts w:eastAsia="Calibri"/>
                <w:color w:val="000000"/>
                <w:sz w:val="22"/>
                <w:szCs w:val="22"/>
              </w:rPr>
              <w:t>milj</w:t>
            </w:r>
            <w:proofErr w:type="spellEnd"/>
            <w:r w:rsidRPr="0056234A">
              <w:rPr>
                <w:rStyle w:val="c12"/>
                <w:rFonts w:eastAsia="Calibri"/>
                <w:color w:val="000000"/>
                <w:sz w:val="22"/>
                <w:szCs w:val="22"/>
              </w:rPr>
              <w:t xml:space="preserve">. </w:t>
            </w:r>
            <w:proofErr w:type="spellStart"/>
            <w:r w:rsidRPr="0056234A">
              <w:rPr>
                <w:rStyle w:val="c12"/>
                <w:rFonts w:eastAsia="Calibri"/>
                <w:i/>
                <w:color w:val="000000"/>
                <w:sz w:val="22"/>
                <w:szCs w:val="22"/>
              </w:rPr>
              <w:t>euro</w:t>
            </w:r>
            <w:proofErr w:type="spellEnd"/>
            <w:r w:rsidRPr="0056234A">
              <w:rPr>
                <w:rStyle w:val="c12"/>
                <w:rFonts w:eastAsia="Calibri"/>
                <w:color w:val="000000"/>
                <w:sz w:val="22"/>
                <w:szCs w:val="22"/>
              </w:rPr>
              <w:t xml:space="preserve">, katru gadu vienojoties ar Latvijas Pašvaldību savienību par optimālāko risinājumu aizņēmumu saņemšanai un iespējamo kopējo aizņēmuma limitu. </w:t>
            </w:r>
          </w:p>
        </w:tc>
        <w:tc>
          <w:tcPr>
            <w:tcW w:w="644" w:type="dxa"/>
          </w:tcPr>
          <w:p w:rsidR="00CA3ADC" w:rsidRPr="00D21B94" w:rsidRDefault="00E53D11" w:rsidP="00EA09BE">
            <w:pPr>
              <w:jc w:val="center"/>
              <w:rPr>
                <w:b/>
                <w:sz w:val="22"/>
                <w:szCs w:val="22"/>
              </w:rPr>
            </w:pPr>
            <w:r>
              <w:rPr>
                <w:b/>
                <w:sz w:val="22"/>
                <w:szCs w:val="22"/>
              </w:rPr>
              <w:t>11</w:t>
            </w:r>
          </w:p>
        </w:tc>
        <w:tc>
          <w:tcPr>
            <w:tcW w:w="5530" w:type="dxa"/>
          </w:tcPr>
          <w:p w:rsidR="005D62F6" w:rsidRPr="000435A6" w:rsidRDefault="009F4F61" w:rsidP="000435A6">
            <w:pPr>
              <w:ind w:firstLine="567"/>
              <w:jc w:val="both"/>
              <w:rPr>
                <w:b/>
                <w:sz w:val="22"/>
                <w:szCs w:val="22"/>
                <w:u w:val="single"/>
              </w:rPr>
            </w:pPr>
            <w:r w:rsidRPr="000435A6">
              <w:rPr>
                <w:b/>
                <w:sz w:val="22"/>
                <w:szCs w:val="22"/>
                <w:u w:val="single"/>
              </w:rPr>
              <w:t xml:space="preserve">Juridiskais birojs </w:t>
            </w:r>
          </w:p>
          <w:p w:rsidR="005D62F6" w:rsidRPr="000435A6" w:rsidRDefault="009F4F61" w:rsidP="000435A6">
            <w:pPr>
              <w:ind w:firstLine="567"/>
              <w:jc w:val="both"/>
              <w:rPr>
                <w:i/>
                <w:sz w:val="22"/>
                <w:szCs w:val="22"/>
              </w:rPr>
            </w:pPr>
            <w:r w:rsidRPr="000435A6">
              <w:rPr>
                <w:i/>
                <w:sz w:val="22"/>
                <w:szCs w:val="22"/>
              </w:rPr>
              <w:t xml:space="preserve">Ierosinām precizēt likumprojekta 13. pantu. </w:t>
            </w:r>
          </w:p>
          <w:p w:rsidR="005C5FDC" w:rsidRPr="000435A6" w:rsidRDefault="009F4F61" w:rsidP="000435A6">
            <w:pPr>
              <w:ind w:firstLine="567"/>
              <w:jc w:val="both"/>
              <w:rPr>
                <w:sz w:val="22"/>
                <w:szCs w:val="22"/>
              </w:rPr>
            </w:pPr>
            <w:r w:rsidRPr="000435A6">
              <w:rPr>
                <w:i/>
                <w:sz w:val="22"/>
                <w:szCs w:val="22"/>
              </w:rPr>
              <w:t>Aicinām precizēt, kas ir pantā paredzētās vienošanās slēdzējpuses, kas notiek ja sarunu rezultātā netiek panākta vienošanās un kāds precīzi ir jautājumu loks par ko pusēm ir jāveic sarunas un jāpanāk vienošanās.</w:t>
            </w:r>
            <w:r w:rsidRPr="000435A6">
              <w:rPr>
                <w:sz w:val="22"/>
                <w:szCs w:val="22"/>
              </w:rPr>
              <w:t xml:space="preserve"> </w:t>
            </w:r>
          </w:p>
        </w:tc>
        <w:tc>
          <w:tcPr>
            <w:tcW w:w="1439"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sz w:val="22"/>
                <w:szCs w:val="22"/>
              </w:rPr>
            </w:pPr>
          </w:p>
        </w:tc>
      </w:tr>
      <w:tr w:rsidR="000435A6" w:rsidRPr="008B6465" w:rsidTr="004171B2">
        <w:tc>
          <w:tcPr>
            <w:tcW w:w="5815" w:type="dxa"/>
          </w:tcPr>
          <w:p w:rsidR="000435A6" w:rsidRPr="0056234A" w:rsidRDefault="000435A6" w:rsidP="0056234A">
            <w:pPr>
              <w:ind w:firstLine="567"/>
              <w:jc w:val="both"/>
              <w:rPr>
                <w:b/>
                <w:sz w:val="22"/>
                <w:szCs w:val="22"/>
              </w:rPr>
            </w:pPr>
          </w:p>
        </w:tc>
        <w:tc>
          <w:tcPr>
            <w:tcW w:w="644" w:type="dxa"/>
          </w:tcPr>
          <w:p w:rsidR="000435A6" w:rsidRPr="00D21B94" w:rsidRDefault="00E53D11" w:rsidP="00EA09BE">
            <w:pPr>
              <w:jc w:val="center"/>
              <w:rPr>
                <w:b/>
                <w:sz w:val="22"/>
                <w:szCs w:val="22"/>
              </w:rPr>
            </w:pPr>
            <w:r>
              <w:rPr>
                <w:b/>
                <w:sz w:val="22"/>
                <w:szCs w:val="22"/>
              </w:rPr>
              <w:t>12</w:t>
            </w:r>
          </w:p>
        </w:tc>
        <w:tc>
          <w:tcPr>
            <w:tcW w:w="5530" w:type="dxa"/>
          </w:tcPr>
          <w:p w:rsidR="000435A6" w:rsidRPr="000435A6" w:rsidRDefault="000435A6" w:rsidP="000435A6">
            <w:pPr>
              <w:pStyle w:val="ListParagraph"/>
              <w:tabs>
                <w:tab w:val="left" w:pos="993"/>
              </w:tabs>
              <w:suppressAutoHyphens/>
              <w:ind w:left="0" w:firstLine="567"/>
              <w:contextualSpacing w:val="0"/>
              <w:jc w:val="both"/>
              <w:rPr>
                <w:b/>
                <w:sz w:val="22"/>
                <w:szCs w:val="22"/>
                <w:u w:val="single"/>
              </w:rPr>
            </w:pPr>
            <w:r w:rsidRPr="000435A6">
              <w:rPr>
                <w:b/>
                <w:sz w:val="22"/>
                <w:szCs w:val="22"/>
                <w:u w:val="single"/>
              </w:rPr>
              <w:t>Deputāts I.Zariņš</w:t>
            </w:r>
          </w:p>
          <w:p w:rsidR="000435A6" w:rsidRPr="000435A6" w:rsidRDefault="000435A6" w:rsidP="000435A6">
            <w:pPr>
              <w:pStyle w:val="ListParagraph"/>
              <w:tabs>
                <w:tab w:val="left" w:pos="993"/>
              </w:tabs>
              <w:suppressAutoHyphens/>
              <w:ind w:left="567"/>
              <w:contextualSpacing w:val="0"/>
              <w:jc w:val="both"/>
              <w:rPr>
                <w:sz w:val="22"/>
                <w:szCs w:val="22"/>
              </w:rPr>
            </w:pPr>
            <w:r w:rsidRPr="000435A6">
              <w:rPr>
                <w:sz w:val="22"/>
                <w:szCs w:val="22"/>
              </w:rPr>
              <w:t>Papildināt likumprojektu ar jaunu pantu šādā redakcijā:</w:t>
            </w:r>
          </w:p>
          <w:p w:rsidR="000435A6" w:rsidRPr="000435A6" w:rsidRDefault="000435A6" w:rsidP="009B6C81">
            <w:pPr>
              <w:pStyle w:val="ListParagraph"/>
              <w:tabs>
                <w:tab w:val="left" w:pos="993"/>
              </w:tabs>
              <w:ind w:left="0" w:firstLine="567"/>
              <w:jc w:val="both"/>
              <w:rPr>
                <w:b/>
                <w:sz w:val="22"/>
                <w:szCs w:val="22"/>
                <w:u w:val="single"/>
              </w:rPr>
            </w:pPr>
            <w:r w:rsidRPr="000435A6">
              <w:rPr>
                <w:b/>
                <w:bCs/>
                <w:sz w:val="22"/>
                <w:szCs w:val="22"/>
              </w:rPr>
              <w:t>„</w:t>
            </w:r>
            <w:r w:rsidRPr="000435A6">
              <w:rPr>
                <w:sz w:val="22"/>
                <w:szCs w:val="22"/>
              </w:rPr>
              <w:t>Izstrādājot turpmāko gadu vidēja termiņa budžeta ietvara likumprojektus, lai nodrošinātu Latvijas Nacionālās attīstības plānā 2014.-2020.gadam</w:t>
            </w:r>
            <w:proofErr w:type="gramStart"/>
            <w:r w:rsidRPr="000435A6">
              <w:rPr>
                <w:sz w:val="22"/>
                <w:szCs w:val="22"/>
              </w:rPr>
              <w:t xml:space="preserve">  </w:t>
            </w:r>
            <w:proofErr w:type="gramEnd"/>
            <w:r w:rsidRPr="000435A6">
              <w:rPr>
                <w:sz w:val="22"/>
                <w:szCs w:val="22"/>
              </w:rPr>
              <w:t xml:space="preserve">paredzēto pārorientāciju uz inovācijām  virzītu augstražīgu ekonomiku un īstenotu paredzētos ekonomikas izaugsmes tempus, līdz 2016.gadam nodrošināt valsts budžeta finansējuma apmēru zinātnei un pētniecībai vismaz  1,5 procentu apmērā no iekšzemes kopprodukta”. </w:t>
            </w:r>
          </w:p>
        </w:tc>
        <w:tc>
          <w:tcPr>
            <w:tcW w:w="1439"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4171B2">
        <w:tc>
          <w:tcPr>
            <w:tcW w:w="5815" w:type="dxa"/>
          </w:tcPr>
          <w:p w:rsidR="000435A6" w:rsidRPr="0056234A" w:rsidRDefault="000435A6" w:rsidP="0056234A">
            <w:pPr>
              <w:ind w:firstLine="567"/>
              <w:jc w:val="both"/>
              <w:rPr>
                <w:b/>
                <w:sz w:val="22"/>
                <w:szCs w:val="22"/>
              </w:rPr>
            </w:pPr>
          </w:p>
        </w:tc>
        <w:tc>
          <w:tcPr>
            <w:tcW w:w="644" w:type="dxa"/>
          </w:tcPr>
          <w:p w:rsidR="000435A6" w:rsidRPr="00D21B94" w:rsidRDefault="00E53D11" w:rsidP="00EA09BE">
            <w:pPr>
              <w:jc w:val="center"/>
              <w:rPr>
                <w:b/>
                <w:sz w:val="22"/>
                <w:szCs w:val="22"/>
              </w:rPr>
            </w:pPr>
            <w:r>
              <w:rPr>
                <w:b/>
                <w:sz w:val="22"/>
                <w:szCs w:val="22"/>
              </w:rPr>
              <w:t>13</w:t>
            </w:r>
          </w:p>
        </w:tc>
        <w:tc>
          <w:tcPr>
            <w:tcW w:w="5530" w:type="dxa"/>
          </w:tcPr>
          <w:p w:rsidR="000435A6" w:rsidRPr="000435A6" w:rsidRDefault="000435A6" w:rsidP="000435A6">
            <w:pPr>
              <w:pStyle w:val="ListParagraph"/>
              <w:tabs>
                <w:tab w:val="left" w:pos="993"/>
              </w:tabs>
              <w:suppressAutoHyphens/>
              <w:ind w:left="0" w:firstLine="567"/>
              <w:contextualSpacing w:val="0"/>
              <w:jc w:val="both"/>
              <w:rPr>
                <w:b/>
                <w:sz w:val="22"/>
                <w:szCs w:val="22"/>
                <w:u w:val="single"/>
              </w:rPr>
            </w:pPr>
            <w:r w:rsidRPr="000435A6">
              <w:rPr>
                <w:b/>
                <w:sz w:val="22"/>
                <w:szCs w:val="22"/>
                <w:u w:val="single"/>
              </w:rPr>
              <w:t>Deputāts I.Zariņš</w:t>
            </w:r>
          </w:p>
          <w:p w:rsidR="000435A6" w:rsidRPr="000435A6" w:rsidRDefault="000435A6" w:rsidP="000435A6">
            <w:pPr>
              <w:pStyle w:val="ListParagraph"/>
              <w:tabs>
                <w:tab w:val="left" w:pos="993"/>
              </w:tabs>
              <w:ind w:left="0" w:firstLine="567"/>
              <w:jc w:val="both"/>
              <w:rPr>
                <w:sz w:val="22"/>
                <w:szCs w:val="22"/>
              </w:rPr>
            </w:pPr>
            <w:r w:rsidRPr="000435A6">
              <w:rPr>
                <w:sz w:val="22"/>
                <w:szCs w:val="22"/>
              </w:rPr>
              <w:t>Papildināt likumprojektu ar jaunu pantu šādā redakcijā:</w:t>
            </w:r>
          </w:p>
          <w:p w:rsidR="000435A6" w:rsidRPr="000435A6" w:rsidRDefault="000435A6" w:rsidP="000435A6">
            <w:pPr>
              <w:pStyle w:val="ListParagraph"/>
              <w:tabs>
                <w:tab w:val="left" w:pos="993"/>
              </w:tabs>
              <w:ind w:left="0" w:firstLine="567"/>
              <w:jc w:val="both"/>
              <w:rPr>
                <w:b/>
                <w:sz w:val="22"/>
                <w:szCs w:val="22"/>
                <w:u w:val="single"/>
              </w:rPr>
            </w:pPr>
            <w:r w:rsidRPr="000435A6">
              <w:rPr>
                <w:b/>
                <w:bCs/>
                <w:sz w:val="22"/>
                <w:szCs w:val="22"/>
              </w:rPr>
              <w:t>„</w:t>
            </w:r>
            <w:r w:rsidRPr="000435A6">
              <w:rPr>
                <w:sz w:val="22"/>
                <w:szCs w:val="22"/>
              </w:rPr>
              <w:t xml:space="preserve">Izstrādājot turpmāko gadu vidēja termiņa budžeta ietvara likumprojektus, lai nodrošinātu Latvijas iedzīvotājus ar darbavietām un veicinātu no Latvijas aizbraukušo iedzīvotāju atgriešanos, nodrošināt nodarbināto iedzīvotāju skaita palielināšanu Latvijas darba tirgū vismaz 3 procentu </w:t>
            </w:r>
            <w:r w:rsidRPr="000435A6">
              <w:rPr>
                <w:sz w:val="22"/>
                <w:szCs w:val="22"/>
              </w:rPr>
              <w:lastRenderedPageBreak/>
              <w:t>apmērā katru gadu”.</w:t>
            </w:r>
          </w:p>
        </w:tc>
        <w:tc>
          <w:tcPr>
            <w:tcW w:w="1439"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4171B2">
        <w:tc>
          <w:tcPr>
            <w:tcW w:w="5815" w:type="dxa"/>
          </w:tcPr>
          <w:p w:rsidR="000435A6" w:rsidRPr="0056234A" w:rsidRDefault="000435A6" w:rsidP="0056234A">
            <w:pPr>
              <w:ind w:firstLine="567"/>
              <w:jc w:val="both"/>
              <w:rPr>
                <w:b/>
                <w:sz w:val="22"/>
                <w:szCs w:val="22"/>
              </w:rPr>
            </w:pPr>
          </w:p>
        </w:tc>
        <w:tc>
          <w:tcPr>
            <w:tcW w:w="644" w:type="dxa"/>
          </w:tcPr>
          <w:p w:rsidR="000435A6" w:rsidRPr="00D21B94" w:rsidRDefault="00E53D11" w:rsidP="00EA09BE">
            <w:pPr>
              <w:jc w:val="center"/>
              <w:rPr>
                <w:b/>
                <w:sz w:val="22"/>
                <w:szCs w:val="22"/>
              </w:rPr>
            </w:pPr>
            <w:r>
              <w:rPr>
                <w:b/>
                <w:sz w:val="22"/>
                <w:szCs w:val="22"/>
              </w:rPr>
              <w:t>14</w:t>
            </w:r>
          </w:p>
        </w:tc>
        <w:tc>
          <w:tcPr>
            <w:tcW w:w="5530" w:type="dxa"/>
          </w:tcPr>
          <w:p w:rsidR="000435A6" w:rsidRPr="000435A6" w:rsidRDefault="000435A6" w:rsidP="000435A6">
            <w:pPr>
              <w:pStyle w:val="ListParagraph"/>
              <w:tabs>
                <w:tab w:val="left" w:pos="993"/>
              </w:tabs>
              <w:suppressAutoHyphens/>
              <w:ind w:left="0" w:firstLine="567"/>
              <w:contextualSpacing w:val="0"/>
              <w:jc w:val="both"/>
              <w:rPr>
                <w:b/>
                <w:sz w:val="22"/>
                <w:szCs w:val="22"/>
                <w:u w:val="single"/>
              </w:rPr>
            </w:pPr>
            <w:r w:rsidRPr="000435A6">
              <w:rPr>
                <w:b/>
                <w:sz w:val="22"/>
                <w:szCs w:val="22"/>
                <w:u w:val="single"/>
              </w:rPr>
              <w:t>Deputāts I.Zariņš</w:t>
            </w:r>
          </w:p>
          <w:p w:rsidR="000435A6" w:rsidRPr="000435A6" w:rsidRDefault="000435A6" w:rsidP="000435A6">
            <w:pPr>
              <w:pStyle w:val="ListParagraph"/>
              <w:tabs>
                <w:tab w:val="left" w:pos="993"/>
              </w:tabs>
              <w:ind w:left="0" w:firstLine="567"/>
              <w:jc w:val="both"/>
              <w:rPr>
                <w:sz w:val="22"/>
                <w:szCs w:val="22"/>
              </w:rPr>
            </w:pPr>
            <w:r w:rsidRPr="000435A6">
              <w:rPr>
                <w:sz w:val="22"/>
                <w:szCs w:val="22"/>
              </w:rPr>
              <w:t>Papildināt likumprojektu ar jaunu pantu šādā redakcijā:</w:t>
            </w:r>
          </w:p>
          <w:p w:rsidR="000435A6" w:rsidRPr="000435A6" w:rsidRDefault="000435A6" w:rsidP="000435A6">
            <w:pPr>
              <w:ind w:firstLine="567"/>
              <w:jc w:val="both"/>
              <w:rPr>
                <w:b/>
                <w:sz w:val="22"/>
                <w:szCs w:val="22"/>
                <w:u w:val="single"/>
              </w:rPr>
            </w:pPr>
            <w:r w:rsidRPr="000435A6">
              <w:rPr>
                <w:b/>
                <w:bCs/>
                <w:sz w:val="22"/>
                <w:szCs w:val="22"/>
              </w:rPr>
              <w:t>„</w:t>
            </w:r>
            <w:r w:rsidRPr="000435A6">
              <w:rPr>
                <w:sz w:val="22"/>
                <w:szCs w:val="22"/>
              </w:rPr>
              <w:t>Izstrādājot turpmāko gadu vidēja termiņa budžeta ietvara likumprojektus, lai nodrošinātu iedzīvotājiem kvalitatīvu un pieejamu veselības aprūpi, līdz 2016.gadam nodrošināt veselības aprūpes finansējumu 4,5 procentu apmērā no iekšzemes kopprodukta”.</w:t>
            </w:r>
          </w:p>
        </w:tc>
        <w:tc>
          <w:tcPr>
            <w:tcW w:w="1439"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4171B2">
        <w:tc>
          <w:tcPr>
            <w:tcW w:w="5815" w:type="dxa"/>
          </w:tcPr>
          <w:p w:rsidR="0056234A" w:rsidRPr="0056234A" w:rsidRDefault="0056234A" w:rsidP="0056234A">
            <w:pPr>
              <w:ind w:firstLine="567"/>
              <w:jc w:val="both"/>
              <w:rPr>
                <w:b/>
                <w:sz w:val="22"/>
                <w:szCs w:val="22"/>
              </w:rPr>
            </w:pPr>
            <w:r w:rsidRPr="0056234A">
              <w:rPr>
                <w:b/>
                <w:sz w:val="22"/>
                <w:szCs w:val="22"/>
              </w:rPr>
              <w:t>Pārejas noteikumi</w:t>
            </w:r>
          </w:p>
          <w:p w:rsidR="0056234A" w:rsidRPr="0056234A" w:rsidRDefault="0056234A" w:rsidP="0056234A">
            <w:pPr>
              <w:tabs>
                <w:tab w:val="left" w:pos="284"/>
              </w:tabs>
              <w:ind w:firstLine="567"/>
              <w:jc w:val="both"/>
              <w:rPr>
                <w:sz w:val="22"/>
                <w:szCs w:val="22"/>
              </w:rPr>
            </w:pPr>
            <w:r w:rsidRPr="0056234A">
              <w:rPr>
                <w:sz w:val="22"/>
                <w:szCs w:val="22"/>
              </w:rPr>
              <w:t>1. Saskaņā ar Likuma par budžetu un finanšu vadību 16</w:t>
            </w:r>
            <w:r w:rsidRPr="0056234A">
              <w:rPr>
                <w:sz w:val="22"/>
                <w:szCs w:val="22"/>
                <w:vertAlign w:val="superscript"/>
              </w:rPr>
              <w:t>2</w:t>
            </w:r>
            <w:r w:rsidRPr="0056234A">
              <w:rPr>
                <w:sz w:val="22"/>
                <w:szCs w:val="22"/>
              </w:rPr>
              <w:t>. panta devīto daļu līdz ar šā likuma spēkā stāšanos spēku zaudē likuma „Par vidēja termiņa budžeta ietvaru 2013., 2014. un 2015. gadam” 5. un 6. panta normas, kas attiecas uz 2014. un 2015. gadu.</w:t>
            </w:r>
          </w:p>
          <w:p w:rsidR="00EF65A0" w:rsidRPr="0056234A" w:rsidRDefault="0056234A" w:rsidP="0056234A">
            <w:pPr>
              <w:tabs>
                <w:tab w:val="left" w:pos="284"/>
              </w:tabs>
              <w:ind w:firstLine="567"/>
              <w:jc w:val="both"/>
              <w:rPr>
                <w:b/>
                <w:bCs/>
                <w:sz w:val="22"/>
                <w:szCs w:val="22"/>
              </w:rPr>
            </w:pPr>
            <w:r w:rsidRPr="0056234A">
              <w:rPr>
                <w:sz w:val="22"/>
                <w:szCs w:val="22"/>
              </w:rPr>
              <w:t>2. Saskaņā ar Likuma par budžetu un finanšu vadību 16</w:t>
            </w:r>
            <w:r w:rsidRPr="0056234A">
              <w:rPr>
                <w:sz w:val="22"/>
                <w:szCs w:val="22"/>
                <w:vertAlign w:val="superscript"/>
              </w:rPr>
              <w:t>2</w:t>
            </w:r>
            <w:r w:rsidRPr="0056234A">
              <w:rPr>
                <w:sz w:val="22"/>
                <w:szCs w:val="22"/>
              </w:rPr>
              <w:t>. panta devīto daļu līdz ar šā likuma spēkā stāšanos spēku zaudē likuma „Par vidēja termiņa budžeta ietvaru 2013., 2014. un 2015. gadam” 7., 8. un 9. pants.</w:t>
            </w:r>
          </w:p>
        </w:tc>
        <w:tc>
          <w:tcPr>
            <w:tcW w:w="644" w:type="dxa"/>
          </w:tcPr>
          <w:p w:rsidR="00CA3ADC" w:rsidRPr="00D21B94" w:rsidRDefault="00E53D11" w:rsidP="00EA09BE">
            <w:pPr>
              <w:jc w:val="center"/>
              <w:rPr>
                <w:b/>
                <w:sz w:val="22"/>
                <w:szCs w:val="22"/>
              </w:rPr>
            </w:pPr>
            <w:r>
              <w:rPr>
                <w:b/>
                <w:sz w:val="22"/>
                <w:szCs w:val="22"/>
              </w:rPr>
              <w:t>15</w:t>
            </w:r>
          </w:p>
        </w:tc>
        <w:tc>
          <w:tcPr>
            <w:tcW w:w="5530" w:type="dxa"/>
          </w:tcPr>
          <w:p w:rsidR="005D62F6" w:rsidRPr="000435A6" w:rsidRDefault="009F4F61" w:rsidP="000435A6">
            <w:pPr>
              <w:ind w:firstLine="567"/>
              <w:jc w:val="both"/>
              <w:rPr>
                <w:b/>
                <w:sz w:val="22"/>
                <w:szCs w:val="22"/>
                <w:u w:val="single"/>
              </w:rPr>
            </w:pPr>
            <w:r w:rsidRPr="000435A6">
              <w:rPr>
                <w:b/>
                <w:sz w:val="22"/>
                <w:szCs w:val="22"/>
                <w:u w:val="single"/>
              </w:rPr>
              <w:t xml:space="preserve">Juridiskais birojs </w:t>
            </w:r>
          </w:p>
          <w:p w:rsidR="009F4F61" w:rsidRPr="000435A6" w:rsidRDefault="009F4F61" w:rsidP="000435A6">
            <w:pPr>
              <w:ind w:firstLine="567"/>
              <w:jc w:val="both"/>
              <w:rPr>
                <w:sz w:val="22"/>
                <w:szCs w:val="22"/>
              </w:rPr>
            </w:pPr>
            <w:r w:rsidRPr="000435A6">
              <w:rPr>
                <w:sz w:val="22"/>
                <w:szCs w:val="22"/>
              </w:rPr>
              <w:t>Ierosinām izslēgt likumprojekta pārejas noteikumus.</w:t>
            </w:r>
          </w:p>
          <w:p w:rsidR="00EF65A0" w:rsidRPr="000435A6" w:rsidRDefault="00EF65A0" w:rsidP="000435A6">
            <w:pPr>
              <w:ind w:firstLine="567"/>
              <w:jc w:val="both"/>
              <w:rPr>
                <w:b/>
                <w:sz w:val="22"/>
                <w:szCs w:val="22"/>
              </w:rPr>
            </w:pPr>
          </w:p>
        </w:tc>
        <w:tc>
          <w:tcPr>
            <w:tcW w:w="1439" w:type="dxa"/>
          </w:tcPr>
          <w:p w:rsidR="00EF65A0" w:rsidRPr="008C4B57" w:rsidRDefault="00EF65A0" w:rsidP="008C4B57">
            <w:pPr>
              <w:jc w:val="center"/>
              <w:rPr>
                <w:b/>
                <w:sz w:val="22"/>
                <w:szCs w:val="22"/>
              </w:rPr>
            </w:pPr>
          </w:p>
        </w:tc>
        <w:tc>
          <w:tcPr>
            <w:tcW w:w="1260" w:type="dxa"/>
          </w:tcPr>
          <w:p w:rsidR="00EF65A0" w:rsidRPr="008B6465" w:rsidRDefault="00EF65A0" w:rsidP="008B6465">
            <w:pPr>
              <w:jc w:val="both"/>
              <w:rPr>
                <w:b/>
                <w:sz w:val="22"/>
                <w:szCs w:val="22"/>
              </w:rPr>
            </w:pPr>
          </w:p>
        </w:tc>
      </w:tr>
      <w:tr w:rsidR="008E6991" w:rsidRPr="008B6465" w:rsidTr="004171B2">
        <w:tc>
          <w:tcPr>
            <w:tcW w:w="5815" w:type="dxa"/>
          </w:tcPr>
          <w:p w:rsidR="008E6991" w:rsidRPr="0056234A" w:rsidRDefault="0056234A" w:rsidP="0056234A">
            <w:pPr>
              <w:ind w:firstLine="567"/>
              <w:jc w:val="both"/>
              <w:rPr>
                <w:sz w:val="22"/>
                <w:szCs w:val="22"/>
              </w:rPr>
            </w:pPr>
            <w:r w:rsidRPr="0056234A">
              <w:rPr>
                <w:sz w:val="22"/>
                <w:szCs w:val="22"/>
              </w:rPr>
              <w:t>Likums stājas spēkā 2014. gada 1. janvārī.</w:t>
            </w:r>
          </w:p>
        </w:tc>
        <w:tc>
          <w:tcPr>
            <w:tcW w:w="644" w:type="dxa"/>
          </w:tcPr>
          <w:p w:rsidR="008E6991" w:rsidRPr="00D21B94" w:rsidRDefault="008E6991" w:rsidP="00EA09BE">
            <w:pPr>
              <w:jc w:val="center"/>
              <w:rPr>
                <w:b/>
                <w:sz w:val="22"/>
                <w:szCs w:val="22"/>
              </w:rPr>
            </w:pPr>
          </w:p>
        </w:tc>
        <w:tc>
          <w:tcPr>
            <w:tcW w:w="5530" w:type="dxa"/>
          </w:tcPr>
          <w:p w:rsidR="008E6991" w:rsidRPr="000435A6" w:rsidRDefault="008E6991" w:rsidP="000435A6">
            <w:pPr>
              <w:pStyle w:val="ListParagraph"/>
              <w:tabs>
                <w:tab w:val="left" w:pos="993"/>
              </w:tabs>
              <w:ind w:left="0" w:firstLine="567"/>
              <w:jc w:val="both"/>
              <w:rPr>
                <w:b/>
                <w:sz w:val="22"/>
                <w:szCs w:val="22"/>
                <w:u w:val="single"/>
              </w:rPr>
            </w:pPr>
          </w:p>
        </w:tc>
        <w:tc>
          <w:tcPr>
            <w:tcW w:w="1439" w:type="dxa"/>
          </w:tcPr>
          <w:p w:rsidR="008E6991" w:rsidRPr="008C4B57" w:rsidRDefault="008E6991" w:rsidP="008C4B57">
            <w:pPr>
              <w:jc w:val="center"/>
              <w:rPr>
                <w:b/>
                <w:sz w:val="22"/>
                <w:szCs w:val="22"/>
              </w:rPr>
            </w:pPr>
          </w:p>
        </w:tc>
        <w:tc>
          <w:tcPr>
            <w:tcW w:w="1260" w:type="dxa"/>
          </w:tcPr>
          <w:p w:rsidR="008E6991" w:rsidRPr="008B6465" w:rsidRDefault="008E6991" w:rsidP="008B6465">
            <w:pPr>
              <w:jc w:val="both"/>
              <w:rPr>
                <w:sz w:val="22"/>
                <w:szCs w:val="22"/>
              </w:rPr>
            </w:pPr>
          </w:p>
        </w:tc>
      </w:tr>
    </w:tbl>
    <w:p w:rsidR="00277743" w:rsidRDefault="00277743"/>
    <w:sectPr w:rsidR="00277743" w:rsidSect="005C5FDC">
      <w:headerReference w:type="even" r:id="rId8"/>
      <w:headerReference w:type="default" r:id="rId9"/>
      <w:footerReference w:type="even" r:id="rId10"/>
      <w:footerReference w:type="default" r:id="rId11"/>
      <w:footerReference w:type="first" r:id="rId12"/>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23" w:rsidRDefault="00707523">
      <w:r>
        <w:separator/>
      </w:r>
    </w:p>
  </w:endnote>
  <w:endnote w:type="continuationSeparator" w:id="0">
    <w:p w:rsidR="00707523" w:rsidRDefault="0070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B" w:rsidRDefault="00527DEB"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DEB" w:rsidRDefault="00527DEB"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B" w:rsidRDefault="00527DEB"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827">
      <w:rPr>
        <w:rStyle w:val="PageNumber"/>
        <w:noProof/>
      </w:rPr>
      <w:t>5</w:t>
    </w:r>
    <w:r>
      <w:rPr>
        <w:rStyle w:val="PageNumber"/>
      </w:rPr>
      <w:fldChar w:fldCharType="end"/>
    </w:r>
  </w:p>
  <w:p w:rsidR="00527DEB" w:rsidRPr="00CC0F55" w:rsidRDefault="00527DEB" w:rsidP="001D282E">
    <w:pPr>
      <w:pStyle w:val="Footer"/>
      <w:ind w:right="360"/>
      <w:rPr>
        <w:sz w:val="20"/>
      </w:rPr>
    </w:pPr>
  </w:p>
  <w:p w:rsidR="00527DEB" w:rsidRPr="008B3D42" w:rsidRDefault="00527DEB" w:rsidP="008B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B" w:rsidRPr="008B3D42" w:rsidRDefault="00527DEB" w:rsidP="00BF51C1">
    <w:pPr>
      <w:pStyle w:val="Footer"/>
    </w:pPr>
  </w:p>
  <w:p w:rsidR="00527DEB" w:rsidRPr="009021A6" w:rsidRDefault="0052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23" w:rsidRDefault="00707523">
      <w:r>
        <w:separator/>
      </w:r>
    </w:p>
  </w:footnote>
  <w:footnote w:type="continuationSeparator" w:id="0">
    <w:p w:rsidR="00707523" w:rsidRDefault="00707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B" w:rsidRDefault="00527DEB"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DEB" w:rsidRDefault="00527D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B" w:rsidRDefault="00527D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96639D7"/>
    <w:multiLevelType w:val="singleLevel"/>
    <w:tmpl w:val="BD60C284"/>
    <w:lvl w:ilvl="0">
      <w:start w:val="2"/>
      <w:numFmt w:val="decimal"/>
      <w:lvlText w:val="%1."/>
      <w:lvlJc w:val="left"/>
      <w:pPr>
        <w:tabs>
          <w:tab w:val="num" w:pos="360"/>
        </w:tabs>
        <w:ind w:left="360" w:hanging="360"/>
      </w:pPr>
    </w:lvl>
  </w:abstractNum>
  <w:abstractNum w:abstractNumId="12">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9"/>
  </w:num>
  <w:num w:numId="3">
    <w:abstractNumId w:val="3"/>
  </w:num>
  <w:num w:numId="4">
    <w:abstractNumId w:val="6"/>
  </w:num>
  <w:num w:numId="5">
    <w:abstractNumId w:val="12"/>
  </w:num>
  <w:num w:numId="6">
    <w:abstractNumId w:val="1"/>
  </w:num>
  <w:num w:numId="7">
    <w:abstractNumId w:val="7"/>
  </w:num>
  <w:num w:numId="8">
    <w:abstractNumId w:val="8"/>
  </w:num>
  <w:num w:numId="9">
    <w:abstractNumId w:val="10"/>
  </w:num>
  <w:num w:numId="10">
    <w:abstractNumId w:val="5"/>
  </w:num>
  <w:num w:numId="11">
    <w:abstractNumId w:val="2"/>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1B"/>
    <w:rsid w:val="000022EC"/>
    <w:rsid w:val="00003869"/>
    <w:rsid w:val="0000398E"/>
    <w:rsid w:val="00007610"/>
    <w:rsid w:val="00010DB8"/>
    <w:rsid w:val="0001336C"/>
    <w:rsid w:val="00021C48"/>
    <w:rsid w:val="00022047"/>
    <w:rsid w:val="0002520B"/>
    <w:rsid w:val="00026068"/>
    <w:rsid w:val="00026CDC"/>
    <w:rsid w:val="000270C6"/>
    <w:rsid w:val="000328AA"/>
    <w:rsid w:val="00037303"/>
    <w:rsid w:val="00037BE8"/>
    <w:rsid w:val="000418C8"/>
    <w:rsid w:val="000435A6"/>
    <w:rsid w:val="00044152"/>
    <w:rsid w:val="00050061"/>
    <w:rsid w:val="0005529B"/>
    <w:rsid w:val="0005674A"/>
    <w:rsid w:val="00060A91"/>
    <w:rsid w:val="000644E8"/>
    <w:rsid w:val="00064951"/>
    <w:rsid w:val="00067790"/>
    <w:rsid w:val="00067EC5"/>
    <w:rsid w:val="00070F90"/>
    <w:rsid w:val="00071EB6"/>
    <w:rsid w:val="000743D0"/>
    <w:rsid w:val="00083A16"/>
    <w:rsid w:val="000871FB"/>
    <w:rsid w:val="00094083"/>
    <w:rsid w:val="00095889"/>
    <w:rsid w:val="000974B9"/>
    <w:rsid w:val="000978EA"/>
    <w:rsid w:val="000A07AB"/>
    <w:rsid w:val="000B097B"/>
    <w:rsid w:val="000B3CDE"/>
    <w:rsid w:val="000B3ED1"/>
    <w:rsid w:val="000B73FF"/>
    <w:rsid w:val="000C0C37"/>
    <w:rsid w:val="000C0D67"/>
    <w:rsid w:val="000C3DE5"/>
    <w:rsid w:val="000C4DFF"/>
    <w:rsid w:val="000C4EF4"/>
    <w:rsid w:val="000C6861"/>
    <w:rsid w:val="000C72B8"/>
    <w:rsid w:val="000D00BF"/>
    <w:rsid w:val="000D19EB"/>
    <w:rsid w:val="000D2285"/>
    <w:rsid w:val="000D5C16"/>
    <w:rsid w:val="000E24A8"/>
    <w:rsid w:val="000E29B5"/>
    <w:rsid w:val="0010182C"/>
    <w:rsid w:val="00101EBF"/>
    <w:rsid w:val="00107166"/>
    <w:rsid w:val="00110BD9"/>
    <w:rsid w:val="00112419"/>
    <w:rsid w:val="0011392F"/>
    <w:rsid w:val="00116621"/>
    <w:rsid w:val="001172A3"/>
    <w:rsid w:val="00117486"/>
    <w:rsid w:val="001204FB"/>
    <w:rsid w:val="001218EB"/>
    <w:rsid w:val="00134113"/>
    <w:rsid w:val="00134976"/>
    <w:rsid w:val="001422D2"/>
    <w:rsid w:val="00145AFE"/>
    <w:rsid w:val="00147E42"/>
    <w:rsid w:val="00152FD4"/>
    <w:rsid w:val="00163841"/>
    <w:rsid w:val="00165DB2"/>
    <w:rsid w:val="001715B9"/>
    <w:rsid w:val="00173A1C"/>
    <w:rsid w:val="00173A4B"/>
    <w:rsid w:val="00175270"/>
    <w:rsid w:val="00175A91"/>
    <w:rsid w:val="00176BB4"/>
    <w:rsid w:val="00177C92"/>
    <w:rsid w:val="00181AC1"/>
    <w:rsid w:val="00181C84"/>
    <w:rsid w:val="0018205A"/>
    <w:rsid w:val="00186916"/>
    <w:rsid w:val="0019525B"/>
    <w:rsid w:val="001956DD"/>
    <w:rsid w:val="00195D15"/>
    <w:rsid w:val="001A117D"/>
    <w:rsid w:val="001A130B"/>
    <w:rsid w:val="001A26FF"/>
    <w:rsid w:val="001A3879"/>
    <w:rsid w:val="001A5014"/>
    <w:rsid w:val="001B60BF"/>
    <w:rsid w:val="001B73F5"/>
    <w:rsid w:val="001C168E"/>
    <w:rsid w:val="001C1705"/>
    <w:rsid w:val="001C1EFF"/>
    <w:rsid w:val="001C5AFF"/>
    <w:rsid w:val="001D0081"/>
    <w:rsid w:val="001D282E"/>
    <w:rsid w:val="001D5E04"/>
    <w:rsid w:val="001D6022"/>
    <w:rsid w:val="001D62F9"/>
    <w:rsid w:val="001E024F"/>
    <w:rsid w:val="001E4162"/>
    <w:rsid w:val="001E5F42"/>
    <w:rsid w:val="001F1103"/>
    <w:rsid w:val="001F12F0"/>
    <w:rsid w:val="002011E6"/>
    <w:rsid w:val="002027DD"/>
    <w:rsid w:val="002037D3"/>
    <w:rsid w:val="00207F5B"/>
    <w:rsid w:val="00211BAA"/>
    <w:rsid w:val="002141DB"/>
    <w:rsid w:val="00216D7B"/>
    <w:rsid w:val="00224296"/>
    <w:rsid w:val="002259BE"/>
    <w:rsid w:val="00230174"/>
    <w:rsid w:val="00231C4B"/>
    <w:rsid w:val="00232D11"/>
    <w:rsid w:val="00245D6B"/>
    <w:rsid w:val="00246100"/>
    <w:rsid w:val="0024756D"/>
    <w:rsid w:val="00253EA1"/>
    <w:rsid w:val="00254E23"/>
    <w:rsid w:val="00264ED1"/>
    <w:rsid w:val="00265807"/>
    <w:rsid w:val="00273E87"/>
    <w:rsid w:val="0027592E"/>
    <w:rsid w:val="00276A32"/>
    <w:rsid w:val="00276C3D"/>
    <w:rsid w:val="00277743"/>
    <w:rsid w:val="0028119F"/>
    <w:rsid w:val="00282D3D"/>
    <w:rsid w:val="00283D92"/>
    <w:rsid w:val="00284D76"/>
    <w:rsid w:val="00284E9E"/>
    <w:rsid w:val="00286D84"/>
    <w:rsid w:val="002903B2"/>
    <w:rsid w:val="00293B17"/>
    <w:rsid w:val="002A0659"/>
    <w:rsid w:val="002A40A0"/>
    <w:rsid w:val="002B2C92"/>
    <w:rsid w:val="002B6352"/>
    <w:rsid w:val="002B765F"/>
    <w:rsid w:val="002C08EF"/>
    <w:rsid w:val="002C5790"/>
    <w:rsid w:val="002C7633"/>
    <w:rsid w:val="002C7B98"/>
    <w:rsid w:val="002D73B7"/>
    <w:rsid w:val="002E6F96"/>
    <w:rsid w:val="002F16B9"/>
    <w:rsid w:val="002F28C4"/>
    <w:rsid w:val="002F4C2E"/>
    <w:rsid w:val="002F550D"/>
    <w:rsid w:val="002F726A"/>
    <w:rsid w:val="002F757B"/>
    <w:rsid w:val="00300D0D"/>
    <w:rsid w:val="0031181F"/>
    <w:rsid w:val="0031688A"/>
    <w:rsid w:val="003172EB"/>
    <w:rsid w:val="0032016E"/>
    <w:rsid w:val="003306B6"/>
    <w:rsid w:val="00332B4E"/>
    <w:rsid w:val="00332BA5"/>
    <w:rsid w:val="003405B5"/>
    <w:rsid w:val="00341440"/>
    <w:rsid w:val="003422B6"/>
    <w:rsid w:val="003443CC"/>
    <w:rsid w:val="00353CE9"/>
    <w:rsid w:val="00356715"/>
    <w:rsid w:val="00362411"/>
    <w:rsid w:val="00365417"/>
    <w:rsid w:val="0036717F"/>
    <w:rsid w:val="00367BDB"/>
    <w:rsid w:val="00367FBF"/>
    <w:rsid w:val="0037073B"/>
    <w:rsid w:val="00370DBD"/>
    <w:rsid w:val="00371FFE"/>
    <w:rsid w:val="0037722C"/>
    <w:rsid w:val="00377B56"/>
    <w:rsid w:val="003814DA"/>
    <w:rsid w:val="00381566"/>
    <w:rsid w:val="00381811"/>
    <w:rsid w:val="003839FF"/>
    <w:rsid w:val="00386B9D"/>
    <w:rsid w:val="003870C7"/>
    <w:rsid w:val="0039172D"/>
    <w:rsid w:val="00395140"/>
    <w:rsid w:val="003959FA"/>
    <w:rsid w:val="003B0047"/>
    <w:rsid w:val="003B16A3"/>
    <w:rsid w:val="003B6A0C"/>
    <w:rsid w:val="003B794D"/>
    <w:rsid w:val="003C0EDA"/>
    <w:rsid w:val="003C14D7"/>
    <w:rsid w:val="003C59D5"/>
    <w:rsid w:val="003D2BB9"/>
    <w:rsid w:val="003D4677"/>
    <w:rsid w:val="003D4B1F"/>
    <w:rsid w:val="003D6E2C"/>
    <w:rsid w:val="003E49FA"/>
    <w:rsid w:val="003F0CB4"/>
    <w:rsid w:val="003F10FA"/>
    <w:rsid w:val="003F3C60"/>
    <w:rsid w:val="00403899"/>
    <w:rsid w:val="00405052"/>
    <w:rsid w:val="00406F01"/>
    <w:rsid w:val="0040782C"/>
    <w:rsid w:val="0041380C"/>
    <w:rsid w:val="004171B2"/>
    <w:rsid w:val="00417407"/>
    <w:rsid w:val="00420540"/>
    <w:rsid w:val="00424890"/>
    <w:rsid w:val="00424BBA"/>
    <w:rsid w:val="00426056"/>
    <w:rsid w:val="00435EA6"/>
    <w:rsid w:val="00442747"/>
    <w:rsid w:val="00442C8A"/>
    <w:rsid w:val="004454E5"/>
    <w:rsid w:val="004502DD"/>
    <w:rsid w:val="00450F3E"/>
    <w:rsid w:val="00451828"/>
    <w:rsid w:val="0045279F"/>
    <w:rsid w:val="00453723"/>
    <w:rsid w:val="00454AE9"/>
    <w:rsid w:val="00461853"/>
    <w:rsid w:val="004651B3"/>
    <w:rsid w:val="004671B2"/>
    <w:rsid w:val="00467CDD"/>
    <w:rsid w:val="00470820"/>
    <w:rsid w:val="00473510"/>
    <w:rsid w:val="004751B6"/>
    <w:rsid w:val="00475B5B"/>
    <w:rsid w:val="0048108A"/>
    <w:rsid w:val="00487107"/>
    <w:rsid w:val="00490B32"/>
    <w:rsid w:val="00490BA3"/>
    <w:rsid w:val="00494D88"/>
    <w:rsid w:val="004958E7"/>
    <w:rsid w:val="00496CC9"/>
    <w:rsid w:val="004A3E83"/>
    <w:rsid w:val="004A4AA5"/>
    <w:rsid w:val="004A62E8"/>
    <w:rsid w:val="004B76DD"/>
    <w:rsid w:val="004C1422"/>
    <w:rsid w:val="004C1532"/>
    <w:rsid w:val="004C4D36"/>
    <w:rsid w:val="004D116E"/>
    <w:rsid w:val="004D3133"/>
    <w:rsid w:val="004E1038"/>
    <w:rsid w:val="004E221F"/>
    <w:rsid w:val="004F49F9"/>
    <w:rsid w:val="005008B9"/>
    <w:rsid w:val="00501EF3"/>
    <w:rsid w:val="005158E2"/>
    <w:rsid w:val="00515958"/>
    <w:rsid w:val="00516A4D"/>
    <w:rsid w:val="0052143E"/>
    <w:rsid w:val="00524AED"/>
    <w:rsid w:val="00527DEB"/>
    <w:rsid w:val="005316B9"/>
    <w:rsid w:val="00532000"/>
    <w:rsid w:val="005339AC"/>
    <w:rsid w:val="00537A31"/>
    <w:rsid w:val="00542E34"/>
    <w:rsid w:val="00543C22"/>
    <w:rsid w:val="0054576A"/>
    <w:rsid w:val="00553215"/>
    <w:rsid w:val="005536D4"/>
    <w:rsid w:val="00555E2B"/>
    <w:rsid w:val="00556ABA"/>
    <w:rsid w:val="005613C3"/>
    <w:rsid w:val="0056234A"/>
    <w:rsid w:val="00562495"/>
    <w:rsid w:val="005649FC"/>
    <w:rsid w:val="00564B2D"/>
    <w:rsid w:val="00566AAF"/>
    <w:rsid w:val="00567443"/>
    <w:rsid w:val="005704CC"/>
    <w:rsid w:val="0057368E"/>
    <w:rsid w:val="00573742"/>
    <w:rsid w:val="00583A58"/>
    <w:rsid w:val="00583FB2"/>
    <w:rsid w:val="00586A22"/>
    <w:rsid w:val="005874B2"/>
    <w:rsid w:val="00587DB2"/>
    <w:rsid w:val="00590AF4"/>
    <w:rsid w:val="0059297E"/>
    <w:rsid w:val="005949CF"/>
    <w:rsid w:val="00595C1D"/>
    <w:rsid w:val="005A0024"/>
    <w:rsid w:val="005A0786"/>
    <w:rsid w:val="005A3939"/>
    <w:rsid w:val="005B04F2"/>
    <w:rsid w:val="005B17B5"/>
    <w:rsid w:val="005B2F1A"/>
    <w:rsid w:val="005B353C"/>
    <w:rsid w:val="005B62A3"/>
    <w:rsid w:val="005B6536"/>
    <w:rsid w:val="005B68C0"/>
    <w:rsid w:val="005C1E39"/>
    <w:rsid w:val="005C3363"/>
    <w:rsid w:val="005C5FDC"/>
    <w:rsid w:val="005D087C"/>
    <w:rsid w:val="005D31CF"/>
    <w:rsid w:val="005D62F6"/>
    <w:rsid w:val="005D75FF"/>
    <w:rsid w:val="005E080B"/>
    <w:rsid w:val="005E4761"/>
    <w:rsid w:val="005E4884"/>
    <w:rsid w:val="005F0783"/>
    <w:rsid w:val="005F07FA"/>
    <w:rsid w:val="005F29B7"/>
    <w:rsid w:val="005F37E1"/>
    <w:rsid w:val="005F4614"/>
    <w:rsid w:val="005F5EAF"/>
    <w:rsid w:val="005F61F6"/>
    <w:rsid w:val="005F704F"/>
    <w:rsid w:val="00601A52"/>
    <w:rsid w:val="00602C39"/>
    <w:rsid w:val="006030AD"/>
    <w:rsid w:val="006130F3"/>
    <w:rsid w:val="00613BA6"/>
    <w:rsid w:val="00615FC5"/>
    <w:rsid w:val="00617F91"/>
    <w:rsid w:val="00625C93"/>
    <w:rsid w:val="00631130"/>
    <w:rsid w:val="006414EB"/>
    <w:rsid w:val="006427F7"/>
    <w:rsid w:val="006449F9"/>
    <w:rsid w:val="006515D0"/>
    <w:rsid w:val="00651902"/>
    <w:rsid w:val="0065340B"/>
    <w:rsid w:val="00653B4F"/>
    <w:rsid w:val="00661330"/>
    <w:rsid w:val="00667D8E"/>
    <w:rsid w:val="00670722"/>
    <w:rsid w:val="006722BE"/>
    <w:rsid w:val="00673EF9"/>
    <w:rsid w:val="006747A3"/>
    <w:rsid w:val="006807D7"/>
    <w:rsid w:val="006809FB"/>
    <w:rsid w:val="006846DE"/>
    <w:rsid w:val="0069259C"/>
    <w:rsid w:val="00692EE9"/>
    <w:rsid w:val="006940DD"/>
    <w:rsid w:val="0069561D"/>
    <w:rsid w:val="006A180E"/>
    <w:rsid w:val="006A2E95"/>
    <w:rsid w:val="006A328D"/>
    <w:rsid w:val="006A33AF"/>
    <w:rsid w:val="006A3714"/>
    <w:rsid w:val="006A63E6"/>
    <w:rsid w:val="006B26C8"/>
    <w:rsid w:val="006B2E6F"/>
    <w:rsid w:val="006B5A79"/>
    <w:rsid w:val="006C5F56"/>
    <w:rsid w:val="006E24C1"/>
    <w:rsid w:val="006E2D70"/>
    <w:rsid w:val="006F073C"/>
    <w:rsid w:val="006F352C"/>
    <w:rsid w:val="006F3E4B"/>
    <w:rsid w:val="006F576C"/>
    <w:rsid w:val="006F584E"/>
    <w:rsid w:val="006F67BC"/>
    <w:rsid w:val="006F6AE1"/>
    <w:rsid w:val="006F7242"/>
    <w:rsid w:val="00701C98"/>
    <w:rsid w:val="00703740"/>
    <w:rsid w:val="00706027"/>
    <w:rsid w:val="00706DB6"/>
    <w:rsid w:val="007074E2"/>
    <w:rsid w:val="00707523"/>
    <w:rsid w:val="007209F5"/>
    <w:rsid w:val="00721091"/>
    <w:rsid w:val="00721B79"/>
    <w:rsid w:val="00721FBC"/>
    <w:rsid w:val="0072294B"/>
    <w:rsid w:val="00723FC6"/>
    <w:rsid w:val="00727229"/>
    <w:rsid w:val="00730614"/>
    <w:rsid w:val="007332A5"/>
    <w:rsid w:val="00736A6E"/>
    <w:rsid w:val="00740CF1"/>
    <w:rsid w:val="007424A5"/>
    <w:rsid w:val="007433EC"/>
    <w:rsid w:val="00746907"/>
    <w:rsid w:val="00753923"/>
    <w:rsid w:val="00753F28"/>
    <w:rsid w:val="00754C42"/>
    <w:rsid w:val="00757919"/>
    <w:rsid w:val="007618E1"/>
    <w:rsid w:val="00767A5F"/>
    <w:rsid w:val="00770813"/>
    <w:rsid w:val="00771A4E"/>
    <w:rsid w:val="007744FD"/>
    <w:rsid w:val="00774683"/>
    <w:rsid w:val="00775A92"/>
    <w:rsid w:val="00777964"/>
    <w:rsid w:val="007806C9"/>
    <w:rsid w:val="00781160"/>
    <w:rsid w:val="0078235C"/>
    <w:rsid w:val="0079055E"/>
    <w:rsid w:val="00791457"/>
    <w:rsid w:val="007914F9"/>
    <w:rsid w:val="007922F3"/>
    <w:rsid w:val="00792ECD"/>
    <w:rsid w:val="00794BB1"/>
    <w:rsid w:val="007A185A"/>
    <w:rsid w:val="007A2AD5"/>
    <w:rsid w:val="007A3470"/>
    <w:rsid w:val="007A421F"/>
    <w:rsid w:val="007A4418"/>
    <w:rsid w:val="007B3A0A"/>
    <w:rsid w:val="007B6F4C"/>
    <w:rsid w:val="007C4AC4"/>
    <w:rsid w:val="007D1047"/>
    <w:rsid w:val="007D20A1"/>
    <w:rsid w:val="007D3B83"/>
    <w:rsid w:val="007E2E06"/>
    <w:rsid w:val="007E592F"/>
    <w:rsid w:val="007E7DE1"/>
    <w:rsid w:val="007E7E2D"/>
    <w:rsid w:val="007F039E"/>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305BA"/>
    <w:rsid w:val="008317DD"/>
    <w:rsid w:val="00834336"/>
    <w:rsid w:val="00834B3A"/>
    <w:rsid w:val="008474B2"/>
    <w:rsid w:val="008519E0"/>
    <w:rsid w:val="00852D37"/>
    <w:rsid w:val="00852ED9"/>
    <w:rsid w:val="008531BB"/>
    <w:rsid w:val="008533D0"/>
    <w:rsid w:val="00854732"/>
    <w:rsid w:val="008575BB"/>
    <w:rsid w:val="008602BD"/>
    <w:rsid w:val="008719C7"/>
    <w:rsid w:val="00872E0D"/>
    <w:rsid w:val="008803AC"/>
    <w:rsid w:val="008807F4"/>
    <w:rsid w:val="008838D8"/>
    <w:rsid w:val="0088399E"/>
    <w:rsid w:val="00884C89"/>
    <w:rsid w:val="00887D7B"/>
    <w:rsid w:val="00891DF8"/>
    <w:rsid w:val="008924D7"/>
    <w:rsid w:val="00892B31"/>
    <w:rsid w:val="0089432F"/>
    <w:rsid w:val="00896321"/>
    <w:rsid w:val="0089724E"/>
    <w:rsid w:val="008A422F"/>
    <w:rsid w:val="008A6540"/>
    <w:rsid w:val="008B051B"/>
    <w:rsid w:val="008B137C"/>
    <w:rsid w:val="008B2B08"/>
    <w:rsid w:val="008B3D42"/>
    <w:rsid w:val="008B6465"/>
    <w:rsid w:val="008B6DE0"/>
    <w:rsid w:val="008C4239"/>
    <w:rsid w:val="008C4B57"/>
    <w:rsid w:val="008D2FC1"/>
    <w:rsid w:val="008D3F7B"/>
    <w:rsid w:val="008E6991"/>
    <w:rsid w:val="008E7550"/>
    <w:rsid w:val="008E79FE"/>
    <w:rsid w:val="008F0B9A"/>
    <w:rsid w:val="008F21AE"/>
    <w:rsid w:val="008F36D6"/>
    <w:rsid w:val="008F5F75"/>
    <w:rsid w:val="008F64DF"/>
    <w:rsid w:val="008F68A5"/>
    <w:rsid w:val="008F7738"/>
    <w:rsid w:val="009021A6"/>
    <w:rsid w:val="00903280"/>
    <w:rsid w:val="00905D1A"/>
    <w:rsid w:val="00910A71"/>
    <w:rsid w:val="00914DA1"/>
    <w:rsid w:val="00924689"/>
    <w:rsid w:val="00932AD7"/>
    <w:rsid w:val="00934E10"/>
    <w:rsid w:val="009379BE"/>
    <w:rsid w:val="0094020D"/>
    <w:rsid w:val="00943926"/>
    <w:rsid w:val="00951868"/>
    <w:rsid w:val="00955B64"/>
    <w:rsid w:val="00955EAD"/>
    <w:rsid w:val="00960E39"/>
    <w:rsid w:val="009638D4"/>
    <w:rsid w:val="009652C9"/>
    <w:rsid w:val="00970C89"/>
    <w:rsid w:val="0097164D"/>
    <w:rsid w:val="00975B01"/>
    <w:rsid w:val="00983F68"/>
    <w:rsid w:val="0098576D"/>
    <w:rsid w:val="00986DD0"/>
    <w:rsid w:val="0099255D"/>
    <w:rsid w:val="00992912"/>
    <w:rsid w:val="009938A0"/>
    <w:rsid w:val="0099426D"/>
    <w:rsid w:val="00995416"/>
    <w:rsid w:val="009959B3"/>
    <w:rsid w:val="009975FD"/>
    <w:rsid w:val="009A0566"/>
    <w:rsid w:val="009A07B3"/>
    <w:rsid w:val="009A0924"/>
    <w:rsid w:val="009A35DF"/>
    <w:rsid w:val="009A4150"/>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E179D"/>
    <w:rsid w:val="009E3C8B"/>
    <w:rsid w:val="009E6B8A"/>
    <w:rsid w:val="009E7780"/>
    <w:rsid w:val="009F0253"/>
    <w:rsid w:val="009F1E19"/>
    <w:rsid w:val="009F4F61"/>
    <w:rsid w:val="009F6976"/>
    <w:rsid w:val="009F6EA9"/>
    <w:rsid w:val="00A00BEB"/>
    <w:rsid w:val="00A02177"/>
    <w:rsid w:val="00A02AD0"/>
    <w:rsid w:val="00A13253"/>
    <w:rsid w:val="00A16CFC"/>
    <w:rsid w:val="00A17D5D"/>
    <w:rsid w:val="00A20E2D"/>
    <w:rsid w:val="00A264FE"/>
    <w:rsid w:val="00A310E2"/>
    <w:rsid w:val="00A3282B"/>
    <w:rsid w:val="00A32987"/>
    <w:rsid w:val="00A336C4"/>
    <w:rsid w:val="00A35945"/>
    <w:rsid w:val="00A36900"/>
    <w:rsid w:val="00A37292"/>
    <w:rsid w:val="00A375E2"/>
    <w:rsid w:val="00A377F5"/>
    <w:rsid w:val="00A41557"/>
    <w:rsid w:val="00A43311"/>
    <w:rsid w:val="00A52702"/>
    <w:rsid w:val="00A560AD"/>
    <w:rsid w:val="00A67603"/>
    <w:rsid w:val="00A73BAD"/>
    <w:rsid w:val="00A75A36"/>
    <w:rsid w:val="00A804BC"/>
    <w:rsid w:val="00A81BAC"/>
    <w:rsid w:val="00A82E77"/>
    <w:rsid w:val="00A84A67"/>
    <w:rsid w:val="00A859C7"/>
    <w:rsid w:val="00A8634F"/>
    <w:rsid w:val="00A903B2"/>
    <w:rsid w:val="00A93957"/>
    <w:rsid w:val="00A950EE"/>
    <w:rsid w:val="00A95CFA"/>
    <w:rsid w:val="00A95FBA"/>
    <w:rsid w:val="00A979C4"/>
    <w:rsid w:val="00AA0C46"/>
    <w:rsid w:val="00AA1E3F"/>
    <w:rsid w:val="00AB04B5"/>
    <w:rsid w:val="00AB175B"/>
    <w:rsid w:val="00AB2091"/>
    <w:rsid w:val="00AB334C"/>
    <w:rsid w:val="00AB6218"/>
    <w:rsid w:val="00AB7CC9"/>
    <w:rsid w:val="00AC06B9"/>
    <w:rsid w:val="00AD1003"/>
    <w:rsid w:val="00AD3A09"/>
    <w:rsid w:val="00AE051C"/>
    <w:rsid w:val="00AE4810"/>
    <w:rsid w:val="00AE4D92"/>
    <w:rsid w:val="00AE50FC"/>
    <w:rsid w:val="00AF2A73"/>
    <w:rsid w:val="00AF319A"/>
    <w:rsid w:val="00AF3DE2"/>
    <w:rsid w:val="00AF3E9D"/>
    <w:rsid w:val="00B10440"/>
    <w:rsid w:val="00B10A2B"/>
    <w:rsid w:val="00B12F09"/>
    <w:rsid w:val="00B138A9"/>
    <w:rsid w:val="00B155FB"/>
    <w:rsid w:val="00B15F07"/>
    <w:rsid w:val="00B261C4"/>
    <w:rsid w:val="00B30078"/>
    <w:rsid w:val="00B31164"/>
    <w:rsid w:val="00B33EAF"/>
    <w:rsid w:val="00B340C3"/>
    <w:rsid w:val="00B35076"/>
    <w:rsid w:val="00B40BF3"/>
    <w:rsid w:val="00B41949"/>
    <w:rsid w:val="00B439A8"/>
    <w:rsid w:val="00B45031"/>
    <w:rsid w:val="00B460F4"/>
    <w:rsid w:val="00B516B7"/>
    <w:rsid w:val="00B537F2"/>
    <w:rsid w:val="00B60EDA"/>
    <w:rsid w:val="00B61A16"/>
    <w:rsid w:val="00B626FF"/>
    <w:rsid w:val="00B66EBB"/>
    <w:rsid w:val="00B7092A"/>
    <w:rsid w:val="00B70CAB"/>
    <w:rsid w:val="00B7413C"/>
    <w:rsid w:val="00B922B7"/>
    <w:rsid w:val="00B9539C"/>
    <w:rsid w:val="00B95EFB"/>
    <w:rsid w:val="00BA0064"/>
    <w:rsid w:val="00BA02D5"/>
    <w:rsid w:val="00BA10CD"/>
    <w:rsid w:val="00BB3ED9"/>
    <w:rsid w:val="00BB5AE7"/>
    <w:rsid w:val="00BB6DFA"/>
    <w:rsid w:val="00BC2151"/>
    <w:rsid w:val="00BC27BB"/>
    <w:rsid w:val="00BC4985"/>
    <w:rsid w:val="00BC4A4D"/>
    <w:rsid w:val="00BC5317"/>
    <w:rsid w:val="00BC68ED"/>
    <w:rsid w:val="00BD0872"/>
    <w:rsid w:val="00BD12B5"/>
    <w:rsid w:val="00BD7A6C"/>
    <w:rsid w:val="00BE600F"/>
    <w:rsid w:val="00BF1E1D"/>
    <w:rsid w:val="00BF471D"/>
    <w:rsid w:val="00BF51C1"/>
    <w:rsid w:val="00BF6FBD"/>
    <w:rsid w:val="00C02C40"/>
    <w:rsid w:val="00C113C5"/>
    <w:rsid w:val="00C20A5F"/>
    <w:rsid w:val="00C22C19"/>
    <w:rsid w:val="00C33C2A"/>
    <w:rsid w:val="00C34032"/>
    <w:rsid w:val="00C42B52"/>
    <w:rsid w:val="00C52827"/>
    <w:rsid w:val="00C544D9"/>
    <w:rsid w:val="00C54DA2"/>
    <w:rsid w:val="00C568B1"/>
    <w:rsid w:val="00C61170"/>
    <w:rsid w:val="00C62254"/>
    <w:rsid w:val="00C65DBB"/>
    <w:rsid w:val="00C661F3"/>
    <w:rsid w:val="00C664E7"/>
    <w:rsid w:val="00C67DA5"/>
    <w:rsid w:val="00C7015D"/>
    <w:rsid w:val="00C75595"/>
    <w:rsid w:val="00C778E8"/>
    <w:rsid w:val="00C806C9"/>
    <w:rsid w:val="00C82639"/>
    <w:rsid w:val="00C9049D"/>
    <w:rsid w:val="00C91D23"/>
    <w:rsid w:val="00CA2E10"/>
    <w:rsid w:val="00CA3ADC"/>
    <w:rsid w:val="00CA3D4D"/>
    <w:rsid w:val="00CA6FE9"/>
    <w:rsid w:val="00CB0726"/>
    <w:rsid w:val="00CB1E15"/>
    <w:rsid w:val="00CB47A2"/>
    <w:rsid w:val="00CB7B71"/>
    <w:rsid w:val="00CC0242"/>
    <w:rsid w:val="00CC0F55"/>
    <w:rsid w:val="00CC2A8B"/>
    <w:rsid w:val="00CC350C"/>
    <w:rsid w:val="00CC407E"/>
    <w:rsid w:val="00CC53BC"/>
    <w:rsid w:val="00CC6C54"/>
    <w:rsid w:val="00CD3347"/>
    <w:rsid w:val="00CD3CA9"/>
    <w:rsid w:val="00CD7DC9"/>
    <w:rsid w:val="00CE00ED"/>
    <w:rsid w:val="00CE074B"/>
    <w:rsid w:val="00CE160C"/>
    <w:rsid w:val="00CE5ADE"/>
    <w:rsid w:val="00CF1B51"/>
    <w:rsid w:val="00CF2D08"/>
    <w:rsid w:val="00CF53BB"/>
    <w:rsid w:val="00CF6A4F"/>
    <w:rsid w:val="00CF79D1"/>
    <w:rsid w:val="00D0157E"/>
    <w:rsid w:val="00D0252F"/>
    <w:rsid w:val="00D06926"/>
    <w:rsid w:val="00D13035"/>
    <w:rsid w:val="00D134E4"/>
    <w:rsid w:val="00D137D7"/>
    <w:rsid w:val="00D148B4"/>
    <w:rsid w:val="00D149DD"/>
    <w:rsid w:val="00D210C7"/>
    <w:rsid w:val="00D219E1"/>
    <w:rsid w:val="00D21B94"/>
    <w:rsid w:val="00D31F78"/>
    <w:rsid w:val="00D42BEE"/>
    <w:rsid w:val="00D43659"/>
    <w:rsid w:val="00D44B35"/>
    <w:rsid w:val="00D507D8"/>
    <w:rsid w:val="00D53E53"/>
    <w:rsid w:val="00D576FD"/>
    <w:rsid w:val="00D57ACE"/>
    <w:rsid w:val="00D6125D"/>
    <w:rsid w:val="00D630F4"/>
    <w:rsid w:val="00D63D38"/>
    <w:rsid w:val="00D64C9D"/>
    <w:rsid w:val="00D66695"/>
    <w:rsid w:val="00D66D85"/>
    <w:rsid w:val="00D678F4"/>
    <w:rsid w:val="00D72D90"/>
    <w:rsid w:val="00D74718"/>
    <w:rsid w:val="00D834CD"/>
    <w:rsid w:val="00D8356D"/>
    <w:rsid w:val="00D844D2"/>
    <w:rsid w:val="00D85FF8"/>
    <w:rsid w:val="00D86CFD"/>
    <w:rsid w:val="00D874CD"/>
    <w:rsid w:val="00DA409B"/>
    <w:rsid w:val="00DB168D"/>
    <w:rsid w:val="00DB22DA"/>
    <w:rsid w:val="00DB62B6"/>
    <w:rsid w:val="00DC01C5"/>
    <w:rsid w:val="00DC1606"/>
    <w:rsid w:val="00DC5D2A"/>
    <w:rsid w:val="00DD396E"/>
    <w:rsid w:val="00DD5730"/>
    <w:rsid w:val="00DE0312"/>
    <w:rsid w:val="00DE3A9F"/>
    <w:rsid w:val="00DE51C3"/>
    <w:rsid w:val="00DF06BA"/>
    <w:rsid w:val="00DF1ABE"/>
    <w:rsid w:val="00DF744B"/>
    <w:rsid w:val="00E002BC"/>
    <w:rsid w:val="00E029DB"/>
    <w:rsid w:val="00E04C7C"/>
    <w:rsid w:val="00E04FCA"/>
    <w:rsid w:val="00E077BA"/>
    <w:rsid w:val="00E122F2"/>
    <w:rsid w:val="00E13612"/>
    <w:rsid w:val="00E1494C"/>
    <w:rsid w:val="00E1610E"/>
    <w:rsid w:val="00E17947"/>
    <w:rsid w:val="00E17B99"/>
    <w:rsid w:val="00E23BFE"/>
    <w:rsid w:val="00E23CB1"/>
    <w:rsid w:val="00E36BDD"/>
    <w:rsid w:val="00E41A3D"/>
    <w:rsid w:val="00E45CF6"/>
    <w:rsid w:val="00E50DBD"/>
    <w:rsid w:val="00E519D3"/>
    <w:rsid w:val="00E52C70"/>
    <w:rsid w:val="00E531A9"/>
    <w:rsid w:val="00E53D11"/>
    <w:rsid w:val="00E54AB1"/>
    <w:rsid w:val="00E550DE"/>
    <w:rsid w:val="00E562E7"/>
    <w:rsid w:val="00E602C8"/>
    <w:rsid w:val="00E614E6"/>
    <w:rsid w:val="00E657F3"/>
    <w:rsid w:val="00E66B62"/>
    <w:rsid w:val="00E70E99"/>
    <w:rsid w:val="00E74409"/>
    <w:rsid w:val="00E75B6E"/>
    <w:rsid w:val="00E766A7"/>
    <w:rsid w:val="00E907F5"/>
    <w:rsid w:val="00EA09BE"/>
    <w:rsid w:val="00EA3FAD"/>
    <w:rsid w:val="00EA52E7"/>
    <w:rsid w:val="00EA6843"/>
    <w:rsid w:val="00EB01D6"/>
    <w:rsid w:val="00EB160D"/>
    <w:rsid w:val="00EB22D0"/>
    <w:rsid w:val="00EB3002"/>
    <w:rsid w:val="00EC262E"/>
    <w:rsid w:val="00EC35FF"/>
    <w:rsid w:val="00EC4C80"/>
    <w:rsid w:val="00EC77CB"/>
    <w:rsid w:val="00EC7897"/>
    <w:rsid w:val="00ED07B2"/>
    <w:rsid w:val="00ED0FF3"/>
    <w:rsid w:val="00ED1248"/>
    <w:rsid w:val="00ED272F"/>
    <w:rsid w:val="00ED34DF"/>
    <w:rsid w:val="00ED4320"/>
    <w:rsid w:val="00EE3157"/>
    <w:rsid w:val="00EE39E9"/>
    <w:rsid w:val="00EE3EAB"/>
    <w:rsid w:val="00EE61B7"/>
    <w:rsid w:val="00EE77EA"/>
    <w:rsid w:val="00EF65A0"/>
    <w:rsid w:val="00EF79CD"/>
    <w:rsid w:val="00F00090"/>
    <w:rsid w:val="00F0184D"/>
    <w:rsid w:val="00F02BCB"/>
    <w:rsid w:val="00F053C6"/>
    <w:rsid w:val="00F054E3"/>
    <w:rsid w:val="00F0574B"/>
    <w:rsid w:val="00F0637F"/>
    <w:rsid w:val="00F064EB"/>
    <w:rsid w:val="00F107A7"/>
    <w:rsid w:val="00F175C1"/>
    <w:rsid w:val="00F175DD"/>
    <w:rsid w:val="00F20558"/>
    <w:rsid w:val="00F20BF5"/>
    <w:rsid w:val="00F23BFD"/>
    <w:rsid w:val="00F32733"/>
    <w:rsid w:val="00F43DED"/>
    <w:rsid w:val="00F44494"/>
    <w:rsid w:val="00F451F3"/>
    <w:rsid w:val="00F46CCB"/>
    <w:rsid w:val="00F554E6"/>
    <w:rsid w:val="00F60F38"/>
    <w:rsid w:val="00F642C8"/>
    <w:rsid w:val="00F70BCE"/>
    <w:rsid w:val="00F72A9A"/>
    <w:rsid w:val="00F75002"/>
    <w:rsid w:val="00F774A8"/>
    <w:rsid w:val="00F810EF"/>
    <w:rsid w:val="00F83552"/>
    <w:rsid w:val="00F83775"/>
    <w:rsid w:val="00F84B51"/>
    <w:rsid w:val="00F86406"/>
    <w:rsid w:val="00F91B8D"/>
    <w:rsid w:val="00F92C20"/>
    <w:rsid w:val="00F9361B"/>
    <w:rsid w:val="00FB2B6B"/>
    <w:rsid w:val="00FC5650"/>
    <w:rsid w:val="00FC56E8"/>
    <w:rsid w:val="00FD0F59"/>
    <w:rsid w:val="00FD1257"/>
    <w:rsid w:val="00FD2FFF"/>
    <w:rsid w:val="00FD4AED"/>
    <w:rsid w:val="00FD6493"/>
    <w:rsid w:val="00FE11F5"/>
    <w:rsid w:val="00FE336C"/>
    <w:rsid w:val="00FE3759"/>
    <w:rsid w:val="00FE3F65"/>
    <w:rsid w:val="00FE5ED7"/>
    <w:rsid w:val="00FE6C21"/>
    <w:rsid w:val="00FE72D3"/>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CC"/>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basedOn w:val="Normal"/>
    <w:qFormat/>
    <w:rsid w:val="0089432F"/>
    <w:pPr>
      <w:ind w:left="720"/>
      <w:contextualSpacing/>
    </w:pPr>
  </w:style>
  <w:style w:type="table" w:styleId="TableGrid">
    <w:name w:val="Table Grid"/>
    <w:basedOn w:val="TableNormal"/>
    <w:rsid w:val="00D63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CC"/>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basedOn w:val="Normal"/>
    <w:qFormat/>
    <w:rsid w:val="0089432F"/>
    <w:pPr>
      <w:ind w:left="720"/>
      <w:contextualSpacing/>
    </w:pPr>
  </w:style>
  <w:style w:type="table" w:styleId="TableGrid">
    <w:name w:val="Table Grid"/>
    <w:basedOn w:val="TableNormal"/>
    <w:rsid w:val="00D63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8109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Likumprojekts "Par valsts budžetu 2009.gadam"</vt:lpstr>
    </vt:vector>
  </TitlesOfParts>
  <Company>Finanšu ministrija</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dc:description>Zane.Adijane@fm.gov.lv,
67095437</dc:description>
  <cp:lastModifiedBy>B-461</cp:lastModifiedBy>
  <cp:revision>2</cp:revision>
  <cp:lastPrinted>2013-10-24T15:16:00Z</cp:lastPrinted>
  <dcterms:created xsi:type="dcterms:W3CDTF">2013-10-25T05:50:00Z</dcterms:created>
  <dcterms:modified xsi:type="dcterms:W3CDTF">2013-10-25T05:50:00Z</dcterms:modified>
</cp:coreProperties>
</file>