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200E80" w:rsidRPr="00EC1A65" w:rsidRDefault="00A91E15" w:rsidP="00200E80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</w:t>
            </w:r>
            <w:r w:rsidR="00200E80" w:rsidRPr="00EC1A65">
              <w:rPr>
                <w:sz w:val="26"/>
                <w:szCs w:val="26"/>
              </w:rPr>
              <w:t>īkojuma projekts ir sagatavots</w:t>
            </w:r>
            <w:r w:rsidR="00A321FC" w:rsidRPr="00EC1A65">
              <w:rPr>
                <w:sz w:val="26"/>
                <w:szCs w:val="26"/>
              </w:rPr>
              <w:t xml:space="preserve">, </w:t>
            </w:r>
            <w:r w:rsidRPr="00EC1A65">
              <w:rPr>
                <w:sz w:val="26"/>
                <w:szCs w:val="26"/>
              </w:rPr>
              <w:t xml:space="preserve">lai izskatītu </w:t>
            </w:r>
            <w:r w:rsidR="00625C62" w:rsidRPr="00EC1A65">
              <w:rPr>
                <w:sz w:val="26"/>
                <w:szCs w:val="26"/>
              </w:rPr>
              <w:t xml:space="preserve">Zemkopības ministrijas </w:t>
            </w:r>
            <w:r w:rsidR="00FF0043" w:rsidRPr="00EC1A65">
              <w:rPr>
                <w:sz w:val="26"/>
                <w:szCs w:val="26"/>
              </w:rPr>
              <w:t>ierosinājumu par Ministru kabineta Atzinības raksta piešķiršanu</w:t>
            </w:r>
            <w:r w:rsidR="00EF64BF" w:rsidRPr="00EC1A65">
              <w:rPr>
                <w:sz w:val="26"/>
                <w:szCs w:val="26"/>
              </w:rPr>
              <w:t xml:space="preserve"> Latvijas </w:t>
            </w:r>
            <w:r w:rsidR="001F713F" w:rsidRPr="00EC1A65">
              <w:rPr>
                <w:sz w:val="26"/>
                <w:szCs w:val="26"/>
              </w:rPr>
              <w:t>Lauksaimniecības universitātes r</w:t>
            </w:r>
            <w:r w:rsidR="00EF64BF" w:rsidRPr="00EC1A65">
              <w:rPr>
                <w:sz w:val="26"/>
                <w:szCs w:val="26"/>
              </w:rPr>
              <w:t xml:space="preserve">ektoram, profesoram </w:t>
            </w:r>
            <w:r w:rsidR="009D3DE0" w:rsidRPr="00EC1A65">
              <w:rPr>
                <w:sz w:val="26"/>
                <w:szCs w:val="26"/>
              </w:rPr>
              <w:t xml:space="preserve">inženierzinātņu doktoram </w:t>
            </w:r>
            <w:r w:rsidR="00EF64BF" w:rsidRPr="00EC1A65">
              <w:rPr>
                <w:sz w:val="26"/>
                <w:szCs w:val="26"/>
              </w:rPr>
              <w:t xml:space="preserve">Jurim Skujānam </w:t>
            </w:r>
            <w:r w:rsidR="00625C62" w:rsidRPr="00EC1A65">
              <w:rPr>
                <w:sz w:val="26"/>
                <w:szCs w:val="26"/>
              </w:rPr>
              <w:t>(</w:t>
            </w:r>
            <w:r w:rsidR="004276CC" w:rsidRPr="00EC1A65">
              <w:rPr>
                <w:sz w:val="26"/>
                <w:szCs w:val="26"/>
              </w:rPr>
              <w:t>Zemkopības ministrijas 2012.gada 18</w:t>
            </w:r>
            <w:r w:rsidR="005D4711" w:rsidRPr="00EC1A65">
              <w:rPr>
                <w:sz w:val="26"/>
                <w:szCs w:val="26"/>
              </w:rPr>
              <w:t>.</w:t>
            </w:r>
            <w:r w:rsidR="00DE13DC" w:rsidRPr="00EC1A65">
              <w:rPr>
                <w:sz w:val="26"/>
                <w:szCs w:val="26"/>
              </w:rPr>
              <w:t>aprīļa</w:t>
            </w:r>
            <w:r w:rsidR="007335B6" w:rsidRPr="00EC1A65">
              <w:rPr>
                <w:sz w:val="26"/>
                <w:szCs w:val="26"/>
              </w:rPr>
              <w:t xml:space="preserve"> </w:t>
            </w:r>
            <w:r w:rsidR="005D4711" w:rsidRPr="00EC1A65">
              <w:rPr>
                <w:sz w:val="26"/>
                <w:szCs w:val="26"/>
              </w:rPr>
              <w:t>vēstule Nr.</w:t>
            </w:r>
            <w:r w:rsidR="00DE13DC" w:rsidRPr="00EC1A65">
              <w:rPr>
                <w:sz w:val="26"/>
                <w:szCs w:val="26"/>
              </w:rPr>
              <w:t>7.3-23/1391/2012</w:t>
            </w:r>
            <w:r w:rsidR="00F018C2" w:rsidRPr="00EC1A65">
              <w:rPr>
                <w:sz w:val="26"/>
                <w:szCs w:val="26"/>
              </w:rPr>
              <w:t>)</w:t>
            </w:r>
            <w:r w:rsidR="001147F5" w:rsidRPr="00EC1A65">
              <w:rPr>
                <w:sz w:val="26"/>
                <w:szCs w:val="26"/>
              </w:rPr>
              <w:t>.</w:t>
            </w:r>
          </w:p>
          <w:p w:rsidR="00A91E15" w:rsidRPr="00EC1A65" w:rsidRDefault="00A91E15" w:rsidP="00F018C2">
            <w:pPr>
              <w:jc w:val="both"/>
              <w:rPr>
                <w:sz w:val="26"/>
                <w:szCs w:val="26"/>
              </w:rPr>
            </w:pP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2D6557" w:rsidRPr="00EC1A65" w:rsidRDefault="005948F0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>2012.gada</w:t>
            </w:r>
            <w:r w:rsidR="00753329">
              <w:rPr>
                <w:rFonts w:ascii="Times New Roman" w:hAnsi="Times New Roman"/>
                <w:sz w:val="26"/>
                <w:szCs w:val="26"/>
              </w:rPr>
              <w:t xml:space="preserve"> 22</w:t>
            </w:r>
            <w:r w:rsidR="003467F2" w:rsidRPr="00EC1A65">
              <w:rPr>
                <w:rFonts w:ascii="Times New Roman" w:hAnsi="Times New Roman"/>
                <w:sz w:val="26"/>
                <w:szCs w:val="26"/>
              </w:rPr>
              <w:t>.</w:t>
            </w:r>
            <w:r w:rsidR="004276CC" w:rsidRPr="00EC1A65">
              <w:rPr>
                <w:rFonts w:ascii="Times New Roman" w:hAnsi="Times New Roman"/>
                <w:sz w:val="26"/>
                <w:szCs w:val="26"/>
              </w:rPr>
              <w:t>maija</w:t>
            </w:r>
            <w:r w:rsidR="007B4D7D" w:rsidRPr="00EC1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557" w:rsidRPr="00EC1A65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Pr="00EC1A65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EC1A65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EC1A65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Pr="00EC1A65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200E80" w:rsidRPr="00EC1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223B" w:rsidRPr="00EC1A65">
              <w:rPr>
                <w:rFonts w:ascii="Times New Roman" w:hAnsi="Times New Roman"/>
                <w:sz w:val="26"/>
                <w:szCs w:val="26"/>
              </w:rPr>
              <w:t xml:space="preserve">Latvijas Lauksaimniecības </w:t>
            </w:r>
            <w:r w:rsidR="001F713F" w:rsidRPr="00EC1A65">
              <w:rPr>
                <w:rFonts w:ascii="Times New Roman" w:hAnsi="Times New Roman"/>
                <w:sz w:val="26"/>
                <w:szCs w:val="26"/>
              </w:rPr>
              <w:t>universitātes r</w:t>
            </w:r>
            <w:r w:rsidR="004276CC" w:rsidRPr="00EC1A65">
              <w:rPr>
                <w:rFonts w:ascii="Times New Roman" w:hAnsi="Times New Roman"/>
                <w:sz w:val="26"/>
                <w:szCs w:val="26"/>
              </w:rPr>
              <w:t xml:space="preserve">ektoram, profesoram </w:t>
            </w:r>
            <w:r w:rsidR="00C10B2B" w:rsidRPr="00EC1A65">
              <w:rPr>
                <w:rFonts w:ascii="Times New Roman" w:hAnsi="Times New Roman"/>
                <w:sz w:val="26"/>
                <w:szCs w:val="26"/>
              </w:rPr>
              <w:t>i</w:t>
            </w:r>
            <w:r w:rsidR="009D3DE0" w:rsidRPr="00EC1A65">
              <w:rPr>
                <w:rFonts w:ascii="Times New Roman" w:hAnsi="Times New Roman"/>
                <w:sz w:val="26"/>
                <w:szCs w:val="26"/>
              </w:rPr>
              <w:t xml:space="preserve">nženierzinātņu doktoram </w:t>
            </w:r>
            <w:r w:rsidR="004276CC" w:rsidRPr="00EC1A65">
              <w:rPr>
                <w:rFonts w:ascii="Times New Roman" w:hAnsi="Times New Roman"/>
                <w:sz w:val="26"/>
                <w:szCs w:val="26"/>
              </w:rPr>
              <w:t>Jurim Skujānam.</w:t>
            </w:r>
          </w:p>
          <w:p w:rsidR="001240F1" w:rsidRPr="00EC1A65" w:rsidRDefault="001240F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 xml:space="preserve">Ministru kabineta Atzinības rakstu pasniedz </w:t>
            </w:r>
            <w:r w:rsidR="004276CC" w:rsidRPr="00EC1A65">
              <w:rPr>
                <w:rFonts w:ascii="Times New Roman" w:hAnsi="Times New Roman"/>
                <w:sz w:val="26"/>
                <w:szCs w:val="26"/>
              </w:rPr>
              <w:t>zemkopības ministre L.Straujuma</w:t>
            </w:r>
            <w:r w:rsidR="00C8542A" w:rsidRPr="00EC1A65">
              <w:rPr>
                <w:rFonts w:ascii="Times New Roman" w:hAnsi="Times New Roman"/>
                <w:sz w:val="26"/>
                <w:szCs w:val="26"/>
              </w:rPr>
              <w:t>.</w:t>
            </w:r>
            <w:r w:rsidR="009C6EC7" w:rsidRPr="00EC1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9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710D81" w:rsidRPr="00EC1A65" w:rsidRDefault="00710D81" w:rsidP="00710D81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6013DF" w:rsidRPr="00EC1A65" w:rsidRDefault="006013DF" w:rsidP="009D7D17">
      <w:pPr>
        <w:jc w:val="both"/>
        <w:rPr>
          <w:sz w:val="26"/>
          <w:szCs w:val="26"/>
        </w:rPr>
      </w:pPr>
    </w:p>
    <w:p w:rsidR="004655E3" w:rsidRPr="00EC1A65" w:rsidRDefault="004655E3" w:rsidP="009D7D17">
      <w:pPr>
        <w:jc w:val="both"/>
        <w:rPr>
          <w:sz w:val="26"/>
          <w:szCs w:val="26"/>
        </w:rPr>
      </w:pPr>
    </w:p>
    <w:p w:rsidR="00EC1A65" w:rsidRPr="00EC1A65" w:rsidRDefault="00A91E15" w:rsidP="00A56DDD">
      <w:pPr>
        <w:ind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Ministru prezident</w:t>
      </w:r>
      <w:r w:rsidR="00EC1A65" w:rsidRPr="00EC1A65">
        <w:rPr>
          <w:sz w:val="28"/>
          <w:szCs w:val="28"/>
        </w:rPr>
        <w:t xml:space="preserve">a vietā – </w:t>
      </w:r>
    </w:p>
    <w:p w:rsidR="00A91E15" w:rsidRPr="00EC1A65" w:rsidRDefault="00A56DDD" w:rsidP="00A5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D00">
        <w:rPr>
          <w:sz w:val="28"/>
          <w:szCs w:val="28"/>
        </w:rPr>
        <w:tab/>
      </w:r>
      <w:r w:rsidR="00EC1A65" w:rsidRPr="00EC1A65">
        <w:rPr>
          <w:sz w:val="28"/>
          <w:szCs w:val="28"/>
        </w:rPr>
        <w:t>A.Vilks</w:t>
      </w:r>
      <w:r w:rsidR="0068735D" w:rsidRPr="00EC1A65">
        <w:rPr>
          <w:sz w:val="28"/>
          <w:szCs w:val="28"/>
        </w:rPr>
        <w:tab/>
      </w:r>
    </w:p>
    <w:p w:rsidR="006767CA" w:rsidRPr="00EC1A65" w:rsidRDefault="006767CA" w:rsidP="00FB0D00">
      <w:pPr>
        <w:jc w:val="center"/>
        <w:rPr>
          <w:sz w:val="28"/>
          <w:szCs w:val="28"/>
        </w:rPr>
      </w:pPr>
    </w:p>
    <w:p w:rsidR="006013DF" w:rsidRPr="00EC1A65" w:rsidRDefault="001F713F" w:rsidP="00A56DDD">
      <w:pPr>
        <w:ind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Vīzē</w:t>
      </w:r>
      <w:r w:rsidR="00A91E15" w:rsidRPr="00EC1A65">
        <w:rPr>
          <w:sz w:val="28"/>
          <w:szCs w:val="28"/>
        </w:rPr>
        <w:t>:</w:t>
      </w:r>
      <w:r w:rsidR="00D10782" w:rsidRPr="00EC1A65">
        <w:rPr>
          <w:sz w:val="28"/>
          <w:szCs w:val="28"/>
        </w:rPr>
        <w:tab/>
      </w:r>
    </w:p>
    <w:p w:rsidR="00EC1A65" w:rsidRPr="00EC1A65" w:rsidRDefault="006013DF" w:rsidP="00FB0D00">
      <w:pPr>
        <w:ind w:right="-90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Valsts kancelejas direktore</w:t>
      </w:r>
      <w:r w:rsidR="00A56DDD">
        <w:rPr>
          <w:sz w:val="28"/>
          <w:szCs w:val="28"/>
        </w:rPr>
        <w:tab/>
      </w:r>
      <w:r w:rsidR="00A56DDD">
        <w:rPr>
          <w:sz w:val="28"/>
          <w:szCs w:val="28"/>
        </w:rPr>
        <w:tab/>
      </w:r>
      <w:r w:rsidR="00E60EE8" w:rsidRPr="00EC1A65">
        <w:rPr>
          <w:sz w:val="28"/>
          <w:szCs w:val="28"/>
        </w:rPr>
        <w:tab/>
      </w:r>
      <w:r w:rsidR="00E60EE8" w:rsidRPr="00EC1A65">
        <w:rPr>
          <w:sz w:val="28"/>
          <w:szCs w:val="28"/>
        </w:rPr>
        <w:tab/>
      </w:r>
      <w:r w:rsidR="00FB0D00">
        <w:rPr>
          <w:sz w:val="28"/>
          <w:szCs w:val="28"/>
        </w:rPr>
        <w:tab/>
      </w:r>
      <w:r w:rsidR="00A91E15" w:rsidRPr="00EC1A65">
        <w:rPr>
          <w:sz w:val="28"/>
          <w:szCs w:val="28"/>
        </w:rPr>
        <w:t>E.Dreimane</w:t>
      </w:r>
    </w:p>
    <w:p w:rsidR="00EC1A65" w:rsidRDefault="00EC1A65" w:rsidP="00453CC5">
      <w:pPr>
        <w:jc w:val="both"/>
        <w:rPr>
          <w:sz w:val="26"/>
          <w:szCs w:val="26"/>
        </w:rPr>
      </w:pPr>
    </w:p>
    <w:p w:rsidR="00753329" w:rsidRPr="00EC1A65" w:rsidRDefault="00753329" w:rsidP="00453CC5">
      <w:pPr>
        <w:jc w:val="both"/>
        <w:rPr>
          <w:sz w:val="26"/>
          <w:szCs w:val="26"/>
        </w:rPr>
      </w:pPr>
    </w:p>
    <w:p w:rsidR="00410E8C" w:rsidRPr="00EC1A65" w:rsidRDefault="00EC1A65" w:rsidP="00453CC5">
      <w:pPr>
        <w:jc w:val="both"/>
      </w:pPr>
      <w:r w:rsidRPr="00EC1A65">
        <w:t>23</w:t>
      </w:r>
      <w:r w:rsidR="00C8629E" w:rsidRPr="00EC1A65">
        <w:t>.05</w:t>
      </w:r>
      <w:r w:rsidR="00D27D03" w:rsidRPr="00EC1A65">
        <w:t>.2012.</w:t>
      </w:r>
    </w:p>
    <w:p w:rsidR="00D27D03" w:rsidRPr="00EC1A65" w:rsidRDefault="00EC1A65" w:rsidP="00453CC5">
      <w:pPr>
        <w:jc w:val="both"/>
      </w:pPr>
      <w:r w:rsidRPr="00EC1A65">
        <w:t>160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r w:rsidR="003467F2" w:rsidRPr="00EC1A65">
        <w:t>Pļaveniece</w:t>
      </w:r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0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65" w:rsidRDefault="00EC1A65" w:rsidP="00190620">
      <w:r>
        <w:separator/>
      </w:r>
    </w:p>
  </w:endnote>
  <w:endnote w:type="continuationSeparator" w:id="0">
    <w:p w:rsidR="00EC1A65" w:rsidRDefault="00EC1A6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65" w:rsidRDefault="00EC1A65">
    <w:pPr>
      <w:pStyle w:val="Footer"/>
    </w:pPr>
    <w:r>
      <w:t>MKAPAnot_230512_Par Ministru kabineta Atzinības raksta piešķiršanu</w:t>
    </w:r>
  </w:p>
  <w:p w:rsidR="00EC1A65" w:rsidRDefault="00EC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65" w:rsidRDefault="00EC1A65">
    <w:pPr>
      <w:pStyle w:val="Footer"/>
    </w:pPr>
    <w:r>
      <w:t>MKAPAnot_230512_Par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65" w:rsidRDefault="00EC1A65" w:rsidP="00190620">
      <w:r>
        <w:separator/>
      </w:r>
    </w:p>
  </w:footnote>
  <w:footnote w:type="continuationSeparator" w:id="0">
    <w:p w:rsidR="00EC1A65" w:rsidRDefault="00EC1A6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EC1A65" w:rsidRDefault="00EC1A6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A65" w:rsidRDefault="00EC1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7DEB"/>
    <w:rsid w:val="0022236D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76A0"/>
    <w:rsid w:val="00340077"/>
    <w:rsid w:val="0034447C"/>
    <w:rsid w:val="003451D2"/>
    <w:rsid w:val="003467F2"/>
    <w:rsid w:val="00355EF6"/>
    <w:rsid w:val="0039131F"/>
    <w:rsid w:val="00397983"/>
    <w:rsid w:val="003B2B5D"/>
    <w:rsid w:val="003D02A3"/>
    <w:rsid w:val="003D5658"/>
    <w:rsid w:val="003E3FDB"/>
    <w:rsid w:val="003F7F30"/>
    <w:rsid w:val="00410E8C"/>
    <w:rsid w:val="00416B7C"/>
    <w:rsid w:val="00425D3E"/>
    <w:rsid w:val="004276CC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BF4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E6F86"/>
    <w:rsid w:val="006F223C"/>
    <w:rsid w:val="006F2551"/>
    <w:rsid w:val="00710C30"/>
    <w:rsid w:val="00710D81"/>
    <w:rsid w:val="00714953"/>
    <w:rsid w:val="0072475B"/>
    <w:rsid w:val="007335B6"/>
    <w:rsid w:val="00753329"/>
    <w:rsid w:val="007800D4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231D"/>
    <w:rsid w:val="00CA4AC0"/>
    <w:rsid w:val="00CB79B8"/>
    <w:rsid w:val="00CE2298"/>
    <w:rsid w:val="00CF1F1A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344D9"/>
    <w:rsid w:val="00E42562"/>
    <w:rsid w:val="00E45F50"/>
    <w:rsid w:val="00E52011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ED7A-6573-4818-A0F0-5B14952B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</cp:revision>
  <cp:lastPrinted>2012-05-18T10:36:00Z</cp:lastPrinted>
  <dcterms:created xsi:type="dcterms:W3CDTF">2012-05-24T07:39:00Z</dcterms:created>
  <dcterms:modified xsi:type="dcterms:W3CDTF">2012-05-24T07:39:00Z</dcterms:modified>
</cp:coreProperties>
</file>