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E658" w14:textId="77777777" w:rsidR="009E0E56" w:rsidRPr="00435E4A" w:rsidRDefault="009E0E56" w:rsidP="000303BB">
      <w:pPr>
        <w:pStyle w:val="naisvisr"/>
        <w:spacing w:before="0" w:after="0"/>
        <w:rPr>
          <w:szCs w:val="24"/>
        </w:rPr>
      </w:pPr>
      <w:r w:rsidRPr="00435E4A">
        <w:rPr>
          <w:szCs w:val="24"/>
        </w:rPr>
        <w:t xml:space="preserve">Ministru kabineta </w:t>
      </w:r>
      <w:r w:rsidR="000303BB" w:rsidRPr="00435E4A">
        <w:rPr>
          <w:szCs w:val="24"/>
        </w:rPr>
        <w:t>instrukcijas</w:t>
      </w:r>
      <w:r w:rsidRPr="00435E4A">
        <w:rPr>
          <w:szCs w:val="24"/>
        </w:rPr>
        <w:t xml:space="preserve"> projekta</w:t>
      </w:r>
    </w:p>
    <w:p w14:paraId="0118E659" w14:textId="68D8A53B" w:rsidR="002D12BB" w:rsidRPr="00435E4A" w:rsidRDefault="00435E4A" w:rsidP="000303BB">
      <w:pPr>
        <w:pStyle w:val="NormalWeb"/>
        <w:spacing w:before="0" w:after="0"/>
        <w:jc w:val="center"/>
        <w:rPr>
          <w:b/>
          <w:bCs/>
          <w:sz w:val="28"/>
        </w:rPr>
      </w:pPr>
      <w:r w:rsidRPr="00435E4A">
        <w:rPr>
          <w:b/>
          <w:bCs/>
          <w:sz w:val="28"/>
        </w:rPr>
        <w:t>"</w:t>
      </w:r>
      <w:r w:rsidR="000303BB" w:rsidRPr="00435E4A">
        <w:rPr>
          <w:b/>
          <w:bCs/>
          <w:sz w:val="28"/>
        </w:rPr>
        <w:t xml:space="preserve">Kārtība, kādā valsts tiešās pārvaldes iestādes ievieto informāciju tiešās pārvaldes </w:t>
      </w:r>
      <w:r w:rsidR="00931393" w:rsidRPr="00435E4A">
        <w:rPr>
          <w:b/>
          <w:bCs/>
          <w:sz w:val="28"/>
        </w:rPr>
        <w:t>iestāžu datu</w:t>
      </w:r>
      <w:r w:rsidR="000303BB" w:rsidRPr="00435E4A">
        <w:rPr>
          <w:b/>
          <w:bCs/>
          <w:sz w:val="28"/>
        </w:rPr>
        <w:t>bāzē</w:t>
      </w:r>
      <w:r w:rsidRPr="00435E4A">
        <w:rPr>
          <w:b/>
          <w:bCs/>
          <w:sz w:val="28"/>
        </w:rPr>
        <w:t>"</w:t>
      </w:r>
      <w:r w:rsidR="00A638DF" w:rsidRPr="00435E4A">
        <w:rPr>
          <w:b/>
          <w:bCs/>
          <w:sz w:val="28"/>
        </w:rPr>
        <w:t xml:space="preserve"> </w:t>
      </w:r>
      <w:r w:rsidR="002D12BB" w:rsidRPr="00435E4A">
        <w:rPr>
          <w:b/>
          <w:bCs/>
          <w:sz w:val="28"/>
        </w:rPr>
        <w:t>sākotnējās ietekmes novērtējuma ziņojums (anotācija)</w:t>
      </w:r>
    </w:p>
    <w:p w14:paraId="0118E65A" w14:textId="77777777" w:rsidR="003A25BD" w:rsidRPr="00435E4A" w:rsidRDefault="003A25BD" w:rsidP="000303BB">
      <w:pPr>
        <w:pStyle w:val="NormalWeb"/>
        <w:spacing w:before="0" w:after="0"/>
        <w:jc w:val="center"/>
        <w:rPr>
          <w:b/>
          <w:bCs/>
          <w:sz w:val="28"/>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42"/>
        <w:gridCol w:w="6967"/>
      </w:tblGrid>
      <w:tr w:rsidR="00974E88" w:rsidRPr="00605636" w14:paraId="0118E65C" w14:textId="77777777" w:rsidTr="00605636">
        <w:trPr>
          <w:trHeight w:val="277"/>
        </w:trPr>
        <w:tc>
          <w:tcPr>
            <w:tcW w:w="5000" w:type="pct"/>
            <w:gridSpan w:val="3"/>
            <w:vAlign w:val="center"/>
          </w:tcPr>
          <w:p w14:paraId="0118E65B" w14:textId="77777777" w:rsidR="00974E88" w:rsidRPr="00605636" w:rsidRDefault="00974E88" w:rsidP="00605636">
            <w:pPr>
              <w:pStyle w:val="naisnod"/>
              <w:spacing w:before="120" w:beforeAutospacing="0" w:after="120" w:afterAutospacing="0"/>
              <w:jc w:val="center"/>
              <w:rPr>
                <w:b/>
              </w:rPr>
            </w:pPr>
            <w:r w:rsidRPr="00605636">
              <w:rPr>
                <w:b/>
              </w:rPr>
              <w:t>I. Tiesību akta projekta izstrādes nepieciešamība</w:t>
            </w:r>
          </w:p>
        </w:tc>
      </w:tr>
      <w:tr w:rsidR="00974E88" w:rsidRPr="00605636" w14:paraId="0118E660" w14:textId="77777777" w:rsidTr="00F41212">
        <w:trPr>
          <w:trHeight w:val="415"/>
        </w:trPr>
        <w:tc>
          <w:tcPr>
            <w:tcW w:w="233" w:type="pct"/>
          </w:tcPr>
          <w:p w14:paraId="0118E65D" w14:textId="77777777" w:rsidR="00974E88" w:rsidRPr="00605636" w:rsidRDefault="00974E88" w:rsidP="00605636">
            <w:pPr>
              <w:pStyle w:val="naiskr"/>
              <w:spacing w:before="120" w:beforeAutospacing="0" w:after="120" w:afterAutospacing="0"/>
              <w:jc w:val="center"/>
            </w:pPr>
            <w:r w:rsidRPr="00605636">
              <w:t>1.</w:t>
            </w:r>
          </w:p>
        </w:tc>
        <w:tc>
          <w:tcPr>
            <w:tcW w:w="997" w:type="pct"/>
          </w:tcPr>
          <w:p w14:paraId="0118E65E" w14:textId="77777777" w:rsidR="00974E88" w:rsidRPr="00605636" w:rsidRDefault="00974E88" w:rsidP="00605636">
            <w:pPr>
              <w:pStyle w:val="naiskr"/>
              <w:spacing w:before="120" w:beforeAutospacing="0" w:after="120" w:afterAutospacing="0"/>
              <w:ind w:left="57" w:right="57" w:hanging="10"/>
            </w:pPr>
            <w:r w:rsidRPr="00605636">
              <w:t>Pamatojums</w:t>
            </w:r>
          </w:p>
        </w:tc>
        <w:tc>
          <w:tcPr>
            <w:tcW w:w="3770" w:type="pct"/>
          </w:tcPr>
          <w:p w14:paraId="0118E65F" w14:textId="77777777" w:rsidR="00974E88" w:rsidRPr="00605636" w:rsidRDefault="00974E88" w:rsidP="00605636">
            <w:pPr>
              <w:spacing w:before="120" w:after="120" w:line="240" w:lineRule="auto"/>
              <w:ind w:left="57" w:right="57"/>
              <w:jc w:val="both"/>
              <w:rPr>
                <w:rFonts w:ascii="Times New Roman" w:hAnsi="Times New Roman"/>
                <w:bCs/>
                <w:sz w:val="24"/>
                <w:szCs w:val="24"/>
              </w:rPr>
            </w:pPr>
            <w:r w:rsidRPr="00605636">
              <w:rPr>
                <w:rFonts w:ascii="Times New Roman" w:hAnsi="Times New Roman"/>
                <w:bCs/>
                <w:sz w:val="24"/>
                <w:szCs w:val="24"/>
              </w:rPr>
              <w:t>Valsts pārvaldes iekārtas likuma 72.panta pirmās daļas 2.punkts</w:t>
            </w:r>
          </w:p>
        </w:tc>
      </w:tr>
      <w:tr w:rsidR="00974E88" w:rsidRPr="00605636" w14:paraId="0118E666" w14:textId="77777777" w:rsidTr="00F41212">
        <w:trPr>
          <w:trHeight w:val="472"/>
        </w:trPr>
        <w:tc>
          <w:tcPr>
            <w:tcW w:w="233" w:type="pct"/>
          </w:tcPr>
          <w:p w14:paraId="0118E661" w14:textId="77777777" w:rsidR="00974E88" w:rsidRPr="00605636" w:rsidRDefault="00974E88" w:rsidP="00605636">
            <w:pPr>
              <w:pStyle w:val="naiskr"/>
              <w:spacing w:before="120" w:beforeAutospacing="0" w:after="120" w:afterAutospacing="0"/>
              <w:jc w:val="center"/>
            </w:pPr>
            <w:r w:rsidRPr="00605636">
              <w:t>2.</w:t>
            </w:r>
          </w:p>
        </w:tc>
        <w:tc>
          <w:tcPr>
            <w:tcW w:w="997" w:type="pct"/>
          </w:tcPr>
          <w:p w14:paraId="0118E662" w14:textId="77777777" w:rsidR="00974E88" w:rsidRPr="00605636" w:rsidRDefault="00974E88" w:rsidP="00605636">
            <w:pPr>
              <w:pStyle w:val="naiskr"/>
              <w:tabs>
                <w:tab w:val="left" w:pos="170"/>
              </w:tabs>
              <w:spacing w:before="120" w:beforeAutospacing="0" w:after="120" w:afterAutospacing="0"/>
              <w:ind w:left="57" w:right="57"/>
            </w:pPr>
            <w:r w:rsidRPr="00605636">
              <w:t>Pašreizējā situācija un problēmas</w:t>
            </w:r>
          </w:p>
        </w:tc>
        <w:tc>
          <w:tcPr>
            <w:tcW w:w="3770" w:type="pct"/>
          </w:tcPr>
          <w:p w14:paraId="0118E663" w14:textId="3391E992" w:rsidR="00974E88" w:rsidRPr="00605636" w:rsidRDefault="00974E88" w:rsidP="00605636">
            <w:pPr>
              <w:pStyle w:val="naiskr"/>
              <w:spacing w:before="120" w:beforeAutospacing="0" w:after="120" w:afterAutospacing="0"/>
              <w:ind w:left="57" w:right="57"/>
              <w:jc w:val="both"/>
              <w:rPr>
                <w:rFonts w:eastAsia="Calibri"/>
                <w:bCs/>
                <w:lang w:eastAsia="en-US"/>
              </w:rPr>
            </w:pPr>
            <w:r w:rsidRPr="00605636">
              <w:rPr>
                <w:rFonts w:eastAsia="Calibri"/>
                <w:bCs/>
                <w:lang w:eastAsia="en-US"/>
              </w:rPr>
              <w:t>Valsts kanceleja ir izveidojusi un uztu</w:t>
            </w:r>
            <w:r w:rsidR="00931393">
              <w:rPr>
                <w:rFonts w:eastAsia="Calibri"/>
                <w:bCs/>
                <w:lang w:eastAsia="en-US"/>
              </w:rPr>
              <w:t>r tieš</w:t>
            </w:r>
            <w:r w:rsidR="00821124">
              <w:rPr>
                <w:rFonts w:eastAsia="Calibri"/>
                <w:bCs/>
                <w:lang w:eastAsia="en-US"/>
              </w:rPr>
              <w:t>ā</w:t>
            </w:r>
            <w:r w:rsidR="00931393">
              <w:rPr>
                <w:rFonts w:eastAsia="Calibri"/>
                <w:bCs/>
                <w:lang w:eastAsia="en-US"/>
              </w:rPr>
              <w:t>s pārvaldes iestāžu datu</w:t>
            </w:r>
            <w:r w:rsidRPr="00605636">
              <w:rPr>
                <w:rFonts w:eastAsia="Calibri"/>
                <w:bCs/>
                <w:lang w:eastAsia="en-US"/>
              </w:rPr>
              <w:t>bāzi, kuras izveidošanas mērķis ir uzkrāt visu informāciju par valsts tiešo pārvaldi vienā publiski pieejamā vietā, nodrošināt iespēju nepārtraukti papildināt informāciju un paplašināt tās atlases iespējas, pārbaudīt un aktualiz</w:t>
            </w:r>
            <w:r w:rsidR="00F75192">
              <w:rPr>
                <w:rFonts w:eastAsia="Calibri"/>
                <w:bCs/>
                <w:lang w:eastAsia="en-US"/>
              </w:rPr>
              <w:t xml:space="preserve">ēt informāciju, nodrošināt tās </w:t>
            </w:r>
            <w:r w:rsidRPr="00605636">
              <w:rPr>
                <w:rFonts w:eastAsia="Calibri"/>
                <w:bCs/>
                <w:lang w:eastAsia="en-US"/>
              </w:rPr>
              <w:t>publisku ticamību.</w:t>
            </w:r>
          </w:p>
          <w:p w14:paraId="0118E664" w14:textId="27BC7FBE" w:rsidR="00974E88" w:rsidRPr="00605636" w:rsidRDefault="00974E88" w:rsidP="00605636">
            <w:pPr>
              <w:pStyle w:val="naiskr"/>
              <w:spacing w:before="120" w:beforeAutospacing="0" w:after="120" w:afterAutospacing="0"/>
              <w:ind w:left="57" w:right="57"/>
              <w:jc w:val="both"/>
              <w:rPr>
                <w:b/>
                <w:bCs/>
              </w:rPr>
            </w:pPr>
            <w:r w:rsidRPr="00605636">
              <w:rPr>
                <w:rFonts w:eastAsia="Calibri"/>
                <w:bCs/>
                <w:lang w:eastAsia="en-US"/>
              </w:rPr>
              <w:t xml:space="preserve">Līdz </w:t>
            </w:r>
            <w:r w:rsidRPr="00605636">
              <w:rPr>
                <w:bCs/>
              </w:rPr>
              <w:t>2010.gada 1.jūlijam tiešās pārvaldes iestāžu da</w:t>
            </w:r>
            <w:r w:rsidR="00931393">
              <w:rPr>
                <w:bCs/>
              </w:rPr>
              <w:t>tu</w:t>
            </w:r>
            <w:r w:rsidRPr="00605636">
              <w:rPr>
                <w:bCs/>
              </w:rPr>
              <w:t>bāzes uzturēšanas regulējumu noteica</w:t>
            </w:r>
            <w:r w:rsidRPr="00605636">
              <w:rPr>
                <w:rFonts w:eastAsia="Calibri"/>
                <w:bCs/>
                <w:lang w:eastAsia="en-US"/>
              </w:rPr>
              <w:t xml:space="preserve"> Ministru kabineta 2006.gada 24.janvāra instrukcija </w:t>
            </w:r>
            <w:r w:rsidR="00435E4A">
              <w:rPr>
                <w:bCs/>
              </w:rPr>
              <w:t>"</w:t>
            </w:r>
            <w:r w:rsidRPr="00605636">
              <w:rPr>
                <w:bCs/>
              </w:rPr>
              <w:t>Kārtība, kādā valsts tiešās pārvaldes iestādes ievieto informācij</w:t>
            </w:r>
            <w:r w:rsidR="00931393">
              <w:rPr>
                <w:bCs/>
              </w:rPr>
              <w:t>u tiešās pārvaldes iestāžu datu</w:t>
            </w:r>
            <w:r w:rsidRPr="00605636">
              <w:rPr>
                <w:bCs/>
              </w:rPr>
              <w:t>bāzē</w:t>
            </w:r>
            <w:r w:rsidR="00435E4A">
              <w:rPr>
                <w:bCs/>
              </w:rPr>
              <w:t>"</w:t>
            </w:r>
            <w:r w:rsidRPr="00605636">
              <w:rPr>
                <w:bCs/>
              </w:rPr>
              <w:t>, kas zaudēja spēku</w:t>
            </w:r>
            <w:r w:rsidR="00F75192">
              <w:rPr>
                <w:bCs/>
              </w:rPr>
              <w:t>,</w:t>
            </w:r>
            <w:r w:rsidRPr="00605636">
              <w:rPr>
                <w:bCs/>
              </w:rPr>
              <w:t xml:space="preserve"> </w:t>
            </w:r>
            <w:r w:rsidR="00F75192">
              <w:rPr>
                <w:bCs/>
              </w:rPr>
              <w:t>jo</w:t>
            </w:r>
            <w:r w:rsidRPr="00605636">
              <w:rPr>
                <w:bCs/>
              </w:rPr>
              <w:t xml:space="preserve"> </w:t>
            </w:r>
            <w:r w:rsidRPr="00605636">
              <w:rPr>
                <w:rFonts w:eastAsia="Calibri"/>
                <w:bCs/>
                <w:lang w:eastAsia="en-US"/>
              </w:rPr>
              <w:t>2008.gada 1.jūlijā</w:t>
            </w:r>
            <w:r w:rsidRPr="00605636">
              <w:rPr>
                <w:bCs/>
              </w:rPr>
              <w:t xml:space="preserve"> spēku zaudēja </w:t>
            </w:r>
            <w:r w:rsidRPr="00605636">
              <w:rPr>
                <w:rFonts w:eastAsia="Calibri"/>
                <w:bCs/>
                <w:lang w:eastAsia="en-US"/>
              </w:rPr>
              <w:t>1993.gada 15.jūlijā pieņemtais Ministru kabineta iekārtas likums</w:t>
            </w:r>
            <w:r w:rsidRPr="00605636">
              <w:rPr>
                <w:bCs/>
              </w:rPr>
              <w:t>, uz kura pamata šī instrukcija bija izdota.</w:t>
            </w:r>
            <w:r w:rsidRPr="00605636">
              <w:rPr>
                <w:b/>
                <w:bCs/>
              </w:rPr>
              <w:t xml:space="preserve"> </w:t>
            </w:r>
            <w:r w:rsidRPr="00605636">
              <w:rPr>
                <w:bCs/>
              </w:rPr>
              <w:t>Uz valsts pārvaldes darbības organizāciju attiecināmās normas tika iestrādātas Valsts pārvaldes iekārtas likumā, kas stājās spēkā 2003.gada 1.janvārī.</w:t>
            </w:r>
            <w:r w:rsidRPr="00605636">
              <w:rPr>
                <w:b/>
                <w:bCs/>
              </w:rPr>
              <w:t xml:space="preserve"> </w:t>
            </w:r>
          </w:p>
          <w:p w14:paraId="0118E665" w14:textId="53E867DB" w:rsidR="00974E88" w:rsidRPr="00605636" w:rsidRDefault="00974E88" w:rsidP="00F75192">
            <w:pPr>
              <w:spacing w:before="120" w:after="120" w:line="240" w:lineRule="auto"/>
              <w:ind w:left="57" w:right="57"/>
              <w:jc w:val="both"/>
              <w:rPr>
                <w:rFonts w:ascii="Times New Roman" w:hAnsi="Times New Roman"/>
                <w:sz w:val="24"/>
                <w:szCs w:val="24"/>
              </w:rPr>
            </w:pPr>
            <w:r w:rsidRPr="00605636">
              <w:rPr>
                <w:rFonts w:ascii="Times New Roman" w:hAnsi="Times New Roman"/>
                <w:bCs/>
                <w:sz w:val="24"/>
                <w:szCs w:val="24"/>
              </w:rPr>
              <w:t xml:space="preserve">Tā kā šobrīd nav spēkā normatīvā regulējuma, kas </w:t>
            </w:r>
            <w:r w:rsidR="00F75192">
              <w:rPr>
                <w:rFonts w:ascii="Times New Roman" w:hAnsi="Times New Roman"/>
                <w:bCs/>
                <w:sz w:val="24"/>
                <w:szCs w:val="24"/>
              </w:rPr>
              <w:t>noteiktu</w:t>
            </w:r>
            <w:r w:rsidRPr="00605636">
              <w:rPr>
                <w:rFonts w:ascii="Times New Roman" w:hAnsi="Times New Roman"/>
                <w:bCs/>
                <w:sz w:val="24"/>
                <w:szCs w:val="24"/>
              </w:rPr>
              <w:t xml:space="preserve"> kā </w:t>
            </w:r>
            <w:r w:rsidRPr="00605636">
              <w:rPr>
                <w:rFonts w:ascii="Times New Roman" w:hAnsi="Times New Roman"/>
                <w:sz w:val="24"/>
                <w:szCs w:val="24"/>
              </w:rPr>
              <w:t>Valsts kanceleja un ministrijas, kā arī Valsts kancelejas, ministriju</w:t>
            </w:r>
            <w:r w:rsidR="00F75192">
              <w:rPr>
                <w:rFonts w:ascii="Times New Roman" w:hAnsi="Times New Roman"/>
                <w:sz w:val="24"/>
                <w:szCs w:val="24"/>
              </w:rPr>
              <w:t xml:space="preserve"> un</w:t>
            </w:r>
            <w:r w:rsidRPr="00605636">
              <w:rPr>
                <w:rFonts w:ascii="Times New Roman" w:hAnsi="Times New Roman"/>
                <w:sz w:val="24"/>
                <w:szCs w:val="24"/>
              </w:rPr>
              <w:t xml:space="preserve"> Ministru kabineta locekļu pakļautībā un pārraudzībā esošās iestādes ievieto informāciju tieš</w:t>
            </w:r>
            <w:r w:rsidR="00931393">
              <w:rPr>
                <w:rFonts w:ascii="Times New Roman" w:hAnsi="Times New Roman"/>
                <w:sz w:val="24"/>
                <w:szCs w:val="24"/>
              </w:rPr>
              <w:t>ās pārvaldes iestāžu datu</w:t>
            </w:r>
            <w:r w:rsidRPr="00605636">
              <w:rPr>
                <w:rFonts w:ascii="Times New Roman" w:hAnsi="Times New Roman"/>
                <w:sz w:val="24"/>
                <w:szCs w:val="24"/>
              </w:rPr>
              <w:t xml:space="preserve">bāzē, ir nepieciešams pieņemt normatīvo aktu, kas to </w:t>
            </w:r>
            <w:r w:rsidR="00D63EFE">
              <w:rPr>
                <w:rFonts w:ascii="Times New Roman" w:hAnsi="Times New Roman"/>
                <w:sz w:val="24"/>
                <w:szCs w:val="24"/>
              </w:rPr>
              <w:t>regulētu</w:t>
            </w:r>
          </w:p>
        </w:tc>
      </w:tr>
      <w:tr w:rsidR="00974E88" w:rsidRPr="00605636" w14:paraId="0118E66A" w14:textId="77777777" w:rsidTr="00F41212">
        <w:trPr>
          <w:trHeight w:val="448"/>
        </w:trPr>
        <w:tc>
          <w:tcPr>
            <w:tcW w:w="233" w:type="pct"/>
          </w:tcPr>
          <w:p w14:paraId="0118E667" w14:textId="77777777" w:rsidR="00974E88" w:rsidRPr="00605636" w:rsidRDefault="00974E88" w:rsidP="00605636">
            <w:pPr>
              <w:pStyle w:val="naiskr"/>
              <w:spacing w:before="120" w:beforeAutospacing="0" w:after="120" w:afterAutospacing="0"/>
              <w:jc w:val="center"/>
            </w:pPr>
            <w:r w:rsidRPr="00605636">
              <w:t>3.</w:t>
            </w:r>
          </w:p>
        </w:tc>
        <w:tc>
          <w:tcPr>
            <w:tcW w:w="997" w:type="pct"/>
          </w:tcPr>
          <w:p w14:paraId="0118E668" w14:textId="77777777" w:rsidR="00974E88" w:rsidRPr="00F41212" w:rsidRDefault="00974E88" w:rsidP="00F41212">
            <w:pPr>
              <w:pStyle w:val="naiskr"/>
              <w:spacing w:before="0" w:beforeAutospacing="0" w:after="0" w:afterAutospacing="0"/>
              <w:ind w:left="57" w:right="57"/>
              <w:rPr>
                <w:spacing w:val="-6"/>
              </w:rPr>
            </w:pPr>
            <w:r w:rsidRPr="00F41212">
              <w:rPr>
                <w:spacing w:val="-6"/>
              </w:rPr>
              <w:t>Saistītie politikas ietekmes novērtējumi un pētījumi</w:t>
            </w:r>
          </w:p>
        </w:tc>
        <w:tc>
          <w:tcPr>
            <w:tcW w:w="3770" w:type="pct"/>
          </w:tcPr>
          <w:p w14:paraId="0118E669" w14:textId="7A741F79" w:rsidR="00974E88" w:rsidRPr="00605636" w:rsidRDefault="00E944CE" w:rsidP="00605636">
            <w:pPr>
              <w:pStyle w:val="FootnoteText"/>
              <w:spacing w:before="120" w:after="120"/>
              <w:ind w:left="57" w:right="57"/>
              <w:jc w:val="both"/>
              <w:rPr>
                <w:sz w:val="24"/>
                <w:szCs w:val="24"/>
              </w:rPr>
            </w:pPr>
            <w:r w:rsidRPr="00605636">
              <w:rPr>
                <w:sz w:val="24"/>
                <w:szCs w:val="24"/>
              </w:rPr>
              <w:t>Instrukcijas projekts šo jomu neskar</w:t>
            </w:r>
          </w:p>
        </w:tc>
      </w:tr>
      <w:tr w:rsidR="00974E88" w:rsidRPr="00605636" w14:paraId="0118E671" w14:textId="77777777" w:rsidTr="00F41212">
        <w:trPr>
          <w:trHeight w:val="384"/>
        </w:trPr>
        <w:tc>
          <w:tcPr>
            <w:tcW w:w="233" w:type="pct"/>
          </w:tcPr>
          <w:p w14:paraId="0118E66B" w14:textId="77777777" w:rsidR="00974E88" w:rsidRPr="00605636" w:rsidRDefault="00974E88" w:rsidP="00605636">
            <w:pPr>
              <w:pStyle w:val="naiskr"/>
              <w:spacing w:before="120" w:beforeAutospacing="0" w:after="120" w:afterAutospacing="0"/>
              <w:jc w:val="center"/>
            </w:pPr>
            <w:r w:rsidRPr="00605636">
              <w:t>4.</w:t>
            </w:r>
          </w:p>
        </w:tc>
        <w:tc>
          <w:tcPr>
            <w:tcW w:w="997" w:type="pct"/>
          </w:tcPr>
          <w:p w14:paraId="0118E66C" w14:textId="77777777" w:rsidR="00974E88" w:rsidRPr="00605636" w:rsidRDefault="00974E88" w:rsidP="00605636">
            <w:pPr>
              <w:pStyle w:val="naiskr"/>
              <w:spacing w:before="120" w:beforeAutospacing="0" w:after="120" w:afterAutospacing="0"/>
              <w:ind w:left="57" w:right="57"/>
            </w:pPr>
            <w:r w:rsidRPr="00605636">
              <w:t>Tiesiskā regulējuma mērķis un būtība</w:t>
            </w:r>
          </w:p>
        </w:tc>
        <w:tc>
          <w:tcPr>
            <w:tcW w:w="3770" w:type="pct"/>
          </w:tcPr>
          <w:p w14:paraId="0118E66D" w14:textId="75C87BD3" w:rsidR="00974E88" w:rsidRPr="00605636" w:rsidRDefault="00974E88" w:rsidP="00605636">
            <w:pPr>
              <w:pStyle w:val="naisf"/>
              <w:spacing w:before="120" w:after="120"/>
              <w:ind w:left="57" w:right="57" w:firstLine="0"/>
            </w:pPr>
            <w:r w:rsidRPr="00605636">
              <w:t>Lai nodrošinātu Valsts pārvaldes iekārtas likuma 14.pant</w:t>
            </w:r>
            <w:r w:rsidR="00931393">
              <w:t>a otrajā daļā noteikto, ka datu</w:t>
            </w:r>
            <w:r w:rsidRPr="00605636">
              <w:t>bāzi par tiešās pārvaldes iestādēm veido, pārzina un kārto Ministru kabineta noteikta tiešās pārvaldes iestāde, nepieciešams izdot Ministru kabineta instrukciju, kurā būtu noteikta kārtīb</w:t>
            </w:r>
            <w:r w:rsidR="00F75192">
              <w:t>a,</w:t>
            </w:r>
            <w:r w:rsidRPr="00605636">
              <w:t xml:space="preserve"> kādā darboja</w:t>
            </w:r>
            <w:r w:rsidR="00931393">
              <w:t>s tiešās pārvaldes iestāžu datu</w:t>
            </w:r>
            <w:r w:rsidRPr="00605636">
              <w:t>bāze</w:t>
            </w:r>
            <w:r w:rsidR="00F75192">
              <w:t>,</w:t>
            </w:r>
            <w:r w:rsidRPr="00605636">
              <w:t xml:space="preserve"> un </w:t>
            </w:r>
            <w:r w:rsidR="00F75192" w:rsidRPr="00605636">
              <w:t>par tās darbību atbildīg</w:t>
            </w:r>
            <w:r w:rsidR="00F75192">
              <w:t>ā</w:t>
            </w:r>
            <w:r w:rsidR="00F75192" w:rsidRPr="00605636">
              <w:t xml:space="preserve"> </w:t>
            </w:r>
            <w:r w:rsidRPr="00605636">
              <w:t xml:space="preserve">institūcija. </w:t>
            </w:r>
            <w:r w:rsidR="00F75192">
              <w:t>I</w:t>
            </w:r>
            <w:r w:rsidRPr="00605636">
              <w:t xml:space="preserve">zdodot normatīvo aktu, kurā būtu noteikta atbildīgā institūcija un </w:t>
            </w:r>
            <w:r w:rsidR="002C0AD3">
              <w:t xml:space="preserve">regulētas </w:t>
            </w:r>
            <w:r w:rsidRPr="00605636">
              <w:t>darbības, kas jāveic citām institūcijām saskaņā ar tiešās pārvaldes iestā</w:t>
            </w:r>
            <w:r w:rsidR="00931393">
              <w:t>žu datu</w:t>
            </w:r>
            <w:r w:rsidRPr="00605636">
              <w:t xml:space="preserve">bāzes darbības nodrošināšanu, tiktu izpildīts Valsts pārvaldes iekārtas likumā noteiktais. </w:t>
            </w:r>
          </w:p>
          <w:p w14:paraId="0118E66E" w14:textId="77F20C02" w:rsidR="00974E88" w:rsidRDefault="00974E88" w:rsidP="00605636">
            <w:pPr>
              <w:pStyle w:val="naisf"/>
              <w:spacing w:before="120" w:after="120"/>
              <w:ind w:left="57" w:right="57" w:firstLine="0"/>
            </w:pPr>
            <w:r w:rsidRPr="00605636">
              <w:t xml:space="preserve">Instrukcijas </w:t>
            </w:r>
            <w:r w:rsidR="00821124">
              <w:rPr>
                <w:bCs/>
              </w:rPr>
              <w:t xml:space="preserve">projekta </w:t>
            </w:r>
            <w:r w:rsidR="00435E4A">
              <w:rPr>
                <w:bCs/>
              </w:rPr>
              <w:t>"</w:t>
            </w:r>
            <w:r w:rsidRPr="00605636">
              <w:rPr>
                <w:bCs/>
              </w:rPr>
              <w:t>Kārtība, kādā valsts tiešās pārvaldes iestādes ievieto informācij</w:t>
            </w:r>
            <w:r w:rsidR="00931393">
              <w:rPr>
                <w:bCs/>
              </w:rPr>
              <w:t>u tiešās pārvaldes iestāžu datu</w:t>
            </w:r>
            <w:r w:rsidRPr="00605636">
              <w:rPr>
                <w:bCs/>
              </w:rPr>
              <w:t>bāzē</w:t>
            </w:r>
            <w:r w:rsidR="00435E4A">
              <w:rPr>
                <w:bCs/>
              </w:rPr>
              <w:t>"</w:t>
            </w:r>
            <w:r w:rsidRPr="00605636">
              <w:rPr>
                <w:bCs/>
              </w:rPr>
              <w:t xml:space="preserve"> mērķis ir noteikt kārtību, kādā </w:t>
            </w:r>
            <w:r w:rsidRPr="00605636">
              <w:t>Valsts kanceleja</w:t>
            </w:r>
            <w:r w:rsidR="00425825">
              <w:t>,</w:t>
            </w:r>
            <w:r w:rsidRPr="00605636">
              <w:t xml:space="preserve"> ministrijas, kā arī Valsts kancelejas, ministriju</w:t>
            </w:r>
            <w:r w:rsidR="00425825" w:rsidRPr="00605636">
              <w:t xml:space="preserve"> un </w:t>
            </w:r>
            <w:r w:rsidRPr="00605636">
              <w:t>Ministru kabineta locekļu pakļautībā un pārraudzībā esošās iestādes ievieto informācij</w:t>
            </w:r>
            <w:r w:rsidR="00931393">
              <w:t>u tiešās pārvaldes iestāžu datu</w:t>
            </w:r>
            <w:r w:rsidRPr="00605636">
              <w:t>bāzē.</w:t>
            </w:r>
          </w:p>
          <w:p w14:paraId="0118E66F" w14:textId="6395AF79" w:rsidR="00893BDF" w:rsidRDefault="002C0AD3" w:rsidP="00893BDF">
            <w:pPr>
              <w:pStyle w:val="naisf"/>
              <w:spacing w:before="120" w:after="120"/>
              <w:ind w:left="57" w:right="57" w:firstLine="0"/>
            </w:pPr>
            <w:r>
              <w:lastRenderedPageBreak/>
              <w:t xml:space="preserve">Instrukcijas projekts </w:t>
            </w:r>
            <w:r w:rsidR="00893BDF">
              <w:t>paredz</w:t>
            </w:r>
            <w:r>
              <w:t>, ka tiešās pārvaldes iestāžu d</w:t>
            </w:r>
            <w:r w:rsidR="00931393">
              <w:t>atu</w:t>
            </w:r>
            <w:r>
              <w:t>bāze ir pieejama noteiktā interneta vietnē visām ieinteresētajām personām jebkurā diennakts laikā</w:t>
            </w:r>
            <w:r w:rsidR="00893BDF">
              <w:t xml:space="preserve">. Instrukcijas projekts </w:t>
            </w:r>
            <w:r w:rsidR="00E11127">
              <w:t>regulē</w:t>
            </w:r>
            <w:r w:rsidR="00893BDF">
              <w:t xml:space="preserve"> Valsts kancelejas d</w:t>
            </w:r>
            <w:r w:rsidR="00931393">
              <w:t xml:space="preserve">irektora noteiktā </w:t>
            </w:r>
            <w:r w:rsidR="00425825">
              <w:t>galvenā</w:t>
            </w:r>
            <w:r w:rsidR="00931393">
              <w:t xml:space="preserve"> datu</w:t>
            </w:r>
            <w:r w:rsidR="00893BDF">
              <w:t>bāz</w:t>
            </w:r>
            <w:r w:rsidR="00931393">
              <w:t xml:space="preserve">es administratora </w:t>
            </w:r>
            <w:r w:rsidR="00425825">
              <w:t>rīcību</w:t>
            </w:r>
            <w:r w:rsidR="00931393">
              <w:t xml:space="preserve"> datu</w:t>
            </w:r>
            <w:r w:rsidR="00893BDF">
              <w:t>bāzes darbības nodrošināšanai</w:t>
            </w:r>
            <w:r w:rsidR="00425825">
              <w:t>, kā arī</w:t>
            </w:r>
            <w:r w:rsidR="00893BDF">
              <w:t xml:space="preserve"> ministriju un to pārraudzības un</w:t>
            </w:r>
            <w:r w:rsidR="00931393">
              <w:t xml:space="preserve"> padotības iestāžu iecelto datu</w:t>
            </w:r>
            <w:r w:rsidR="00893BDF">
              <w:t>bāzes administratoru un redaktoru darbības. Instrukcijā noteikt</w:t>
            </w:r>
            <w:r w:rsidR="00425825">
              <w:t>s, kāda</w:t>
            </w:r>
            <w:r w:rsidR="00893BDF">
              <w:t xml:space="preserve"> i</w:t>
            </w:r>
            <w:r w:rsidR="00931393">
              <w:t>nformācija jāievieto datu</w:t>
            </w:r>
            <w:r w:rsidR="00893BDF">
              <w:t>bāzē</w:t>
            </w:r>
            <w:r w:rsidR="00425825">
              <w:t>,</w:t>
            </w:r>
            <w:r w:rsidR="00893BDF">
              <w:t xml:space="preserve"> un termiņi </w:t>
            </w:r>
            <w:r w:rsidR="00425825">
              <w:t>tās</w:t>
            </w:r>
            <w:r w:rsidR="00893BDF">
              <w:t xml:space="preserve"> ievietošanai. </w:t>
            </w:r>
            <w:r w:rsidR="00425825">
              <w:t>I</w:t>
            </w:r>
            <w:r w:rsidR="00E11127">
              <w:t>nstrukcijā noteiktas drošības prasības, kas jāievēro ministriju un to padotības un pārraudzības iestādēm saistībā ar pieejas tiesībā</w:t>
            </w:r>
            <w:r w:rsidR="00931393">
              <w:t>m tiešās pārvaldes iestāžu datu</w:t>
            </w:r>
            <w:r w:rsidR="00E11127">
              <w:t>bāzei.</w:t>
            </w:r>
            <w:r w:rsidR="00AB4525">
              <w:t xml:space="preserve"> </w:t>
            </w:r>
            <w:r w:rsidR="00425825">
              <w:t>I</w:t>
            </w:r>
            <w:r w:rsidR="00AB4525">
              <w:t>nstrukcijas projekt</w:t>
            </w:r>
            <w:r w:rsidR="0078377F">
              <w:t>ā ir noteikts pārejas periods 13.5</w:t>
            </w:r>
            <w:r w:rsidR="00AB4525">
              <w:t>.</w:t>
            </w:r>
            <w:r w:rsidR="0078377F">
              <w:t>apakš</w:t>
            </w:r>
            <w:r w:rsidR="00AB4525">
              <w:t xml:space="preserve">punktā </w:t>
            </w:r>
            <w:r w:rsidR="00425825">
              <w:t>minēto</w:t>
            </w:r>
            <w:r w:rsidR="00AB4525">
              <w:t xml:space="preserve"> prasību izpildei līdz 2013</w:t>
            </w:r>
            <w:r w:rsidR="00467F93">
              <w:t>.gada 30.decembrim.</w:t>
            </w:r>
          </w:p>
          <w:p w14:paraId="0118E670" w14:textId="6287A2CF" w:rsidR="00974E88" w:rsidRPr="00605636" w:rsidRDefault="00974E88" w:rsidP="00676C51">
            <w:pPr>
              <w:pStyle w:val="naisf"/>
              <w:spacing w:before="120" w:after="120"/>
              <w:ind w:left="57" w:right="57" w:firstLine="0"/>
            </w:pPr>
            <w:r w:rsidRPr="00605636">
              <w:t xml:space="preserve">Instrukcijas </w:t>
            </w:r>
            <w:r w:rsidR="00E11127">
              <w:rPr>
                <w:bCs/>
              </w:rPr>
              <w:t xml:space="preserve">projekta </w:t>
            </w:r>
            <w:r w:rsidRPr="00605636">
              <w:rPr>
                <w:bCs/>
              </w:rPr>
              <w:t>pieņemšana šīs sadaļas 2.punktā minēto problēmu</w:t>
            </w:r>
            <w:proofErr w:type="gramStart"/>
            <w:r w:rsidRPr="00605636">
              <w:rPr>
                <w:bCs/>
              </w:rPr>
              <w:t xml:space="preserve"> </w:t>
            </w:r>
            <w:r w:rsidR="006B57D9" w:rsidRPr="00605636">
              <w:rPr>
                <w:bCs/>
              </w:rPr>
              <w:t xml:space="preserve"> </w:t>
            </w:r>
            <w:proofErr w:type="gramEnd"/>
            <w:r w:rsidR="006B57D9" w:rsidRPr="00605636">
              <w:rPr>
                <w:bCs/>
              </w:rPr>
              <w:t xml:space="preserve">pilnībā </w:t>
            </w:r>
            <w:r w:rsidRPr="00605636">
              <w:rPr>
                <w:bCs/>
              </w:rPr>
              <w:t>atrisinās</w:t>
            </w:r>
            <w:r w:rsidR="00A16FB1">
              <w:rPr>
                <w:bCs/>
              </w:rPr>
              <w:t xml:space="preserve">, jo būs spēkā esošs regulējums tiešās pārvaldes iestāžu datubāzes darbības nodrošināšanai, ņemot vērā tiešās pārvaldes iestāžu datubāzes tehniskās iespējas – visos </w:t>
            </w:r>
            <w:r w:rsidR="00A16FB1" w:rsidRPr="00733DA6">
              <w:t xml:space="preserve">iestādes </w:t>
            </w:r>
            <w:r w:rsidR="00A16FB1">
              <w:t>apraksta formas ieraksta</w:t>
            </w:r>
            <w:r w:rsidR="00A16FB1" w:rsidRPr="00733DA6">
              <w:t xml:space="preserve"> lauk</w:t>
            </w:r>
            <w:r w:rsidR="00A16FB1">
              <w:t xml:space="preserve">os var ievietot </w:t>
            </w:r>
            <w:r w:rsidR="00A16FB1" w:rsidRPr="0079066C">
              <w:rPr>
                <w:color w:val="000000"/>
                <w:shd w:val="clear" w:color="auto" w:fill="FFFFFF"/>
              </w:rPr>
              <w:t xml:space="preserve">saiti uz </w:t>
            </w:r>
            <w:r w:rsidR="00A16FB1" w:rsidRPr="00A16FB1">
              <w:rPr>
                <w:color w:val="000000"/>
                <w:shd w:val="clear" w:color="auto" w:fill="FFFFFF"/>
              </w:rPr>
              <w:t>attiecīgās institūcijas mājaslapas sadaļu, kurā atrodama informācija</w:t>
            </w:r>
            <w:r w:rsidR="00A16FB1">
              <w:rPr>
                <w:color w:val="000000"/>
                <w:shd w:val="clear" w:color="auto" w:fill="FFFFFF"/>
              </w:rPr>
              <w:t xml:space="preserve"> par institūciju</w:t>
            </w:r>
            <w:r w:rsidR="00676C51">
              <w:rPr>
                <w:color w:val="000000"/>
                <w:shd w:val="clear" w:color="auto" w:fill="FFFFFF"/>
              </w:rPr>
              <w:t>,</w:t>
            </w:r>
            <w:r w:rsidR="00A16FB1">
              <w:rPr>
                <w:color w:val="000000"/>
                <w:shd w:val="clear" w:color="auto" w:fill="FFFFFF"/>
              </w:rPr>
              <w:t xml:space="preserve"> vai saiti uz</w:t>
            </w:r>
            <w:r w:rsidR="00A16FB1" w:rsidRPr="0079066C">
              <w:rPr>
                <w:color w:val="000000"/>
                <w:shd w:val="clear" w:color="auto" w:fill="FFFFFF"/>
              </w:rPr>
              <w:t xml:space="preserve"> normatīvā akta teksta publikāciju tīmekļa vietnē </w:t>
            </w:r>
            <w:proofErr w:type="spellStart"/>
            <w:r w:rsidR="00A16FB1" w:rsidRPr="00425825">
              <w:rPr>
                <w:rStyle w:val="Hyperlink"/>
                <w:color w:val="auto"/>
                <w:u w:val="none"/>
              </w:rPr>
              <w:t>www.vestnesis.lv</w:t>
            </w:r>
            <w:proofErr w:type="spellEnd"/>
            <w:r w:rsidR="00676C51">
              <w:rPr>
                <w:rStyle w:val="Hyperlink"/>
                <w:color w:val="auto"/>
                <w:u w:val="none"/>
              </w:rPr>
              <w:t>,</w:t>
            </w:r>
            <w:r w:rsidR="00A16FB1" w:rsidRPr="0079066C">
              <w:rPr>
                <w:color w:val="000000"/>
                <w:shd w:val="clear" w:color="auto" w:fill="FFFFFF"/>
              </w:rPr>
              <w:t xml:space="preserve"> vai attiecīgā normatīvā akta sistematizēto tekstu tīmekļa vietnē </w:t>
            </w:r>
            <w:proofErr w:type="spellStart"/>
            <w:r w:rsidR="00A16FB1" w:rsidRPr="00425825">
              <w:rPr>
                <w:shd w:val="clear" w:color="auto" w:fill="FFFFFF"/>
              </w:rPr>
              <w:t>www.likumi.lv</w:t>
            </w:r>
            <w:proofErr w:type="spellEnd"/>
            <w:r w:rsidR="00A16FB1">
              <w:rPr>
                <w:color w:val="000000"/>
                <w:shd w:val="clear" w:color="auto" w:fill="FFFFFF"/>
              </w:rPr>
              <w:t xml:space="preserve">. </w:t>
            </w:r>
            <w:r w:rsidR="00CC2C49">
              <w:rPr>
                <w:color w:val="000000"/>
                <w:shd w:val="clear" w:color="auto" w:fill="FFFFFF"/>
              </w:rPr>
              <w:t>Papildus ir paredzētas iespējas Valsts kancelejai un ministrijām kā galvenajām tiešās pārvaldes iestādēm optimizēt savus resursus,</w:t>
            </w:r>
            <w:proofErr w:type="gramStart"/>
            <w:r w:rsidR="00CC2C49">
              <w:rPr>
                <w:color w:val="000000"/>
                <w:shd w:val="clear" w:color="auto" w:fill="FFFFFF"/>
              </w:rPr>
              <w:t xml:space="preserve"> </w:t>
            </w:r>
            <w:r w:rsidR="00676C51">
              <w:rPr>
                <w:color w:val="000000"/>
                <w:shd w:val="clear" w:color="auto" w:fill="FFFFFF"/>
              </w:rPr>
              <w:t xml:space="preserve"> </w:t>
            </w:r>
            <w:proofErr w:type="gramEnd"/>
            <w:r w:rsidR="00676C51">
              <w:rPr>
                <w:color w:val="000000"/>
                <w:shd w:val="clear" w:color="auto" w:fill="FFFFFF"/>
              </w:rPr>
              <w:t xml:space="preserve">informācijas ievietošanas </w:t>
            </w:r>
            <w:r w:rsidR="00CC2C49">
              <w:rPr>
                <w:color w:val="000000"/>
                <w:shd w:val="clear" w:color="auto" w:fill="FFFFFF"/>
              </w:rPr>
              <w:t xml:space="preserve">pienākumu </w:t>
            </w:r>
            <w:r w:rsidR="00CC2C49">
              <w:t>uzticot mazākam</w:t>
            </w:r>
            <w:r w:rsidR="00676C51">
              <w:t xml:space="preserve"> cilvēku </w:t>
            </w:r>
            <w:r w:rsidR="00CC2C49">
              <w:t>skaitam atkarībā no k</w:t>
            </w:r>
            <w:r w:rsidR="00676C51">
              <w:t>onkrētās institūcijas iespējām</w:t>
            </w:r>
          </w:p>
        </w:tc>
      </w:tr>
      <w:tr w:rsidR="00974E88" w:rsidRPr="00605636" w14:paraId="0118E679" w14:textId="77777777" w:rsidTr="00F41212">
        <w:trPr>
          <w:trHeight w:val="476"/>
        </w:trPr>
        <w:tc>
          <w:tcPr>
            <w:tcW w:w="233" w:type="pct"/>
          </w:tcPr>
          <w:p w14:paraId="0118E672" w14:textId="77777777" w:rsidR="00974E88" w:rsidRPr="00605636" w:rsidRDefault="00974E88" w:rsidP="00605636">
            <w:pPr>
              <w:pStyle w:val="naiskr"/>
              <w:spacing w:before="120" w:beforeAutospacing="0" w:after="120" w:afterAutospacing="0"/>
              <w:jc w:val="center"/>
            </w:pPr>
            <w:r w:rsidRPr="00605636">
              <w:lastRenderedPageBreak/>
              <w:t>5.</w:t>
            </w:r>
          </w:p>
        </w:tc>
        <w:tc>
          <w:tcPr>
            <w:tcW w:w="997" w:type="pct"/>
          </w:tcPr>
          <w:p w14:paraId="0118E673" w14:textId="77777777" w:rsidR="00974E88" w:rsidRPr="00605636" w:rsidRDefault="00974E88" w:rsidP="00605636">
            <w:pPr>
              <w:pStyle w:val="naiskr"/>
              <w:spacing w:before="120" w:beforeAutospacing="0" w:after="120" w:afterAutospacing="0"/>
              <w:ind w:left="57" w:right="57"/>
            </w:pPr>
            <w:r w:rsidRPr="00605636">
              <w:t>Projekta izstrādē iesaistītās institūcijas</w:t>
            </w:r>
          </w:p>
        </w:tc>
        <w:tc>
          <w:tcPr>
            <w:tcW w:w="3770" w:type="pct"/>
          </w:tcPr>
          <w:p w14:paraId="0118E674" w14:textId="6A521D99" w:rsidR="00974E88" w:rsidRDefault="00E11127" w:rsidP="00E7119A">
            <w:pPr>
              <w:pStyle w:val="naiskr"/>
              <w:spacing w:before="120" w:beforeAutospacing="0" w:after="120" w:afterAutospacing="0"/>
              <w:ind w:left="57" w:right="57"/>
              <w:jc w:val="both"/>
            </w:pPr>
            <w:r w:rsidRPr="00E7119A">
              <w:t xml:space="preserve">Instrukcijas projekts </w:t>
            </w:r>
            <w:r w:rsidR="001553EF">
              <w:t xml:space="preserve">un tā anotācija </w:t>
            </w:r>
            <w:r w:rsidRPr="00E7119A">
              <w:t xml:space="preserve">2011.gada </w:t>
            </w:r>
            <w:r w:rsidR="007A72A3" w:rsidRPr="00E7119A">
              <w:t xml:space="preserve">29.septembrī </w:t>
            </w:r>
            <w:r w:rsidR="00AC47FD">
              <w:t>(prot</w:t>
            </w:r>
            <w:r w:rsidR="00821124">
              <w:t>.</w:t>
            </w:r>
            <w:r w:rsidR="00AC47FD">
              <w:t xml:space="preserve"> Nr.38</w:t>
            </w:r>
            <w:r w:rsidR="00E7119A" w:rsidRPr="00E7119A">
              <w:t xml:space="preserve"> 31</w:t>
            </w:r>
            <w:r w:rsidR="00C22B5F">
              <w:t>.</w:t>
            </w:r>
            <w:r w:rsidR="00C22B5F" w:rsidRPr="00E7119A">
              <w:t>§</w:t>
            </w:r>
            <w:r w:rsidR="00C22B5F">
              <w:t>.</w:t>
            </w:r>
            <w:r w:rsidR="00E7119A" w:rsidRPr="00E7119A">
              <w:t xml:space="preserve">) </w:t>
            </w:r>
            <w:r w:rsidR="00467F93">
              <w:t>tika izsludināti</w:t>
            </w:r>
            <w:r w:rsidR="007A72A3" w:rsidRPr="00E7119A">
              <w:t xml:space="preserve"> Valsts sekretāru sanāksmē</w:t>
            </w:r>
            <w:r w:rsidR="00E7119A" w:rsidRPr="00E7119A">
              <w:t xml:space="preserve"> (VSS-1038) un ar Valsts sekretāru sanāksmes lēmumu bija jāsaskaņo ar </w:t>
            </w:r>
            <w:r w:rsidR="007A72A3" w:rsidRPr="00E7119A">
              <w:t xml:space="preserve">Tieslietu ministriju, Finanšu ministriju, Aizsardzības ministriju, Ārlietu ministriju, Ekonomikas ministriju, Iekšlietu ministriju, Izglītības un zinātnes ministriju, Kultūras ministriju, Labklājības ministriju, Satiksmes ministriju, Veselības ministriju, Vides aizsardzības un reģionālās attīstības ministriju, Zemkopības ministriju un Korupcijas novēršanas un apkarošanas biroju. </w:t>
            </w:r>
          </w:p>
          <w:p w14:paraId="0118E675" w14:textId="77777777" w:rsidR="00BE4EFB" w:rsidRDefault="00C22B5F" w:rsidP="00BE4EFB">
            <w:pPr>
              <w:pStyle w:val="naiskr"/>
              <w:spacing w:before="120" w:beforeAutospacing="0" w:after="120" w:afterAutospacing="0"/>
              <w:ind w:left="57" w:right="57"/>
              <w:jc w:val="both"/>
            </w:pPr>
            <w:r w:rsidRPr="00D963DB">
              <w:t>Korupcijas novēršanas un apkarošanas birojs, Labklājības ministrija, Veselības mi</w:t>
            </w:r>
            <w:r w:rsidR="001553EF" w:rsidRPr="00D963DB">
              <w:t xml:space="preserve">nistrija, Satiksmes ministrija un </w:t>
            </w:r>
            <w:r w:rsidRPr="00D963DB">
              <w:t>Aizsardz</w:t>
            </w:r>
            <w:r w:rsidR="001553EF" w:rsidRPr="00D963DB">
              <w:t xml:space="preserve">ības ministrija instrukcijas projektu un tā anotāciju atbalstīja bez iebildumiem. </w:t>
            </w:r>
            <w:r w:rsidR="00D963DB" w:rsidRPr="00D963DB">
              <w:t xml:space="preserve">Citu ministriju izteiktie iebildumi </w:t>
            </w:r>
            <w:r w:rsidR="00660F22">
              <w:t xml:space="preserve">iespēju robežās </w:t>
            </w:r>
            <w:r w:rsidR="00D963DB" w:rsidRPr="00D963DB">
              <w:t xml:space="preserve">ir ņemti vērā, precizējot un pilnveidojot instrukcijas projektu. </w:t>
            </w:r>
            <w:r w:rsidR="001553EF" w:rsidRPr="00D963DB">
              <w:t xml:space="preserve"> </w:t>
            </w:r>
          </w:p>
          <w:p w14:paraId="0118E676" w14:textId="3B7F221B" w:rsidR="00BE4EFB" w:rsidRDefault="00BE4EFB" w:rsidP="00BE4EFB">
            <w:pPr>
              <w:pStyle w:val="naiskr"/>
              <w:spacing w:before="120" w:beforeAutospacing="0" w:after="120" w:afterAutospacing="0"/>
              <w:ind w:left="57" w:right="57"/>
              <w:jc w:val="both"/>
            </w:pPr>
            <w:r>
              <w:t>Tieslietu ministrijas, Kultūras ministrijas, Izglītības un zinātnes ministrijas un Vides aizsardzības un reģionālās attīstības ministrijas iebildumi pa</w:t>
            </w:r>
            <w:r w:rsidR="00931393">
              <w:t>r tiešās pārvaldes iestāžu datu</w:t>
            </w:r>
            <w:r>
              <w:t>bāzes pastāvēšanu ņemti vērā</w:t>
            </w:r>
            <w:r w:rsidR="00676C51">
              <w:t>,</w:t>
            </w:r>
            <w:r>
              <w:t xml:space="preserve"> norādot, ka Valsts kanceleja atbalsta Tieslietu ministrijas izstrādātajā koncepcijas </w:t>
            </w:r>
            <w:r w:rsidR="00821124">
              <w:t xml:space="preserve">projektā </w:t>
            </w:r>
            <w:r w:rsidR="00435E4A">
              <w:t>"</w:t>
            </w:r>
            <w:r w:rsidRPr="00757C37">
              <w:t>Par vienotu institucionālo vienību un saimnieciskā</w:t>
            </w:r>
            <w:r>
              <w:t>s darbības veicēju reģistrāciju</w:t>
            </w:r>
            <w:r w:rsidR="00435E4A">
              <w:t>"</w:t>
            </w:r>
            <w:r w:rsidRPr="00386ACF">
              <w:t xml:space="preserve"> </w:t>
            </w:r>
            <w:r>
              <w:t xml:space="preserve">(VSS-1026, 15.09.2011. </w:t>
            </w:r>
            <w:r w:rsidRPr="00E7119A">
              <w:t>prot</w:t>
            </w:r>
            <w:r w:rsidR="00821124">
              <w:t>.</w:t>
            </w:r>
            <w:r w:rsidRPr="00E7119A">
              <w:t xml:space="preserve"> Nr.</w:t>
            </w:r>
            <w:r>
              <w:t>36</w:t>
            </w:r>
            <w:proofErr w:type="gramStart"/>
            <w:r w:rsidRPr="00E7119A">
              <w:t xml:space="preserve">  </w:t>
            </w:r>
            <w:proofErr w:type="gramEnd"/>
            <w:r>
              <w:t>32.</w:t>
            </w:r>
            <w:r w:rsidRPr="00E7119A">
              <w:t>§</w:t>
            </w:r>
            <w:r>
              <w:t xml:space="preserve">.) paredzēto </w:t>
            </w:r>
            <w:r w:rsidRPr="004F111D">
              <w:t>p</w:t>
            </w:r>
            <w:r w:rsidRPr="0095332A">
              <w:t>ubl</w:t>
            </w:r>
            <w:r w:rsidRPr="004F111D">
              <w:t>isko personu un iestāžu reģistra</w:t>
            </w:r>
            <w:r>
              <w:t xml:space="preserve"> </w:t>
            </w:r>
            <w:r w:rsidRPr="0095332A">
              <w:t>jeb sarakst</w:t>
            </w:r>
            <w:r>
              <w:t>a</w:t>
            </w:r>
            <w:r w:rsidRPr="004F111D">
              <w:t xml:space="preserve"> izveidi</w:t>
            </w:r>
            <w:r>
              <w:t>, tomēr uzskata, ka līdz šāda reģistra izveide</w:t>
            </w:r>
            <w:r w:rsidR="00931393">
              <w:t>i tiešās pārvaldes iestāžu datu</w:t>
            </w:r>
            <w:r>
              <w:t>bāzei ir jāturpina darboties, tād</w:t>
            </w:r>
            <w:r w:rsidR="00821124">
              <w:t>ē</w:t>
            </w:r>
            <w:r>
              <w:t xml:space="preserve">jādi nodrošinot </w:t>
            </w:r>
            <w:r>
              <w:lastRenderedPageBreak/>
              <w:t>Valsts pārvaldes iekārtas likumā noteikto.</w:t>
            </w:r>
          </w:p>
          <w:p w14:paraId="0118E677" w14:textId="0D9F17B8" w:rsidR="00467F93" w:rsidRDefault="00467F93" w:rsidP="00955DA3">
            <w:pPr>
              <w:pStyle w:val="naiskr"/>
              <w:spacing w:before="120" w:beforeAutospacing="0" w:after="120" w:afterAutospacing="0"/>
              <w:ind w:left="57" w:right="57"/>
              <w:jc w:val="both"/>
            </w:pPr>
            <w:r>
              <w:t>2011.gada 30.novembrī tika organizēta starpministriju saskaņošanas sanāksme, kurā piedalījās Ārlietu ministrijas, Satiksmes ministrijas, Vides aizsardzības un reģionālās attīstības ministrijas, Kultūras ministrijas, Izglītības un zinātnes ministrijas un Valsts kancelejas pārstāvji</w:t>
            </w:r>
            <w:r w:rsidR="000713AA">
              <w:t>.</w:t>
            </w:r>
            <w:r>
              <w:t xml:space="preserve"> </w:t>
            </w:r>
            <w:r w:rsidR="000713AA">
              <w:t>T</w:t>
            </w:r>
            <w:r>
              <w:t>ika izskatīti šo ministriju izteiktie iebildumi un par tiem panākta vienošanās. Tieslietu ministrijas, Finanšu ministrijas, Ekonomikas ministrijas un Iekšlietu ministrijas pārstāvji uz saskaņošanas sanāksmi neieradās, līdz ar to šo instit</w:t>
            </w:r>
            <w:r w:rsidR="00261A3D">
              <w:t>ūciju izteiktajiem</w:t>
            </w:r>
            <w:r>
              <w:t xml:space="preserve"> iebildumi</w:t>
            </w:r>
            <w:r w:rsidR="00261A3D">
              <w:t>em</w:t>
            </w:r>
            <w:r>
              <w:t xml:space="preserve"> saskaņā ar Ministru kabineta 2009.gada 7.aprīļa</w:t>
            </w:r>
            <w:proofErr w:type="gramStart"/>
            <w:r>
              <w:t xml:space="preserve">  </w:t>
            </w:r>
            <w:proofErr w:type="gramEnd"/>
            <w:r>
              <w:t xml:space="preserve">noteikumu Nr.300 </w:t>
            </w:r>
            <w:r w:rsidR="00435E4A">
              <w:t>"</w:t>
            </w:r>
            <w:r>
              <w:t>Ministru kabineta kārtības rullis</w:t>
            </w:r>
            <w:r w:rsidR="00435E4A">
              <w:t>"</w:t>
            </w:r>
            <w:r>
              <w:t xml:space="preserve"> </w:t>
            </w:r>
            <w:r w:rsidR="00261A3D">
              <w:t xml:space="preserve">103.punktu ir ieteikuma raksturs. </w:t>
            </w:r>
          </w:p>
          <w:p w14:paraId="0118E678" w14:textId="1A9BEB2D" w:rsidR="00261A3D" w:rsidRPr="00BE4EFB" w:rsidRDefault="00261A3D" w:rsidP="00821124">
            <w:pPr>
              <w:spacing w:before="120" w:after="120" w:line="240" w:lineRule="auto"/>
              <w:ind w:left="90" w:right="90"/>
              <w:jc w:val="both"/>
            </w:pPr>
            <w:r w:rsidRPr="00E85E6C">
              <w:rPr>
                <w:rFonts w:ascii="Times New Roman" w:eastAsia="Times New Roman" w:hAnsi="Times New Roman"/>
                <w:sz w:val="24"/>
                <w:szCs w:val="24"/>
                <w:lang w:eastAsia="lv-LV"/>
              </w:rPr>
              <w:t>Valsts kanceleja pēc saskaņošanas sanāksmes precizēja instrukcijas projektu un tā anotāciju un 2012.gada 17.maijā nosūtīja visām ministrijām, kas sniedza sākotnējos atzinumus, piecu dienu saskaņošanai. Piecu dienu saskaņošanas laikā tika saņemt</w:t>
            </w:r>
            <w:r w:rsidR="006E40EA">
              <w:rPr>
                <w:rFonts w:ascii="Times New Roman" w:eastAsia="Times New Roman" w:hAnsi="Times New Roman"/>
                <w:sz w:val="24"/>
                <w:szCs w:val="24"/>
                <w:lang w:eastAsia="lv-LV"/>
              </w:rPr>
              <w:t>s</w:t>
            </w:r>
            <w:r w:rsidRPr="00E85E6C">
              <w:rPr>
                <w:rFonts w:ascii="Times New Roman" w:eastAsia="Times New Roman" w:hAnsi="Times New Roman"/>
                <w:sz w:val="24"/>
                <w:szCs w:val="24"/>
                <w:lang w:eastAsia="lv-LV"/>
              </w:rPr>
              <w:t xml:space="preserve"> atzinum</w:t>
            </w:r>
            <w:r w:rsidR="006E40EA">
              <w:rPr>
                <w:rFonts w:ascii="Times New Roman" w:eastAsia="Times New Roman" w:hAnsi="Times New Roman"/>
                <w:sz w:val="24"/>
                <w:szCs w:val="24"/>
                <w:lang w:eastAsia="lv-LV"/>
              </w:rPr>
              <w:t>s</w:t>
            </w:r>
            <w:r w:rsidRPr="00E85E6C">
              <w:rPr>
                <w:rFonts w:ascii="Times New Roman" w:eastAsia="Times New Roman" w:hAnsi="Times New Roman"/>
                <w:sz w:val="24"/>
                <w:szCs w:val="24"/>
                <w:lang w:eastAsia="lv-LV"/>
              </w:rPr>
              <w:t xml:space="preserve"> no Kultūras ministrijas, ka šī ministrija neatbalsta instrukcijas projekta tālāko virzību, jo nav ņemti </w:t>
            </w:r>
            <w:r w:rsidR="00821124">
              <w:rPr>
                <w:rFonts w:ascii="Times New Roman" w:eastAsia="Times New Roman" w:hAnsi="Times New Roman"/>
                <w:sz w:val="24"/>
                <w:szCs w:val="24"/>
                <w:lang w:eastAsia="lv-LV"/>
              </w:rPr>
              <w:t xml:space="preserve">vērā </w:t>
            </w:r>
            <w:r w:rsidRPr="00E85E6C">
              <w:rPr>
                <w:rFonts w:ascii="Times New Roman" w:eastAsia="Times New Roman" w:hAnsi="Times New Roman"/>
                <w:sz w:val="24"/>
                <w:szCs w:val="24"/>
                <w:lang w:eastAsia="lv-LV"/>
              </w:rPr>
              <w:t xml:space="preserve">saskaņošanas laikā izteiktie iebildumi, tomēr saskaņošanas sanāksmē 30.11.2011. </w:t>
            </w:r>
            <w:r w:rsidR="00955DA3">
              <w:rPr>
                <w:rFonts w:ascii="Times New Roman" w:eastAsia="Times New Roman" w:hAnsi="Times New Roman"/>
                <w:sz w:val="24"/>
                <w:szCs w:val="24"/>
                <w:lang w:eastAsia="lv-LV"/>
              </w:rPr>
              <w:t xml:space="preserve">par visiem iebildumiem tika panākta vienošanās, un arī </w:t>
            </w:r>
            <w:r w:rsidRPr="00E85E6C">
              <w:rPr>
                <w:rFonts w:ascii="Times New Roman" w:eastAsia="Times New Roman" w:hAnsi="Times New Roman"/>
                <w:sz w:val="24"/>
                <w:szCs w:val="24"/>
                <w:lang w:eastAsia="lv-LV"/>
              </w:rPr>
              <w:t>Kultūras ministrijas pārstāvis saskaņoja izteiktos iebildumus</w:t>
            </w:r>
            <w:r w:rsidR="006E40EA">
              <w:rPr>
                <w:rFonts w:ascii="Times New Roman" w:eastAsia="Times New Roman" w:hAnsi="Times New Roman"/>
                <w:sz w:val="24"/>
                <w:szCs w:val="24"/>
                <w:lang w:eastAsia="lv-LV"/>
              </w:rPr>
              <w:t>.</w:t>
            </w:r>
            <w:r w:rsidRPr="00E85E6C">
              <w:rPr>
                <w:rFonts w:ascii="Times New Roman" w:eastAsia="Times New Roman" w:hAnsi="Times New Roman"/>
                <w:sz w:val="24"/>
                <w:szCs w:val="24"/>
                <w:lang w:eastAsia="lv-LV"/>
              </w:rPr>
              <w:t xml:space="preserve"> Tieslietu ministrijas</w:t>
            </w:r>
            <w:proofErr w:type="gramStart"/>
            <w:r w:rsidRPr="00E85E6C">
              <w:rPr>
                <w:rFonts w:ascii="Times New Roman" w:eastAsia="Times New Roman" w:hAnsi="Times New Roman"/>
                <w:sz w:val="24"/>
                <w:szCs w:val="24"/>
                <w:lang w:eastAsia="lv-LV"/>
              </w:rPr>
              <w:t xml:space="preserve"> </w:t>
            </w:r>
            <w:r w:rsidR="00AC47FD">
              <w:rPr>
                <w:rFonts w:ascii="Times New Roman" w:eastAsia="Times New Roman" w:hAnsi="Times New Roman"/>
                <w:sz w:val="24"/>
                <w:szCs w:val="24"/>
                <w:lang w:eastAsia="lv-LV"/>
              </w:rPr>
              <w:t xml:space="preserve"> </w:t>
            </w:r>
            <w:proofErr w:type="gramEnd"/>
            <w:r w:rsidRPr="00E85E6C">
              <w:rPr>
                <w:rFonts w:ascii="Times New Roman" w:eastAsia="Times New Roman" w:hAnsi="Times New Roman"/>
                <w:sz w:val="24"/>
                <w:szCs w:val="24"/>
                <w:lang w:eastAsia="lv-LV"/>
              </w:rPr>
              <w:t>atzinumā izteiktie iebildumi</w:t>
            </w:r>
            <w:r w:rsidR="00E3120F">
              <w:rPr>
                <w:rFonts w:ascii="Times New Roman" w:eastAsia="Times New Roman" w:hAnsi="Times New Roman"/>
                <w:sz w:val="24"/>
                <w:szCs w:val="24"/>
                <w:lang w:eastAsia="lv-LV"/>
              </w:rPr>
              <w:t xml:space="preserve"> </w:t>
            </w:r>
            <w:r w:rsidR="000713AA">
              <w:rPr>
                <w:rFonts w:ascii="Times New Roman" w:eastAsia="Times New Roman" w:hAnsi="Times New Roman"/>
                <w:sz w:val="24"/>
                <w:szCs w:val="24"/>
                <w:lang w:eastAsia="lv-LV"/>
              </w:rPr>
              <w:t>(</w:t>
            </w:r>
            <w:r w:rsidR="00E3120F">
              <w:rPr>
                <w:rFonts w:ascii="Times New Roman" w:eastAsia="Times New Roman" w:hAnsi="Times New Roman"/>
                <w:sz w:val="24"/>
                <w:szCs w:val="24"/>
                <w:lang w:eastAsia="lv-LV"/>
              </w:rPr>
              <w:t>izņemot vienu, ko nav iespējams ņemt vērā, jo valsts tiešās pārvaldes iestāžu datubāzē ievietojamo informāciju nosaka Valsts pārvaldes iekārtas likuma 14.pants</w:t>
            </w:r>
            <w:r w:rsidR="000713AA">
              <w:rPr>
                <w:rFonts w:ascii="Times New Roman" w:eastAsia="Times New Roman" w:hAnsi="Times New Roman"/>
                <w:sz w:val="24"/>
                <w:szCs w:val="24"/>
                <w:lang w:eastAsia="lv-LV"/>
              </w:rPr>
              <w:t>)</w:t>
            </w:r>
            <w:r w:rsidRPr="00E85E6C">
              <w:rPr>
                <w:rFonts w:ascii="Times New Roman" w:eastAsia="Times New Roman" w:hAnsi="Times New Roman"/>
                <w:sz w:val="24"/>
                <w:szCs w:val="24"/>
                <w:lang w:eastAsia="lv-LV"/>
              </w:rPr>
              <w:t xml:space="preserve"> un priekšlikumi ir ņemti vērā un instrukcijas projekts atbilstoši precizēts</w:t>
            </w:r>
            <w:r w:rsidR="006E40EA">
              <w:rPr>
                <w:rFonts w:ascii="Times New Roman" w:eastAsia="Times New Roman" w:hAnsi="Times New Roman"/>
                <w:sz w:val="24"/>
                <w:szCs w:val="24"/>
                <w:lang w:eastAsia="lv-LV"/>
              </w:rPr>
              <w:t>.</w:t>
            </w:r>
            <w:r w:rsidRPr="00E85E6C">
              <w:rPr>
                <w:rFonts w:ascii="Times New Roman" w:eastAsia="Times New Roman" w:hAnsi="Times New Roman"/>
                <w:sz w:val="24"/>
                <w:szCs w:val="24"/>
                <w:lang w:eastAsia="lv-LV"/>
              </w:rPr>
              <w:t xml:space="preserve"> </w:t>
            </w:r>
            <w:r w:rsidR="00E85E6C" w:rsidRPr="00E85E6C">
              <w:rPr>
                <w:rFonts w:ascii="Times New Roman" w:eastAsia="Times New Roman" w:hAnsi="Times New Roman"/>
                <w:sz w:val="24"/>
                <w:szCs w:val="24"/>
                <w:lang w:eastAsia="lv-LV"/>
              </w:rPr>
              <w:t xml:space="preserve">Satiksmes ministrija </w:t>
            </w:r>
            <w:r w:rsidRPr="00E85E6C">
              <w:rPr>
                <w:rFonts w:ascii="Times New Roman" w:eastAsia="Times New Roman" w:hAnsi="Times New Roman"/>
                <w:sz w:val="24"/>
                <w:szCs w:val="24"/>
                <w:lang w:eastAsia="lv-LV"/>
              </w:rPr>
              <w:t>izteica papildu iebildumu</w:t>
            </w:r>
            <w:r w:rsidR="0078377F">
              <w:rPr>
                <w:rFonts w:ascii="Times New Roman" w:eastAsia="Times New Roman" w:hAnsi="Times New Roman"/>
                <w:sz w:val="24"/>
                <w:szCs w:val="24"/>
                <w:lang w:eastAsia="lv-LV"/>
              </w:rPr>
              <w:t xml:space="preserve"> attiecībā uz instrukcijas 14</w:t>
            </w:r>
            <w:r w:rsidR="00955DA3">
              <w:rPr>
                <w:rFonts w:ascii="Times New Roman" w:eastAsia="Times New Roman" w:hAnsi="Times New Roman"/>
                <w:sz w:val="24"/>
                <w:szCs w:val="24"/>
                <w:lang w:eastAsia="lv-LV"/>
              </w:rPr>
              <w:t>.punktu</w:t>
            </w:r>
            <w:r w:rsidR="00E85E6C" w:rsidRPr="00E85E6C">
              <w:rPr>
                <w:rFonts w:ascii="Times New Roman" w:eastAsia="Times New Roman" w:hAnsi="Times New Roman"/>
                <w:sz w:val="24"/>
                <w:szCs w:val="24"/>
                <w:lang w:eastAsia="lv-LV"/>
              </w:rPr>
              <w:t>, kas nav ņemts vēr</w:t>
            </w:r>
            <w:r w:rsidR="00955DA3">
              <w:rPr>
                <w:rFonts w:ascii="Times New Roman" w:eastAsia="Times New Roman" w:hAnsi="Times New Roman"/>
                <w:sz w:val="24"/>
                <w:szCs w:val="24"/>
                <w:lang w:eastAsia="lv-LV"/>
              </w:rPr>
              <w:t>ā, jo</w:t>
            </w:r>
            <w:r w:rsidR="00E85E6C" w:rsidRPr="00E85E6C">
              <w:rPr>
                <w:rFonts w:ascii="Times New Roman" w:eastAsia="Times New Roman" w:hAnsi="Times New Roman"/>
                <w:sz w:val="24"/>
                <w:szCs w:val="24"/>
                <w:lang w:eastAsia="lv-LV"/>
              </w:rPr>
              <w:t xml:space="preserve"> datubāzē nav plānots ievietot katru normatīvo aktu par amatpersonu iecelšanu </w:t>
            </w:r>
            <w:r w:rsidR="00100DFD">
              <w:rPr>
                <w:rFonts w:ascii="Times New Roman" w:eastAsia="Times New Roman" w:hAnsi="Times New Roman"/>
                <w:sz w:val="24"/>
                <w:szCs w:val="24"/>
                <w:lang w:eastAsia="lv-LV"/>
              </w:rPr>
              <w:t xml:space="preserve">vai atbrīvošanu no amata </w:t>
            </w:r>
            <w:r w:rsidR="00E85E6C" w:rsidRPr="00E85E6C">
              <w:rPr>
                <w:rFonts w:ascii="Times New Roman" w:eastAsia="Times New Roman" w:hAnsi="Times New Roman"/>
                <w:sz w:val="24"/>
                <w:szCs w:val="24"/>
                <w:lang w:eastAsia="lv-LV"/>
              </w:rPr>
              <w:t xml:space="preserve">kādā ministrijā vai padotības iestādē, jo </w:t>
            </w:r>
            <w:r w:rsidR="00955DA3">
              <w:rPr>
                <w:rFonts w:ascii="Times New Roman" w:eastAsia="Times New Roman" w:hAnsi="Times New Roman"/>
                <w:sz w:val="24"/>
                <w:szCs w:val="24"/>
                <w:lang w:eastAsia="lv-LV"/>
              </w:rPr>
              <w:t>tāds</w:t>
            </w:r>
            <w:r w:rsidR="00E85E6C" w:rsidRPr="00E85E6C">
              <w:rPr>
                <w:rFonts w:ascii="Times New Roman" w:eastAsia="Times New Roman" w:hAnsi="Times New Roman"/>
                <w:sz w:val="24"/>
                <w:szCs w:val="24"/>
                <w:lang w:eastAsia="lv-LV"/>
              </w:rPr>
              <w:t xml:space="preserve"> nav datubāzē ievietotās informācijas mērķis –</w:t>
            </w:r>
            <w:r w:rsidR="006E40EA">
              <w:rPr>
                <w:rFonts w:ascii="Times New Roman" w:eastAsia="Times New Roman" w:hAnsi="Times New Roman"/>
                <w:sz w:val="24"/>
                <w:szCs w:val="24"/>
                <w:lang w:eastAsia="lv-LV"/>
              </w:rPr>
              <w:t xml:space="preserve"> </w:t>
            </w:r>
            <w:r w:rsidR="0078377F">
              <w:rPr>
                <w:rFonts w:ascii="Times New Roman" w:eastAsia="Times New Roman" w:hAnsi="Times New Roman"/>
                <w:sz w:val="24"/>
                <w:szCs w:val="24"/>
                <w:lang w:eastAsia="lv-LV"/>
              </w:rPr>
              <w:t>14</w:t>
            </w:r>
            <w:r w:rsidR="00E85E6C" w:rsidRPr="00E85E6C">
              <w:rPr>
                <w:rFonts w:ascii="Times New Roman" w:eastAsia="Times New Roman" w:hAnsi="Times New Roman"/>
                <w:sz w:val="24"/>
                <w:szCs w:val="24"/>
                <w:lang w:eastAsia="lv-LV"/>
              </w:rPr>
              <w:t xml:space="preserve">.punkts paredz datubāzē ievietot kopējo iestādes amatpersonu sarakstu, lai attiecīgi vienā dokumentā vai vietnē, ja institūcija izmanto iespēju ievietot </w:t>
            </w:r>
            <w:r w:rsidR="00955DA3">
              <w:rPr>
                <w:rFonts w:ascii="Times New Roman" w:eastAsia="Times New Roman" w:hAnsi="Times New Roman"/>
                <w:sz w:val="24"/>
                <w:szCs w:val="24"/>
                <w:lang w:eastAsia="lv-LV"/>
              </w:rPr>
              <w:t>saiti uz iestādes mājaslapu</w:t>
            </w:r>
            <w:r w:rsidR="00E85E6C" w:rsidRPr="00E85E6C">
              <w:rPr>
                <w:rFonts w:ascii="Times New Roman" w:eastAsia="Times New Roman" w:hAnsi="Times New Roman"/>
                <w:sz w:val="24"/>
                <w:szCs w:val="24"/>
                <w:lang w:eastAsia="lv-LV"/>
              </w:rPr>
              <w:t>, ieinteresētā persona varētu iepazīties ar kopējo iestādes amatpersonu sarakstu</w:t>
            </w:r>
            <w:r w:rsidR="006E40EA">
              <w:rPr>
                <w:rFonts w:ascii="Times New Roman" w:eastAsia="Times New Roman" w:hAnsi="Times New Roman"/>
                <w:sz w:val="24"/>
                <w:szCs w:val="24"/>
                <w:lang w:eastAsia="lv-LV"/>
              </w:rPr>
              <w:t>,</w:t>
            </w:r>
            <w:r w:rsidR="00E85E6C" w:rsidRPr="00E85E6C">
              <w:rPr>
                <w:rFonts w:ascii="Times New Roman" w:eastAsia="Times New Roman" w:hAnsi="Times New Roman"/>
                <w:sz w:val="24"/>
                <w:szCs w:val="24"/>
                <w:lang w:eastAsia="lv-LV"/>
              </w:rPr>
              <w:t xml:space="preserve"> nevis ar atsevišķiem normatīvajiem aktiem par iestādes amatpersonu iec</w:t>
            </w:r>
            <w:r w:rsidR="00821124">
              <w:rPr>
                <w:rFonts w:ascii="Times New Roman" w:eastAsia="Times New Roman" w:hAnsi="Times New Roman"/>
                <w:sz w:val="24"/>
                <w:szCs w:val="24"/>
                <w:lang w:eastAsia="lv-LV"/>
              </w:rPr>
              <w:t>elšanu vai atbrīvošanu no amata</w:t>
            </w:r>
            <w:r w:rsidR="00E85E6C">
              <w:t xml:space="preserve"> </w:t>
            </w:r>
          </w:p>
        </w:tc>
      </w:tr>
      <w:tr w:rsidR="00974E88" w:rsidRPr="00605636" w14:paraId="0118E67D" w14:textId="77777777" w:rsidTr="00F41212">
        <w:trPr>
          <w:trHeight w:val="1162"/>
        </w:trPr>
        <w:tc>
          <w:tcPr>
            <w:tcW w:w="233" w:type="pct"/>
          </w:tcPr>
          <w:p w14:paraId="0118E67A" w14:textId="77777777" w:rsidR="00974E88" w:rsidRPr="00605636" w:rsidRDefault="00974E88" w:rsidP="00605636">
            <w:pPr>
              <w:pStyle w:val="naiskr"/>
              <w:spacing w:before="120" w:beforeAutospacing="0" w:after="120" w:afterAutospacing="0"/>
              <w:jc w:val="center"/>
            </w:pPr>
            <w:r w:rsidRPr="00605636">
              <w:lastRenderedPageBreak/>
              <w:t>6.</w:t>
            </w:r>
          </w:p>
        </w:tc>
        <w:tc>
          <w:tcPr>
            <w:tcW w:w="997" w:type="pct"/>
          </w:tcPr>
          <w:p w14:paraId="0118E67B" w14:textId="77777777" w:rsidR="00974E88" w:rsidRPr="00605636" w:rsidRDefault="00974E88" w:rsidP="00605636">
            <w:pPr>
              <w:pStyle w:val="naiskr"/>
              <w:spacing w:before="120" w:beforeAutospacing="0" w:after="120" w:afterAutospacing="0"/>
              <w:ind w:left="57" w:right="57"/>
              <w:rPr>
                <w:i/>
              </w:rPr>
            </w:pPr>
            <w:r w:rsidRPr="00605636">
              <w:t>Iemesli, kādēļ netika nodrošināta sabiedrības līdzdalība</w:t>
            </w:r>
          </w:p>
        </w:tc>
        <w:tc>
          <w:tcPr>
            <w:tcW w:w="3770" w:type="pct"/>
          </w:tcPr>
          <w:p w14:paraId="0118E67C" w14:textId="602AD446" w:rsidR="00974E88" w:rsidRPr="00605636" w:rsidRDefault="00974E88" w:rsidP="00605636">
            <w:pPr>
              <w:pStyle w:val="FootnoteText"/>
              <w:spacing w:before="120" w:after="120"/>
              <w:ind w:left="57" w:right="57"/>
              <w:jc w:val="both"/>
              <w:rPr>
                <w:sz w:val="24"/>
                <w:szCs w:val="24"/>
              </w:rPr>
            </w:pPr>
            <w:r w:rsidRPr="00605636">
              <w:rPr>
                <w:color w:val="000000"/>
                <w:sz w:val="24"/>
                <w:szCs w:val="24"/>
              </w:rPr>
              <w:t>Normatīvā akta projektam nav tiešas ietekmes uz sabiedrību, jo informācijas ievietošana un aktualizēšana tiešās pārvaldes iestāžu datubāzē ir valst</w:t>
            </w:r>
            <w:r w:rsidR="00821124">
              <w:rPr>
                <w:color w:val="000000"/>
                <w:sz w:val="24"/>
                <w:szCs w:val="24"/>
              </w:rPr>
              <w:t>s pārvaldes iestāžu kompetencē</w:t>
            </w:r>
            <w:r w:rsidRPr="00605636">
              <w:rPr>
                <w:sz w:val="24"/>
                <w:szCs w:val="24"/>
              </w:rPr>
              <w:t xml:space="preserve"> </w:t>
            </w:r>
          </w:p>
        </w:tc>
      </w:tr>
      <w:tr w:rsidR="00974E88" w:rsidRPr="00605636" w14:paraId="0118E681" w14:textId="77777777" w:rsidTr="00F41212">
        <w:tc>
          <w:tcPr>
            <w:tcW w:w="233" w:type="pct"/>
          </w:tcPr>
          <w:p w14:paraId="0118E67E" w14:textId="77777777" w:rsidR="00974E88" w:rsidRPr="00605636" w:rsidRDefault="00974E88" w:rsidP="00605636">
            <w:pPr>
              <w:pStyle w:val="naiskr"/>
              <w:spacing w:before="120" w:beforeAutospacing="0" w:after="120" w:afterAutospacing="0"/>
              <w:jc w:val="center"/>
            </w:pPr>
            <w:r w:rsidRPr="00605636">
              <w:t>7.</w:t>
            </w:r>
          </w:p>
        </w:tc>
        <w:tc>
          <w:tcPr>
            <w:tcW w:w="997" w:type="pct"/>
          </w:tcPr>
          <w:p w14:paraId="0118E67F" w14:textId="77777777" w:rsidR="00974E88" w:rsidRPr="00605636" w:rsidRDefault="00974E88" w:rsidP="00605636">
            <w:pPr>
              <w:pStyle w:val="naiskr"/>
              <w:spacing w:before="120" w:beforeAutospacing="0" w:after="120" w:afterAutospacing="0"/>
            </w:pPr>
            <w:r w:rsidRPr="00605636">
              <w:t>Cita informācija</w:t>
            </w:r>
          </w:p>
        </w:tc>
        <w:tc>
          <w:tcPr>
            <w:tcW w:w="3770" w:type="pct"/>
          </w:tcPr>
          <w:p w14:paraId="0118E680" w14:textId="77777777" w:rsidR="00974E88" w:rsidRPr="00605636" w:rsidRDefault="00605636" w:rsidP="00605636">
            <w:pPr>
              <w:pStyle w:val="naiskr"/>
              <w:spacing w:before="120" w:beforeAutospacing="0" w:after="120" w:afterAutospacing="0"/>
              <w:jc w:val="both"/>
            </w:pPr>
            <w:r>
              <w:t>Nav</w:t>
            </w:r>
          </w:p>
        </w:tc>
      </w:tr>
    </w:tbl>
    <w:p w14:paraId="0118E682" w14:textId="5D128DD7" w:rsidR="006E40EA" w:rsidRDefault="006E40EA" w:rsidP="003C7568">
      <w:pPr>
        <w:pStyle w:val="naisvisr"/>
        <w:spacing w:before="0" w:after="0"/>
        <w:rPr>
          <w:sz w:val="24"/>
          <w:szCs w:val="24"/>
        </w:rPr>
      </w:pPr>
    </w:p>
    <w:p w14:paraId="2BD8525D" w14:textId="77777777" w:rsidR="006E40EA" w:rsidRDefault="006E40EA">
      <w:pPr>
        <w:spacing w:after="0" w:line="240" w:lineRule="auto"/>
        <w:rPr>
          <w:rFonts w:ascii="Times New Roman" w:eastAsia="Times New Roman" w:hAnsi="Times New Roman"/>
          <w:b/>
          <w:bCs/>
          <w:sz w:val="24"/>
          <w:szCs w:val="24"/>
          <w:lang w:eastAsia="lv-LV"/>
        </w:rPr>
      </w:pPr>
      <w:r>
        <w:rPr>
          <w:sz w:val="24"/>
          <w:szCs w:val="24"/>
        </w:rPr>
        <w:br w:type="page"/>
      </w:r>
    </w:p>
    <w:p w14:paraId="61ED062B" w14:textId="77777777" w:rsidR="009E0E56" w:rsidRPr="00821124" w:rsidRDefault="009E0E56" w:rsidP="003C7568">
      <w:pPr>
        <w:pStyle w:val="naisvisr"/>
        <w:spacing w:before="0" w:after="0"/>
        <w:rPr>
          <w:sz w:val="16"/>
          <w:szCs w:val="16"/>
        </w:rPr>
      </w:pPr>
      <w:bookmarkStart w:id="0" w:name="_GoBack"/>
    </w:p>
    <w:tbl>
      <w:tblPr>
        <w:tblpPr w:leftFromText="180" w:rightFromText="180" w:vertAnchor="text" w:horzAnchor="margin" w:tblpX="-279"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095"/>
      </w:tblGrid>
      <w:tr w:rsidR="00E944CE" w:rsidRPr="00605636" w14:paraId="0118E684" w14:textId="77777777" w:rsidTr="00605636">
        <w:trPr>
          <w:trHeight w:val="556"/>
        </w:trPr>
        <w:tc>
          <w:tcPr>
            <w:tcW w:w="9219" w:type="dxa"/>
            <w:gridSpan w:val="3"/>
            <w:vAlign w:val="center"/>
          </w:tcPr>
          <w:bookmarkEnd w:id="0"/>
          <w:p w14:paraId="0118E683" w14:textId="77777777" w:rsidR="00E944CE" w:rsidRPr="00605636" w:rsidRDefault="00E944CE" w:rsidP="00812517">
            <w:pPr>
              <w:pStyle w:val="naisnod"/>
              <w:jc w:val="center"/>
              <w:rPr>
                <w:b/>
              </w:rPr>
            </w:pPr>
            <w:r w:rsidRPr="00605636">
              <w:rPr>
                <w:b/>
              </w:rPr>
              <w:t>II. Tiesību akta projekta ietekme uz sabiedrību</w:t>
            </w:r>
          </w:p>
        </w:tc>
      </w:tr>
      <w:tr w:rsidR="00E944CE" w:rsidRPr="00605636" w14:paraId="0118E688" w14:textId="77777777" w:rsidTr="00F41212">
        <w:trPr>
          <w:trHeight w:val="467"/>
        </w:trPr>
        <w:tc>
          <w:tcPr>
            <w:tcW w:w="431" w:type="dxa"/>
          </w:tcPr>
          <w:p w14:paraId="0118E685" w14:textId="77777777" w:rsidR="00E944CE" w:rsidRPr="00605636" w:rsidRDefault="00E944CE" w:rsidP="00E944CE">
            <w:pPr>
              <w:pStyle w:val="naiskr"/>
              <w:spacing w:before="0" w:after="0"/>
              <w:jc w:val="center"/>
            </w:pPr>
            <w:r w:rsidRPr="00605636">
              <w:t>1.</w:t>
            </w:r>
          </w:p>
        </w:tc>
        <w:tc>
          <w:tcPr>
            <w:tcW w:w="2693" w:type="dxa"/>
          </w:tcPr>
          <w:p w14:paraId="0118E686" w14:textId="77777777" w:rsidR="00E944CE" w:rsidRPr="00605636" w:rsidRDefault="00E944CE" w:rsidP="00605636">
            <w:pPr>
              <w:pStyle w:val="naiskr"/>
              <w:ind w:left="57" w:right="57"/>
            </w:pPr>
            <w:r w:rsidRPr="00605636">
              <w:t>Sabiedrības mērķgrupa</w:t>
            </w:r>
          </w:p>
        </w:tc>
        <w:tc>
          <w:tcPr>
            <w:tcW w:w="6095" w:type="dxa"/>
          </w:tcPr>
          <w:p w14:paraId="0118E687" w14:textId="42EFF426" w:rsidR="006E40EA" w:rsidRPr="00605636" w:rsidRDefault="00E944CE" w:rsidP="006E40EA">
            <w:pPr>
              <w:pStyle w:val="naiskr"/>
              <w:ind w:left="57" w:right="57"/>
              <w:jc w:val="both"/>
            </w:pPr>
            <w:r w:rsidRPr="00605636">
              <w:t xml:space="preserve">Valsts tiešās pārvaldes iestādēs nodarbinātie (aptuveni 38 </w:t>
            </w:r>
            <w:r w:rsidR="006E40EA">
              <w:t>tūkstoši)</w:t>
            </w:r>
          </w:p>
        </w:tc>
      </w:tr>
      <w:tr w:rsidR="00E944CE" w:rsidRPr="00605636" w14:paraId="0118E68C" w14:textId="77777777" w:rsidTr="00F41212">
        <w:trPr>
          <w:trHeight w:val="523"/>
        </w:trPr>
        <w:tc>
          <w:tcPr>
            <w:tcW w:w="431" w:type="dxa"/>
          </w:tcPr>
          <w:p w14:paraId="0118E689" w14:textId="77777777" w:rsidR="00E944CE" w:rsidRPr="00605636" w:rsidRDefault="00E944CE" w:rsidP="00E944CE">
            <w:pPr>
              <w:pStyle w:val="naiskr"/>
              <w:spacing w:before="0" w:after="0"/>
              <w:jc w:val="center"/>
            </w:pPr>
            <w:r w:rsidRPr="00605636">
              <w:t>2.</w:t>
            </w:r>
          </w:p>
        </w:tc>
        <w:tc>
          <w:tcPr>
            <w:tcW w:w="2693" w:type="dxa"/>
          </w:tcPr>
          <w:p w14:paraId="0118E68A" w14:textId="77777777" w:rsidR="00E944CE" w:rsidRPr="00605636" w:rsidRDefault="00E944CE" w:rsidP="00605636">
            <w:pPr>
              <w:pStyle w:val="naiskr"/>
              <w:ind w:left="57" w:right="57"/>
            </w:pPr>
            <w:r w:rsidRPr="00605636">
              <w:t>Citas sabiedrības grupas (bez mērķgrupas), kuras tiesiskais regulējums arī ietekmē vai varētu ietekmēt</w:t>
            </w:r>
          </w:p>
        </w:tc>
        <w:tc>
          <w:tcPr>
            <w:tcW w:w="6095" w:type="dxa"/>
          </w:tcPr>
          <w:p w14:paraId="0118E68B" w14:textId="661E62AF" w:rsidR="00E944CE" w:rsidRPr="00605636" w:rsidRDefault="00E944CE" w:rsidP="00821124">
            <w:pPr>
              <w:pStyle w:val="naiskr"/>
              <w:ind w:left="57" w:right="57"/>
              <w:jc w:val="both"/>
            </w:pPr>
            <w:r w:rsidRPr="00605636">
              <w:t>Visa sabiedrība kopumā, kas izmant</w:t>
            </w:r>
            <w:r w:rsidR="00931393">
              <w:t>o tiešās pārvaldes iestāžu datu</w:t>
            </w:r>
            <w:r w:rsidRPr="00605636">
              <w:t>bāzi informācijas iegūšanai par tiešās pārvaldes iestādēm</w:t>
            </w:r>
          </w:p>
        </w:tc>
      </w:tr>
      <w:tr w:rsidR="00E944CE" w:rsidRPr="00605636" w14:paraId="0118E690" w14:textId="77777777" w:rsidTr="00F41212">
        <w:trPr>
          <w:trHeight w:val="517"/>
        </w:trPr>
        <w:tc>
          <w:tcPr>
            <w:tcW w:w="431" w:type="dxa"/>
          </w:tcPr>
          <w:p w14:paraId="0118E68D" w14:textId="77777777" w:rsidR="00E944CE" w:rsidRPr="00605636" w:rsidRDefault="00E944CE" w:rsidP="00E944CE">
            <w:pPr>
              <w:pStyle w:val="naiskr"/>
              <w:spacing w:before="0" w:after="0"/>
              <w:jc w:val="center"/>
            </w:pPr>
            <w:r w:rsidRPr="00605636">
              <w:t>3.</w:t>
            </w:r>
          </w:p>
        </w:tc>
        <w:tc>
          <w:tcPr>
            <w:tcW w:w="2693" w:type="dxa"/>
          </w:tcPr>
          <w:p w14:paraId="0118E68E" w14:textId="77777777" w:rsidR="00E944CE" w:rsidRPr="00605636" w:rsidRDefault="00E944CE" w:rsidP="00605636">
            <w:pPr>
              <w:pStyle w:val="naiskr"/>
              <w:ind w:left="57" w:right="57"/>
            </w:pPr>
            <w:r w:rsidRPr="00605636">
              <w:t>Tiesiskā regulējuma finansiālā ietekme</w:t>
            </w:r>
          </w:p>
        </w:tc>
        <w:tc>
          <w:tcPr>
            <w:tcW w:w="6095" w:type="dxa"/>
          </w:tcPr>
          <w:p w14:paraId="0118E68F" w14:textId="24921E4A" w:rsidR="00E944CE" w:rsidRPr="00605636" w:rsidRDefault="00E944CE" w:rsidP="006E40EA">
            <w:pPr>
              <w:pStyle w:val="naiskr"/>
              <w:ind w:left="57" w:right="57"/>
              <w:jc w:val="both"/>
            </w:pPr>
            <w:r w:rsidRPr="00605636">
              <w:t>Tiešās pārvalde</w:t>
            </w:r>
            <w:r w:rsidR="00931393">
              <w:t xml:space="preserve">s </w:t>
            </w:r>
            <w:r w:rsidR="006E40EA">
              <w:t xml:space="preserve">iestāžu </w:t>
            </w:r>
            <w:r w:rsidR="00931393">
              <w:t>datu</w:t>
            </w:r>
            <w:r w:rsidRPr="00605636">
              <w:t>bāzes darbība tiek nodrošināta Valsts kancelejas un citu valsts pārvaldes iestāžu ikgadējā budžeta ietvaros. Valsts kancelejai nav pieejami līdzekļi, lai veiktu izmaiņa</w:t>
            </w:r>
            <w:r w:rsidR="00931393">
              <w:t>s tiešās pārvaldes iestāžu datu</w:t>
            </w:r>
            <w:r w:rsidRPr="00605636">
              <w:t>bāzes darbībā</w:t>
            </w:r>
          </w:p>
        </w:tc>
      </w:tr>
      <w:tr w:rsidR="00E944CE" w:rsidRPr="00605636" w14:paraId="0118E694" w14:textId="77777777" w:rsidTr="00F41212">
        <w:trPr>
          <w:trHeight w:val="517"/>
        </w:trPr>
        <w:tc>
          <w:tcPr>
            <w:tcW w:w="431" w:type="dxa"/>
          </w:tcPr>
          <w:p w14:paraId="0118E691" w14:textId="77777777" w:rsidR="00E944CE" w:rsidRPr="00605636" w:rsidRDefault="00E944CE" w:rsidP="00E944CE">
            <w:pPr>
              <w:pStyle w:val="naiskr"/>
              <w:spacing w:before="0" w:after="0"/>
              <w:jc w:val="center"/>
            </w:pPr>
            <w:r w:rsidRPr="00605636">
              <w:t>4.</w:t>
            </w:r>
          </w:p>
        </w:tc>
        <w:tc>
          <w:tcPr>
            <w:tcW w:w="2693" w:type="dxa"/>
          </w:tcPr>
          <w:p w14:paraId="0118E692" w14:textId="77777777" w:rsidR="00E944CE" w:rsidRPr="00605636" w:rsidRDefault="00E944CE" w:rsidP="00605636">
            <w:pPr>
              <w:pStyle w:val="naiskr"/>
              <w:ind w:left="57" w:right="57"/>
            </w:pPr>
            <w:r w:rsidRPr="00605636">
              <w:t>Tiesiskā regulējuma nefinansiālā ietekme</w:t>
            </w:r>
          </w:p>
        </w:tc>
        <w:tc>
          <w:tcPr>
            <w:tcW w:w="6095" w:type="dxa"/>
          </w:tcPr>
          <w:p w14:paraId="0118E693" w14:textId="14A0D347" w:rsidR="00E944CE" w:rsidRPr="00605636" w:rsidRDefault="00931393" w:rsidP="006E40EA">
            <w:pPr>
              <w:pStyle w:val="naiskr"/>
              <w:ind w:left="57" w:right="57"/>
              <w:jc w:val="both"/>
            </w:pPr>
            <w:r>
              <w:t>Tiešās pārvaldes iestāžu datu</w:t>
            </w:r>
            <w:r w:rsidR="00E944CE" w:rsidRPr="00605636">
              <w:t>bāzē ievietojamā informācija tiks aktualizēta un papildināta līdzšinējā kārtībā, tādējādi neuzliekot tiešās valsts pārvaldes iestādēm papildu slogu</w:t>
            </w:r>
          </w:p>
        </w:tc>
      </w:tr>
      <w:tr w:rsidR="00E944CE" w:rsidRPr="00605636" w14:paraId="0118E698" w14:textId="77777777" w:rsidTr="00F41212">
        <w:trPr>
          <w:trHeight w:val="531"/>
        </w:trPr>
        <w:tc>
          <w:tcPr>
            <w:tcW w:w="431" w:type="dxa"/>
          </w:tcPr>
          <w:p w14:paraId="0118E695" w14:textId="77777777" w:rsidR="00E944CE" w:rsidRPr="00605636" w:rsidRDefault="00E944CE" w:rsidP="00E944CE">
            <w:pPr>
              <w:pStyle w:val="naiskr"/>
              <w:spacing w:before="0" w:after="0"/>
              <w:jc w:val="center"/>
            </w:pPr>
            <w:r w:rsidRPr="00605636">
              <w:t>5.</w:t>
            </w:r>
          </w:p>
        </w:tc>
        <w:tc>
          <w:tcPr>
            <w:tcW w:w="2693" w:type="dxa"/>
          </w:tcPr>
          <w:p w14:paraId="0118E696" w14:textId="77777777" w:rsidR="00E944CE" w:rsidRPr="00605636" w:rsidRDefault="00E944CE" w:rsidP="00605636">
            <w:pPr>
              <w:pStyle w:val="naiskr"/>
              <w:ind w:left="57" w:right="57"/>
            </w:pPr>
            <w:r w:rsidRPr="00605636">
              <w:t>Administratīvās procedūras raksturojums</w:t>
            </w:r>
          </w:p>
        </w:tc>
        <w:tc>
          <w:tcPr>
            <w:tcW w:w="6095" w:type="dxa"/>
          </w:tcPr>
          <w:p w14:paraId="11417A46" w14:textId="77777777" w:rsidR="006E40EA" w:rsidRDefault="00E944CE" w:rsidP="006E40EA">
            <w:pPr>
              <w:pStyle w:val="naiskr"/>
              <w:spacing w:before="0" w:beforeAutospacing="0" w:after="0" w:afterAutospacing="0"/>
              <w:ind w:left="57" w:right="57"/>
              <w:jc w:val="both"/>
            </w:pPr>
            <w:r w:rsidRPr="00605636">
              <w:t>Tiešās pārvaldes iestā</w:t>
            </w:r>
            <w:r w:rsidR="00931393">
              <w:t>žu datu</w:t>
            </w:r>
            <w:r w:rsidRPr="00605636">
              <w:t>bāzē paredzēts uzkrāt vispārēju raksturojošo informāciju par visām tiešās pārvaldes iestā</w:t>
            </w:r>
            <w:r w:rsidR="006E40EA">
              <w:softHyphen/>
            </w:r>
            <w:r w:rsidRPr="00605636">
              <w:t>dēm</w:t>
            </w:r>
            <w:r w:rsidR="006E40EA">
              <w:t> </w:t>
            </w:r>
            <w:r w:rsidRPr="00605636">
              <w:t>– ministrijām un to pakļautības un padotības iestādēm</w:t>
            </w:r>
            <w:r w:rsidR="00931393">
              <w:t>. Tiešās pārvaldes iestāžu datu</w:t>
            </w:r>
            <w:r w:rsidRPr="00605636">
              <w:t xml:space="preserve">bāzē uzkrājamo informāciju nosaka Valsts pārvaldes iekārtas likums. Minētajā likumā noteikts, ka tiešās pārvaldes iestādes datubāzē par katru institūciju tiek ievietota </w:t>
            </w:r>
            <w:r w:rsidR="006E40EA">
              <w:t>šāda</w:t>
            </w:r>
            <w:r w:rsidRPr="00605636">
              <w:t xml:space="preserve"> publiski pieejama informācija:</w:t>
            </w:r>
          </w:p>
          <w:p w14:paraId="0BE72C2C" w14:textId="77777777" w:rsidR="006E40EA" w:rsidRDefault="00E944CE" w:rsidP="006E40EA">
            <w:pPr>
              <w:pStyle w:val="naiskr"/>
              <w:spacing w:before="0" w:beforeAutospacing="0" w:after="0" w:afterAutospacing="0"/>
              <w:ind w:left="57" w:right="57"/>
              <w:jc w:val="both"/>
            </w:pPr>
            <w:r w:rsidRPr="00605636">
              <w:t xml:space="preserve">1) iestādes nosaukums, padotība, kompetence; </w:t>
            </w:r>
          </w:p>
          <w:p w14:paraId="279EFBC3" w14:textId="77777777" w:rsidR="006E40EA" w:rsidRDefault="00E944CE" w:rsidP="006E40EA">
            <w:pPr>
              <w:pStyle w:val="naiskr"/>
              <w:spacing w:before="0" w:beforeAutospacing="0" w:after="0" w:afterAutospacing="0"/>
              <w:ind w:left="57" w:right="57"/>
              <w:jc w:val="both"/>
            </w:pPr>
            <w:r w:rsidRPr="00605636">
              <w:t xml:space="preserve">2) iestādes atrašanās vieta, telefons un citi saziņas līdzekļi, apmeklētāju pieņemšanas laiks; </w:t>
            </w:r>
          </w:p>
          <w:p w14:paraId="779109A4" w14:textId="77777777" w:rsidR="006E40EA" w:rsidRDefault="00E944CE" w:rsidP="006E40EA">
            <w:pPr>
              <w:pStyle w:val="naiskr"/>
              <w:spacing w:before="0" w:beforeAutospacing="0" w:after="0" w:afterAutospacing="0"/>
              <w:ind w:left="57" w:right="57"/>
              <w:jc w:val="both"/>
            </w:pPr>
            <w:r w:rsidRPr="00605636">
              <w:t xml:space="preserve">3) iestādes struktūra; </w:t>
            </w:r>
          </w:p>
          <w:p w14:paraId="33E6A7E9" w14:textId="77777777" w:rsidR="006E40EA" w:rsidRDefault="00E944CE" w:rsidP="006E40EA">
            <w:pPr>
              <w:pStyle w:val="naiskr"/>
              <w:spacing w:before="0" w:beforeAutospacing="0" w:after="0" w:afterAutospacing="0"/>
              <w:ind w:left="57" w:right="57"/>
              <w:jc w:val="both"/>
            </w:pPr>
            <w:r w:rsidRPr="00605636">
              <w:t xml:space="preserve">4) iestādes nolikums un reglaments; </w:t>
            </w:r>
          </w:p>
          <w:p w14:paraId="31104699" w14:textId="77777777" w:rsidR="006E40EA" w:rsidRDefault="00E944CE" w:rsidP="006E40EA">
            <w:pPr>
              <w:pStyle w:val="naiskr"/>
              <w:spacing w:before="0" w:beforeAutospacing="0" w:after="0" w:afterAutospacing="0"/>
              <w:ind w:left="57" w:right="57"/>
              <w:jc w:val="both"/>
            </w:pPr>
            <w:r w:rsidRPr="00605636">
              <w:t xml:space="preserve">5) amatpersonu saraksts; </w:t>
            </w:r>
          </w:p>
          <w:p w14:paraId="05DF92AA" w14:textId="77777777" w:rsidR="006E40EA" w:rsidRDefault="00E944CE" w:rsidP="006E40EA">
            <w:pPr>
              <w:pStyle w:val="naiskr"/>
              <w:spacing w:before="0" w:beforeAutospacing="0" w:after="0" w:afterAutospacing="0"/>
              <w:ind w:left="57" w:right="57"/>
              <w:jc w:val="both"/>
            </w:pPr>
            <w:r w:rsidRPr="00605636">
              <w:t xml:space="preserve">6) iestādei saistošie un tās izdotie iekšējie normatīvie akti; </w:t>
            </w:r>
          </w:p>
          <w:p w14:paraId="3EC18A44" w14:textId="3FEEFF9F" w:rsidR="006E40EA" w:rsidRDefault="00E944CE" w:rsidP="006E40EA">
            <w:pPr>
              <w:pStyle w:val="naiskr"/>
              <w:spacing w:before="0" w:beforeAutospacing="0" w:after="0" w:afterAutospacing="0"/>
              <w:ind w:left="57" w:right="57"/>
              <w:jc w:val="both"/>
            </w:pPr>
            <w:r w:rsidRPr="00605636">
              <w:t>7) iestādes darbību konkrētā jomā tieši regulējoš</w:t>
            </w:r>
            <w:r w:rsidR="00821124">
              <w:t>o ārējo normatīvo aktu saraksts;</w:t>
            </w:r>
            <w:r w:rsidRPr="00605636">
              <w:t xml:space="preserve"> </w:t>
            </w:r>
          </w:p>
          <w:p w14:paraId="05EC8B89" w14:textId="77777777" w:rsidR="0037481B" w:rsidRDefault="00E944CE" w:rsidP="006E40EA">
            <w:pPr>
              <w:pStyle w:val="naiskr"/>
              <w:spacing w:before="0" w:beforeAutospacing="0" w:after="0" w:afterAutospacing="0"/>
              <w:ind w:left="57" w:right="57"/>
              <w:jc w:val="both"/>
            </w:pPr>
            <w:r w:rsidRPr="00605636">
              <w:t xml:space="preserve">8) publiskie pārskati. </w:t>
            </w:r>
          </w:p>
          <w:p w14:paraId="0118E697" w14:textId="22843933" w:rsidR="00E944CE" w:rsidRPr="00605636" w:rsidRDefault="00E944CE" w:rsidP="00821124">
            <w:pPr>
              <w:pStyle w:val="naiskr"/>
              <w:spacing w:before="0" w:beforeAutospacing="0" w:after="0" w:afterAutospacing="0"/>
              <w:ind w:left="57" w:right="57"/>
              <w:jc w:val="both"/>
            </w:pPr>
            <w:r w:rsidRPr="00605636">
              <w:t xml:space="preserve">Visu šo informāciju tiešās pārvaldes iestāžu atbildīgie darbinieki paši ievada tiešās pārvaldes iestāžu datubāzē, </w:t>
            </w:r>
            <w:r w:rsidR="0037481B">
              <w:t>pamatojoties</w:t>
            </w:r>
            <w:r w:rsidRPr="00605636">
              <w:t xml:space="preserve"> uz tiem dotajām pieejas tiesībām. </w:t>
            </w:r>
            <w:r w:rsidR="009B4C4B">
              <w:t>Instrukcijas</w:t>
            </w:r>
            <w:r w:rsidRPr="00605636">
              <w:t xml:space="preserve"> projekts paredz, ka </w:t>
            </w:r>
            <w:r w:rsidR="00AB1FDC">
              <w:t xml:space="preserve">ministrijas </w:t>
            </w:r>
            <w:r w:rsidRPr="00605636">
              <w:t xml:space="preserve">informāciju </w:t>
            </w:r>
            <w:r w:rsidR="00E03E42">
              <w:t xml:space="preserve">par ministriju un to </w:t>
            </w:r>
            <w:r w:rsidR="00AB1FDC">
              <w:t xml:space="preserve">pakļautības un </w:t>
            </w:r>
            <w:r w:rsidR="00E03E42">
              <w:t>padotības</w:t>
            </w:r>
            <w:r w:rsidR="00AB1FDC">
              <w:t xml:space="preserve"> iestāžu atbildīgajām amatpersonām darbam a</w:t>
            </w:r>
            <w:r w:rsidR="00931393">
              <w:t>r tiešās pārvaldes iestāžu datu</w:t>
            </w:r>
            <w:r w:rsidR="00AB1FDC">
              <w:t>bāzi</w:t>
            </w:r>
            <w:r w:rsidR="00E03E42">
              <w:t xml:space="preserve"> </w:t>
            </w:r>
            <w:r w:rsidRPr="00605636">
              <w:t xml:space="preserve">Valsts kancelejai </w:t>
            </w:r>
            <w:r w:rsidR="00AB1FDC">
              <w:t>iesniedz</w:t>
            </w:r>
            <w:proofErr w:type="gramStart"/>
            <w:r w:rsidR="00AB1FDC">
              <w:t xml:space="preserve"> </w:t>
            </w:r>
            <w:r w:rsidR="00B1238F" w:rsidRPr="00DF7B23">
              <w:t xml:space="preserve"> </w:t>
            </w:r>
            <w:proofErr w:type="gramEnd"/>
            <w:r w:rsidR="00821124">
              <w:t>d</w:t>
            </w:r>
            <w:r w:rsidR="00B1238F" w:rsidRPr="00DF7B23">
              <w:t xml:space="preserve">okumentu aprites un uzdevumu kontroles </w:t>
            </w:r>
            <w:r w:rsidR="00B1238F">
              <w:t>sistēmā (DAUKS)</w:t>
            </w:r>
            <w:r w:rsidR="00AB1FDC">
              <w:t xml:space="preserve">. </w:t>
            </w:r>
            <w:r w:rsidR="00100DFD">
              <w:t xml:space="preserve">Kā arī instrukcijas projekts nosaka, ka institūcijas var izmantot </w:t>
            </w:r>
            <w:r w:rsidR="00100DFD">
              <w:rPr>
                <w:color w:val="000000"/>
                <w:shd w:val="clear" w:color="auto" w:fill="FFFFFF"/>
              </w:rPr>
              <w:t>iespējas veidot</w:t>
            </w:r>
            <w:r w:rsidR="00100DFD" w:rsidRPr="0079066C">
              <w:rPr>
                <w:color w:val="000000"/>
                <w:shd w:val="clear" w:color="auto" w:fill="FFFFFF"/>
              </w:rPr>
              <w:t xml:space="preserve"> saiti uz normatīvā akta teksta publikāciju tīmekļa vietnē </w:t>
            </w:r>
            <w:proofErr w:type="spellStart"/>
            <w:r w:rsidR="00100DFD" w:rsidRPr="0037481B">
              <w:rPr>
                <w:rStyle w:val="Hyperlink"/>
                <w:color w:val="auto"/>
                <w:u w:val="none"/>
              </w:rPr>
              <w:t>www.vestnesis.lv</w:t>
            </w:r>
            <w:proofErr w:type="spellEnd"/>
            <w:r w:rsidR="00100DFD" w:rsidRPr="0079066C">
              <w:rPr>
                <w:color w:val="000000"/>
                <w:shd w:val="clear" w:color="auto" w:fill="FFFFFF"/>
              </w:rPr>
              <w:t xml:space="preserve"> vai attiecīgā normatīvā akta sistematizēto tekstu tīmekļa vietnē </w:t>
            </w:r>
            <w:proofErr w:type="spellStart"/>
            <w:r w:rsidR="00100DFD" w:rsidRPr="0037481B">
              <w:rPr>
                <w:shd w:val="clear" w:color="auto" w:fill="FFFFFF"/>
              </w:rPr>
              <w:t>www.likumi.lv</w:t>
            </w:r>
            <w:proofErr w:type="spellEnd"/>
            <w:r w:rsidR="00100DFD" w:rsidRPr="00FF609A">
              <w:rPr>
                <w:color w:val="000000"/>
                <w:shd w:val="clear" w:color="auto" w:fill="FFFFFF"/>
              </w:rPr>
              <w:t>, tād</w:t>
            </w:r>
            <w:r w:rsidR="00821124">
              <w:rPr>
                <w:color w:val="000000"/>
                <w:shd w:val="clear" w:color="auto" w:fill="FFFFFF"/>
              </w:rPr>
              <w:t>ē</w:t>
            </w:r>
            <w:r w:rsidR="00100DFD" w:rsidRPr="00FF609A">
              <w:rPr>
                <w:color w:val="000000"/>
                <w:shd w:val="clear" w:color="auto" w:fill="FFFFFF"/>
              </w:rPr>
              <w:t xml:space="preserve">jādi nodrošinot tādas informācijas pieejamību </w:t>
            </w:r>
            <w:r w:rsidR="00FF609A">
              <w:rPr>
                <w:color w:val="000000"/>
                <w:shd w:val="clear" w:color="auto" w:fill="FFFFFF"/>
              </w:rPr>
              <w:t xml:space="preserve">tiešās pārvaldes iestāžu </w:t>
            </w:r>
            <w:r w:rsidR="00100DFD" w:rsidRPr="00FF609A">
              <w:rPr>
                <w:color w:val="000000"/>
                <w:shd w:val="clear" w:color="auto" w:fill="FFFFFF"/>
              </w:rPr>
              <w:t>datubāzē, kura jau vienreiz ir publicēta</w:t>
            </w:r>
            <w:r w:rsidR="00821124">
              <w:rPr>
                <w:color w:val="000000"/>
                <w:shd w:val="clear" w:color="auto" w:fill="FFFFFF"/>
              </w:rPr>
              <w:t>,</w:t>
            </w:r>
            <w:r w:rsidR="00FF609A">
              <w:rPr>
                <w:color w:val="000000"/>
                <w:shd w:val="clear" w:color="auto" w:fill="FFFFFF"/>
              </w:rPr>
              <w:t xml:space="preserve"> ir patiesa un aktuāla</w:t>
            </w:r>
          </w:p>
        </w:tc>
      </w:tr>
      <w:tr w:rsidR="00E944CE" w:rsidRPr="00605636" w14:paraId="0118E69C" w14:textId="77777777" w:rsidTr="00F41212">
        <w:trPr>
          <w:trHeight w:val="357"/>
        </w:trPr>
        <w:tc>
          <w:tcPr>
            <w:tcW w:w="431" w:type="dxa"/>
          </w:tcPr>
          <w:p w14:paraId="0118E699" w14:textId="77777777" w:rsidR="00E944CE" w:rsidRPr="00605636" w:rsidRDefault="00E944CE" w:rsidP="00E944CE">
            <w:pPr>
              <w:pStyle w:val="naiskr"/>
              <w:spacing w:before="0" w:after="0"/>
              <w:jc w:val="center"/>
            </w:pPr>
            <w:r w:rsidRPr="00605636">
              <w:t>6.</w:t>
            </w:r>
          </w:p>
        </w:tc>
        <w:tc>
          <w:tcPr>
            <w:tcW w:w="2693" w:type="dxa"/>
          </w:tcPr>
          <w:p w14:paraId="0118E69A" w14:textId="77777777" w:rsidR="00E944CE" w:rsidRPr="00605636" w:rsidRDefault="00E944CE" w:rsidP="00605636">
            <w:pPr>
              <w:pStyle w:val="naiskr"/>
              <w:ind w:left="57" w:right="57"/>
            </w:pPr>
            <w:r w:rsidRPr="00605636">
              <w:t>Administratīvo izmaksu monetārs novērtējums</w:t>
            </w:r>
          </w:p>
        </w:tc>
        <w:tc>
          <w:tcPr>
            <w:tcW w:w="6095" w:type="dxa"/>
          </w:tcPr>
          <w:p w14:paraId="0118E69B" w14:textId="207C82C8" w:rsidR="00E944CE" w:rsidRPr="00605636" w:rsidRDefault="00E944CE" w:rsidP="0037481B">
            <w:pPr>
              <w:pStyle w:val="naiskr"/>
              <w:ind w:left="57" w:right="57"/>
              <w:jc w:val="both"/>
            </w:pPr>
            <w:r w:rsidRPr="00605636">
              <w:t>Administratīvo izmaksu monetārs novērtējums nav veikts</w:t>
            </w:r>
          </w:p>
        </w:tc>
      </w:tr>
      <w:tr w:rsidR="00E944CE" w:rsidRPr="00605636" w14:paraId="0118E6A0" w14:textId="77777777" w:rsidTr="00F41212">
        <w:tc>
          <w:tcPr>
            <w:tcW w:w="431" w:type="dxa"/>
          </w:tcPr>
          <w:p w14:paraId="0118E69D" w14:textId="77777777" w:rsidR="00E944CE" w:rsidRPr="00605636" w:rsidRDefault="00E944CE" w:rsidP="00E944CE">
            <w:pPr>
              <w:pStyle w:val="naiskr"/>
              <w:spacing w:before="0" w:after="0"/>
              <w:jc w:val="center"/>
            </w:pPr>
            <w:r w:rsidRPr="00605636">
              <w:lastRenderedPageBreak/>
              <w:t>7.</w:t>
            </w:r>
          </w:p>
        </w:tc>
        <w:tc>
          <w:tcPr>
            <w:tcW w:w="2693" w:type="dxa"/>
          </w:tcPr>
          <w:p w14:paraId="0118E69E" w14:textId="77777777" w:rsidR="00E944CE" w:rsidRPr="00605636" w:rsidRDefault="00E944CE" w:rsidP="00605636">
            <w:pPr>
              <w:pStyle w:val="naiskr"/>
              <w:ind w:left="57" w:right="57"/>
            </w:pPr>
            <w:r w:rsidRPr="00605636">
              <w:t>Cita informācija</w:t>
            </w:r>
          </w:p>
        </w:tc>
        <w:tc>
          <w:tcPr>
            <w:tcW w:w="6095" w:type="dxa"/>
          </w:tcPr>
          <w:p w14:paraId="0118E69F" w14:textId="77777777" w:rsidR="00E944CE" w:rsidRPr="00605636" w:rsidRDefault="00E944CE" w:rsidP="00605636">
            <w:pPr>
              <w:pStyle w:val="naiskr"/>
              <w:ind w:left="57" w:right="57"/>
              <w:jc w:val="both"/>
            </w:pPr>
            <w:r w:rsidRPr="00605636">
              <w:t>Nav</w:t>
            </w:r>
          </w:p>
        </w:tc>
      </w:tr>
    </w:tbl>
    <w:p w14:paraId="0118E6A1" w14:textId="77777777" w:rsidR="005B6060" w:rsidRPr="00605636" w:rsidRDefault="005B6060" w:rsidP="009E0E56">
      <w:pPr>
        <w:spacing w:after="0" w:line="240" w:lineRule="auto"/>
        <w:rPr>
          <w:rFonts w:ascii="Times New Roman" w:hAnsi="Times New Roman"/>
          <w:sz w:val="24"/>
          <w:szCs w:val="24"/>
        </w:rPr>
      </w:pPr>
    </w:p>
    <w:p w14:paraId="0118E6A2" w14:textId="77777777" w:rsidR="009E0E56" w:rsidRPr="00605636" w:rsidRDefault="00926106" w:rsidP="00C52242">
      <w:pPr>
        <w:spacing w:after="0" w:line="240" w:lineRule="auto"/>
        <w:ind w:left="-993" w:firstLine="993"/>
        <w:rPr>
          <w:rFonts w:ascii="Times New Roman" w:hAnsi="Times New Roman"/>
          <w:sz w:val="24"/>
          <w:szCs w:val="24"/>
        </w:rPr>
      </w:pPr>
      <w:r w:rsidRPr="00605636">
        <w:rPr>
          <w:rFonts w:ascii="Times New Roman" w:hAnsi="Times New Roman"/>
          <w:sz w:val="24"/>
          <w:szCs w:val="24"/>
        </w:rPr>
        <w:t>Anotācijas III</w:t>
      </w:r>
      <w:r w:rsidR="00BE52F8" w:rsidRPr="00605636">
        <w:rPr>
          <w:rFonts w:ascii="Times New Roman" w:hAnsi="Times New Roman"/>
          <w:sz w:val="24"/>
          <w:szCs w:val="24"/>
        </w:rPr>
        <w:t>, IV, V, VI</w:t>
      </w:r>
      <w:r w:rsidRPr="00605636">
        <w:rPr>
          <w:rFonts w:ascii="Times New Roman" w:hAnsi="Times New Roman"/>
          <w:sz w:val="24"/>
          <w:szCs w:val="24"/>
        </w:rPr>
        <w:t xml:space="preserve"> </w:t>
      </w:r>
      <w:r w:rsidR="009E0E56" w:rsidRPr="00605636">
        <w:rPr>
          <w:rFonts w:ascii="Times New Roman" w:hAnsi="Times New Roman"/>
          <w:sz w:val="24"/>
          <w:szCs w:val="24"/>
        </w:rPr>
        <w:t xml:space="preserve">sadaļa – </w:t>
      </w:r>
      <w:r w:rsidR="006B65D4" w:rsidRPr="00605636">
        <w:rPr>
          <w:rFonts w:ascii="Times New Roman" w:hAnsi="Times New Roman"/>
          <w:sz w:val="24"/>
          <w:szCs w:val="24"/>
        </w:rPr>
        <w:t>projekts šo jomu neskar</w:t>
      </w:r>
      <w:r w:rsidR="009E0E56" w:rsidRPr="00605636">
        <w:rPr>
          <w:rFonts w:ascii="Times New Roman" w:hAnsi="Times New Roman"/>
          <w:sz w:val="24"/>
          <w:szCs w:val="24"/>
        </w:rPr>
        <w:t>.</w:t>
      </w:r>
    </w:p>
    <w:p w14:paraId="0118E6A3" w14:textId="77777777" w:rsidR="00E944CE" w:rsidRPr="00605636" w:rsidRDefault="00E944CE" w:rsidP="00C52242">
      <w:pPr>
        <w:spacing w:after="0" w:line="240" w:lineRule="auto"/>
        <w:ind w:left="-993" w:firstLine="993"/>
        <w:rPr>
          <w:rFonts w:ascii="Times New Roman" w:hAnsi="Times New Roman"/>
          <w:sz w:val="24"/>
          <w:szCs w:val="24"/>
        </w:rPr>
      </w:pPr>
    </w:p>
    <w:tbl>
      <w:tblPr>
        <w:tblW w:w="9364"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9"/>
        <w:gridCol w:w="3686"/>
        <w:gridCol w:w="5199"/>
      </w:tblGrid>
      <w:tr w:rsidR="00E944CE" w:rsidRPr="00605636" w14:paraId="0118E6A5" w14:textId="77777777" w:rsidTr="006A62C4">
        <w:trPr>
          <w:trHeight w:val="427"/>
          <w:jc w:val="center"/>
        </w:trPr>
        <w:tc>
          <w:tcPr>
            <w:tcW w:w="9364" w:type="dxa"/>
            <w:gridSpan w:val="3"/>
          </w:tcPr>
          <w:p w14:paraId="0118E6A4" w14:textId="77777777" w:rsidR="00E944CE" w:rsidRPr="00605636" w:rsidRDefault="00E944CE" w:rsidP="00E944CE">
            <w:pPr>
              <w:pStyle w:val="naisnod"/>
              <w:spacing w:before="0" w:after="0"/>
              <w:ind w:left="57" w:right="57"/>
              <w:jc w:val="center"/>
            </w:pPr>
            <w:r w:rsidRPr="00605636">
              <w:rPr>
                <w:b/>
              </w:rPr>
              <w:t>VII. Tiesību akta projekta izpildes nodrošināšana un tās ietekme uz institūcijām</w:t>
            </w:r>
          </w:p>
        </w:tc>
      </w:tr>
      <w:tr w:rsidR="00974E88" w:rsidRPr="00605636" w14:paraId="0118E6A9" w14:textId="77777777" w:rsidTr="00605636">
        <w:trPr>
          <w:trHeight w:val="427"/>
          <w:jc w:val="center"/>
        </w:trPr>
        <w:tc>
          <w:tcPr>
            <w:tcW w:w="479" w:type="dxa"/>
          </w:tcPr>
          <w:p w14:paraId="0118E6A6" w14:textId="77777777" w:rsidR="00974E88" w:rsidRPr="00605636" w:rsidRDefault="00974E88" w:rsidP="006A62C4">
            <w:pPr>
              <w:pStyle w:val="naisnod"/>
              <w:spacing w:before="0" w:after="0"/>
              <w:ind w:left="57" w:right="57"/>
            </w:pPr>
            <w:r w:rsidRPr="00605636">
              <w:t>1.</w:t>
            </w:r>
          </w:p>
        </w:tc>
        <w:tc>
          <w:tcPr>
            <w:tcW w:w="3686" w:type="dxa"/>
          </w:tcPr>
          <w:p w14:paraId="0118E6A7" w14:textId="77777777" w:rsidR="00974E88" w:rsidRPr="00605636" w:rsidRDefault="00974E88" w:rsidP="00605636">
            <w:pPr>
              <w:pStyle w:val="naisf"/>
              <w:spacing w:before="0" w:after="0"/>
              <w:ind w:left="57" w:right="57" w:firstLine="0"/>
              <w:jc w:val="left"/>
            </w:pPr>
            <w:r w:rsidRPr="00605636">
              <w:t xml:space="preserve">Projekta izpildē iesaistītās institūcijas </w:t>
            </w:r>
          </w:p>
        </w:tc>
        <w:tc>
          <w:tcPr>
            <w:tcW w:w="5199" w:type="dxa"/>
          </w:tcPr>
          <w:p w14:paraId="0118E6A8" w14:textId="77777777" w:rsidR="00974E88" w:rsidRPr="00605636" w:rsidRDefault="00974E88" w:rsidP="00605636">
            <w:pPr>
              <w:pStyle w:val="naisnod"/>
              <w:spacing w:before="0" w:after="0"/>
              <w:ind w:left="57" w:right="57"/>
            </w:pPr>
            <w:r w:rsidRPr="00605636">
              <w:t>Valsts tiešās pārvaldes iestādes</w:t>
            </w:r>
          </w:p>
        </w:tc>
      </w:tr>
      <w:tr w:rsidR="00974E88" w:rsidRPr="00605636" w14:paraId="0118E6AD" w14:textId="77777777" w:rsidTr="00605636">
        <w:trPr>
          <w:trHeight w:val="463"/>
          <w:jc w:val="center"/>
        </w:trPr>
        <w:tc>
          <w:tcPr>
            <w:tcW w:w="479" w:type="dxa"/>
          </w:tcPr>
          <w:p w14:paraId="0118E6AA" w14:textId="77777777" w:rsidR="00974E88" w:rsidRPr="00605636" w:rsidRDefault="00974E88" w:rsidP="006A62C4">
            <w:pPr>
              <w:pStyle w:val="naisnod"/>
              <w:spacing w:before="0" w:after="0"/>
              <w:ind w:left="57" w:right="57"/>
            </w:pPr>
            <w:r w:rsidRPr="00605636">
              <w:t>2.</w:t>
            </w:r>
          </w:p>
        </w:tc>
        <w:tc>
          <w:tcPr>
            <w:tcW w:w="3686" w:type="dxa"/>
          </w:tcPr>
          <w:p w14:paraId="0118E6AB" w14:textId="77777777" w:rsidR="00974E88" w:rsidRPr="00605636" w:rsidRDefault="00974E88" w:rsidP="00605636">
            <w:pPr>
              <w:pStyle w:val="naisf"/>
              <w:spacing w:before="0" w:after="0"/>
              <w:ind w:left="57" w:right="57" w:firstLine="0"/>
              <w:jc w:val="left"/>
            </w:pPr>
            <w:r w:rsidRPr="00605636">
              <w:t xml:space="preserve">Projekta izpildes ietekme uz pārvaldes funkcijām </w:t>
            </w:r>
          </w:p>
        </w:tc>
        <w:tc>
          <w:tcPr>
            <w:tcW w:w="5199" w:type="dxa"/>
          </w:tcPr>
          <w:p w14:paraId="0118E6AC" w14:textId="77777777" w:rsidR="00974E88" w:rsidRPr="00605636" w:rsidRDefault="009B4C4B" w:rsidP="00605636">
            <w:pPr>
              <w:pStyle w:val="naisnod"/>
              <w:spacing w:before="0" w:after="0"/>
              <w:ind w:left="57" w:right="57"/>
              <w:jc w:val="both"/>
            </w:pPr>
            <w:r>
              <w:rPr>
                <w:color w:val="000000"/>
              </w:rPr>
              <w:t>Instrukcijas projekta</w:t>
            </w:r>
            <w:r w:rsidR="00974E88" w:rsidRPr="00605636">
              <w:rPr>
                <w:color w:val="000000"/>
              </w:rPr>
              <w:t xml:space="preserve"> izpilde tiks nodrošināta anotācijas VII sadaļas 1.punktā minēto institūciju līdzšinējo funkciju ietvaros</w:t>
            </w:r>
          </w:p>
        </w:tc>
      </w:tr>
      <w:tr w:rsidR="00974E88" w:rsidRPr="00605636" w14:paraId="0118E6B2" w14:textId="77777777" w:rsidTr="00605636">
        <w:trPr>
          <w:trHeight w:val="725"/>
          <w:jc w:val="center"/>
        </w:trPr>
        <w:tc>
          <w:tcPr>
            <w:tcW w:w="479" w:type="dxa"/>
          </w:tcPr>
          <w:p w14:paraId="0118E6AE" w14:textId="77777777" w:rsidR="00974E88" w:rsidRPr="00605636" w:rsidRDefault="00974E88" w:rsidP="006A62C4">
            <w:pPr>
              <w:pStyle w:val="naisnod"/>
              <w:spacing w:before="0" w:after="0"/>
              <w:ind w:left="57" w:right="57"/>
            </w:pPr>
            <w:r w:rsidRPr="00605636">
              <w:t>3.</w:t>
            </w:r>
          </w:p>
        </w:tc>
        <w:tc>
          <w:tcPr>
            <w:tcW w:w="3686" w:type="dxa"/>
          </w:tcPr>
          <w:p w14:paraId="0118E6AF" w14:textId="77777777" w:rsidR="00974E88" w:rsidRPr="00605636" w:rsidRDefault="00974E88" w:rsidP="00605636">
            <w:pPr>
              <w:pStyle w:val="naisf"/>
              <w:spacing w:before="0" w:after="0"/>
              <w:ind w:left="57" w:right="57" w:firstLine="0"/>
              <w:jc w:val="left"/>
            </w:pPr>
            <w:r w:rsidRPr="00605636">
              <w:t>Projekta izpildes ietekme uz pārvaldes institucionālo struktūru.</w:t>
            </w:r>
          </w:p>
          <w:p w14:paraId="0118E6B0" w14:textId="77777777" w:rsidR="00974E88" w:rsidRPr="00605636" w:rsidRDefault="00974E88" w:rsidP="00605636">
            <w:pPr>
              <w:pStyle w:val="naisf"/>
              <w:spacing w:before="0" w:after="0"/>
              <w:ind w:left="57" w:right="57" w:firstLine="0"/>
              <w:jc w:val="left"/>
            </w:pPr>
            <w:r w:rsidRPr="00605636">
              <w:t>Jaunu institūciju izveide</w:t>
            </w:r>
          </w:p>
        </w:tc>
        <w:tc>
          <w:tcPr>
            <w:tcW w:w="5199" w:type="dxa"/>
          </w:tcPr>
          <w:p w14:paraId="0118E6B1" w14:textId="77777777" w:rsidR="00974E88" w:rsidRPr="00605636" w:rsidRDefault="00974E88" w:rsidP="00605636">
            <w:pPr>
              <w:pStyle w:val="naisnod"/>
              <w:spacing w:before="0" w:after="0"/>
              <w:ind w:left="57" w:right="57"/>
              <w:jc w:val="both"/>
            </w:pPr>
            <w:r w:rsidRPr="00605636">
              <w:t>Instrukcijas projekts šo jomu neskar</w:t>
            </w:r>
          </w:p>
        </w:tc>
      </w:tr>
      <w:tr w:rsidR="00974E88" w:rsidRPr="00605636" w14:paraId="0118E6B7" w14:textId="77777777" w:rsidTr="00605636">
        <w:trPr>
          <w:trHeight w:val="780"/>
          <w:jc w:val="center"/>
        </w:trPr>
        <w:tc>
          <w:tcPr>
            <w:tcW w:w="479" w:type="dxa"/>
          </w:tcPr>
          <w:p w14:paraId="0118E6B3" w14:textId="77777777" w:rsidR="00974E88" w:rsidRPr="00605636" w:rsidRDefault="00974E88" w:rsidP="006A62C4">
            <w:pPr>
              <w:pStyle w:val="naisnod"/>
              <w:spacing w:before="0" w:after="0"/>
              <w:ind w:left="57" w:right="57"/>
            </w:pPr>
            <w:r w:rsidRPr="00605636">
              <w:t>4.</w:t>
            </w:r>
          </w:p>
        </w:tc>
        <w:tc>
          <w:tcPr>
            <w:tcW w:w="3686" w:type="dxa"/>
          </w:tcPr>
          <w:p w14:paraId="0118E6B4" w14:textId="77777777" w:rsidR="00974E88" w:rsidRPr="00605636" w:rsidRDefault="00974E88" w:rsidP="00605636">
            <w:pPr>
              <w:pStyle w:val="naisf"/>
              <w:spacing w:before="0" w:after="0"/>
              <w:ind w:left="57" w:right="57" w:firstLine="0"/>
              <w:jc w:val="left"/>
            </w:pPr>
            <w:r w:rsidRPr="00605636">
              <w:t>Projekta izpildes ietekme uz pārvaldes institucionālo struktūru.</w:t>
            </w:r>
          </w:p>
          <w:p w14:paraId="0118E6B5" w14:textId="77777777" w:rsidR="00974E88" w:rsidRPr="00605636" w:rsidRDefault="00974E88" w:rsidP="00605636">
            <w:pPr>
              <w:pStyle w:val="naisf"/>
              <w:spacing w:before="0" w:after="0"/>
              <w:ind w:left="57" w:right="57" w:firstLine="0"/>
              <w:jc w:val="left"/>
            </w:pPr>
            <w:r w:rsidRPr="00605636">
              <w:t>Esošu institūciju likvidācija</w:t>
            </w:r>
          </w:p>
        </w:tc>
        <w:tc>
          <w:tcPr>
            <w:tcW w:w="5199" w:type="dxa"/>
          </w:tcPr>
          <w:p w14:paraId="0118E6B6" w14:textId="77777777" w:rsidR="00974E88" w:rsidRPr="00605636" w:rsidRDefault="00974E88" w:rsidP="00605636">
            <w:pPr>
              <w:pStyle w:val="naisnod"/>
              <w:spacing w:before="0" w:after="0"/>
              <w:ind w:left="57" w:right="57"/>
            </w:pPr>
            <w:r w:rsidRPr="00605636">
              <w:t>Instrukcijas projekts šo jomu neskar</w:t>
            </w:r>
          </w:p>
        </w:tc>
      </w:tr>
      <w:tr w:rsidR="00974E88" w:rsidRPr="00605636" w14:paraId="0118E6BC" w14:textId="77777777" w:rsidTr="00605636">
        <w:trPr>
          <w:trHeight w:val="703"/>
          <w:jc w:val="center"/>
        </w:trPr>
        <w:tc>
          <w:tcPr>
            <w:tcW w:w="479" w:type="dxa"/>
          </w:tcPr>
          <w:p w14:paraId="0118E6B8" w14:textId="77777777" w:rsidR="00974E88" w:rsidRPr="00605636" w:rsidRDefault="00974E88" w:rsidP="006A62C4">
            <w:pPr>
              <w:pStyle w:val="naisnod"/>
              <w:spacing w:before="0" w:after="0"/>
              <w:ind w:left="57" w:right="57"/>
            </w:pPr>
            <w:r w:rsidRPr="00605636">
              <w:t>5.</w:t>
            </w:r>
          </w:p>
        </w:tc>
        <w:tc>
          <w:tcPr>
            <w:tcW w:w="3686" w:type="dxa"/>
          </w:tcPr>
          <w:p w14:paraId="0118E6B9" w14:textId="77777777" w:rsidR="00974E88" w:rsidRPr="00605636" w:rsidRDefault="00974E88" w:rsidP="00605636">
            <w:pPr>
              <w:pStyle w:val="naisf"/>
              <w:spacing w:before="0" w:after="0"/>
              <w:ind w:left="57" w:right="57" w:firstLine="0"/>
              <w:jc w:val="left"/>
            </w:pPr>
            <w:r w:rsidRPr="00605636">
              <w:t>Projekta izpildes ietekme uz pārvaldes institucionālo struktūru.</w:t>
            </w:r>
          </w:p>
          <w:p w14:paraId="0118E6BA" w14:textId="77777777" w:rsidR="00974E88" w:rsidRPr="00605636" w:rsidRDefault="00974E88" w:rsidP="00605636">
            <w:pPr>
              <w:pStyle w:val="naisf"/>
              <w:spacing w:before="0" w:after="0"/>
              <w:ind w:left="57" w:right="57" w:firstLine="0"/>
              <w:jc w:val="left"/>
            </w:pPr>
            <w:r w:rsidRPr="00605636">
              <w:t>Esošu institūciju reorganizācija</w:t>
            </w:r>
          </w:p>
        </w:tc>
        <w:tc>
          <w:tcPr>
            <w:tcW w:w="5199" w:type="dxa"/>
          </w:tcPr>
          <w:p w14:paraId="0118E6BB" w14:textId="77777777" w:rsidR="00974E88" w:rsidRPr="00605636" w:rsidRDefault="00974E88" w:rsidP="00605636">
            <w:pPr>
              <w:pStyle w:val="naisnod"/>
              <w:spacing w:before="0" w:after="0"/>
              <w:ind w:left="57" w:right="57"/>
            </w:pPr>
            <w:r w:rsidRPr="00605636">
              <w:t>Instrukcijas projekts šo jomu neskar</w:t>
            </w:r>
          </w:p>
        </w:tc>
      </w:tr>
      <w:tr w:rsidR="00974E88" w:rsidRPr="00605636" w14:paraId="0118E6C0" w14:textId="77777777" w:rsidTr="00605636">
        <w:trPr>
          <w:trHeight w:val="402"/>
          <w:jc w:val="center"/>
        </w:trPr>
        <w:tc>
          <w:tcPr>
            <w:tcW w:w="479" w:type="dxa"/>
            <w:tcBorders>
              <w:top w:val="single" w:sz="4" w:space="0" w:color="auto"/>
              <w:left w:val="single" w:sz="4" w:space="0" w:color="auto"/>
              <w:bottom w:val="single" w:sz="4" w:space="0" w:color="auto"/>
              <w:right w:val="single" w:sz="4" w:space="0" w:color="auto"/>
            </w:tcBorders>
          </w:tcPr>
          <w:p w14:paraId="0118E6BD" w14:textId="77777777" w:rsidR="00974E88" w:rsidRPr="00605636" w:rsidRDefault="00974E88" w:rsidP="00974E88">
            <w:pPr>
              <w:pStyle w:val="naisnod"/>
            </w:pPr>
            <w:r w:rsidRPr="00605636">
              <w:t>6.</w:t>
            </w:r>
          </w:p>
        </w:tc>
        <w:tc>
          <w:tcPr>
            <w:tcW w:w="3686" w:type="dxa"/>
            <w:tcBorders>
              <w:top w:val="single" w:sz="4" w:space="0" w:color="auto"/>
              <w:left w:val="single" w:sz="4" w:space="0" w:color="auto"/>
              <w:bottom w:val="single" w:sz="4" w:space="0" w:color="auto"/>
              <w:right w:val="single" w:sz="4" w:space="0" w:color="auto"/>
            </w:tcBorders>
          </w:tcPr>
          <w:p w14:paraId="0118E6BE" w14:textId="77777777" w:rsidR="00974E88" w:rsidRPr="00605636" w:rsidRDefault="00974E88" w:rsidP="00605636">
            <w:pPr>
              <w:pStyle w:val="naisf"/>
              <w:ind w:left="57" w:right="57" w:firstLine="0"/>
            </w:pPr>
            <w:r w:rsidRPr="00605636">
              <w:t>Cita informācija</w:t>
            </w:r>
          </w:p>
        </w:tc>
        <w:tc>
          <w:tcPr>
            <w:tcW w:w="5199" w:type="dxa"/>
            <w:tcBorders>
              <w:top w:val="single" w:sz="4" w:space="0" w:color="auto"/>
              <w:left w:val="single" w:sz="4" w:space="0" w:color="auto"/>
              <w:bottom w:val="single" w:sz="4" w:space="0" w:color="auto"/>
              <w:right w:val="single" w:sz="4" w:space="0" w:color="auto"/>
            </w:tcBorders>
          </w:tcPr>
          <w:p w14:paraId="0118E6BF" w14:textId="77777777" w:rsidR="00974E88" w:rsidRPr="00605636" w:rsidRDefault="00974E88" w:rsidP="00605636">
            <w:pPr>
              <w:pStyle w:val="naisnod"/>
              <w:ind w:left="57" w:right="57"/>
            </w:pPr>
            <w:r w:rsidRPr="00605636">
              <w:t>Nav</w:t>
            </w:r>
          </w:p>
        </w:tc>
      </w:tr>
    </w:tbl>
    <w:p w14:paraId="0118E6C1" w14:textId="77777777" w:rsidR="005F6326" w:rsidRPr="00605636" w:rsidRDefault="005F6326" w:rsidP="003C7568">
      <w:pPr>
        <w:pStyle w:val="naisf"/>
        <w:spacing w:before="0" w:after="0"/>
        <w:ind w:firstLine="0"/>
      </w:pPr>
    </w:p>
    <w:p w14:paraId="0118E6C2" w14:textId="77777777" w:rsidR="005F6326" w:rsidRDefault="005F6326" w:rsidP="003C7568">
      <w:pPr>
        <w:pStyle w:val="naisf"/>
        <w:spacing w:before="0" w:after="0"/>
        <w:ind w:firstLine="0"/>
      </w:pPr>
    </w:p>
    <w:p w14:paraId="0118E6C3" w14:textId="77777777" w:rsidR="00D643EC" w:rsidRPr="00605636" w:rsidRDefault="00D643EC" w:rsidP="003C7568">
      <w:pPr>
        <w:pStyle w:val="naisf"/>
        <w:spacing w:before="0" w:after="0"/>
        <w:ind w:firstLine="0"/>
      </w:pPr>
    </w:p>
    <w:p w14:paraId="0118E6C4" w14:textId="77777777" w:rsidR="00AB4525" w:rsidRPr="00435E4A" w:rsidRDefault="005B6060" w:rsidP="00D643EC">
      <w:pPr>
        <w:tabs>
          <w:tab w:val="left" w:pos="6840"/>
        </w:tabs>
        <w:spacing w:after="0" w:line="240" w:lineRule="auto"/>
        <w:ind w:firstLine="720"/>
        <w:rPr>
          <w:rFonts w:ascii="Times New Roman" w:hAnsi="Times New Roman"/>
          <w:sz w:val="28"/>
          <w:szCs w:val="24"/>
        </w:rPr>
      </w:pPr>
      <w:r w:rsidRPr="00435E4A">
        <w:rPr>
          <w:rFonts w:ascii="Times New Roman" w:hAnsi="Times New Roman"/>
          <w:sz w:val="28"/>
          <w:szCs w:val="24"/>
        </w:rPr>
        <w:t>Ministru prezidents</w:t>
      </w:r>
      <w:r w:rsidRPr="00435E4A">
        <w:rPr>
          <w:rFonts w:ascii="Times New Roman" w:hAnsi="Times New Roman"/>
          <w:sz w:val="28"/>
          <w:szCs w:val="24"/>
        </w:rPr>
        <w:tab/>
        <w:t>V.Dombrovskis</w:t>
      </w:r>
    </w:p>
    <w:p w14:paraId="0118E6C5" w14:textId="77777777" w:rsidR="00D643EC" w:rsidRPr="00435E4A" w:rsidRDefault="00D643EC" w:rsidP="00D643EC">
      <w:pPr>
        <w:tabs>
          <w:tab w:val="left" w:pos="6840"/>
        </w:tabs>
        <w:spacing w:after="0" w:line="240" w:lineRule="auto"/>
        <w:ind w:firstLine="720"/>
        <w:rPr>
          <w:rFonts w:ascii="Times New Roman" w:hAnsi="Times New Roman"/>
          <w:sz w:val="28"/>
          <w:szCs w:val="24"/>
        </w:rPr>
      </w:pPr>
    </w:p>
    <w:p w14:paraId="0118E6C6" w14:textId="77777777" w:rsidR="003921D9" w:rsidRPr="00435E4A" w:rsidRDefault="003921D9" w:rsidP="00D643EC">
      <w:pPr>
        <w:tabs>
          <w:tab w:val="left" w:pos="6840"/>
        </w:tabs>
        <w:spacing w:after="0" w:line="240" w:lineRule="auto"/>
        <w:ind w:firstLine="720"/>
        <w:rPr>
          <w:rFonts w:ascii="Times New Roman" w:hAnsi="Times New Roman"/>
          <w:sz w:val="28"/>
          <w:szCs w:val="24"/>
        </w:rPr>
      </w:pPr>
    </w:p>
    <w:p w14:paraId="0118E6C7" w14:textId="77777777" w:rsidR="00D643EC" w:rsidRPr="00435E4A" w:rsidRDefault="00D643EC" w:rsidP="00D643EC">
      <w:pPr>
        <w:tabs>
          <w:tab w:val="left" w:pos="6840"/>
        </w:tabs>
        <w:spacing w:after="0" w:line="240" w:lineRule="auto"/>
        <w:ind w:firstLine="720"/>
        <w:rPr>
          <w:rFonts w:ascii="Times New Roman" w:hAnsi="Times New Roman"/>
          <w:sz w:val="28"/>
          <w:szCs w:val="24"/>
        </w:rPr>
      </w:pPr>
    </w:p>
    <w:p w14:paraId="0118E6C8" w14:textId="77777777" w:rsidR="005B6060" w:rsidRPr="00435E4A" w:rsidRDefault="005B6060" w:rsidP="005B6060">
      <w:pPr>
        <w:tabs>
          <w:tab w:val="left" w:pos="6840"/>
        </w:tabs>
        <w:spacing w:after="0"/>
        <w:ind w:firstLine="720"/>
        <w:rPr>
          <w:rFonts w:ascii="Times New Roman" w:hAnsi="Times New Roman"/>
          <w:sz w:val="28"/>
          <w:szCs w:val="24"/>
        </w:rPr>
      </w:pPr>
      <w:r w:rsidRPr="00435E4A">
        <w:rPr>
          <w:rFonts w:ascii="Times New Roman" w:hAnsi="Times New Roman"/>
          <w:sz w:val="28"/>
          <w:szCs w:val="24"/>
        </w:rPr>
        <w:t>Iesniedzējs:</w:t>
      </w:r>
    </w:p>
    <w:p w14:paraId="0118E6C9" w14:textId="7A9C0B89" w:rsidR="005B6060" w:rsidRPr="00435E4A" w:rsidRDefault="00E26E10" w:rsidP="00E26E10">
      <w:pPr>
        <w:tabs>
          <w:tab w:val="left" w:pos="6840"/>
        </w:tabs>
        <w:spacing w:after="0" w:line="240" w:lineRule="auto"/>
        <w:ind w:firstLine="720"/>
        <w:rPr>
          <w:rFonts w:ascii="Times New Roman" w:hAnsi="Times New Roman"/>
          <w:sz w:val="28"/>
          <w:szCs w:val="24"/>
        </w:rPr>
      </w:pPr>
      <w:r w:rsidRPr="00435E4A">
        <w:rPr>
          <w:rFonts w:ascii="Times New Roman" w:hAnsi="Times New Roman"/>
          <w:sz w:val="28"/>
          <w:szCs w:val="24"/>
        </w:rPr>
        <w:t>Ministru prezidents</w:t>
      </w:r>
      <w:r w:rsidR="005B6060" w:rsidRPr="00435E4A">
        <w:rPr>
          <w:rFonts w:ascii="Times New Roman" w:hAnsi="Times New Roman"/>
          <w:sz w:val="28"/>
          <w:szCs w:val="24"/>
          <w:u w:val="single"/>
        </w:rPr>
        <w:tab/>
      </w:r>
      <w:r w:rsidR="005B6060" w:rsidRPr="00435E4A">
        <w:rPr>
          <w:rFonts w:ascii="Times New Roman" w:hAnsi="Times New Roman"/>
          <w:sz w:val="28"/>
          <w:szCs w:val="24"/>
        </w:rPr>
        <w:t>V.Dombrovskis</w:t>
      </w:r>
    </w:p>
    <w:p w14:paraId="0118E6CA" w14:textId="77777777" w:rsidR="007C09C3" w:rsidRPr="00435E4A" w:rsidRDefault="007C09C3" w:rsidP="00435E4A">
      <w:pPr>
        <w:tabs>
          <w:tab w:val="left" w:pos="6840"/>
        </w:tabs>
        <w:spacing w:after="0" w:line="240" w:lineRule="auto"/>
        <w:ind w:firstLine="720"/>
        <w:rPr>
          <w:rFonts w:ascii="Times New Roman" w:hAnsi="Times New Roman"/>
          <w:sz w:val="28"/>
          <w:szCs w:val="24"/>
        </w:rPr>
      </w:pPr>
    </w:p>
    <w:p w14:paraId="0118E6CB" w14:textId="77777777" w:rsidR="003921D9" w:rsidRPr="00435E4A" w:rsidRDefault="003921D9" w:rsidP="00435E4A">
      <w:pPr>
        <w:tabs>
          <w:tab w:val="left" w:pos="6840"/>
        </w:tabs>
        <w:spacing w:after="0" w:line="240" w:lineRule="auto"/>
        <w:ind w:firstLine="720"/>
        <w:rPr>
          <w:rFonts w:ascii="Times New Roman" w:hAnsi="Times New Roman"/>
          <w:sz w:val="28"/>
          <w:szCs w:val="24"/>
        </w:rPr>
      </w:pPr>
    </w:p>
    <w:p w14:paraId="0118E6CC" w14:textId="77777777" w:rsidR="005B6060" w:rsidRPr="00435E4A" w:rsidRDefault="005B6060" w:rsidP="00435E4A">
      <w:pPr>
        <w:tabs>
          <w:tab w:val="left" w:pos="6840"/>
        </w:tabs>
        <w:spacing w:after="0" w:line="240" w:lineRule="auto"/>
        <w:ind w:firstLine="720"/>
        <w:rPr>
          <w:rFonts w:ascii="Times New Roman" w:hAnsi="Times New Roman"/>
          <w:sz w:val="28"/>
          <w:szCs w:val="24"/>
        </w:rPr>
      </w:pPr>
      <w:r w:rsidRPr="00435E4A">
        <w:rPr>
          <w:rFonts w:ascii="Times New Roman" w:hAnsi="Times New Roman"/>
          <w:sz w:val="28"/>
          <w:szCs w:val="24"/>
        </w:rPr>
        <w:t>Vizē:</w:t>
      </w:r>
    </w:p>
    <w:p w14:paraId="0118E6CD" w14:textId="1A5C1AAE" w:rsidR="005F6326" w:rsidRPr="00435E4A" w:rsidRDefault="00877511" w:rsidP="00435E4A">
      <w:pPr>
        <w:tabs>
          <w:tab w:val="left" w:pos="6840"/>
        </w:tabs>
        <w:spacing w:after="0" w:line="240" w:lineRule="auto"/>
        <w:ind w:firstLine="720"/>
        <w:rPr>
          <w:rFonts w:ascii="Times New Roman" w:hAnsi="Times New Roman"/>
          <w:sz w:val="28"/>
          <w:szCs w:val="24"/>
        </w:rPr>
      </w:pPr>
      <w:r w:rsidRPr="00435E4A">
        <w:rPr>
          <w:rFonts w:ascii="Times New Roman" w:hAnsi="Times New Roman"/>
          <w:sz w:val="28"/>
          <w:szCs w:val="24"/>
        </w:rPr>
        <w:t>Valsts kanc</w:t>
      </w:r>
      <w:r w:rsidR="00AB4525" w:rsidRPr="00435E4A">
        <w:rPr>
          <w:rFonts w:ascii="Times New Roman" w:hAnsi="Times New Roman"/>
          <w:sz w:val="28"/>
          <w:szCs w:val="24"/>
        </w:rPr>
        <w:t>elejas direktor</w:t>
      </w:r>
      <w:r w:rsidRPr="00435E4A">
        <w:rPr>
          <w:rFonts w:ascii="Times New Roman" w:hAnsi="Times New Roman"/>
          <w:sz w:val="28"/>
          <w:szCs w:val="24"/>
        </w:rPr>
        <w:t xml:space="preserve">e </w:t>
      </w:r>
      <w:r w:rsidR="00435E4A" w:rsidRPr="00435E4A">
        <w:rPr>
          <w:rFonts w:ascii="Times New Roman" w:hAnsi="Times New Roman"/>
          <w:sz w:val="28"/>
          <w:szCs w:val="24"/>
          <w:u w:val="single"/>
        </w:rPr>
        <w:tab/>
      </w:r>
      <w:r w:rsidR="00AB4525" w:rsidRPr="00435E4A">
        <w:rPr>
          <w:rFonts w:ascii="Times New Roman" w:hAnsi="Times New Roman"/>
          <w:sz w:val="28"/>
          <w:szCs w:val="24"/>
        </w:rPr>
        <w:t>E.Dreimane</w:t>
      </w:r>
    </w:p>
    <w:p w14:paraId="0118E6D2" w14:textId="77777777" w:rsidR="003921D9" w:rsidRDefault="003921D9" w:rsidP="000303BB">
      <w:pPr>
        <w:spacing w:after="0" w:line="240" w:lineRule="auto"/>
        <w:jc w:val="both"/>
        <w:rPr>
          <w:rFonts w:ascii="Times New Roman" w:hAnsi="Times New Roman"/>
        </w:rPr>
      </w:pPr>
    </w:p>
    <w:p w14:paraId="0118E6D3" w14:textId="77777777" w:rsidR="0078377F" w:rsidRDefault="0078377F" w:rsidP="000303BB">
      <w:pPr>
        <w:spacing w:after="0" w:line="240" w:lineRule="auto"/>
        <w:jc w:val="both"/>
        <w:rPr>
          <w:rFonts w:ascii="Times New Roman" w:hAnsi="Times New Roman"/>
        </w:rPr>
      </w:pPr>
    </w:p>
    <w:p w14:paraId="0118E6D4" w14:textId="77777777" w:rsidR="005B6060" w:rsidRDefault="0078377F" w:rsidP="00435E4A">
      <w:pPr>
        <w:spacing w:after="0" w:line="240" w:lineRule="auto"/>
        <w:ind w:firstLine="709"/>
        <w:jc w:val="both"/>
        <w:rPr>
          <w:rFonts w:ascii="Times New Roman" w:hAnsi="Times New Roman"/>
        </w:rPr>
      </w:pPr>
      <w:r>
        <w:rPr>
          <w:rFonts w:ascii="Times New Roman" w:hAnsi="Times New Roman"/>
        </w:rPr>
        <w:t>22</w:t>
      </w:r>
      <w:r w:rsidR="00B1238F">
        <w:rPr>
          <w:rFonts w:ascii="Times New Roman" w:hAnsi="Times New Roman"/>
        </w:rPr>
        <w:t>.06</w:t>
      </w:r>
      <w:r w:rsidR="00AB4525">
        <w:rPr>
          <w:rFonts w:ascii="Times New Roman" w:hAnsi="Times New Roman"/>
        </w:rPr>
        <w:t>.2012</w:t>
      </w:r>
      <w:r w:rsidR="009C392A">
        <w:rPr>
          <w:rFonts w:ascii="Times New Roman" w:hAnsi="Times New Roman"/>
        </w:rPr>
        <w:t xml:space="preserve"> </w:t>
      </w:r>
      <w:r>
        <w:rPr>
          <w:rFonts w:ascii="Times New Roman" w:hAnsi="Times New Roman"/>
        </w:rPr>
        <w:t>12:43</w:t>
      </w:r>
    </w:p>
    <w:p w14:paraId="0118E6D5" w14:textId="1546395D" w:rsidR="000560D0" w:rsidRPr="005B6060" w:rsidRDefault="0078377F" w:rsidP="00435E4A">
      <w:pPr>
        <w:spacing w:after="0" w:line="240" w:lineRule="auto"/>
        <w:ind w:firstLine="709"/>
        <w:jc w:val="both"/>
        <w:rPr>
          <w:rFonts w:ascii="Times New Roman" w:hAnsi="Times New Roman"/>
        </w:rPr>
      </w:pPr>
      <w:r>
        <w:rPr>
          <w:rFonts w:ascii="Times New Roman" w:hAnsi="Times New Roman"/>
        </w:rPr>
        <w:t>1</w:t>
      </w:r>
      <w:r w:rsidR="0037481B">
        <w:rPr>
          <w:rFonts w:ascii="Times New Roman" w:hAnsi="Times New Roman"/>
        </w:rPr>
        <w:t>4</w:t>
      </w:r>
      <w:r>
        <w:rPr>
          <w:rFonts w:ascii="Times New Roman" w:hAnsi="Times New Roman"/>
        </w:rPr>
        <w:t>4</w:t>
      </w:r>
      <w:r w:rsidR="0037481B">
        <w:rPr>
          <w:rFonts w:ascii="Times New Roman" w:hAnsi="Times New Roman"/>
        </w:rPr>
        <w:t>7</w:t>
      </w:r>
    </w:p>
    <w:p w14:paraId="0118E6D6" w14:textId="0FCD1235" w:rsidR="005B6060" w:rsidRPr="005B6060" w:rsidRDefault="000303BB" w:rsidP="00435E4A">
      <w:pPr>
        <w:spacing w:after="0" w:line="240" w:lineRule="auto"/>
        <w:ind w:firstLine="709"/>
        <w:jc w:val="both"/>
        <w:rPr>
          <w:rFonts w:ascii="Times New Roman" w:hAnsi="Times New Roman"/>
        </w:rPr>
      </w:pPr>
      <w:r>
        <w:rPr>
          <w:rFonts w:ascii="Times New Roman" w:hAnsi="Times New Roman"/>
        </w:rPr>
        <w:t>Legzdiņa-</w:t>
      </w:r>
      <w:proofErr w:type="spellStart"/>
      <w:r>
        <w:rPr>
          <w:rFonts w:ascii="Times New Roman" w:hAnsi="Times New Roman"/>
        </w:rPr>
        <w:t>Joja</w:t>
      </w:r>
      <w:proofErr w:type="spellEnd"/>
      <w:proofErr w:type="gramStart"/>
      <w:r w:rsidR="005E055A">
        <w:rPr>
          <w:rFonts w:ascii="Times New Roman" w:hAnsi="Times New Roman"/>
        </w:rPr>
        <w:t xml:space="preserve"> </w:t>
      </w:r>
      <w:r w:rsidR="005B6060" w:rsidRPr="005B6060">
        <w:rPr>
          <w:rFonts w:ascii="Times New Roman" w:hAnsi="Times New Roman"/>
        </w:rPr>
        <w:t xml:space="preserve"> </w:t>
      </w:r>
      <w:proofErr w:type="gramEnd"/>
      <w:r w:rsidR="005B6060" w:rsidRPr="005B6060">
        <w:rPr>
          <w:rFonts w:ascii="Times New Roman" w:hAnsi="Times New Roman"/>
        </w:rPr>
        <w:t>670829</w:t>
      </w:r>
      <w:r>
        <w:rPr>
          <w:rFonts w:ascii="Times New Roman" w:hAnsi="Times New Roman"/>
        </w:rPr>
        <w:t>04</w:t>
      </w:r>
    </w:p>
    <w:p w14:paraId="0118E6D7" w14:textId="77777777" w:rsidR="004072A3" w:rsidRPr="005B6060" w:rsidRDefault="00821124" w:rsidP="00435E4A">
      <w:pPr>
        <w:spacing w:after="0" w:line="240" w:lineRule="auto"/>
        <w:ind w:firstLine="709"/>
        <w:jc w:val="both"/>
        <w:rPr>
          <w:rFonts w:ascii="Times New Roman" w:hAnsi="Times New Roman"/>
        </w:rPr>
      </w:pPr>
      <w:hyperlink r:id="rId9" w:history="1">
        <w:r w:rsidR="003A25BD" w:rsidRPr="00796B9B">
          <w:rPr>
            <w:rStyle w:val="Hyperlink"/>
            <w:rFonts w:ascii="Times New Roman" w:hAnsi="Times New Roman"/>
          </w:rPr>
          <w:t>zane.legzdina@mk.gov.lv</w:t>
        </w:r>
      </w:hyperlink>
      <w:r w:rsidR="003A25BD">
        <w:rPr>
          <w:rFonts w:ascii="Times New Roman" w:hAnsi="Times New Roman"/>
        </w:rPr>
        <w:t xml:space="preserve"> </w:t>
      </w:r>
    </w:p>
    <w:sectPr w:rsidR="004072A3" w:rsidRPr="005B6060" w:rsidSect="00C52242">
      <w:headerReference w:type="default" r:id="rId10"/>
      <w:footerReference w:type="default" r:id="rId11"/>
      <w:headerReference w:type="first" r:id="rId12"/>
      <w:footerReference w:type="first" r:id="rId13"/>
      <w:pgSz w:w="11906" w:h="16838" w:code="9"/>
      <w:pgMar w:top="1440" w:right="1418"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8E6DA" w14:textId="77777777" w:rsidR="00821124" w:rsidRDefault="00821124" w:rsidP="00CC4CA4">
      <w:pPr>
        <w:spacing w:after="0" w:line="240" w:lineRule="auto"/>
      </w:pPr>
      <w:r>
        <w:separator/>
      </w:r>
    </w:p>
  </w:endnote>
  <w:endnote w:type="continuationSeparator" w:id="0">
    <w:p w14:paraId="0118E6DB" w14:textId="77777777" w:rsidR="00821124" w:rsidRDefault="00821124"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267E" w14:textId="77777777" w:rsidR="00821124" w:rsidRPr="00435E4A" w:rsidRDefault="00821124" w:rsidP="00435E4A">
    <w:pPr>
      <w:pStyle w:val="naisvisr"/>
      <w:spacing w:before="0" w:after="0"/>
      <w:jc w:val="both"/>
      <w:rPr>
        <w:b w:val="0"/>
        <w:sz w:val="16"/>
        <w:szCs w:val="20"/>
      </w:rPr>
    </w:pPr>
    <w:r w:rsidRPr="00435E4A">
      <w:rPr>
        <w:b w:val="0"/>
        <w:sz w:val="16"/>
        <w:szCs w:val="20"/>
      </w:rPr>
      <w:t xml:space="preserve">MKAnot_TPI_220612; Ministru kabineta instrukcijas projekta </w:t>
    </w:r>
    <w:r w:rsidRPr="00435E4A">
      <w:rPr>
        <w:b w:val="0"/>
        <w:bCs w:val="0"/>
        <w:sz w:val="16"/>
        <w:szCs w:val="20"/>
      </w:rPr>
      <w:t>„Kārtība, kādā valsts tiešās pārvaldes iestādes ievieto informāciju tiešās pārvaldes iestāžu datubāzē” sākotnējās ietekmes novērtējuma ziņojums (anotācija) (35611)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E6DF" w14:textId="738EEF72" w:rsidR="00821124" w:rsidRPr="00435E4A" w:rsidRDefault="00821124" w:rsidP="0019201B">
    <w:pPr>
      <w:pStyle w:val="naisvisr"/>
      <w:spacing w:before="0" w:after="0"/>
      <w:jc w:val="both"/>
      <w:rPr>
        <w:b w:val="0"/>
        <w:sz w:val="16"/>
        <w:szCs w:val="20"/>
      </w:rPr>
    </w:pPr>
    <w:r w:rsidRPr="00435E4A">
      <w:rPr>
        <w:b w:val="0"/>
        <w:sz w:val="16"/>
        <w:szCs w:val="20"/>
      </w:rPr>
      <w:t xml:space="preserve">MKAnot_TPI_220612; Ministru kabineta instrukcijas projekta </w:t>
    </w:r>
    <w:r w:rsidRPr="00435E4A">
      <w:rPr>
        <w:b w:val="0"/>
        <w:bCs w:val="0"/>
        <w:sz w:val="16"/>
        <w:szCs w:val="20"/>
      </w:rPr>
      <w:t>„Kārtība, kādā valsts tiešās pārvaldes iestādes ievieto informāciju tiešās pārvaldes iestāžu datubāzē” sākotnējās ietekmes novērtējuma ziņojums (anotācija) (35611)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E6D8" w14:textId="77777777" w:rsidR="00821124" w:rsidRDefault="00821124" w:rsidP="00CC4CA4">
      <w:pPr>
        <w:spacing w:after="0" w:line="240" w:lineRule="auto"/>
      </w:pPr>
      <w:r>
        <w:separator/>
      </w:r>
    </w:p>
  </w:footnote>
  <w:footnote w:type="continuationSeparator" w:id="0">
    <w:p w14:paraId="0118E6D9" w14:textId="77777777" w:rsidR="00821124" w:rsidRDefault="00821124"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E6DC" w14:textId="77777777" w:rsidR="00821124" w:rsidRPr="00B1238F" w:rsidRDefault="00821124" w:rsidP="00B1238F">
    <w:pPr>
      <w:pStyle w:val="Header"/>
      <w:tabs>
        <w:tab w:val="clear" w:pos="4153"/>
        <w:tab w:val="clear" w:pos="8306"/>
      </w:tabs>
      <w:jc w:val="center"/>
      <w:rPr>
        <w:rFonts w:ascii="Times New Roman" w:hAnsi="Times New Roman"/>
        <w:sz w:val="24"/>
        <w:szCs w:val="24"/>
      </w:rPr>
    </w:pPr>
    <w:r w:rsidRPr="00CC4CA4">
      <w:rPr>
        <w:rFonts w:ascii="Times New Roman" w:hAnsi="Times New Roman"/>
        <w:sz w:val="24"/>
        <w:szCs w:val="24"/>
      </w:rPr>
      <w:fldChar w:fldCharType="begin"/>
    </w:r>
    <w:r w:rsidRPr="00CC4CA4">
      <w:rPr>
        <w:rFonts w:ascii="Times New Roman" w:hAnsi="Times New Roman"/>
        <w:sz w:val="24"/>
        <w:szCs w:val="24"/>
      </w:rPr>
      <w:instrText xml:space="preserve"> PAGE   \* MERGEFORMAT </w:instrText>
    </w:r>
    <w:r w:rsidRPr="00CC4CA4">
      <w:rPr>
        <w:rFonts w:ascii="Times New Roman" w:hAnsi="Times New Roman"/>
        <w:sz w:val="24"/>
        <w:szCs w:val="24"/>
      </w:rPr>
      <w:fldChar w:fldCharType="separate"/>
    </w:r>
    <w:r>
      <w:rPr>
        <w:rFonts w:ascii="Times New Roman" w:hAnsi="Times New Roman"/>
        <w:noProof/>
        <w:sz w:val="24"/>
        <w:szCs w:val="24"/>
      </w:rPr>
      <w:t>5</w:t>
    </w:r>
    <w:r w:rsidRPr="00CC4CA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E6DE" w14:textId="77777777" w:rsidR="00821124" w:rsidRDefault="00821124"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E1814"/>
    <w:lvl w:ilvl="0">
      <w:start w:val="1"/>
      <w:numFmt w:val="decimal"/>
      <w:lvlText w:val="%1."/>
      <w:lvlJc w:val="left"/>
      <w:pPr>
        <w:tabs>
          <w:tab w:val="num" w:pos="1492"/>
        </w:tabs>
        <w:ind w:left="1492" w:hanging="360"/>
      </w:pPr>
    </w:lvl>
  </w:abstractNum>
  <w:abstractNum w:abstractNumId="1">
    <w:nsid w:val="FFFFFF7D"/>
    <w:multiLevelType w:val="singleLevel"/>
    <w:tmpl w:val="3E942F2A"/>
    <w:lvl w:ilvl="0">
      <w:start w:val="1"/>
      <w:numFmt w:val="decimal"/>
      <w:lvlText w:val="%1."/>
      <w:lvlJc w:val="left"/>
      <w:pPr>
        <w:tabs>
          <w:tab w:val="num" w:pos="1209"/>
        </w:tabs>
        <w:ind w:left="1209" w:hanging="360"/>
      </w:pPr>
    </w:lvl>
  </w:abstractNum>
  <w:abstractNum w:abstractNumId="2">
    <w:nsid w:val="FFFFFF7E"/>
    <w:multiLevelType w:val="singleLevel"/>
    <w:tmpl w:val="7D48C578"/>
    <w:lvl w:ilvl="0">
      <w:start w:val="1"/>
      <w:numFmt w:val="decimal"/>
      <w:lvlText w:val="%1."/>
      <w:lvlJc w:val="left"/>
      <w:pPr>
        <w:tabs>
          <w:tab w:val="num" w:pos="926"/>
        </w:tabs>
        <w:ind w:left="926" w:hanging="360"/>
      </w:pPr>
    </w:lvl>
  </w:abstractNum>
  <w:abstractNum w:abstractNumId="3">
    <w:nsid w:val="FFFFFF7F"/>
    <w:multiLevelType w:val="singleLevel"/>
    <w:tmpl w:val="23C0FBE0"/>
    <w:lvl w:ilvl="0">
      <w:start w:val="1"/>
      <w:numFmt w:val="decimal"/>
      <w:lvlText w:val="%1."/>
      <w:lvlJc w:val="left"/>
      <w:pPr>
        <w:tabs>
          <w:tab w:val="num" w:pos="643"/>
        </w:tabs>
        <w:ind w:left="643" w:hanging="360"/>
      </w:p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92B652B"/>
    <w:multiLevelType w:val="hybridMultilevel"/>
    <w:tmpl w:val="CEAE791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6"/>
  </w:num>
  <w:num w:numId="14">
    <w:abstractNumId w:val="17"/>
  </w:num>
  <w:num w:numId="15">
    <w:abstractNumId w:val="19"/>
  </w:num>
  <w:num w:numId="16">
    <w:abstractNumId w:val="14"/>
  </w:num>
  <w:num w:numId="17">
    <w:abstractNumId w:val="21"/>
  </w:num>
  <w:num w:numId="18">
    <w:abstractNumId w:val="13"/>
  </w:num>
  <w:num w:numId="19">
    <w:abstractNumId w:val="10"/>
  </w:num>
  <w:num w:numId="20">
    <w:abstractNumId w:val="18"/>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E119E"/>
    <w:rsid w:val="00004AD4"/>
    <w:rsid w:val="00016301"/>
    <w:rsid w:val="000167F0"/>
    <w:rsid w:val="00027993"/>
    <w:rsid w:val="00030306"/>
    <w:rsid w:val="000303BB"/>
    <w:rsid w:val="000308CF"/>
    <w:rsid w:val="00046689"/>
    <w:rsid w:val="000560D0"/>
    <w:rsid w:val="0006508B"/>
    <w:rsid w:val="00067B16"/>
    <w:rsid w:val="000713AA"/>
    <w:rsid w:val="00083036"/>
    <w:rsid w:val="00083D6A"/>
    <w:rsid w:val="0008674A"/>
    <w:rsid w:val="00087B86"/>
    <w:rsid w:val="00095CF1"/>
    <w:rsid w:val="00097A20"/>
    <w:rsid w:val="000A1F35"/>
    <w:rsid w:val="000A4EBB"/>
    <w:rsid w:val="000B0BE6"/>
    <w:rsid w:val="000B30A8"/>
    <w:rsid w:val="000B369F"/>
    <w:rsid w:val="000B6B2F"/>
    <w:rsid w:val="000C276C"/>
    <w:rsid w:val="000D6DD1"/>
    <w:rsid w:val="000D77F3"/>
    <w:rsid w:val="000E04CE"/>
    <w:rsid w:val="000E0AE0"/>
    <w:rsid w:val="000E65C8"/>
    <w:rsid w:val="000E724D"/>
    <w:rsid w:val="000F0381"/>
    <w:rsid w:val="000F125E"/>
    <w:rsid w:val="00100DFD"/>
    <w:rsid w:val="00104447"/>
    <w:rsid w:val="00113B5F"/>
    <w:rsid w:val="00115F58"/>
    <w:rsid w:val="0012123F"/>
    <w:rsid w:val="00122919"/>
    <w:rsid w:val="0012363E"/>
    <w:rsid w:val="00130B58"/>
    <w:rsid w:val="00130C4E"/>
    <w:rsid w:val="0013395E"/>
    <w:rsid w:val="00151E40"/>
    <w:rsid w:val="001553EF"/>
    <w:rsid w:val="0015789F"/>
    <w:rsid w:val="00160480"/>
    <w:rsid w:val="00162E56"/>
    <w:rsid w:val="00183516"/>
    <w:rsid w:val="00185E74"/>
    <w:rsid w:val="0019201B"/>
    <w:rsid w:val="00193560"/>
    <w:rsid w:val="001A2512"/>
    <w:rsid w:val="001A4E4C"/>
    <w:rsid w:val="001B268E"/>
    <w:rsid w:val="001B5DBD"/>
    <w:rsid w:val="001C38C7"/>
    <w:rsid w:val="001C6435"/>
    <w:rsid w:val="001D4041"/>
    <w:rsid w:val="001D7DA4"/>
    <w:rsid w:val="001E06B9"/>
    <w:rsid w:val="001E7051"/>
    <w:rsid w:val="001F7BDD"/>
    <w:rsid w:val="002009FA"/>
    <w:rsid w:val="002036B9"/>
    <w:rsid w:val="00213B3A"/>
    <w:rsid w:val="0021784B"/>
    <w:rsid w:val="00220C91"/>
    <w:rsid w:val="002242B3"/>
    <w:rsid w:val="002242D3"/>
    <w:rsid w:val="00225EFA"/>
    <w:rsid w:val="0023584F"/>
    <w:rsid w:val="00236B12"/>
    <w:rsid w:val="002424E4"/>
    <w:rsid w:val="00244BC4"/>
    <w:rsid w:val="00247535"/>
    <w:rsid w:val="00257029"/>
    <w:rsid w:val="00261A3D"/>
    <w:rsid w:val="00261DD5"/>
    <w:rsid w:val="00267260"/>
    <w:rsid w:val="00267DC3"/>
    <w:rsid w:val="00272971"/>
    <w:rsid w:val="00273F64"/>
    <w:rsid w:val="002768C0"/>
    <w:rsid w:val="002816EA"/>
    <w:rsid w:val="00294BE5"/>
    <w:rsid w:val="002A367B"/>
    <w:rsid w:val="002B742F"/>
    <w:rsid w:val="002B7CE4"/>
    <w:rsid w:val="002C0AD3"/>
    <w:rsid w:val="002C58E3"/>
    <w:rsid w:val="002C751C"/>
    <w:rsid w:val="002C7859"/>
    <w:rsid w:val="002D12BB"/>
    <w:rsid w:val="002D1ADD"/>
    <w:rsid w:val="002D562C"/>
    <w:rsid w:val="002E61ED"/>
    <w:rsid w:val="002F4E32"/>
    <w:rsid w:val="002F5D85"/>
    <w:rsid w:val="002F7069"/>
    <w:rsid w:val="002F754E"/>
    <w:rsid w:val="003003B2"/>
    <w:rsid w:val="003016A1"/>
    <w:rsid w:val="00301EA7"/>
    <w:rsid w:val="0030293E"/>
    <w:rsid w:val="00303D15"/>
    <w:rsid w:val="00307109"/>
    <w:rsid w:val="00314D7A"/>
    <w:rsid w:val="00321017"/>
    <w:rsid w:val="00325EA1"/>
    <w:rsid w:val="00330130"/>
    <w:rsid w:val="00335769"/>
    <w:rsid w:val="0033795A"/>
    <w:rsid w:val="003437B8"/>
    <w:rsid w:val="0034487E"/>
    <w:rsid w:val="003504A5"/>
    <w:rsid w:val="00351F65"/>
    <w:rsid w:val="0035384C"/>
    <w:rsid w:val="00372CC6"/>
    <w:rsid w:val="0037481B"/>
    <w:rsid w:val="0037490A"/>
    <w:rsid w:val="00384D6B"/>
    <w:rsid w:val="003873C4"/>
    <w:rsid w:val="00387BE3"/>
    <w:rsid w:val="003921D9"/>
    <w:rsid w:val="0039597E"/>
    <w:rsid w:val="00395B6B"/>
    <w:rsid w:val="003A25BD"/>
    <w:rsid w:val="003A2D29"/>
    <w:rsid w:val="003A6190"/>
    <w:rsid w:val="003B0974"/>
    <w:rsid w:val="003B5276"/>
    <w:rsid w:val="003B6F34"/>
    <w:rsid w:val="003B7ADD"/>
    <w:rsid w:val="003C20BB"/>
    <w:rsid w:val="003C7568"/>
    <w:rsid w:val="003D3596"/>
    <w:rsid w:val="003D4FFB"/>
    <w:rsid w:val="003E459D"/>
    <w:rsid w:val="003F0BB9"/>
    <w:rsid w:val="003F37A4"/>
    <w:rsid w:val="003F3B30"/>
    <w:rsid w:val="004029FF"/>
    <w:rsid w:val="00402F24"/>
    <w:rsid w:val="004072A3"/>
    <w:rsid w:val="00413FEF"/>
    <w:rsid w:val="004157A4"/>
    <w:rsid w:val="0041762C"/>
    <w:rsid w:val="00425825"/>
    <w:rsid w:val="00431CFC"/>
    <w:rsid w:val="00435E4A"/>
    <w:rsid w:val="00440A23"/>
    <w:rsid w:val="004471DC"/>
    <w:rsid w:val="00452A5A"/>
    <w:rsid w:val="00452F0F"/>
    <w:rsid w:val="004552BA"/>
    <w:rsid w:val="00460BFC"/>
    <w:rsid w:val="00464FE4"/>
    <w:rsid w:val="00467F93"/>
    <w:rsid w:val="00474D7A"/>
    <w:rsid w:val="00476783"/>
    <w:rsid w:val="004804EE"/>
    <w:rsid w:val="00484504"/>
    <w:rsid w:val="004852ED"/>
    <w:rsid w:val="00485E99"/>
    <w:rsid w:val="00490BCA"/>
    <w:rsid w:val="00492530"/>
    <w:rsid w:val="00492F71"/>
    <w:rsid w:val="00493A5D"/>
    <w:rsid w:val="004A64C7"/>
    <w:rsid w:val="004C1C1C"/>
    <w:rsid w:val="004C3A81"/>
    <w:rsid w:val="004C4428"/>
    <w:rsid w:val="004C5EB8"/>
    <w:rsid w:val="004D1D03"/>
    <w:rsid w:val="004D4592"/>
    <w:rsid w:val="004D7D96"/>
    <w:rsid w:val="004E2DCD"/>
    <w:rsid w:val="004F0966"/>
    <w:rsid w:val="004F4655"/>
    <w:rsid w:val="00500141"/>
    <w:rsid w:val="00500854"/>
    <w:rsid w:val="005013D9"/>
    <w:rsid w:val="00504116"/>
    <w:rsid w:val="00505577"/>
    <w:rsid w:val="005067F7"/>
    <w:rsid w:val="005112C6"/>
    <w:rsid w:val="00533621"/>
    <w:rsid w:val="00543F2E"/>
    <w:rsid w:val="005460FD"/>
    <w:rsid w:val="0055703F"/>
    <w:rsid w:val="005609DA"/>
    <w:rsid w:val="00564F6D"/>
    <w:rsid w:val="005658E9"/>
    <w:rsid w:val="005911D3"/>
    <w:rsid w:val="0059138F"/>
    <w:rsid w:val="00592BA1"/>
    <w:rsid w:val="00597227"/>
    <w:rsid w:val="00597273"/>
    <w:rsid w:val="005B20DD"/>
    <w:rsid w:val="005B5335"/>
    <w:rsid w:val="005B6060"/>
    <w:rsid w:val="005C013E"/>
    <w:rsid w:val="005D104B"/>
    <w:rsid w:val="005D1951"/>
    <w:rsid w:val="005D1E8D"/>
    <w:rsid w:val="005D24B5"/>
    <w:rsid w:val="005D65FF"/>
    <w:rsid w:val="005E055A"/>
    <w:rsid w:val="005E54C9"/>
    <w:rsid w:val="005F1DC3"/>
    <w:rsid w:val="005F6326"/>
    <w:rsid w:val="005F739F"/>
    <w:rsid w:val="00601E19"/>
    <w:rsid w:val="00604C45"/>
    <w:rsid w:val="00605636"/>
    <w:rsid w:val="006131FF"/>
    <w:rsid w:val="00616A22"/>
    <w:rsid w:val="0062170F"/>
    <w:rsid w:val="00625223"/>
    <w:rsid w:val="00625BB9"/>
    <w:rsid w:val="00633460"/>
    <w:rsid w:val="00633F77"/>
    <w:rsid w:val="006373B2"/>
    <w:rsid w:val="00641B6C"/>
    <w:rsid w:val="0064214A"/>
    <w:rsid w:val="006478AC"/>
    <w:rsid w:val="00651E58"/>
    <w:rsid w:val="00653CAE"/>
    <w:rsid w:val="006565CF"/>
    <w:rsid w:val="00660F22"/>
    <w:rsid w:val="00664349"/>
    <w:rsid w:val="006645AE"/>
    <w:rsid w:val="00665A5C"/>
    <w:rsid w:val="00671B3C"/>
    <w:rsid w:val="006739D8"/>
    <w:rsid w:val="00676C51"/>
    <w:rsid w:val="0067785D"/>
    <w:rsid w:val="006809E6"/>
    <w:rsid w:val="00683214"/>
    <w:rsid w:val="00694012"/>
    <w:rsid w:val="006965B3"/>
    <w:rsid w:val="006A008A"/>
    <w:rsid w:val="006A0C6E"/>
    <w:rsid w:val="006A1D13"/>
    <w:rsid w:val="006A62C4"/>
    <w:rsid w:val="006B1161"/>
    <w:rsid w:val="006B1751"/>
    <w:rsid w:val="006B57D9"/>
    <w:rsid w:val="006B65D4"/>
    <w:rsid w:val="006B75CD"/>
    <w:rsid w:val="006B7E5F"/>
    <w:rsid w:val="006D0A3D"/>
    <w:rsid w:val="006D30B2"/>
    <w:rsid w:val="006D3186"/>
    <w:rsid w:val="006E2EB2"/>
    <w:rsid w:val="006E40EA"/>
    <w:rsid w:val="006E5AEF"/>
    <w:rsid w:val="006F3FCE"/>
    <w:rsid w:val="007043BF"/>
    <w:rsid w:val="00706C70"/>
    <w:rsid w:val="00707C83"/>
    <w:rsid w:val="0071371D"/>
    <w:rsid w:val="00714804"/>
    <w:rsid w:val="007179E5"/>
    <w:rsid w:val="007207FE"/>
    <w:rsid w:val="00721CC7"/>
    <w:rsid w:val="0072762F"/>
    <w:rsid w:val="00732D32"/>
    <w:rsid w:val="00743363"/>
    <w:rsid w:val="00744FDB"/>
    <w:rsid w:val="00747E20"/>
    <w:rsid w:val="00751083"/>
    <w:rsid w:val="0076055C"/>
    <w:rsid w:val="007657BE"/>
    <w:rsid w:val="00766D43"/>
    <w:rsid w:val="00780D1C"/>
    <w:rsid w:val="00783314"/>
    <w:rsid w:val="0078377F"/>
    <w:rsid w:val="00791185"/>
    <w:rsid w:val="00796EB7"/>
    <w:rsid w:val="007A218E"/>
    <w:rsid w:val="007A72A3"/>
    <w:rsid w:val="007B120A"/>
    <w:rsid w:val="007B3435"/>
    <w:rsid w:val="007B484A"/>
    <w:rsid w:val="007C09C3"/>
    <w:rsid w:val="007C26AD"/>
    <w:rsid w:val="007D1BE0"/>
    <w:rsid w:val="007D2F86"/>
    <w:rsid w:val="007D4694"/>
    <w:rsid w:val="007D713D"/>
    <w:rsid w:val="007D7435"/>
    <w:rsid w:val="007D74DC"/>
    <w:rsid w:val="007E06F8"/>
    <w:rsid w:val="007E4654"/>
    <w:rsid w:val="007F6339"/>
    <w:rsid w:val="007F7100"/>
    <w:rsid w:val="008008BF"/>
    <w:rsid w:val="00804354"/>
    <w:rsid w:val="0080443B"/>
    <w:rsid w:val="00810AAF"/>
    <w:rsid w:val="0081181E"/>
    <w:rsid w:val="00812517"/>
    <w:rsid w:val="0081262A"/>
    <w:rsid w:val="008202FD"/>
    <w:rsid w:val="00821124"/>
    <w:rsid w:val="00823EF6"/>
    <w:rsid w:val="00824EBB"/>
    <w:rsid w:val="008251D3"/>
    <w:rsid w:val="00832AA5"/>
    <w:rsid w:val="00832BE5"/>
    <w:rsid w:val="008429EF"/>
    <w:rsid w:val="00863803"/>
    <w:rsid w:val="00864FBE"/>
    <w:rsid w:val="00865EFD"/>
    <w:rsid w:val="00867484"/>
    <w:rsid w:val="0086765F"/>
    <w:rsid w:val="0087175A"/>
    <w:rsid w:val="008751F2"/>
    <w:rsid w:val="00877511"/>
    <w:rsid w:val="0088236A"/>
    <w:rsid w:val="00892677"/>
    <w:rsid w:val="00893BDF"/>
    <w:rsid w:val="008964CF"/>
    <w:rsid w:val="008A4E56"/>
    <w:rsid w:val="008A516D"/>
    <w:rsid w:val="008A5936"/>
    <w:rsid w:val="008A70A5"/>
    <w:rsid w:val="008A716F"/>
    <w:rsid w:val="008A74D5"/>
    <w:rsid w:val="008B3C0F"/>
    <w:rsid w:val="008B479B"/>
    <w:rsid w:val="008C2FDB"/>
    <w:rsid w:val="008C4187"/>
    <w:rsid w:val="008D021C"/>
    <w:rsid w:val="008D08BA"/>
    <w:rsid w:val="008D1A10"/>
    <w:rsid w:val="008D218B"/>
    <w:rsid w:val="008D2E13"/>
    <w:rsid w:val="008D349A"/>
    <w:rsid w:val="008D39CE"/>
    <w:rsid w:val="008D477A"/>
    <w:rsid w:val="008E119E"/>
    <w:rsid w:val="008E2102"/>
    <w:rsid w:val="008E5D33"/>
    <w:rsid w:val="008F2DA9"/>
    <w:rsid w:val="008F6392"/>
    <w:rsid w:val="00904139"/>
    <w:rsid w:val="00906483"/>
    <w:rsid w:val="00911E5F"/>
    <w:rsid w:val="00912B6F"/>
    <w:rsid w:val="00913339"/>
    <w:rsid w:val="00923815"/>
    <w:rsid w:val="00926106"/>
    <w:rsid w:val="00926B2B"/>
    <w:rsid w:val="00927512"/>
    <w:rsid w:val="00931393"/>
    <w:rsid w:val="00935989"/>
    <w:rsid w:val="00941BAD"/>
    <w:rsid w:val="00945348"/>
    <w:rsid w:val="00950E29"/>
    <w:rsid w:val="009556F5"/>
    <w:rsid w:val="00955DA3"/>
    <w:rsid w:val="0095722D"/>
    <w:rsid w:val="00961503"/>
    <w:rsid w:val="00963F7B"/>
    <w:rsid w:val="009717E7"/>
    <w:rsid w:val="00974466"/>
    <w:rsid w:val="00974E88"/>
    <w:rsid w:val="009809B0"/>
    <w:rsid w:val="009853B2"/>
    <w:rsid w:val="009868BF"/>
    <w:rsid w:val="00993E9E"/>
    <w:rsid w:val="009A012C"/>
    <w:rsid w:val="009A3A62"/>
    <w:rsid w:val="009A4563"/>
    <w:rsid w:val="009A7CD0"/>
    <w:rsid w:val="009B43FE"/>
    <w:rsid w:val="009B4C31"/>
    <w:rsid w:val="009B4C4B"/>
    <w:rsid w:val="009C0625"/>
    <w:rsid w:val="009C392A"/>
    <w:rsid w:val="009D066A"/>
    <w:rsid w:val="009D235F"/>
    <w:rsid w:val="009D6F5F"/>
    <w:rsid w:val="009E0E56"/>
    <w:rsid w:val="009E7CC0"/>
    <w:rsid w:val="009F1E8B"/>
    <w:rsid w:val="009F5734"/>
    <w:rsid w:val="009F7314"/>
    <w:rsid w:val="00A00C5B"/>
    <w:rsid w:val="00A04858"/>
    <w:rsid w:val="00A060B8"/>
    <w:rsid w:val="00A11BD8"/>
    <w:rsid w:val="00A16FB1"/>
    <w:rsid w:val="00A20459"/>
    <w:rsid w:val="00A20F95"/>
    <w:rsid w:val="00A228A7"/>
    <w:rsid w:val="00A2550F"/>
    <w:rsid w:val="00A31A78"/>
    <w:rsid w:val="00A37A1D"/>
    <w:rsid w:val="00A45404"/>
    <w:rsid w:val="00A4635D"/>
    <w:rsid w:val="00A47916"/>
    <w:rsid w:val="00A504A4"/>
    <w:rsid w:val="00A617D6"/>
    <w:rsid w:val="00A628F6"/>
    <w:rsid w:val="00A638DF"/>
    <w:rsid w:val="00A64CC4"/>
    <w:rsid w:val="00A858D1"/>
    <w:rsid w:val="00A85CF9"/>
    <w:rsid w:val="00A870FE"/>
    <w:rsid w:val="00A90549"/>
    <w:rsid w:val="00A93642"/>
    <w:rsid w:val="00A93970"/>
    <w:rsid w:val="00A9481C"/>
    <w:rsid w:val="00A96D61"/>
    <w:rsid w:val="00AA22A7"/>
    <w:rsid w:val="00AA23C4"/>
    <w:rsid w:val="00AA55AC"/>
    <w:rsid w:val="00AB1E9F"/>
    <w:rsid w:val="00AB1FDC"/>
    <w:rsid w:val="00AB23FB"/>
    <w:rsid w:val="00AB242F"/>
    <w:rsid w:val="00AB44D3"/>
    <w:rsid w:val="00AB4525"/>
    <w:rsid w:val="00AB56D2"/>
    <w:rsid w:val="00AB761C"/>
    <w:rsid w:val="00AC47FD"/>
    <w:rsid w:val="00AC6FF1"/>
    <w:rsid w:val="00AC7A68"/>
    <w:rsid w:val="00AD677F"/>
    <w:rsid w:val="00AF160A"/>
    <w:rsid w:val="00AF7B22"/>
    <w:rsid w:val="00B0026A"/>
    <w:rsid w:val="00B009A8"/>
    <w:rsid w:val="00B05D87"/>
    <w:rsid w:val="00B1238F"/>
    <w:rsid w:val="00B12871"/>
    <w:rsid w:val="00B13B54"/>
    <w:rsid w:val="00B15B5C"/>
    <w:rsid w:val="00B2247B"/>
    <w:rsid w:val="00B236DE"/>
    <w:rsid w:val="00B25653"/>
    <w:rsid w:val="00B349E0"/>
    <w:rsid w:val="00B35496"/>
    <w:rsid w:val="00B378CC"/>
    <w:rsid w:val="00B40342"/>
    <w:rsid w:val="00B40776"/>
    <w:rsid w:val="00B45A1A"/>
    <w:rsid w:val="00B47F5A"/>
    <w:rsid w:val="00B5602A"/>
    <w:rsid w:val="00B657F0"/>
    <w:rsid w:val="00B65914"/>
    <w:rsid w:val="00B73796"/>
    <w:rsid w:val="00B82481"/>
    <w:rsid w:val="00B837C0"/>
    <w:rsid w:val="00B840F3"/>
    <w:rsid w:val="00B8438E"/>
    <w:rsid w:val="00B90F61"/>
    <w:rsid w:val="00B95C52"/>
    <w:rsid w:val="00BA034A"/>
    <w:rsid w:val="00BA1FD3"/>
    <w:rsid w:val="00BA4043"/>
    <w:rsid w:val="00BA5571"/>
    <w:rsid w:val="00BA61B7"/>
    <w:rsid w:val="00BB2F35"/>
    <w:rsid w:val="00BB4EE2"/>
    <w:rsid w:val="00BC5004"/>
    <w:rsid w:val="00BD2C2A"/>
    <w:rsid w:val="00BD487C"/>
    <w:rsid w:val="00BE4EFB"/>
    <w:rsid w:val="00BE52F8"/>
    <w:rsid w:val="00BE6267"/>
    <w:rsid w:val="00BF1A14"/>
    <w:rsid w:val="00BF4D5C"/>
    <w:rsid w:val="00C0083B"/>
    <w:rsid w:val="00C0097E"/>
    <w:rsid w:val="00C11D59"/>
    <w:rsid w:val="00C14001"/>
    <w:rsid w:val="00C14609"/>
    <w:rsid w:val="00C1512B"/>
    <w:rsid w:val="00C153E7"/>
    <w:rsid w:val="00C172DB"/>
    <w:rsid w:val="00C17820"/>
    <w:rsid w:val="00C200E4"/>
    <w:rsid w:val="00C22B5F"/>
    <w:rsid w:val="00C33FF6"/>
    <w:rsid w:val="00C3466E"/>
    <w:rsid w:val="00C3732A"/>
    <w:rsid w:val="00C37FC5"/>
    <w:rsid w:val="00C402F4"/>
    <w:rsid w:val="00C52242"/>
    <w:rsid w:val="00C57F38"/>
    <w:rsid w:val="00C62753"/>
    <w:rsid w:val="00C63084"/>
    <w:rsid w:val="00C6622B"/>
    <w:rsid w:val="00C66B17"/>
    <w:rsid w:val="00C73971"/>
    <w:rsid w:val="00C741AF"/>
    <w:rsid w:val="00C86F48"/>
    <w:rsid w:val="00C9261A"/>
    <w:rsid w:val="00CA0809"/>
    <w:rsid w:val="00CA357F"/>
    <w:rsid w:val="00CA35A4"/>
    <w:rsid w:val="00CA62BD"/>
    <w:rsid w:val="00CA6FF0"/>
    <w:rsid w:val="00CA7629"/>
    <w:rsid w:val="00CB2B7C"/>
    <w:rsid w:val="00CB32B9"/>
    <w:rsid w:val="00CB331B"/>
    <w:rsid w:val="00CB3D95"/>
    <w:rsid w:val="00CB4BF2"/>
    <w:rsid w:val="00CB546F"/>
    <w:rsid w:val="00CB6407"/>
    <w:rsid w:val="00CC046C"/>
    <w:rsid w:val="00CC13B1"/>
    <w:rsid w:val="00CC2C49"/>
    <w:rsid w:val="00CC2FE6"/>
    <w:rsid w:val="00CC4CA4"/>
    <w:rsid w:val="00CC4D1D"/>
    <w:rsid w:val="00CE3F10"/>
    <w:rsid w:val="00CE59D1"/>
    <w:rsid w:val="00CE6AFC"/>
    <w:rsid w:val="00CF13A5"/>
    <w:rsid w:val="00CF1850"/>
    <w:rsid w:val="00CF3EC4"/>
    <w:rsid w:val="00CF6902"/>
    <w:rsid w:val="00D02B76"/>
    <w:rsid w:val="00D03387"/>
    <w:rsid w:val="00D03448"/>
    <w:rsid w:val="00D12502"/>
    <w:rsid w:val="00D26F0B"/>
    <w:rsid w:val="00D30109"/>
    <w:rsid w:val="00D30DEE"/>
    <w:rsid w:val="00D33AE3"/>
    <w:rsid w:val="00D3677F"/>
    <w:rsid w:val="00D42762"/>
    <w:rsid w:val="00D437E1"/>
    <w:rsid w:val="00D449EA"/>
    <w:rsid w:val="00D4540D"/>
    <w:rsid w:val="00D478E1"/>
    <w:rsid w:val="00D50464"/>
    <w:rsid w:val="00D51C4E"/>
    <w:rsid w:val="00D562F5"/>
    <w:rsid w:val="00D63EFE"/>
    <w:rsid w:val="00D643C7"/>
    <w:rsid w:val="00D643EC"/>
    <w:rsid w:val="00D6689A"/>
    <w:rsid w:val="00D74AAC"/>
    <w:rsid w:val="00D836B8"/>
    <w:rsid w:val="00D87980"/>
    <w:rsid w:val="00D9546D"/>
    <w:rsid w:val="00D963DB"/>
    <w:rsid w:val="00D971DC"/>
    <w:rsid w:val="00DA11D9"/>
    <w:rsid w:val="00DA19EF"/>
    <w:rsid w:val="00DA36A5"/>
    <w:rsid w:val="00DA6AF5"/>
    <w:rsid w:val="00DB7DF0"/>
    <w:rsid w:val="00DC37EF"/>
    <w:rsid w:val="00DD2763"/>
    <w:rsid w:val="00DD533C"/>
    <w:rsid w:val="00DD6445"/>
    <w:rsid w:val="00DD6811"/>
    <w:rsid w:val="00DF065F"/>
    <w:rsid w:val="00DF1DE4"/>
    <w:rsid w:val="00DF6A14"/>
    <w:rsid w:val="00E03675"/>
    <w:rsid w:val="00E03E42"/>
    <w:rsid w:val="00E04632"/>
    <w:rsid w:val="00E11127"/>
    <w:rsid w:val="00E20041"/>
    <w:rsid w:val="00E26E10"/>
    <w:rsid w:val="00E3120F"/>
    <w:rsid w:val="00E41DBA"/>
    <w:rsid w:val="00E445FC"/>
    <w:rsid w:val="00E51E35"/>
    <w:rsid w:val="00E53E0D"/>
    <w:rsid w:val="00E547F3"/>
    <w:rsid w:val="00E55FBB"/>
    <w:rsid w:val="00E60686"/>
    <w:rsid w:val="00E60F9C"/>
    <w:rsid w:val="00E63A7B"/>
    <w:rsid w:val="00E64120"/>
    <w:rsid w:val="00E7119A"/>
    <w:rsid w:val="00E74525"/>
    <w:rsid w:val="00E81F6D"/>
    <w:rsid w:val="00E828A7"/>
    <w:rsid w:val="00E84FC6"/>
    <w:rsid w:val="00E85E6C"/>
    <w:rsid w:val="00E92D74"/>
    <w:rsid w:val="00E93D69"/>
    <w:rsid w:val="00E944CE"/>
    <w:rsid w:val="00E96556"/>
    <w:rsid w:val="00EA06E0"/>
    <w:rsid w:val="00EA23FF"/>
    <w:rsid w:val="00EA27B1"/>
    <w:rsid w:val="00EA7E95"/>
    <w:rsid w:val="00EB48A0"/>
    <w:rsid w:val="00EC1C8E"/>
    <w:rsid w:val="00EC652F"/>
    <w:rsid w:val="00ED09A3"/>
    <w:rsid w:val="00ED1F73"/>
    <w:rsid w:val="00ED40BB"/>
    <w:rsid w:val="00ED43C5"/>
    <w:rsid w:val="00ED4823"/>
    <w:rsid w:val="00EE042B"/>
    <w:rsid w:val="00EE294D"/>
    <w:rsid w:val="00EE7881"/>
    <w:rsid w:val="00EF4C4D"/>
    <w:rsid w:val="00EF575A"/>
    <w:rsid w:val="00F0180C"/>
    <w:rsid w:val="00F0213E"/>
    <w:rsid w:val="00F0250E"/>
    <w:rsid w:val="00F10FBB"/>
    <w:rsid w:val="00F11268"/>
    <w:rsid w:val="00F11EFC"/>
    <w:rsid w:val="00F21246"/>
    <w:rsid w:val="00F2391D"/>
    <w:rsid w:val="00F30548"/>
    <w:rsid w:val="00F36326"/>
    <w:rsid w:val="00F3703F"/>
    <w:rsid w:val="00F41212"/>
    <w:rsid w:val="00F47D15"/>
    <w:rsid w:val="00F57956"/>
    <w:rsid w:val="00F63716"/>
    <w:rsid w:val="00F67944"/>
    <w:rsid w:val="00F7034F"/>
    <w:rsid w:val="00F70B64"/>
    <w:rsid w:val="00F72725"/>
    <w:rsid w:val="00F73270"/>
    <w:rsid w:val="00F75192"/>
    <w:rsid w:val="00F777B3"/>
    <w:rsid w:val="00F80FAC"/>
    <w:rsid w:val="00F82212"/>
    <w:rsid w:val="00F90455"/>
    <w:rsid w:val="00F94ABE"/>
    <w:rsid w:val="00F9500A"/>
    <w:rsid w:val="00F95314"/>
    <w:rsid w:val="00F95553"/>
    <w:rsid w:val="00FA14DA"/>
    <w:rsid w:val="00FA2113"/>
    <w:rsid w:val="00FA29D9"/>
    <w:rsid w:val="00FA6C62"/>
    <w:rsid w:val="00FC60C1"/>
    <w:rsid w:val="00FD5482"/>
    <w:rsid w:val="00FE0DFF"/>
    <w:rsid w:val="00FE1349"/>
    <w:rsid w:val="00FE399C"/>
    <w:rsid w:val="00FE4089"/>
    <w:rsid w:val="00FE46F3"/>
    <w:rsid w:val="00FF3549"/>
    <w:rsid w:val="00FF464B"/>
    <w:rsid w:val="00FF60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8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styleId="Revision">
    <w:name w:val="Revision"/>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styleId="NoSpacing">
    <w:name w:val="No Spacing"/>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85CF9"/>
    <w:pPr>
      <w:ind w:left="720"/>
      <w:contextualSpacing/>
    </w:pPr>
    <w:rPr>
      <w:rFonts w:ascii="Calibri" w:hAnsi="Calibri"/>
      <w:sz w:val="22"/>
      <w:lang w:val="en-US"/>
    </w:rPr>
  </w:style>
  <w:style w:type="paragraph" w:customStyle="1" w:styleId="BodyTextcenterbold">
    <w:name w:val="Body Text center bold"/>
    <w:basedOn w:val="Normal"/>
    <w:autoRedefine/>
    <w:uiPriority w:val="99"/>
    <w:rsid w:val="00FE1349"/>
    <w:pPr>
      <w:spacing w:after="120" w:line="240" w:lineRule="auto"/>
      <w:jc w:val="center"/>
    </w:pPr>
    <w:rPr>
      <w:rFonts w:ascii="Times New Roman" w:eastAsia="Times New Roman" w:hAnsi="Times New Roman"/>
      <w:b/>
      <w:sz w:val="28"/>
      <w:szCs w:val="24"/>
      <w:lang w:val="ru-RU" w:eastAsia="ru-RU"/>
    </w:rPr>
  </w:style>
  <w:style w:type="paragraph" w:styleId="FootnoteText">
    <w:name w:val="footnote text"/>
    <w:basedOn w:val="Normal"/>
    <w:link w:val="FootnoteTextChar"/>
    <w:semiHidden/>
    <w:rsid w:val="00974E88"/>
    <w:pPr>
      <w:spacing w:after="0" w:line="240" w:lineRule="auto"/>
    </w:pPr>
    <w:rPr>
      <w:rFonts w:ascii="Times New Roman" w:eastAsia="Times New Roman" w:hAnsi="Times New Roman"/>
      <w:szCs w:val="20"/>
      <w:lang w:eastAsia="lv-LV"/>
    </w:rPr>
  </w:style>
  <w:style w:type="character" w:customStyle="1" w:styleId="FootnoteTextChar">
    <w:name w:val="Footnote Text Char"/>
    <w:link w:val="FootnoteText"/>
    <w:semiHidden/>
    <w:rsid w:val="00974E8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legzdina@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B904-CA61-4E72-993A-C26FA2A4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7739</Words>
  <Characters>4412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instrukcijas "Kārtība, kādā valsts tiešās pārvaldes iestādes ievieto informāciju tiešās pārvaldes iestāžu datu bāzē" projekta anotācija</vt:lpstr>
    </vt:vector>
  </TitlesOfParts>
  <Manager>Baiba Pētersone</Manager>
  <Company>Valsts kanceleja</Company>
  <LinksUpToDate>false</LinksUpToDate>
  <CharactersWithSpaces>12127</CharactersWithSpaces>
  <SharedDoc>false</SharedDoc>
  <HLinks>
    <vt:vector size="18" baseType="variant">
      <vt:variant>
        <vt:i4>3866649</vt:i4>
      </vt:variant>
      <vt:variant>
        <vt:i4>6</vt:i4>
      </vt:variant>
      <vt:variant>
        <vt:i4>0</vt:i4>
      </vt:variant>
      <vt:variant>
        <vt:i4>5</vt:i4>
      </vt:variant>
      <vt:variant>
        <vt:lpwstr>mailto:zane.legzdina@mk.gov.lv</vt:lpwstr>
      </vt:variant>
      <vt:variant>
        <vt:lpwstr/>
      </vt:variant>
      <vt:variant>
        <vt:i4>1638473</vt:i4>
      </vt:variant>
      <vt:variant>
        <vt:i4>3</vt:i4>
      </vt:variant>
      <vt:variant>
        <vt:i4>0</vt:i4>
      </vt:variant>
      <vt:variant>
        <vt:i4>5</vt:i4>
      </vt:variant>
      <vt:variant>
        <vt:lpwstr>http://www.likumi.lv/</vt:lpwstr>
      </vt:variant>
      <vt:variant>
        <vt:lpwstr/>
      </vt: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"Kārtība, kādā valsts tiešās pārvaldes iestādes ievieto informāciju tiešās pārvaldes iestāžu datu bāzē" projekta anotācija</dc:title>
  <dc:subject>Ministru kabineta instrukcijas projekta anotācija</dc:subject>
  <dc:creator>Zane Legzdiņa-Joja</dc:creator>
  <cp:keywords/>
  <dc:description>zane.legzdina@mk.gov.lv, 67082904</dc:description>
  <cp:lastModifiedBy>Sandra Liniņa</cp:lastModifiedBy>
  <cp:revision>8</cp:revision>
  <cp:lastPrinted>2012-07-10T07:30:00Z</cp:lastPrinted>
  <dcterms:created xsi:type="dcterms:W3CDTF">2012-06-22T08:48:00Z</dcterms:created>
  <dcterms:modified xsi:type="dcterms:W3CDTF">2012-07-10T07:57:00Z</dcterms:modified>
</cp:coreProperties>
</file>