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C349" w14:textId="5269C4A2" w:rsidR="008C5649" w:rsidRPr="003B189B" w:rsidRDefault="000019DD" w:rsidP="000019DD">
      <w:pPr>
        <w:ind w:left="-142"/>
        <w:jc w:val="center"/>
        <w:rPr>
          <w:b/>
          <w:sz w:val="28"/>
        </w:rPr>
      </w:pPr>
      <w:r>
        <w:rPr>
          <w:b/>
          <w:sz w:val="28"/>
        </w:rPr>
        <w:t>N</w:t>
      </w:r>
      <w:r w:rsidR="006F3FE9" w:rsidRPr="003B189B">
        <w:rPr>
          <w:b/>
          <w:sz w:val="28"/>
        </w:rPr>
        <w:t>oteikumu projekta</w:t>
      </w:r>
      <w:r>
        <w:rPr>
          <w:b/>
          <w:sz w:val="28"/>
        </w:rPr>
        <w:t xml:space="preserve"> "</w:t>
      </w:r>
      <w:r w:rsidR="006F3FE9" w:rsidRPr="003B189B">
        <w:rPr>
          <w:b/>
          <w:sz w:val="28"/>
        </w:rPr>
        <w:t>Grozījum</w:t>
      </w:r>
      <w:r w:rsidR="00CF1FFE" w:rsidRPr="003B189B">
        <w:rPr>
          <w:b/>
          <w:sz w:val="28"/>
        </w:rPr>
        <w:t>i</w:t>
      </w:r>
      <w:r w:rsidR="006F3FE9" w:rsidRPr="003B189B">
        <w:rPr>
          <w:b/>
          <w:sz w:val="28"/>
        </w:rPr>
        <w:t xml:space="preserve"> </w:t>
      </w:r>
      <w:r w:rsidR="00171CB8" w:rsidRPr="003B189B">
        <w:rPr>
          <w:b/>
          <w:sz w:val="28"/>
        </w:rPr>
        <w:t xml:space="preserve">Ministru kabineta 2008.gada </w:t>
      </w:r>
      <w:r w:rsidR="00D4023B" w:rsidRPr="003B189B">
        <w:rPr>
          <w:b/>
          <w:sz w:val="28"/>
        </w:rPr>
        <w:t>19.maija</w:t>
      </w:r>
      <w:r w:rsidR="00171CB8" w:rsidRPr="003B189B">
        <w:rPr>
          <w:b/>
          <w:sz w:val="28"/>
        </w:rPr>
        <w:t xml:space="preserve"> noteikumos Nr.</w:t>
      </w:r>
      <w:r w:rsidR="00D4023B" w:rsidRPr="003B189B">
        <w:rPr>
          <w:b/>
          <w:sz w:val="28"/>
        </w:rPr>
        <w:t>33</w:t>
      </w:r>
      <w:r w:rsidR="00171CB8" w:rsidRPr="003B189B">
        <w:rPr>
          <w:b/>
          <w:sz w:val="28"/>
        </w:rPr>
        <w:t xml:space="preserve">3 </w:t>
      </w:r>
      <w:r>
        <w:rPr>
          <w:b/>
          <w:sz w:val="28"/>
        </w:rPr>
        <w:t>"</w:t>
      </w:r>
      <w:r w:rsidR="00171CB8" w:rsidRPr="003B189B">
        <w:rPr>
          <w:b/>
          <w:sz w:val="28"/>
        </w:rPr>
        <w:t xml:space="preserve">Noteikumi par darbības programmas </w:t>
      </w:r>
      <w:r>
        <w:rPr>
          <w:b/>
          <w:sz w:val="28"/>
        </w:rPr>
        <w:t>"</w:t>
      </w:r>
      <w:r w:rsidR="00171CB8" w:rsidRPr="003B189B">
        <w:rPr>
          <w:b/>
          <w:sz w:val="28"/>
        </w:rPr>
        <w:t>Cilvēkresursi un nodarbinātība</w:t>
      </w:r>
      <w:r>
        <w:rPr>
          <w:b/>
          <w:sz w:val="28"/>
        </w:rPr>
        <w:t>"</w:t>
      </w:r>
      <w:r w:rsidR="00171CB8" w:rsidRPr="003B189B">
        <w:rPr>
          <w:b/>
          <w:sz w:val="28"/>
        </w:rPr>
        <w:t xml:space="preserve"> papildinājuma aktivitāti </w:t>
      </w:r>
      <w:r>
        <w:rPr>
          <w:b/>
          <w:sz w:val="28"/>
        </w:rPr>
        <w:t>"</w:t>
      </w:r>
      <w:r w:rsidR="00D4023B" w:rsidRPr="003B189B">
        <w:rPr>
          <w:b/>
          <w:sz w:val="28"/>
        </w:rPr>
        <w:t>Administratīvo šķēršļu samazināšana un publisko pakalpojumu kvalitātes uzlabošana</w:t>
      </w:r>
      <w:r>
        <w:rPr>
          <w:b/>
          <w:sz w:val="28"/>
        </w:rPr>
        <w:t>"""</w:t>
      </w:r>
      <w:r w:rsidR="00171CB8" w:rsidRPr="003B189B">
        <w:rPr>
          <w:b/>
          <w:sz w:val="28"/>
        </w:rPr>
        <w:t xml:space="preserve"> </w:t>
      </w:r>
      <w:r w:rsidR="00852042" w:rsidRPr="003B189B">
        <w:rPr>
          <w:b/>
          <w:sz w:val="28"/>
        </w:rPr>
        <w:t>sākotnējā</w:t>
      </w:r>
      <w:r w:rsidR="002D3306" w:rsidRPr="003B189B">
        <w:rPr>
          <w:b/>
          <w:sz w:val="28"/>
        </w:rPr>
        <w:t>s</w:t>
      </w:r>
      <w:r w:rsidR="00852042" w:rsidRPr="003B189B">
        <w:rPr>
          <w:b/>
          <w:sz w:val="28"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3B189B">
          <w:rPr>
            <w:b/>
            <w:sz w:val="28"/>
          </w:rPr>
          <w:t>ziņojums</w:t>
        </w:r>
      </w:smartTag>
      <w:r w:rsidR="00852042" w:rsidRPr="003B189B">
        <w:rPr>
          <w:b/>
          <w:sz w:val="28"/>
        </w:rPr>
        <w:t xml:space="preserve"> (anotācija)</w:t>
      </w:r>
    </w:p>
    <w:p w14:paraId="5FDCC34A" w14:textId="77777777" w:rsidR="001D3D25" w:rsidRPr="00893256" w:rsidRDefault="001D3D25" w:rsidP="003B189B">
      <w:pPr>
        <w:rPr>
          <w:b/>
        </w:rPr>
      </w:pPr>
    </w:p>
    <w:tbl>
      <w:tblPr>
        <w:tblpPr w:leftFromText="180" w:rightFromText="180" w:vertAnchor="text" w:horzAnchor="margin" w:tblpXSpec="center" w:tblpY="149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65"/>
        <w:gridCol w:w="5760"/>
      </w:tblGrid>
      <w:tr w:rsidR="00852042" w:rsidRPr="00DE1B21" w14:paraId="5FDCC34C" w14:textId="77777777" w:rsidTr="00B960BC">
        <w:tc>
          <w:tcPr>
            <w:tcW w:w="9185" w:type="dxa"/>
            <w:gridSpan w:val="3"/>
            <w:vAlign w:val="center"/>
          </w:tcPr>
          <w:p w14:paraId="5FDCC34B" w14:textId="77777777" w:rsidR="00852042" w:rsidRPr="00DE1B21" w:rsidRDefault="00852042" w:rsidP="003B189B">
            <w:pPr>
              <w:pStyle w:val="naisnod"/>
              <w:spacing w:before="0" w:after="0"/>
            </w:pPr>
            <w:r w:rsidRPr="00DE1B21">
              <w:t>I</w:t>
            </w:r>
            <w:r w:rsidR="000941C5" w:rsidRPr="00DE1B21">
              <w:t>.</w:t>
            </w:r>
            <w:r w:rsidRPr="00DE1B21">
              <w:t xml:space="preserve"> Tiesību akta </w:t>
            </w:r>
            <w:r w:rsidR="002E3FF4" w:rsidRPr="00DE1B21">
              <w:t xml:space="preserve">projekta </w:t>
            </w:r>
            <w:r w:rsidRPr="00DE1B21">
              <w:t>izstrādes nepieciešamība</w:t>
            </w:r>
          </w:p>
        </w:tc>
      </w:tr>
      <w:tr w:rsidR="00262E2B" w:rsidRPr="00DE1B21" w14:paraId="5FDCC350" w14:textId="77777777" w:rsidTr="00B960BC">
        <w:trPr>
          <w:trHeight w:val="630"/>
        </w:trPr>
        <w:tc>
          <w:tcPr>
            <w:tcW w:w="360" w:type="dxa"/>
          </w:tcPr>
          <w:p w14:paraId="5FDCC34D" w14:textId="77777777" w:rsidR="00262E2B" w:rsidRPr="00DE1B21" w:rsidRDefault="00262E2B" w:rsidP="003B189B">
            <w:pPr>
              <w:pStyle w:val="naiskr"/>
              <w:spacing w:before="0" w:after="0"/>
            </w:pPr>
            <w:r w:rsidRPr="00DE1B21">
              <w:t>1.</w:t>
            </w:r>
          </w:p>
        </w:tc>
        <w:tc>
          <w:tcPr>
            <w:tcW w:w="3065" w:type="dxa"/>
          </w:tcPr>
          <w:p w14:paraId="5FDCC34E" w14:textId="77777777" w:rsidR="00262E2B" w:rsidRPr="00DE1B21" w:rsidRDefault="002D7F54" w:rsidP="003B189B">
            <w:pPr>
              <w:pStyle w:val="naiskr"/>
              <w:spacing w:before="0" w:after="0"/>
              <w:ind w:hanging="10"/>
            </w:pPr>
            <w:r w:rsidRPr="00DE1B21">
              <w:t>Pamatojums</w:t>
            </w:r>
          </w:p>
        </w:tc>
        <w:tc>
          <w:tcPr>
            <w:tcW w:w="5760" w:type="dxa"/>
          </w:tcPr>
          <w:p w14:paraId="5FDCC34F" w14:textId="2772A7AB" w:rsidR="00871D2C" w:rsidRPr="00AF6FC3" w:rsidRDefault="00A72278" w:rsidP="000019DD">
            <w:pPr>
              <w:pStyle w:val="naiskr"/>
              <w:tabs>
                <w:tab w:val="left" w:pos="5652"/>
              </w:tabs>
              <w:spacing w:before="0" w:after="0"/>
              <w:ind w:left="124" w:right="170"/>
              <w:jc w:val="both"/>
            </w:pPr>
            <w:r w:rsidRPr="00AF6FC3">
              <w:t>Noteikumu projekts</w:t>
            </w:r>
            <w:r w:rsidR="0039185A" w:rsidRPr="00AF6FC3">
              <w:t xml:space="preserve"> </w:t>
            </w:r>
            <w:r w:rsidR="000019DD">
              <w:t>''</w:t>
            </w:r>
            <w:r w:rsidR="00915045" w:rsidRPr="00AF6FC3">
              <w:t>Grozījum</w:t>
            </w:r>
            <w:r w:rsidR="00CF1FFE">
              <w:t>i</w:t>
            </w:r>
            <w:r w:rsidR="00915045" w:rsidRPr="00AF6FC3">
              <w:t xml:space="preserve"> Ministru kabineta 2008.gada </w:t>
            </w:r>
            <w:r w:rsidR="00D4023B" w:rsidRPr="00AF6FC3">
              <w:t>19.maija</w:t>
            </w:r>
            <w:r w:rsidR="00915045" w:rsidRPr="00AF6FC3">
              <w:t xml:space="preserve"> noteikumos Nr.</w:t>
            </w:r>
            <w:r w:rsidR="00D4023B" w:rsidRPr="00AF6FC3">
              <w:t>33</w:t>
            </w:r>
            <w:r w:rsidR="00915045" w:rsidRPr="00AF6FC3">
              <w:t xml:space="preserve">3 </w:t>
            </w:r>
            <w:bookmarkStart w:id="0" w:name="OLE_LINK1"/>
            <w:bookmarkStart w:id="1" w:name="OLE_LINK2"/>
            <w:r w:rsidR="000019DD">
              <w:t>''</w:t>
            </w:r>
            <w:r w:rsidR="00915045" w:rsidRPr="00AF6FC3">
              <w:t xml:space="preserve">Noteikumi par darbības programmas </w:t>
            </w:r>
            <w:r w:rsidR="000019DD">
              <w:t>"</w:t>
            </w:r>
            <w:r w:rsidR="00915045" w:rsidRPr="00AF6FC3">
              <w:t>Cilvēkresursi un nodarbinātība</w:t>
            </w:r>
            <w:r w:rsidR="000019DD">
              <w:t>"</w:t>
            </w:r>
            <w:r w:rsidR="00915045" w:rsidRPr="00AF6FC3">
              <w:t xml:space="preserve"> papildinājuma aktivitāti </w:t>
            </w:r>
            <w:r w:rsidR="000019DD">
              <w:t>"</w:t>
            </w:r>
            <w:r w:rsidR="00D4023B" w:rsidRPr="00AF6FC3">
              <w:t>Administratīvo šķēršļu samazināšana un publisko pakalpojumu kvalitātes uzlabošana</w:t>
            </w:r>
            <w:r w:rsidR="000019DD">
              <w:t>"</w:t>
            </w:r>
            <w:bookmarkEnd w:id="0"/>
            <w:bookmarkEnd w:id="1"/>
            <w:r w:rsidR="000019DD">
              <w:t>""</w:t>
            </w:r>
            <w:r w:rsidR="00915045" w:rsidRPr="00AF6FC3">
              <w:t xml:space="preserve"> (turpmāk – noteikumu projekts) </w:t>
            </w:r>
            <w:r w:rsidR="0039185A" w:rsidRPr="00AF6FC3">
              <w:t>sagatavots</w:t>
            </w:r>
            <w:r w:rsidR="00DE1B21" w:rsidRPr="00AF6FC3">
              <w:t>, lai</w:t>
            </w:r>
            <w:r w:rsidR="005F12AE" w:rsidRPr="00AF6FC3">
              <w:t xml:space="preserve"> </w:t>
            </w:r>
            <w:r w:rsidR="00333468" w:rsidRPr="00AF6FC3">
              <w:t xml:space="preserve">nodrošinātu </w:t>
            </w:r>
            <w:r w:rsidR="001D3D25" w:rsidRPr="00AF6FC3">
              <w:t>darbības programmas</w:t>
            </w:r>
            <w:r w:rsidR="00333468" w:rsidRPr="00AF6FC3">
              <w:t xml:space="preserve"> </w:t>
            </w:r>
            <w:r w:rsidR="000019DD">
              <w:t>pa</w:t>
            </w:r>
            <w:r w:rsidR="000019DD">
              <w:softHyphen/>
            </w:r>
            <w:r w:rsidR="001D3D25" w:rsidRPr="00AF6FC3">
              <w:t>pildi</w:t>
            </w:r>
            <w:r w:rsidR="000019DD">
              <w:softHyphen/>
            </w:r>
            <w:r w:rsidR="000019DD">
              <w:softHyphen/>
            </w:r>
            <w:r w:rsidR="001D3D25" w:rsidRPr="00AF6FC3">
              <w:t>nājum</w:t>
            </w:r>
            <w:r w:rsidR="00A73C72" w:rsidRPr="00AF6FC3">
              <w:t>a</w:t>
            </w:r>
            <w:r w:rsidR="001D3D25" w:rsidRPr="00AF6FC3">
              <w:t xml:space="preserve"> </w:t>
            </w:r>
            <w:r w:rsidR="000019DD">
              <w:t>"</w:t>
            </w:r>
            <w:r w:rsidR="00333468" w:rsidRPr="00AF6FC3">
              <w:t xml:space="preserve">Cilvēkresursi un </w:t>
            </w:r>
            <w:proofErr w:type="gramStart"/>
            <w:r w:rsidR="00333468" w:rsidRPr="00AF6FC3">
              <w:t>nodarbinātība</w:t>
            </w:r>
            <w:proofErr w:type="gramEnd"/>
            <w:r w:rsidR="000019DD">
              <w:t>"</w:t>
            </w:r>
            <w:r w:rsidR="001D3D25" w:rsidRPr="00AF6FC3">
              <w:t xml:space="preserve"> </w:t>
            </w:r>
            <w:r w:rsidR="00AF6FC3" w:rsidRPr="00AF6FC3">
              <w:rPr>
                <w:color w:val="2A2A2A"/>
              </w:rPr>
              <w:t xml:space="preserve">pasākuma </w:t>
            </w:r>
            <w:r w:rsidR="000019DD">
              <w:rPr>
                <w:color w:val="2A2A2A"/>
              </w:rPr>
              <w:t>"</w:t>
            </w:r>
            <w:r w:rsidR="00AF6FC3" w:rsidRPr="00AF6FC3">
              <w:rPr>
                <w:color w:val="2A2A2A"/>
              </w:rPr>
              <w:t>Labāka regulējuma politika</w:t>
            </w:r>
            <w:r w:rsidR="000019DD">
              <w:rPr>
                <w:color w:val="2A2A2A"/>
              </w:rPr>
              <w:t>"</w:t>
            </w:r>
            <w:r w:rsidR="00AF6FC3" w:rsidRPr="00AF6FC3">
              <w:rPr>
                <w:color w:val="2A2A2A"/>
              </w:rPr>
              <w:t xml:space="preserve"> un pasākuma </w:t>
            </w:r>
            <w:r w:rsidR="000019DD">
              <w:rPr>
                <w:color w:val="2A2A2A"/>
              </w:rPr>
              <w:t>"</w:t>
            </w:r>
            <w:r w:rsidR="00AF6FC3" w:rsidRPr="00AF6FC3">
              <w:rPr>
                <w:color w:val="2A2A2A"/>
              </w:rPr>
              <w:t>Cilvēk</w:t>
            </w:r>
            <w:r w:rsidR="000019DD">
              <w:rPr>
                <w:color w:val="2A2A2A"/>
              </w:rPr>
              <w:softHyphen/>
            </w:r>
            <w:r w:rsidR="00AF6FC3" w:rsidRPr="00AF6FC3">
              <w:rPr>
                <w:color w:val="2A2A2A"/>
              </w:rPr>
              <w:t>resursu kapacitātes stiprināšana</w:t>
            </w:r>
            <w:r w:rsidR="000019DD">
              <w:rPr>
                <w:color w:val="2A2A2A"/>
              </w:rPr>
              <w:t>"</w:t>
            </w:r>
            <w:r w:rsidR="00AF6FC3" w:rsidRPr="00AF6FC3">
              <w:rPr>
                <w:color w:val="2A2A2A"/>
              </w:rPr>
              <w:t xml:space="preserve"> </w:t>
            </w:r>
            <w:r w:rsidR="001D3D25" w:rsidRPr="00AF6FC3">
              <w:t>Valsts kanceleja</w:t>
            </w:r>
            <w:r w:rsidR="00655455" w:rsidRPr="00AF6FC3">
              <w:t xml:space="preserve">s administrēto aktivitāšu </w:t>
            </w:r>
            <w:r w:rsidR="00E03BA7" w:rsidRPr="00AF6FC3">
              <w:t>finansējuma pilnīgu apguvi</w:t>
            </w:r>
            <w:r w:rsidR="00A73C72" w:rsidRPr="00AF6FC3">
              <w:t>, veicot finansējuma pārdali starp aktivitātēm</w:t>
            </w:r>
          </w:p>
        </w:tc>
      </w:tr>
      <w:tr w:rsidR="00262E2B" w:rsidRPr="00DE1B21" w14:paraId="5FDCC359" w14:textId="77777777" w:rsidTr="00B960BC">
        <w:trPr>
          <w:trHeight w:val="472"/>
        </w:trPr>
        <w:tc>
          <w:tcPr>
            <w:tcW w:w="360" w:type="dxa"/>
          </w:tcPr>
          <w:p w14:paraId="5FDCC351" w14:textId="77777777" w:rsidR="00262E2B" w:rsidRPr="00DE1B21" w:rsidRDefault="00262E2B" w:rsidP="003B189B">
            <w:pPr>
              <w:pStyle w:val="naiskr"/>
              <w:spacing w:before="0" w:after="0"/>
            </w:pPr>
            <w:r w:rsidRPr="00DE1B21">
              <w:t>2.</w:t>
            </w:r>
          </w:p>
        </w:tc>
        <w:tc>
          <w:tcPr>
            <w:tcW w:w="3065" w:type="dxa"/>
          </w:tcPr>
          <w:p w14:paraId="5FDCC352" w14:textId="77777777" w:rsidR="00262E2B" w:rsidRPr="00DE1B21" w:rsidRDefault="00262E2B" w:rsidP="003B189B">
            <w:pPr>
              <w:pStyle w:val="naiskr"/>
              <w:tabs>
                <w:tab w:val="left" w:pos="170"/>
              </w:tabs>
              <w:spacing w:before="0" w:after="0"/>
            </w:pPr>
            <w:r w:rsidRPr="00DE1B21">
              <w:t>Pašreizējā situācija</w:t>
            </w:r>
            <w:r w:rsidR="001F5CD6" w:rsidRPr="00DE1B21">
              <w:t xml:space="preserve"> un problēmas</w:t>
            </w:r>
          </w:p>
        </w:tc>
        <w:tc>
          <w:tcPr>
            <w:tcW w:w="5760" w:type="dxa"/>
          </w:tcPr>
          <w:p w14:paraId="5FDCC353" w14:textId="2CFAA3D9" w:rsidR="00D75F9B" w:rsidRDefault="00CD77B6" w:rsidP="003B189B">
            <w:pPr>
              <w:pStyle w:val="Default"/>
              <w:ind w:left="124" w:right="108"/>
              <w:jc w:val="both"/>
            </w:pPr>
            <w:r w:rsidRPr="009F7338">
              <w:t xml:space="preserve">1.5.1.2.aktivitātē tiek īstenoti divi projekti – Valsts kancelejas projekts </w:t>
            </w:r>
            <w:r w:rsidR="000019DD">
              <w:t>"</w:t>
            </w:r>
            <w:r w:rsidR="009F7338" w:rsidRPr="009F7338">
              <w:t>Administratīvā sloga samazināšana un administratīvo procedūru vienkāršošana</w:t>
            </w:r>
            <w:r w:rsidR="000019DD">
              <w:t>"</w:t>
            </w:r>
            <w:r w:rsidR="00D75F9B">
              <w:t xml:space="preserve"> </w:t>
            </w:r>
            <w:r w:rsidRPr="009F7338">
              <w:t xml:space="preserve">un Vides aizsardzības un reģionālās attīstības ministrijas projekts </w:t>
            </w:r>
            <w:r w:rsidR="000019DD">
              <w:t>"</w:t>
            </w:r>
            <w:r w:rsidR="009F7338" w:rsidRPr="009F7338">
              <w:t>Publisko pakalpojumu sistēmas pilnveidošana</w:t>
            </w:r>
            <w:r w:rsidR="000019DD">
              <w:t>"</w:t>
            </w:r>
            <w:r w:rsidR="00765E1C">
              <w:t>.</w:t>
            </w:r>
          </w:p>
          <w:p w14:paraId="5FDCC354" w14:textId="6432B164" w:rsidR="003262AC" w:rsidRDefault="003262AC" w:rsidP="003B189B">
            <w:pPr>
              <w:ind w:left="124" w:right="108"/>
              <w:jc w:val="both"/>
            </w:pPr>
            <w:r w:rsidRPr="009F7338">
              <w:rPr>
                <w:color w:val="000000"/>
              </w:rPr>
              <w:t>1.5.1.2.a</w:t>
            </w:r>
            <w:r w:rsidRPr="009F7338">
              <w:t>ktivitātes ietvaros apstiprināto projektu īste</w:t>
            </w:r>
            <w:r w:rsidR="000019DD">
              <w:softHyphen/>
            </w:r>
            <w:r w:rsidRPr="009F7338">
              <w:t>nošana noslēdzas 2014.gadā. Izvērtējot līdzšinējo finansējuma apguvi aktivitātē, abu projektu aktivitāšu īstenošanas gaitu, iepirkumos noslēgto līgumsummu atšķirību no projekta budžetā plānotā finanšu apjoma attiecīgajā</w:t>
            </w:r>
            <w:r w:rsidR="00F12DF9">
              <w:t>s</w:t>
            </w:r>
            <w:r w:rsidRPr="009F7338">
              <w:t xml:space="preserve"> izdevumu pozīcijās un turpmāko projektu īstenošanas grafiku, Valsts kanceleja kā atbildīgā iestāde </w:t>
            </w:r>
            <w:r>
              <w:t xml:space="preserve">prognozē, ka </w:t>
            </w:r>
            <w:r w:rsidR="00CF3FE6">
              <w:t xml:space="preserve">finansējums </w:t>
            </w:r>
            <w:r>
              <w:t xml:space="preserve">aktivitātes </w:t>
            </w:r>
            <w:r w:rsidRPr="00765E1C">
              <w:t xml:space="preserve">ietvaros </w:t>
            </w:r>
            <w:r>
              <w:t>netiks apgūt</w:t>
            </w:r>
            <w:r w:rsidR="00CF3FE6">
              <w:t>s</w:t>
            </w:r>
            <w:r>
              <w:t xml:space="preserve">. Tādēļ Valsts kanceleja </w:t>
            </w:r>
            <w:r w:rsidR="003952B0">
              <w:t>aicināja projektu īste</w:t>
            </w:r>
            <w:r w:rsidR="000019DD">
              <w:softHyphen/>
            </w:r>
            <w:r w:rsidR="003952B0">
              <w:t>notājus izvērtēt finansējuma apguves riskus savos projektos.</w:t>
            </w:r>
          </w:p>
          <w:p w14:paraId="5FDCC355" w14:textId="3D9A82BB" w:rsidR="00CC59BF" w:rsidRDefault="00CC59BF" w:rsidP="003B189B">
            <w:pPr>
              <w:pStyle w:val="Default"/>
              <w:ind w:left="124" w:right="108"/>
              <w:jc w:val="both"/>
            </w:pPr>
            <w:r>
              <w:t xml:space="preserve">Vides aizsardzības un reģionālās attīstības ministrija </w:t>
            </w:r>
            <w:r w:rsidR="000019DD">
              <w:t>d</w:t>
            </w:r>
            <w:r>
              <w:t xml:space="preserve">arbības programmas </w:t>
            </w:r>
            <w:r w:rsidR="000019DD">
              <w:t>"</w:t>
            </w:r>
            <w:r>
              <w:t>Cilvēkresursi un nodarbinātība</w:t>
            </w:r>
            <w:r w:rsidR="000019DD">
              <w:t>"</w:t>
            </w:r>
            <w:r>
              <w:t xml:space="preserve"> papildinājuma 1.5.prioritātes </w:t>
            </w:r>
            <w:r w:rsidR="000019DD">
              <w:t>"</w:t>
            </w:r>
            <w:r>
              <w:t>Administratīvās kapa</w:t>
            </w:r>
            <w:r w:rsidR="000019DD">
              <w:softHyphen/>
            </w:r>
            <w:r>
              <w:t xml:space="preserve">citātes </w:t>
            </w:r>
            <w:proofErr w:type="gramStart"/>
            <w:r>
              <w:t>stiprināšana</w:t>
            </w:r>
            <w:proofErr w:type="gramEnd"/>
            <w:r w:rsidR="000019DD">
              <w:t>"</w:t>
            </w:r>
            <w:r>
              <w:t xml:space="preserve"> 1.5.1.pasākuma </w:t>
            </w:r>
            <w:r w:rsidR="000019DD">
              <w:t>"</w:t>
            </w:r>
            <w:r>
              <w:t>Labāka regulējuma politika</w:t>
            </w:r>
            <w:r w:rsidR="000019DD">
              <w:t>"</w:t>
            </w:r>
            <w:r>
              <w:t xml:space="preserve"> un 1.5.2.pasākuma </w:t>
            </w:r>
            <w:r w:rsidR="000019DD">
              <w:t>"</w:t>
            </w:r>
            <w:r>
              <w:rPr>
                <w:rStyle w:val="apple-style-span"/>
              </w:rPr>
              <w:t>Cilvēkresursu kapacitātes stiprināšana</w:t>
            </w:r>
            <w:r w:rsidR="000019DD">
              <w:t>"</w:t>
            </w:r>
            <w:r>
              <w:t xml:space="preserve"> uzraudzības komitejas </w:t>
            </w:r>
            <w:r w:rsidR="000019DD">
              <w:t xml:space="preserve">2012.gada 21.novembra </w:t>
            </w:r>
            <w:r>
              <w:t>sēdē izteica priekšlikumu samazināt nepa</w:t>
            </w:r>
            <w:r w:rsidR="000019DD">
              <w:softHyphen/>
            </w:r>
            <w:r>
              <w:t xml:space="preserve">redzēto izmaksu pozīciju </w:t>
            </w:r>
            <w:r w:rsidR="00F12DF9">
              <w:t>apmēru</w:t>
            </w:r>
            <w:r>
              <w:t xml:space="preserve"> par 45 000</w:t>
            </w:r>
            <w:r w:rsidR="000019DD">
              <w:t xml:space="preserve"> </w:t>
            </w:r>
            <w:r>
              <w:t>LVL.</w:t>
            </w:r>
          </w:p>
          <w:p w14:paraId="5FDCC356" w14:textId="2713B88C" w:rsidR="00BC0593" w:rsidRDefault="00BC0593" w:rsidP="003B189B">
            <w:pPr>
              <w:ind w:left="124" w:right="108"/>
              <w:jc w:val="both"/>
            </w:pPr>
            <w:r>
              <w:t>Šo finansējuma daļu Vals</w:t>
            </w:r>
            <w:r w:rsidR="00243467">
              <w:t>ts kanceleja piedāvā pārdalīt</w:t>
            </w:r>
            <w:r>
              <w:t xml:space="preserve"> 1.5.2.2.2.apakšaktiv</w:t>
            </w:r>
            <w:r w:rsidR="00243467">
              <w:t>itātes</w:t>
            </w:r>
            <w:r>
              <w:t xml:space="preserve"> </w:t>
            </w:r>
            <w:r w:rsidR="000019DD">
              <w:t>"</w:t>
            </w:r>
            <w:r w:rsidRPr="009A217A">
              <w:rPr>
                <w:bCs/>
              </w:rPr>
              <w:t>Nevalstisko organizāciju administratīvās kapacitātes stiprināšana</w:t>
            </w:r>
            <w:r w:rsidR="000019DD">
              <w:rPr>
                <w:bCs/>
              </w:rPr>
              <w:t>"</w:t>
            </w:r>
            <w:r>
              <w:rPr>
                <w:bCs/>
              </w:rPr>
              <w:t xml:space="preserve"> trešās atklātās projektu iesniegumu atlases projektu iesniegumu apstiprināšanai, ņemot vērā, ka atlases ietvaros tika iesniegti 249 projekti par kopējo attiecināmo izmaksu summu, kas </w:t>
            </w:r>
            <w:r w:rsidR="000019DD">
              <w:rPr>
                <w:bCs/>
              </w:rPr>
              <w:t>septiņas</w:t>
            </w:r>
            <w:r>
              <w:rPr>
                <w:bCs/>
              </w:rPr>
              <w:t xml:space="preserve"> reizes pārsniedza atlasē pieejamo </w:t>
            </w:r>
            <w:r>
              <w:rPr>
                <w:bCs/>
              </w:rPr>
              <w:lastRenderedPageBreak/>
              <w:t>finansējumu, un 129 projektu iesniegumus nācās noraidīt nepietiekama finansējuma dēļ.</w:t>
            </w:r>
          </w:p>
          <w:p w14:paraId="5FDCC357" w14:textId="06BF4181" w:rsidR="0001657A" w:rsidRDefault="006E59F0" w:rsidP="003B189B">
            <w:pPr>
              <w:ind w:left="124" w:right="108"/>
              <w:jc w:val="both"/>
            </w:pPr>
            <w:r w:rsidRPr="00423719">
              <w:t xml:space="preserve">Lai </w:t>
            </w:r>
            <w:r w:rsidR="00117A69">
              <w:t xml:space="preserve">Vides aizsardzības un reģionālās attīstības ministrija varētu veikt grozījumus projektā </w:t>
            </w:r>
            <w:r w:rsidR="0001657A">
              <w:t xml:space="preserve">un samazināt </w:t>
            </w:r>
            <w:r w:rsidR="00117A69">
              <w:t xml:space="preserve">finansējuma </w:t>
            </w:r>
            <w:r w:rsidR="0001657A">
              <w:t>apjomu</w:t>
            </w:r>
            <w:r w:rsidR="00117A69">
              <w:t>, vispirms ir jāveic grozījum</w:t>
            </w:r>
            <w:r w:rsidR="00CF1FFE">
              <w:t>i</w:t>
            </w:r>
            <w:proofErr w:type="gramStart"/>
            <w:r w:rsidR="00117A69" w:rsidRPr="00AF6FC3">
              <w:t xml:space="preserve"> </w:t>
            </w:r>
            <w:r w:rsidR="00F5618C" w:rsidRPr="00AF6FC3">
              <w:t xml:space="preserve"> </w:t>
            </w:r>
            <w:proofErr w:type="gramEnd"/>
            <w:r w:rsidR="00F5618C" w:rsidRPr="00AF6FC3">
              <w:t xml:space="preserve">Ministru kabineta </w:t>
            </w:r>
            <w:r w:rsidR="00117A69" w:rsidRPr="00AF6FC3">
              <w:t xml:space="preserve">2008.gada 19.maija noteikumos Nr.333 </w:t>
            </w:r>
            <w:r w:rsidR="000019DD">
              <w:t>"</w:t>
            </w:r>
            <w:r w:rsidR="00117A69" w:rsidRPr="00AF6FC3">
              <w:t xml:space="preserve">Noteikumi par darbības programmas </w:t>
            </w:r>
            <w:r w:rsidR="000019DD">
              <w:t>"</w:t>
            </w:r>
            <w:r w:rsidR="00117A69" w:rsidRPr="00AF6FC3">
              <w:t>Cilvēkresursi un nodarbinātība</w:t>
            </w:r>
            <w:r w:rsidR="000019DD">
              <w:t>"</w:t>
            </w:r>
            <w:r w:rsidR="00117A69" w:rsidRPr="00AF6FC3">
              <w:t xml:space="preserve"> papildinājuma aktivitāti </w:t>
            </w:r>
            <w:r w:rsidR="000019DD">
              <w:t>"</w:t>
            </w:r>
            <w:r w:rsidR="00117A69" w:rsidRPr="00AF6FC3">
              <w:t>Administratīvo šķēršļu samazināšana un publisko pakalpojumu kvalitātes uzlabošana</w:t>
            </w:r>
            <w:r w:rsidR="000019DD">
              <w:t>""</w:t>
            </w:r>
            <w:r w:rsidR="00CF1DBC">
              <w:t xml:space="preserve"> (turpmāk – MK noteikum</w:t>
            </w:r>
            <w:r w:rsidR="000019DD">
              <w:t>i</w:t>
            </w:r>
            <w:r w:rsidR="00CF1DBC">
              <w:t xml:space="preserve"> Nr.333)</w:t>
            </w:r>
            <w:r w:rsidR="00117A69">
              <w:t xml:space="preserve"> </w:t>
            </w:r>
            <w:r w:rsidR="0001657A">
              <w:t xml:space="preserve">attiecībā uz minimālo kopējo attiecināmo izmaksu summu. </w:t>
            </w:r>
          </w:p>
          <w:p w14:paraId="5FDCC358" w14:textId="7240AAA8" w:rsidR="001E405C" w:rsidRPr="00692F44" w:rsidRDefault="0001657A" w:rsidP="000019DD">
            <w:pPr>
              <w:ind w:left="124" w:right="108"/>
              <w:jc w:val="both"/>
            </w:pPr>
            <w:r w:rsidRPr="00423719">
              <w:t xml:space="preserve">Lai gan projekta minimālā kopējā attiecināmo izmaksu summa ir noteikta projekta iesnieguma vērtēšanas kritērijos (34.kritērijs), izmaiņas vērtēšanas kritērijos </w:t>
            </w:r>
            <w:r>
              <w:t>atbilstoši Finanšu ministrijas kā vadošās iestādes sniegtajam atzinumam par 1.5.1.2.aktivitātes projektu iesniegumu vērtēšanas kritēriju virzīšanu saskaņošanai Uzraudzības komitejas rakstiskajā procedūrā (10.10.2012</w:t>
            </w:r>
            <w:r w:rsidR="00F5618C">
              <w:t>.</w:t>
            </w:r>
            <w:r>
              <w:t xml:space="preserve"> nr.21-1-01/6598) </w:t>
            </w:r>
            <w:r w:rsidRPr="00423719">
              <w:t>netiek veiktas, ņemot vērā, ka 1.5.1.2.aktivitātē jauna projektu iesniegumu atlase netiek plānota</w:t>
            </w:r>
            <w:r>
              <w:t xml:space="preserve"> un projektu iesniegumi netiks vērtēti</w:t>
            </w:r>
          </w:p>
        </w:tc>
      </w:tr>
      <w:tr w:rsidR="00262E2B" w:rsidRPr="00DE1B21" w14:paraId="5FDCC35D" w14:textId="77777777" w:rsidTr="00B960BC">
        <w:trPr>
          <w:trHeight w:val="545"/>
        </w:trPr>
        <w:tc>
          <w:tcPr>
            <w:tcW w:w="360" w:type="dxa"/>
          </w:tcPr>
          <w:p w14:paraId="5FDCC35A" w14:textId="77777777" w:rsidR="00262E2B" w:rsidRPr="00DE1B21" w:rsidRDefault="00262E2B" w:rsidP="003B189B">
            <w:pPr>
              <w:pStyle w:val="naiskr"/>
              <w:spacing w:before="0" w:after="0"/>
            </w:pPr>
            <w:r w:rsidRPr="00DE1B21">
              <w:lastRenderedPageBreak/>
              <w:t>3.</w:t>
            </w:r>
          </w:p>
        </w:tc>
        <w:tc>
          <w:tcPr>
            <w:tcW w:w="3065" w:type="dxa"/>
          </w:tcPr>
          <w:p w14:paraId="5FDCC35B" w14:textId="77777777" w:rsidR="00262E2B" w:rsidRPr="00DE1B21" w:rsidRDefault="00420870" w:rsidP="003B189B">
            <w:pPr>
              <w:pStyle w:val="naiskr"/>
              <w:spacing w:before="0" w:after="0"/>
            </w:pPr>
            <w:r w:rsidRPr="00DE1B21">
              <w:t>S</w:t>
            </w:r>
            <w:r w:rsidR="000B69CF" w:rsidRPr="00DE1B21">
              <w:t xml:space="preserve">aistītie </w:t>
            </w:r>
            <w:r w:rsidR="001A6AE4" w:rsidRPr="00DE1B21">
              <w:t>politikas ietekmes novērtējumi</w:t>
            </w:r>
            <w:r w:rsidR="00CB0247" w:rsidRPr="00DE1B21">
              <w:t xml:space="preserve"> un</w:t>
            </w:r>
            <w:r w:rsidR="001A6AE4" w:rsidRPr="00DE1B21">
              <w:t xml:space="preserve"> </w:t>
            </w:r>
            <w:r w:rsidR="000B69CF" w:rsidRPr="00DE1B21">
              <w:t>pētījumi</w:t>
            </w:r>
          </w:p>
        </w:tc>
        <w:tc>
          <w:tcPr>
            <w:tcW w:w="5760" w:type="dxa"/>
          </w:tcPr>
          <w:p w14:paraId="5FDCC35C" w14:textId="77777777" w:rsidR="00D20FF4" w:rsidRPr="006274DE" w:rsidRDefault="006274DE" w:rsidP="003B189B">
            <w:pPr>
              <w:pStyle w:val="naiskr"/>
              <w:spacing w:before="0" w:after="0"/>
              <w:ind w:left="180"/>
              <w:rPr>
                <w:iCs/>
              </w:rPr>
            </w:pPr>
            <w:r>
              <w:t>Nav attiecināms</w:t>
            </w:r>
          </w:p>
        </w:tc>
      </w:tr>
      <w:tr w:rsidR="00262E2B" w:rsidRPr="00DE1B21" w14:paraId="5FDCC361" w14:textId="77777777" w:rsidTr="00B960BC">
        <w:trPr>
          <w:trHeight w:val="384"/>
        </w:trPr>
        <w:tc>
          <w:tcPr>
            <w:tcW w:w="360" w:type="dxa"/>
          </w:tcPr>
          <w:p w14:paraId="5FDCC35E" w14:textId="77777777" w:rsidR="00262E2B" w:rsidRPr="00DE1B21" w:rsidRDefault="00262E2B" w:rsidP="003B189B">
            <w:pPr>
              <w:pStyle w:val="naiskr"/>
              <w:spacing w:before="0" w:after="0"/>
            </w:pPr>
            <w:r w:rsidRPr="00DE1B21">
              <w:t>4.</w:t>
            </w:r>
          </w:p>
        </w:tc>
        <w:tc>
          <w:tcPr>
            <w:tcW w:w="3065" w:type="dxa"/>
          </w:tcPr>
          <w:p w14:paraId="5FDCC35F" w14:textId="77777777" w:rsidR="00262E2B" w:rsidRPr="00DE1B21" w:rsidRDefault="000C790C" w:rsidP="003B189B">
            <w:pPr>
              <w:pStyle w:val="naiskr"/>
              <w:spacing w:before="0" w:after="0"/>
            </w:pPr>
            <w:r w:rsidRPr="00DE1B21">
              <w:t>Tiesiskā r</w:t>
            </w:r>
            <w:r w:rsidR="00400032" w:rsidRPr="00DE1B21">
              <w:t xml:space="preserve">egulējuma </w:t>
            </w:r>
            <w:r w:rsidR="00262E2B" w:rsidRPr="00DE1B21">
              <w:t>mērķis un būtība</w:t>
            </w:r>
          </w:p>
        </w:tc>
        <w:tc>
          <w:tcPr>
            <w:tcW w:w="5760" w:type="dxa"/>
          </w:tcPr>
          <w:p w14:paraId="5FDCC360" w14:textId="2314EE49" w:rsidR="009115A1" w:rsidRPr="00AD0220" w:rsidRDefault="00AF5348" w:rsidP="00563F5A">
            <w:pPr>
              <w:pStyle w:val="naiskr"/>
              <w:spacing w:before="0" w:after="0"/>
              <w:ind w:left="180" w:right="180"/>
              <w:jc w:val="both"/>
              <w:rPr>
                <w:highlight w:val="yellow"/>
              </w:rPr>
            </w:pPr>
            <w:r w:rsidRPr="00F409A2">
              <w:t>Noteikumu projekts paredz veikt grozījumu</w:t>
            </w:r>
            <w:r w:rsidR="00CF1FFE">
              <w:t>s</w:t>
            </w:r>
            <w:r w:rsidRPr="00F409A2">
              <w:t xml:space="preserve"> M</w:t>
            </w:r>
            <w:r w:rsidR="00CF1DBC">
              <w:t>K noteikum</w:t>
            </w:r>
            <w:r w:rsidR="001975A4">
              <w:t>u</w:t>
            </w:r>
            <w:r w:rsidR="00CF1DBC">
              <w:t xml:space="preserve"> </w:t>
            </w:r>
            <w:r w:rsidRPr="00F409A2">
              <w:t>Nr.</w:t>
            </w:r>
            <w:r w:rsidR="008D7A0A" w:rsidRPr="00F409A2">
              <w:t>33</w:t>
            </w:r>
            <w:r w:rsidRPr="00F409A2">
              <w:t>3</w:t>
            </w:r>
            <w:r w:rsidR="007A151C">
              <w:t xml:space="preserve"> 1</w:t>
            </w:r>
            <w:r w:rsidR="00CF1FFE">
              <w:t>5</w:t>
            </w:r>
            <w:r w:rsidR="007A151C">
              <w:t>.punktā</w:t>
            </w:r>
            <w:r w:rsidR="00CF1FFE">
              <w:t xml:space="preserve"> un papildināt </w:t>
            </w:r>
            <w:r w:rsidR="0057506C">
              <w:t xml:space="preserve">tos </w:t>
            </w:r>
            <w:r w:rsidR="00CF1DBC">
              <w:t xml:space="preserve">ar </w:t>
            </w:r>
            <w:r w:rsidR="000019DD">
              <w:br/>
            </w:r>
            <w:r w:rsidR="00CF1DBC">
              <w:t>16.</w:t>
            </w:r>
            <w:r w:rsidR="00CF1DBC" w:rsidRPr="00CF1DBC">
              <w:rPr>
                <w:vertAlign w:val="superscript"/>
              </w:rPr>
              <w:t>1</w:t>
            </w:r>
            <w:r w:rsidR="00CF1DBC">
              <w:t xml:space="preserve"> un 16.</w:t>
            </w:r>
            <w:r w:rsidR="00CF1DBC" w:rsidRPr="00CF1DBC">
              <w:rPr>
                <w:vertAlign w:val="superscript"/>
              </w:rPr>
              <w:t>2</w:t>
            </w:r>
            <w:r w:rsidR="000019DD">
              <w:rPr>
                <w:vertAlign w:val="superscript"/>
              </w:rPr>
              <w:t> </w:t>
            </w:r>
            <w:r w:rsidR="0057506C">
              <w:t>punktu</w:t>
            </w:r>
            <w:r w:rsidR="00CF1DBC" w:rsidRPr="00CF1DBC">
              <w:t>,</w:t>
            </w:r>
            <w:r w:rsidR="00840B5B" w:rsidRPr="00CF1DBC">
              <w:t xml:space="preserve"> </w:t>
            </w:r>
            <w:r w:rsidR="00D2248E">
              <w:t xml:space="preserve">samazinot </w:t>
            </w:r>
            <w:r w:rsidR="00710EEF">
              <w:t xml:space="preserve">projekta minimālo </w:t>
            </w:r>
            <w:r w:rsidR="00D2248E">
              <w:t>kopējo atti</w:t>
            </w:r>
            <w:r w:rsidR="00710EEF">
              <w:t>e</w:t>
            </w:r>
            <w:r w:rsidR="00D2248E">
              <w:t>cināmo izmaksu summu līdz 955 000 latiem un kopējo aktivitātei pieejamo finansējumu.</w:t>
            </w:r>
            <w:r w:rsidR="007424C1">
              <w:t xml:space="preserve"> </w:t>
            </w:r>
            <w:r w:rsidR="00DC5561">
              <w:t xml:space="preserve">Kopējā aktivitātes summa tiek samazināta par 45 000 latiem un </w:t>
            </w:r>
            <w:r w:rsidR="000019DD">
              <w:t>pašlaik</w:t>
            </w:r>
            <w:r w:rsidR="00DC5561">
              <w:t xml:space="preserve"> aktivitātē pieejam</w:t>
            </w:r>
            <w:r w:rsidR="00E434E9">
              <w:t>o</w:t>
            </w:r>
            <w:r w:rsidR="00DC5561">
              <w:t xml:space="preserve"> atlikum</w:t>
            </w:r>
            <w:r w:rsidR="00E434E9">
              <w:t>u</w:t>
            </w:r>
            <w:r w:rsidR="00DC5561">
              <w:t xml:space="preserve"> 231 latu. </w:t>
            </w:r>
            <w:r w:rsidR="00593C89">
              <w:t>Kopējais aktivitātē pieejamais finan</w:t>
            </w:r>
            <w:r w:rsidR="00AD5D17">
              <w:t>sējums tiek mainīts no 2 072 </w:t>
            </w:r>
            <w:r w:rsidR="007F327E" w:rsidRPr="007F327E">
              <w:t>523</w:t>
            </w:r>
            <w:r w:rsidR="00593C89">
              <w:t xml:space="preserve"> LVL uz 2 027 52</w:t>
            </w:r>
            <w:r w:rsidR="001A3374">
              <w:t>2</w:t>
            </w:r>
            <w:r w:rsidR="00593C89">
              <w:t xml:space="preserve"> LVL. </w:t>
            </w:r>
            <w:r w:rsidR="000B5BE9">
              <w:t xml:space="preserve">Līdz ar to tiek dota iespēja Vides aizsardzības un reģionālās attīstības ministrijai </w:t>
            </w:r>
            <w:r w:rsidR="006C1C1C">
              <w:t xml:space="preserve">īstenot projektu, kura </w:t>
            </w:r>
            <w:r w:rsidR="00880757">
              <w:t>minimālā kopējo atti</w:t>
            </w:r>
            <w:r w:rsidR="00751CA0">
              <w:t>e</w:t>
            </w:r>
            <w:r w:rsidR="00880757">
              <w:t>cināmo izmaksu summa ir mazāka par 1 000 000 latu</w:t>
            </w:r>
            <w:r w:rsidR="002C195A">
              <w:t xml:space="preserve">, un 1.5.2.2.2.apakšaktivitātē </w:t>
            </w:r>
            <w:r w:rsidR="000019DD">
              <w:t>"</w:t>
            </w:r>
            <w:r w:rsidR="002C195A" w:rsidRPr="009A217A">
              <w:rPr>
                <w:bCs/>
              </w:rPr>
              <w:t>Nevalstisko organizāciju administratīvās kapacitātes stiprināšana</w:t>
            </w:r>
            <w:r w:rsidR="000019DD">
              <w:rPr>
                <w:bCs/>
              </w:rPr>
              <w:t>"</w:t>
            </w:r>
            <w:r w:rsidR="002C195A">
              <w:rPr>
                <w:bCs/>
              </w:rPr>
              <w:t xml:space="preserve"> īstenot projektus, kuri tika noraidīti finansējuma trūkuma dēļ</w:t>
            </w:r>
          </w:p>
        </w:tc>
      </w:tr>
      <w:tr w:rsidR="00262E2B" w:rsidRPr="00DE1B21" w14:paraId="5FDCC365" w14:textId="77777777" w:rsidTr="00B960BC">
        <w:trPr>
          <w:trHeight w:val="476"/>
        </w:trPr>
        <w:tc>
          <w:tcPr>
            <w:tcW w:w="360" w:type="dxa"/>
          </w:tcPr>
          <w:p w14:paraId="5FDCC362" w14:textId="77777777" w:rsidR="00262E2B" w:rsidRPr="00DE1B21" w:rsidRDefault="00262E2B" w:rsidP="003B189B">
            <w:pPr>
              <w:pStyle w:val="naiskr"/>
              <w:spacing w:before="0" w:after="0"/>
            </w:pPr>
            <w:r w:rsidRPr="00DE1B21">
              <w:t>5.</w:t>
            </w:r>
          </w:p>
        </w:tc>
        <w:tc>
          <w:tcPr>
            <w:tcW w:w="3065" w:type="dxa"/>
          </w:tcPr>
          <w:p w14:paraId="5FDCC363" w14:textId="77777777" w:rsidR="00262E2B" w:rsidRPr="00DE1B21" w:rsidRDefault="001A4066" w:rsidP="003B189B">
            <w:pPr>
              <w:pStyle w:val="naiskr"/>
              <w:spacing w:before="0" w:after="0"/>
            </w:pPr>
            <w:r w:rsidRPr="00DE1B21">
              <w:t>Projekta i</w:t>
            </w:r>
            <w:r w:rsidR="00262E2B" w:rsidRPr="00DE1B21">
              <w:t>zstrād</w:t>
            </w:r>
            <w:r w:rsidR="00420870" w:rsidRPr="00DE1B21">
              <w:t xml:space="preserve">ē </w:t>
            </w:r>
            <w:r w:rsidR="00262E2B" w:rsidRPr="00DE1B21">
              <w:t>iesaistītās institūcijas</w:t>
            </w:r>
          </w:p>
        </w:tc>
        <w:tc>
          <w:tcPr>
            <w:tcW w:w="5760" w:type="dxa"/>
          </w:tcPr>
          <w:p w14:paraId="5FDCC364" w14:textId="77777777" w:rsidR="00262E2B" w:rsidRPr="00DE1B21" w:rsidRDefault="002D664B" w:rsidP="003B189B">
            <w:pPr>
              <w:pStyle w:val="naiskr"/>
              <w:spacing w:before="0" w:after="0"/>
              <w:ind w:left="180" w:right="180"/>
              <w:jc w:val="both"/>
            </w:pPr>
            <w:r>
              <w:rPr>
                <w:iCs/>
              </w:rPr>
              <w:t xml:space="preserve">Valsts kancelejas Eiropas Savienības struktūrfondu departaments </w:t>
            </w:r>
          </w:p>
        </w:tc>
      </w:tr>
      <w:tr w:rsidR="00262E2B" w:rsidRPr="00DE1B21" w14:paraId="5FDCC369" w14:textId="77777777" w:rsidTr="009566C4">
        <w:trPr>
          <w:trHeight w:val="927"/>
        </w:trPr>
        <w:tc>
          <w:tcPr>
            <w:tcW w:w="360" w:type="dxa"/>
          </w:tcPr>
          <w:p w14:paraId="5FDCC366" w14:textId="77777777" w:rsidR="00262E2B" w:rsidRPr="00DE1B21" w:rsidRDefault="00262E2B" w:rsidP="003B189B">
            <w:pPr>
              <w:pStyle w:val="naiskr"/>
              <w:spacing w:before="0" w:after="0"/>
            </w:pPr>
            <w:r w:rsidRPr="00DE1B21">
              <w:t>6.</w:t>
            </w:r>
          </w:p>
        </w:tc>
        <w:tc>
          <w:tcPr>
            <w:tcW w:w="3065" w:type="dxa"/>
          </w:tcPr>
          <w:p w14:paraId="5FDCC367" w14:textId="77777777" w:rsidR="00262E2B" w:rsidRPr="00DE1B21" w:rsidRDefault="00BB7C94" w:rsidP="003B189B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DE1B21">
              <w:t xml:space="preserve">Iemesli, kādēļ netika nodrošināta </w:t>
            </w:r>
            <w:r w:rsidR="00262E2B" w:rsidRPr="00DE1B21">
              <w:t xml:space="preserve">sabiedrības </w:t>
            </w:r>
            <w:r w:rsidRPr="00DE1B21">
              <w:t>līdzdalība</w:t>
            </w:r>
          </w:p>
        </w:tc>
        <w:tc>
          <w:tcPr>
            <w:tcW w:w="5760" w:type="dxa"/>
          </w:tcPr>
          <w:p w14:paraId="5FDCC368" w14:textId="77777777" w:rsidR="00D20FF4" w:rsidRPr="0053110A" w:rsidRDefault="00DF6337" w:rsidP="003B189B">
            <w:pPr>
              <w:pStyle w:val="naiskr"/>
              <w:spacing w:before="0" w:after="0"/>
              <w:ind w:left="180" w:right="180"/>
              <w:jc w:val="both"/>
              <w:rPr>
                <w:iCs/>
              </w:rPr>
            </w:pPr>
            <w:r>
              <w:rPr>
                <w:iCs/>
              </w:rPr>
              <w:t>Nav attiecināms</w:t>
            </w:r>
          </w:p>
        </w:tc>
      </w:tr>
      <w:tr w:rsidR="00262E2B" w:rsidRPr="00DE1B21" w14:paraId="5FDCC36D" w14:textId="77777777" w:rsidTr="00B960BC">
        <w:tc>
          <w:tcPr>
            <w:tcW w:w="360" w:type="dxa"/>
          </w:tcPr>
          <w:p w14:paraId="5FDCC36A" w14:textId="77777777" w:rsidR="00262E2B" w:rsidRPr="00E8718B" w:rsidRDefault="00262E2B" w:rsidP="003B189B">
            <w:pPr>
              <w:pStyle w:val="naiskr"/>
              <w:spacing w:before="0" w:after="0"/>
            </w:pPr>
            <w:r w:rsidRPr="00E8718B">
              <w:t>7.</w:t>
            </w:r>
          </w:p>
        </w:tc>
        <w:tc>
          <w:tcPr>
            <w:tcW w:w="3065" w:type="dxa"/>
          </w:tcPr>
          <w:p w14:paraId="5FDCC36B" w14:textId="77777777" w:rsidR="00262E2B" w:rsidRPr="00E8718B" w:rsidRDefault="00262E2B" w:rsidP="003B189B">
            <w:pPr>
              <w:pStyle w:val="naiskr"/>
              <w:spacing w:before="0" w:after="0"/>
            </w:pPr>
            <w:r w:rsidRPr="00E8718B">
              <w:t>Cita informācija</w:t>
            </w:r>
          </w:p>
        </w:tc>
        <w:tc>
          <w:tcPr>
            <w:tcW w:w="5760" w:type="dxa"/>
          </w:tcPr>
          <w:p w14:paraId="5FDCC36C" w14:textId="35DFE319" w:rsidR="00262E2B" w:rsidRPr="00F409A2" w:rsidRDefault="00F409A2" w:rsidP="00F5618C">
            <w:pPr>
              <w:ind w:left="180" w:right="180"/>
              <w:jc w:val="both"/>
              <w:rPr>
                <w:highlight w:val="yellow"/>
              </w:rPr>
            </w:pPr>
            <w:r w:rsidRPr="00F409A2">
              <w:t>Nav</w:t>
            </w:r>
          </w:p>
        </w:tc>
      </w:tr>
      <w:tr w:rsidR="00CD18E4" w:rsidRPr="00DE1B21" w14:paraId="5FDCC36F" w14:textId="77777777" w:rsidTr="00B960BC">
        <w:tc>
          <w:tcPr>
            <w:tcW w:w="9185" w:type="dxa"/>
            <w:gridSpan w:val="3"/>
          </w:tcPr>
          <w:p w14:paraId="5FDCC36E" w14:textId="75061AD1" w:rsidR="00CD18E4" w:rsidRPr="00E8718B" w:rsidRDefault="00CD18E4" w:rsidP="00563F5A">
            <w:pPr>
              <w:pStyle w:val="naiskr"/>
              <w:spacing w:before="0" w:after="0"/>
              <w:ind w:left="180"/>
              <w:jc w:val="center"/>
            </w:pPr>
            <w:r w:rsidRPr="00E8718B">
              <w:t>Anotācijas</w:t>
            </w:r>
            <w:r w:rsidR="001C0534" w:rsidRPr="00E8718B">
              <w:t xml:space="preserve"> II </w:t>
            </w:r>
            <w:r w:rsidR="00F409A2">
              <w:t xml:space="preserve">un III </w:t>
            </w:r>
            <w:r w:rsidRPr="00E8718B">
              <w:t xml:space="preserve">sadaļa – </w:t>
            </w:r>
            <w:r w:rsidR="0005584D">
              <w:t>projekts šīs jomas neskar</w:t>
            </w:r>
          </w:p>
        </w:tc>
      </w:tr>
    </w:tbl>
    <w:p w14:paraId="5FDCC370" w14:textId="4EF37AB2" w:rsidR="003B189B" w:rsidRDefault="003B189B" w:rsidP="003B189B">
      <w:pPr>
        <w:pStyle w:val="naiskr"/>
        <w:tabs>
          <w:tab w:val="left" w:pos="2628"/>
        </w:tabs>
        <w:spacing w:before="0" w:after="0"/>
      </w:pPr>
    </w:p>
    <w:p w14:paraId="6DB6DE58" w14:textId="77777777" w:rsidR="003B189B" w:rsidRDefault="003B189B">
      <w:r>
        <w:br w:type="page"/>
      </w:r>
    </w:p>
    <w:p w14:paraId="55B2FF28" w14:textId="77777777" w:rsidR="001D3D25" w:rsidRDefault="001D3D25" w:rsidP="003B189B">
      <w:pPr>
        <w:pStyle w:val="naiskr"/>
        <w:tabs>
          <w:tab w:val="left" w:pos="2628"/>
        </w:tabs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714"/>
        <w:gridCol w:w="5918"/>
      </w:tblGrid>
      <w:tr w:rsidR="000C1F89" w:rsidRPr="009329FF" w14:paraId="5FDCC372" w14:textId="77777777" w:rsidTr="004E6885">
        <w:trPr>
          <w:trHeight w:val="553"/>
        </w:trPr>
        <w:tc>
          <w:tcPr>
            <w:tcW w:w="9287" w:type="dxa"/>
            <w:gridSpan w:val="3"/>
            <w:vAlign w:val="center"/>
          </w:tcPr>
          <w:p w14:paraId="5FDCC371" w14:textId="77777777" w:rsidR="000C1F89" w:rsidRPr="009329FF" w:rsidRDefault="000C1F89" w:rsidP="003B189B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9329FF">
              <w:rPr>
                <w:b/>
                <w:lang w:bidi="lo-LA"/>
              </w:rPr>
              <w:t>IV. Tiesību akta projekta ietekme uz spēkā esošo tiesību normu sistēmu</w:t>
            </w:r>
          </w:p>
        </w:tc>
      </w:tr>
      <w:tr w:rsidR="000C1F89" w:rsidRPr="009329FF" w14:paraId="5FDCC376" w14:textId="77777777" w:rsidTr="004E6885">
        <w:tc>
          <w:tcPr>
            <w:tcW w:w="655" w:type="dxa"/>
          </w:tcPr>
          <w:p w14:paraId="5FDCC373" w14:textId="77777777" w:rsidR="000C1F89" w:rsidRPr="009329FF" w:rsidRDefault="000C1F89" w:rsidP="003B189B">
            <w:pPr>
              <w:rPr>
                <w:lang w:bidi="lo-LA"/>
              </w:rPr>
            </w:pPr>
            <w:r w:rsidRPr="009329FF">
              <w:rPr>
                <w:lang w:bidi="lo-LA"/>
              </w:rPr>
              <w:t> 1.</w:t>
            </w:r>
          </w:p>
        </w:tc>
        <w:tc>
          <w:tcPr>
            <w:tcW w:w="2714" w:type="dxa"/>
          </w:tcPr>
          <w:p w14:paraId="5FDCC374" w14:textId="77777777" w:rsidR="000C1F89" w:rsidRPr="009329FF" w:rsidRDefault="000C1F89" w:rsidP="003B189B">
            <w:pPr>
              <w:rPr>
                <w:lang w:bidi="lo-LA"/>
              </w:rPr>
            </w:pPr>
            <w:r w:rsidRPr="009329FF">
              <w:rPr>
                <w:lang w:bidi="lo-LA"/>
              </w:rPr>
              <w:t>Nepieciešamie saistītie tiesību aktu projekti</w:t>
            </w:r>
          </w:p>
        </w:tc>
        <w:tc>
          <w:tcPr>
            <w:tcW w:w="5918" w:type="dxa"/>
            <w:vAlign w:val="center"/>
          </w:tcPr>
          <w:p w14:paraId="5FDCC375" w14:textId="26CABA4B" w:rsidR="00982520" w:rsidRPr="003F6918" w:rsidRDefault="00A273EC" w:rsidP="00563F5A">
            <w:pPr>
              <w:pStyle w:val="Default"/>
              <w:jc w:val="both"/>
            </w:pPr>
            <w:r w:rsidRPr="009A217A">
              <w:t xml:space="preserve">Nepieciešams veikt grozījumus </w:t>
            </w:r>
            <w:r w:rsidRPr="009A217A">
              <w:rPr>
                <w:bCs/>
              </w:rPr>
              <w:t xml:space="preserve">darbības programmas </w:t>
            </w:r>
            <w:r w:rsidR="000019DD">
              <w:rPr>
                <w:bCs/>
              </w:rPr>
              <w:t>"</w:t>
            </w:r>
            <w:r w:rsidRPr="009A217A">
              <w:rPr>
                <w:bCs/>
              </w:rPr>
              <w:t>Cilvēkresursi un nodarbinātība</w:t>
            </w:r>
            <w:r w:rsidR="000019DD">
              <w:rPr>
                <w:bCs/>
              </w:rPr>
              <w:t>"</w:t>
            </w:r>
            <w:r w:rsidRPr="009A217A">
              <w:rPr>
                <w:bCs/>
              </w:rPr>
              <w:t xml:space="preserve"> papildinājumā (apstip</w:t>
            </w:r>
            <w:r w:rsidR="00563F5A">
              <w:rPr>
                <w:bCs/>
              </w:rPr>
              <w:softHyphen/>
            </w:r>
            <w:r w:rsidRPr="009A217A">
              <w:rPr>
                <w:bCs/>
              </w:rPr>
              <w:t xml:space="preserve">rināts ar </w:t>
            </w:r>
            <w:r w:rsidRPr="009A217A">
              <w:t xml:space="preserve">Ministru kabineta 2008.gada 9.aprīļa rīkojumu Nr.197 </w:t>
            </w:r>
            <w:r w:rsidR="000019DD">
              <w:t>"</w:t>
            </w:r>
            <w:r w:rsidRPr="009A217A">
              <w:t xml:space="preserve">Par darbības programmas </w:t>
            </w:r>
            <w:r w:rsidR="000019DD">
              <w:t>"</w:t>
            </w:r>
            <w:r w:rsidRPr="009A217A">
              <w:t>Cilvēkresursi un nodarbinātība</w:t>
            </w:r>
            <w:r w:rsidR="000019DD">
              <w:t>"</w:t>
            </w:r>
            <w:r w:rsidRPr="009A217A">
              <w:t xml:space="preserve"> papildinājuma apstip</w:t>
            </w:r>
            <w:r>
              <w:t>rināšanu</w:t>
            </w:r>
            <w:r w:rsidR="000019DD">
              <w:t>"</w:t>
            </w:r>
            <w:r>
              <w:t xml:space="preserve">), precizējot 1.5.1.2.aktivitātes </w:t>
            </w:r>
            <w:r w:rsidR="00563F5A">
              <w:t>un 1.5.2.2.2.</w:t>
            </w:r>
            <w:r w:rsidRPr="009A217A">
              <w:t>apakšaktivitātes finan</w:t>
            </w:r>
            <w:r w:rsidR="00563F5A">
              <w:softHyphen/>
            </w:r>
            <w:r w:rsidRPr="009A217A">
              <w:t>sējumu</w:t>
            </w:r>
            <w:r w:rsidRPr="009A217A">
              <w:rPr>
                <w:bCs/>
              </w:rPr>
              <w:t>. Noteikumu projekts izskatāms Ministru kabi</w:t>
            </w:r>
            <w:r w:rsidR="00563F5A">
              <w:rPr>
                <w:bCs/>
              </w:rPr>
              <w:softHyphen/>
            </w:r>
            <w:r w:rsidRPr="009A217A">
              <w:rPr>
                <w:bCs/>
              </w:rPr>
              <w:t>netā vienlai</w:t>
            </w:r>
            <w:r w:rsidR="00563F5A">
              <w:rPr>
                <w:bCs/>
              </w:rPr>
              <w:t>kus</w:t>
            </w:r>
            <w:r w:rsidRPr="009A217A">
              <w:rPr>
                <w:bCs/>
              </w:rPr>
              <w:t xml:space="preserve"> ar grozījumiem darbības programmas </w:t>
            </w:r>
            <w:r w:rsidR="000019DD">
              <w:rPr>
                <w:bCs/>
              </w:rPr>
              <w:t>"</w:t>
            </w:r>
            <w:r w:rsidRPr="009A217A">
              <w:rPr>
                <w:bCs/>
              </w:rPr>
              <w:t>Cilvēkresursi un nodarbinātība</w:t>
            </w:r>
            <w:r w:rsidR="000019DD">
              <w:rPr>
                <w:bCs/>
              </w:rPr>
              <w:t>"</w:t>
            </w:r>
            <w:r>
              <w:rPr>
                <w:bCs/>
              </w:rPr>
              <w:t xml:space="preserve"> papildinājumā</w:t>
            </w:r>
            <w:r w:rsidRPr="009A217A">
              <w:rPr>
                <w:bCs/>
              </w:rPr>
              <w:t xml:space="preserve">, grozījumiem Ministru kabineta </w:t>
            </w:r>
            <w:r w:rsidRPr="009A217A">
              <w:t xml:space="preserve">2008.gada 25.novembra noteikumos Nr.963 </w:t>
            </w:r>
            <w:r w:rsidR="000019DD">
              <w:t>"</w:t>
            </w:r>
            <w:r w:rsidRPr="009A217A">
              <w:t xml:space="preserve">Noteikumi par darbības programmas </w:t>
            </w:r>
            <w:r w:rsidR="000019DD">
              <w:t>"</w:t>
            </w:r>
            <w:r w:rsidRPr="009A217A">
              <w:t>Cilvēkresursi un nodarbinātība</w:t>
            </w:r>
            <w:r w:rsidR="000019DD">
              <w:t>"</w:t>
            </w:r>
            <w:r w:rsidRPr="009A217A">
              <w:t xml:space="preserve"> papildinājuma 1.5.2.2.2.apakšaktivitāti </w:t>
            </w:r>
            <w:r w:rsidR="000019DD">
              <w:t>"</w:t>
            </w:r>
            <w:r w:rsidRPr="009A217A">
              <w:rPr>
                <w:bCs/>
              </w:rPr>
              <w:t>Nevalstisko organizāciju admi</w:t>
            </w:r>
            <w:r w:rsidR="00563F5A">
              <w:rPr>
                <w:bCs/>
              </w:rPr>
              <w:softHyphen/>
            </w:r>
            <w:r w:rsidRPr="009A217A">
              <w:rPr>
                <w:bCs/>
              </w:rPr>
              <w:t>nistratīvās kapacitātes stiprināšana</w:t>
            </w:r>
            <w:r w:rsidR="000019DD">
              <w:rPr>
                <w:bCs/>
              </w:rPr>
              <w:t>""</w:t>
            </w:r>
          </w:p>
        </w:tc>
      </w:tr>
      <w:tr w:rsidR="000C1F89" w:rsidRPr="009329FF" w14:paraId="5FDCC37A" w14:textId="77777777" w:rsidTr="004E6885">
        <w:tc>
          <w:tcPr>
            <w:tcW w:w="655" w:type="dxa"/>
          </w:tcPr>
          <w:p w14:paraId="5FDCC377" w14:textId="77777777" w:rsidR="000C1F89" w:rsidRPr="009329FF" w:rsidRDefault="000C1F89" w:rsidP="003B189B">
            <w:pPr>
              <w:rPr>
                <w:lang w:bidi="lo-LA"/>
              </w:rPr>
            </w:pPr>
            <w:r w:rsidRPr="009329FF">
              <w:rPr>
                <w:lang w:bidi="lo-LA"/>
              </w:rPr>
              <w:t> 2.</w:t>
            </w:r>
          </w:p>
        </w:tc>
        <w:tc>
          <w:tcPr>
            <w:tcW w:w="2714" w:type="dxa"/>
          </w:tcPr>
          <w:p w14:paraId="5FDCC378" w14:textId="77777777" w:rsidR="000C1F89" w:rsidRPr="009329FF" w:rsidRDefault="000C1F89" w:rsidP="003B189B">
            <w:pPr>
              <w:rPr>
                <w:lang w:bidi="lo-LA"/>
              </w:rPr>
            </w:pPr>
            <w:r w:rsidRPr="009329FF">
              <w:rPr>
                <w:lang w:bidi="lo-LA"/>
              </w:rPr>
              <w:t>Cita informācija</w:t>
            </w:r>
          </w:p>
        </w:tc>
        <w:tc>
          <w:tcPr>
            <w:tcW w:w="5918" w:type="dxa"/>
            <w:vAlign w:val="center"/>
          </w:tcPr>
          <w:p w14:paraId="5FDCC379" w14:textId="77777777" w:rsidR="000C1F89" w:rsidRPr="009329FF" w:rsidRDefault="000C1F89" w:rsidP="003B189B">
            <w:pPr>
              <w:autoSpaceDE w:val="0"/>
              <w:autoSpaceDN w:val="0"/>
              <w:adjustRightInd w:val="0"/>
              <w:jc w:val="both"/>
            </w:pPr>
            <w:r w:rsidRPr="009329FF">
              <w:t>Nav</w:t>
            </w:r>
          </w:p>
        </w:tc>
      </w:tr>
      <w:tr w:rsidR="000C1F89" w:rsidRPr="00BC4092" w14:paraId="5FDCC37C" w14:textId="77777777" w:rsidTr="004E6885">
        <w:tc>
          <w:tcPr>
            <w:tcW w:w="9287" w:type="dxa"/>
            <w:gridSpan w:val="3"/>
          </w:tcPr>
          <w:p w14:paraId="5FDCC37B" w14:textId="6917F77E" w:rsidR="000C1F89" w:rsidRPr="00BC4092" w:rsidRDefault="000C1F89" w:rsidP="00F56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 xml:space="preserve">Anotācijas V, VI un VII sadaļa – </w:t>
            </w:r>
            <w:r w:rsidR="0005584D">
              <w:t>projekts šīs jomas neskar</w:t>
            </w:r>
          </w:p>
        </w:tc>
      </w:tr>
    </w:tbl>
    <w:p w14:paraId="5FDCC37D" w14:textId="77777777" w:rsidR="000C1F89" w:rsidRPr="003B189B" w:rsidRDefault="000C1F89" w:rsidP="003B189B">
      <w:pPr>
        <w:pStyle w:val="naiskr"/>
        <w:tabs>
          <w:tab w:val="left" w:pos="2628"/>
        </w:tabs>
        <w:spacing w:before="0" w:after="0"/>
        <w:ind w:firstLine="709"/>
        <w:rPr>
          <w:i/>
          <w:szCs w:val="22"/>
        </w:rPr>
      </w:pPr>
    </w:p>
    <w:p w14:paraId="5FDCC37E" w14:textId="77777777" w:rsidR="00641C31" w:rsidRPr="003B189B" w:rsidRDefault="00641C31" w:rsidP="003B189B">
      <w:pPr>
        <w:pStyle w:val="naiskr"/>
        <w:tabs>
          <w:tab w:val="left" w:pos="2628"/>
        </w:tabs>
        <w:spacing w:before="0" w:after="0"/>
        <w:ind w:firstLine="709"/>
        <w:rPr>
          <w:i/>
          <w:szCs w:val="22"/>
        </w:rPr>
      </w:pPr>
    </w:p>
    <w:p w14:paraId="2D43EAE3" w14:textId="77777777" w:rsidR="003B189B" w:rsidRPr="003B189B" w:rsidRDefault="003B189B" w:rsidP="003B189B">
      <w:pPr>
        <w:pStyle w:val="naiskr"/>
        <w:tabs>
          <w:tab w:val="left" w:pos="2628"/>
        </w:tabs>
        <w:spacing w:before="0" w:after="0"/>
        <w:ind w:firstLine="709"/>
        <w:rPr>
          <w:i/>
          <w:szCs w:val="22"/>
        </w:rPr>
      </w:pPr>
    </w:p>
    <w:p w14:paraId="5FDCC37F" w14:textId="3E0F0014" w:rsidR="00395C6B" w:rsidRPr="003B189B" w:rsidRDefault="006F742D" w:rsidP="00F5618C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3B189B">
        <w:rPr>
          <w:color w:val="000000"/>
          <w:sz w:val="28"/>
          <w:szCs w:val="24"/>
          <w:lang w:val="lv-LV"/>
        </w:rPr>
        <w:t>Ministru prezident</w:t>
      </w:r>
      <w:r w:rsidR="00F5618C">
        <w:rPr>
          <w:color w:val="000000"/>
          <w:sz w:val="28"/>
          <w:szCs w:val="24"/>
          <w:lang w:val="lv-LV"/>
        </w:rPr>
        <w:t>s</w:t>
      </w:r>
      <w:r w:rsidRPr="003B189B">
        <w:rPr>
          <w:color w:val="000000"/>
          <w:sz w:val="28"/>
          <w:szCs w:val="24"/>
          <w:lang w:val="lv-LV"/>
        </w:rPr>
        <w:tab/>
      </w:r>
      <w:r w:rsidR="00F5618C">
        <w:rPr>
          <w:color w:val="000000"/>
          <w:sz w:val="28"/>
          <w:szCs w:val="24"/>
          <w:lang w:val="lv-LV"/>
        </w:rPr>
        <w:t>V.Dombrovskis</w:t>
      </w:r>
    </w:p>
    <w:p w14:paraId="5FDCC380" w14:textId="77777777" w:rsidR="00395C6B" w:rsidRDefault="00395C6B" w:rsidP="003B189B">
      <w:pPr>
        <w:pStyle w:val="EnvelopeReturn"/>
        <w:spacing w:before="0"/>
        <w:ind w:firstLine="709"/>
        <w:rPr>
          <w:color w:val="000000"/>
          <w:sz w:val="28"/>
          <w:szCs w:val="24"/>
          <w:lang w:val="lv-LV"/>
        </w:rPr>
      </w:pPr>
    </w:p>
    <w:p w14:paraId="4BACEF4E" w14:textId="77777777" w:rsidR="003B189B" w:rsidRPr="003B189B" w:rsidRDefault="003B189B" w:rsidP="003B189B">
      <w:pPr>
        <w:pStyle w:val="EnvelopeReturn"/>
        <w:spacing w:before="0"/>
        <w:ind w:firstLine="709"/>
        <w:rPr>
          <w:color w:val="000000"/>
          <w:sz w:val="28"/>
          <w:szCs w:val="24"/>
          <w:lang w:val="lv-LV"/>
        </w:rPr>
      </w:pPr>
    </w:p>
    <w:p w14:paraId="5FDCC381" w14:textId="77777777" w:rsidR="00395C6B" w:rsidRPr="003B189B" w:rsidRDefault="00395C6B" w:rsidP="003B189B">
      <w:pPr>
        <w:pStyle w:val="EnvelopeReturn"/>
        <w:spacing w:before="0"/>
        <w:ind w:firstLine="709"/>
        <w:rPr>
          <w:color w:val="000000"/>
          <w:sz w:val="28"/>
          <w:szCs w:val="24"/>
          <w:lang w:val="lv-LV"/>
        </w:rPr>
      </w:pPr>
    </w:p>
    <w:p w14:paraId="44654F03" w14:textId="77777777" w:rsidR="003B189B" w:rsidRDefault="00395C6B" w:rsidP="003B189B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3B189B">
        <w:rPr>
          <w:color w:val="000000"/>
          <w:sz w:val="28"/>
          <w:szCs w:val="24"/>
          <w:lang w:val="lv-LV"/>
        </w:rPr>
        <w:t xml:space="preserve">Vizē: </w:t>
      </w:r>
    </w:p>
    <w:p w14:paraId="5FDCC382" w14:textId="7D951175" w:rsidR="00395C6B" w:rsidRPr="003B189B" w:rsidRDefault="00395C6B" w:rsidP="003B189B">
      <w:pPr>
        <w:pStyle w:val="Signature"/>
        <w:widowControl/>
        <w:tabs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3B189B">
        <w:rPr>
          <w:color w:val="000000"/>
          <w:sz w:val="28"/>
          <w:szCs w:val="24"/>
          <w:lang w:val="lv-LV"/>
        </w:rPr>
        <w:t>Valsts kancelejas direktore</w:t>
      </w:r>
      <w:r w:rsidRPr="003B189B">
        <w:rPr>
          <w:color w:val="000000"/>
          <w:sz w:val="28"/>
          <w:szCs w:val="24"/>
          <w:u w:val="single"/>
          <w:lang w:val="lv-LV"/>
        </w:rPr>
        <w:tab/>
      </w:r>
      <w:r w:rsidR="003600AF" w:rsidRPr="003B189B">
        <w:rPr>
          <w:color w:val="000000"/>
          <w:sz w:val="28"/>
          <w:szCs w:val="24"/>
          <w:lang w:val="lv-LV"/>
        </w:rPr>
        <w:t>E.Dreimane</w:t>
      </w:r>
    </w:p>
    <w:p w14:paraId="5FDCC383" w14:textId="77777777" w:rsidR="00507528" w:rsidRDefault="00507528" w:rsidP="003B189B">
      <w:pPr>
        <w:jc w:val="both"/>
        <w:rPr>
          <w:color w:val="000000"/>
          <w:sz w:val="28"/>
          <w:szCs w:val="28"/>
        </w:rPr>
      </w:pPr>
    </w:p>
    <w:p w14:paraId="5FDCC384" w14:textId="77777777" w:rsidR="00A354CD" w:rsidRDefault="00A354CD" w:rsidP="003B189B">
      <w:pPr>
        <w:jc w:val="both"/>
        <w:rPr>
          <w:color w:val="000000"/>
          <w:sz w:val="28"/>
          <w:szCs w:val="28"/>
        </w:rPr>
      </w:pPr>
    </w:p>
    <w:p w14:paraId="5FDCC385" w14:textId="77777777" w:rsidR="00A354CD" w:rsidRPr="008C506E" w:rsidRDefault="00A354CD" w:rsidP="003B189B">
      <w:pPr>
        <w:jc w:val="both"/>
        <w:rPr>
          <w:color w:val="000000"/>
          <w:sz w:val="28"/>
          <w:szCs w:val="28"/>
        </w:rPr>
      </w:pPr>
    </w:p>
    <w:p w14:paraId="5FDCC386" w14:textId="77777777" w:rsidR="00395C6B" w:rsidRPr="00A354CD" w:rsidRDefault="00123452" w:rsidP="003B189B">
      <w:pPr>
        <w:jc w:val="both"/>
        <w:rPr>
          <w:color w:val="000000"/>
          <w:sz w:val="20"/>
          <w:szCs w:val="20"/>
        </w:rPr>
      </w:pPr>
      <w:r w:rsidRPr="00A354CD">
        <w:rPr>
          <w:color w:val="000000"/>
          <w:sz w:val="20"/>
          <w:szCs w:val="20"/>
        </w:rPr>
        <w:fldChar w:fldCharType="begin"/>
      </w:r>
      <w:r w:rsidR="00395C6B" w:rsidRPr="00A354CD">
        <w:rPr>
          <w:color w:val="000000"/>
          <w:sz w:val="20"/>
          <w:szCs w:val="20"/>
        </w:rPr>
        <w:instrText xml:space="preserve"> TIME  \@ "yyyy.MM.dd. H:mm"  \* MERGEFORMAT </w:instrText>
      </w:r>
      <w:r w:rsidRPr="00A354CD">
        <w:rPr>
          <w:color w:val="000000"/>
          <w:sz w:val="20"/>
          <w:szCs w:val="20"/>
        </w:rPr>
        <w:fldChar w:fldCharType="separate"/>
      </w:r>
      <w:r w:rsidR="00B01AEC">
        <w:rPr>
          <w:noProof/>
          <w:color w:val="000000"/>
          <w:sz w:val="20"/>
          <w:szCs w:val="20"/>
        </w:rPr>
        <w:t>2012.12.14. 10:52</w:t>
      </w:r>
      <w:r w:rsidRPr="00A354CD">
        <w:rPr>
          <w:color w:val="000000"/>
          <w:sz w:val="20"/>
          <w:szCs w:val="20"/>
        </w:rPr>
        <w:fldChar w:fldCharType="end"/>
      </w:r>
    </w:p>
    <w:p w14:paraId="5FDCC387" w14:textId="416A8AAE" w:rsidR="00395C6B" w:rsidRPr="00A354CD" w:rsidRDefault="00A05B78" w:rsidP="003B189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7C2B9C">
        <w:rPr>
          <w:color w:val="000000"/>
          <w:sz w:val="20"/>
          <w:szCs w:val="20"/>
        </w:rPr>
        <w:t>5</w:t>
      </w:r>
      <w:r w:rsidR="001570E6">
        <w:rPr>
          <w:color w:val="000000"/>
          <w:sz w:val="20"/>
          <w:szCs w:val="20"/>
        </w:rPr>
        <w:t>6</w:t>
      </w:r>
      <w:bookmarkStart w:id="2" w:name="_GoBack"/>
      <w:bookmarkEnd w:id="2"/>
    </w:p>
    <w:p w14:paraId="5FDCC388" w14:textId="4A599D2C" w:rsidR="008E4319" w:rsidRPr="00A354CD" w:rsidRDefault="008E4319" w:rsidP="003B189B">
      <w:pPr>
        <w:jc w:val="both"/>
        <w:rPr>
          <w:color w:val="000000"/>
          <w:sz w:val="20"/>
          <w:szCs w:val="20"/>
        </w:rPr>
      </w:pPr>
      <w:r w:rsidRPr="00A354CD">
        <w:rPr>
          <w:color w:val="000000"/>
          <w:sz w:val="20"/>
          <w:szCs w:val="20"/>
        </w:rPr>
        <w:t>Garkalne 67082950</w:t>
      </w:r>
    </w:p>
    <w:p w14:paraId="5FDCC389" w14:textId="77777777" w:rsidR="008E4319" w:rsidRPr="00A354CD" w:rsidRDefault="00A052F0" w:rsidP="003B189B">
      <w:pPr>
        <w:jc w:val="both"/>
        <w:rPr>
          <w:color w:val="000000"/>
          <w:sz w:val="20"/>
          <w:szCs w:val="20"/>
        </w:rPr>
      </w:pPr>
      <w:r w:rsidRPr="00A354CD">
        <w:rPr>
          <w:color w:val="000000"/>
          <w:sz w:val="20"/>
          <w:szCs w:val="20"/>
        </w:rPr>
        <w:t>M</w:t>
      </w:r>
      <w:r w:rsidR="008E4319" w:rsidRPr="00A354CD">
        <w:rPr>
          <w:color w:val="000000"/>
          <w:sz w:val="20"/>
          <w:szCs w:val="20"/>
        </w:rPr>
        <w:t>aruta.</w:t>
      </w:r>
      <w:r w:rsidRPr="00A354CD">
        <w:rPr>
          <w:color w:val="000000"/>
          <w:sz w:val="20"/>
          <w:szCs w:val="20"/>
        </w:rPr>
        <w:t>G</w:t>
      </w:r>
      <w:r w:rsidR="008E4319" w:rsidRPr="00A354CD">
        <w:rPr>
          <w:color w:val="000000"/>
          <w:sz w:val="20"/>
          <w:szCs w:val="20"/>
        </w:rPr>
        <w:t>arkalne@mk.gov.lv</w:t>
      </w:r>
    </w:p>
    <w:p w14:paraId="5FDCC38A" w14:textId="77777777" w:rsidR="00871D2C" w:rsidRPr="00902D9C" w:rsidRDefault="00871D2C" w:rsidP="003B189B">
      <w:pPr>
        <w:jc w:val="both"/>
        <w:rPr>
          <w:color w:val="000000"/>
        </w:rPr>
      </w:pPr>
    </w:p>
    <w:sectPr w:rsidR="00871D2C" w:rsidRPr="00902D9C" w:rsidSect="003B189B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C38D" w14:textId="77777777" w:rsidR="00E92439" w:rsidRDefault="00E92439">
      <w:r>
        <w:separator/>
      </w:r>
    </w:p>
  </w:endnote>
  <w:endnote w:type="continuationSeparator" w:id="0">
    <w:p w14:paraId="5FDCC38E" w14:textId="77777777" w:rsidR="00E92439" w:rsidRDefault="00E9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C394" w14:textId="32F8CFF4" w:rsidR="00E92439" w:rsidRPr="003B189B" w:rsidRDefault="003B189B" w:rsidP="003B189B">
    <w:pPr>
      <w:pStyle w:val="Footer"/>
      <w:rPr>
        <w:sz w:val="16"/>
      </w:rPr>
    </w:pPr>
    <w:r w:rsidRPr="003B189B">
      <w:rPr>
        <w:sz w:val="16"/>
      </w:rPr>
      <w:fldChar w:fldCharType="begin"/>
    </w:r>
    <w:r w:rsidRPr="003B189B">
      <w:rPr>
        <w:sz w:val="16"/>
      </w:rPr>
      <w:instrText xml:space="preserve"> FILENAME  \* MERGEFORMAT </w:instrText>
    </w:r>
    <w:r w:rsidRPr="003B189B">
      <w:rPr>
        <w:sz w:val="16"/>
      </w:rPr>
      <w:fldChar w:fldCharType="separate"/>
    </w:r>
    <w:r w:rsidR="00B01AEC">
      <w:rPr>
        <w:noProof/>
        <w:sz w:val="16"/>
      </w:rPr>
      <w:t>MKAnot_groz333_0612201220121213150213</w:t>
    </w:r>
    <w:r w:rsidRPr="003B189B">
      <w:rPr>
        <w:sz w:val="16"/>
      </w:rPr>
      <w:fldChar w:fldCharType="end"/>
    </w:r>
    <w:r>
      <w:rPr>
        <w:sz w:val="16"/>
      </w:rPr>
      <w:t xml:space="preserve"> (666212)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0A483" w14:textId="77777777" w:rsidR="003B189B" w:rsidRPr="003B189B" w:rsidRDefault="003B189B" w:rsidP="003B189B">
    <w:pPr>
      <w:pStyle w:val="Footer"/>
      <w:rPr>
        <w:sz w:val="16"/>
      </w:rPr>
    </w:pPr>
    <w:r w:rsidRPr="003B189B">
      <w:rPr>
        <w:sz w:val="16"/>
      </w:rPr>
      <w:fldChar w:fldCharType="begin"/>
    </w:r>
    <w:r w:rsidRPr="003B189B">
      <w:rPr>
        <w:sz w:val="16"/>
      </w:rPr>
      <w:instrText xml:space="preserve"> FILENAME  \* MERGEFORMAT </w:instrText>
    </w:r>
    <w:r w:rsidRPr="003B189B">
      <w:rPr>
        <w:sz w:val="16"/>
      </w:rPr>
      <w:fldChar w:fldCharType="separate"/>
    </w:r>
    <w:r w:rsidR="00B01AEC">
      <w:rPr>
        <w:noProof/>
        <w:sz w:val="16"/>
      </w:rPr>
      <w:t>MKAnot_groz333_0612201220121213150213</w:t>
    </w:r>
    <w:r w:rsidRPr="003B189B">
      <w:rPr>
        <w:sz w:val="16"/>
      </w:rPr>
      <w:fldChar w:fldCharType="end"/>
    </w:r>
    <w:r>
      <w:rPr>
        <w:sz w:val="16"/>
      </w:rPr>
      <w:t xml:space="preserve"> (666212)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C38B" w14:textId="77777777" w:rsidR="00E92439" w:rsidRDefault="00E92439">
      <w:r>
        <w:separator/>
      </w:r>
    </w:p>
  </w:footnote>
  <w:footnote w:type="continuationSeparator" w:id="0">
    <w:p w14:paraId="5FDCC38C" w14:textId="77777777" w:rsidR="00E92439" w:rsidRDefault="00E9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C38F" w14:textId="77777777" w:rsidR="00E92439" w:rsidRDefault="001234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24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CC390" w14:textId="77777777" w:rsidR="00E92439" w:rsidRDefault="00E92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C391" w14:textId="77777777" w:rsidR="00E92439" w:rsidRDefault="001234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24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AE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DCC392" w14:textId="77777777" w:rsidR="00E92439" w:rsidRDefault="00E92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8583A"/>
    <w:multiLevelType w:val="hybridMultilevel"/>
    <w:tmpl w:val="AD865A30"/>
    <w:lvl w:ilvl="0" w:tplc="3FD67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A0E8C"/>
    <w:multiLevelType w:val="multilevel"/>
    <w:tmpl w:val="C03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29073A"/>
    <w:multiLevelType w:val="hybridMultilevel"/>
    <w:tmpl w:val="EE3040FE"/>
    <w:lvl w:ilvl="0" w:tplc="3FD67F12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6">
    <w:nsid w:val="6AD96420"/>
    <w:multiLevelType w:val="hybridMultilevel"/>
    <w:tmpl w:val="C030A44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5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49"/>
    <w:rsid w:val="000019DD"/>
    <w:rsid w:val="00007670"/>
    <w:rsid w:val="00010798"/>
    <w:rsid w:val="00011D24"/>
    <w:rsid w:val="00011DA8"/>
    <w:rsid w:val="00013DA8"/>
    <w:rsid w:val="00013FF4"/>
    <w:rsid w:val="000158C4"/>
    <w:rsid w:val="0001657A"/>
    <w:rsid w:val="00020148"/>
    <w:rsid w:val="00020FE1"/>
    <w:rsid w:val="00022E02"/>
    <w:rsid w:val="00022E13"/>
    <w:rsid w:val="00032388"/>
    <w:rsid w:val="00035CE2"/>
    <w:rsid w:val="0004200C"/>
    <w:rsid w:val="00047245"/>
    <w:rsid w:val="00051395"/>
    <w:rsid w:val="000540A0"/>
    <w:rsid w:val="0005553B"/>
    <w:rsid w:val="0005584D"/>
    <w:rsid w:val="000604D2"/>
    <w:rsid w:val="00061116"/>
    <w:rsid w:val="00066481"/>
    <w:rsid w:val="000723A5"/>
    <w:rsid w:val="00073F41"/>
    <w:rsid w:val="00081424"/>
    <w:rsid w:val="0009005E"/>
    <w:rsid w:val="000941C5"/>
    <w:rsid w:val="000A6451"/>
    <w:rsid w:val="000A67D7"/>
    <w:rsid w:val="000A70B1"/>
    <w:rsid w:val="000A7E25"/>
    <w:rsid w:val="000B0470"/>
    <w:rsid w:val="000B064E"/>
    <w:rsid w:val="000B1F08"/>
    <w:rsid w:val="000B5BE9"/>
    <w:rsid w:val="000B69CF"/>
    <w:rsid w:val="000C1F89"/>
    <w:rsid w:val="000C326F"/>
    <w:rsid w:val="000C3952"/>
    <w:rsid w:val="000C7551"/>
    <w:rsid w:val="000C790C"/>
    <w:rsid w:val="000D017D"/>
    <w:rsid w:val="000E261D"/>
    <w:rsid w:val="000E4EDC"/>
    <w:rsid w:val="000F061D"/>
    <w:rsid w:val="000F3455"/>
    <w:rsid w:val="000F36F6"/>
    <w:rsid w:val="000F45C9"/>
    <w:rsid w:val="000F4794"/>
    <w:rsid w:val="00103480"/>
    <w:rsid w:val="00103527"/>
    <w:rsid w:val="00103D27"/>
    <w:rsid w:val="001049BA"/>
    <w:rsid w:val="00112735"/>
    <w:rsid w:val="0011594B"/>
    <w:rsid w:val="00117A69"/>
    <w:rsid w:val="0012323C"/>
    <w:rsid w:val="00123452"/>
    <w:rsid w:val="001241E2"/>
    <w:rsid w:val="00124F12"/>
    <w:rsid w:val="0012711C"/>
    <w:rsid w:val="0012763A"/>
    <w:rsid w:val="001341D0"/>
    <w:rsid w:val="001351A3"/>
    <w:rsid w:val="00142A1F"/>
    <w:rsid w:val="00143F2B"/>
    <w:rsid w:val="0014468A"/>
    <w:rsid w:val="00144E3A"/>
    <w:rsid w:val="001472D4"/>
    <w:rsid w:val="0015060C"/>
    <w:rsid w:val="001570E6"/>
    <w:rsid w:val="0016018A"/>
    <w:rsid w:val="00161F0E"/>
    <w:rsid w:val="00170498"/>
    <w:rsid w:val="00170E2A"/>
    <w:rsid w:val="00171CB8"/>
    <w:rsid w:val="00173F0B"/>
    <w:rsid w:val="00177394"/>
    <w:rsid w:val="0017794F"/>
    <w:rsid w:val="00182C18"/>
    <w:rsid w:val="00183CC2"/>
    <w:rsid w:val="001900E4"/>
    <w:rsid w:val="00190F88"/>
    <w:rsid w:val="001975A4"/>
    <w:rsid w:val="001A3374"/>
    <w:rsid w:val="001A4066"/>
    <w:rsid w:val="001A4968"/>
    <w:rsid w:val="001A5250"/>
    <w:rsid w:val="001A6AE4"/>
    <w:rsid w:val="001B01FD"/>
    <w:rsid w:val="001B1DD7"/>
    <w:rsid w:val="001B4A71"/>
    <w:rsid w:val="001B68A0"/>
    <w:rsid w:val="001C0534"/>
    <w:rsid w:val="001C1D2D"/>
    <w:rsid w:val="001C7B44"/>
    <w:rsid w:val="001D3D25"/>
    <w:rsid w:val="001D5B54"/>
    <w:rsid w:val="001E09E3"/>
    <w:rsid w:val="001E1DBF"/>
    <w:rsid w:val="001E405C"/>
    <w:rsid w:val="001E4639"/>
    <w:rsid w:val="001E4961"/>
    <w:rsid w:val="001E4A7D"/>
    <w:rsid w:val="001F43A8"/>
    <w:rsid w:val="001F5CD6"/>
    <w:rsid w:val="001F5E84"/>
    <w:rsid w:val="001F7004"/>
    <w:rsid w:val="00203BC8"/>
    <w:rsid w:val="0021263D"/>
    <w:rsid w:val="0021302D"/>
    <w:rsid w:val="00213F0C"/>
    <w:rsid w:val="00214094"/>
    <w:rsid w:val="0021592D"/>
    <w:rsid w:val="002218DD"/>
    <w:rsid w:val="00222D76"/>
    <w:rsid w:val="00223EB1"/>
    <w:rsid w:val="002245C0"/>
    <w:rsid w:val="00224CA0"/>
    <w:rsid w:val="00231344"/>
    <w:rsid w:val="00231E7E"/>
    <w:rsid w:val="00232D47"/>
    <w:rsid w:val="0023436E"/>
    <w:rsid w:val="002347C0"/>
    <w:rsid w:val="00236CA9"/>
    <w:rsid w:val="00237B27"/>
    <w:rsid w:val="00241A6C"/>
    <w:rsid w:val="00242D2B"/>
    <w:rsid w:val="00243467"/>
    <w:rsid w:val="002507B3"/>
    <w:rsid w:val="00254247"/>
    <w:rsid w:val="002607D6"/>
    <w:rsid w:val="00262E2B"/>
    <w:rsid w:val="00264264"/>
    <w:rsid w:val="002703D7"/>
    <w:rsid w:val="00270429"/>
    <w:rsid w:val="002723E9"/>
    <w:rsid w:val="00273319"/>
    <w:rsid w:val="00277929"/>
    <w:rsid w:val="002837D8"/>
    <w:rsid w:val="00283B82"/>
    <w:rsid w:val="002846E9"/>
    <w:rsid w:val="00284C34"/>
    <w:rsid w:val="00287EF4"/>
    <w:rsid w:val="0029066C"/>
    <w:rsid w:val="002951F3"/>
    <w:rsid w:val="002A09CC"/>
    <w:rsid w:val="002A15C5"/>
    <w:rsid w:val="002A32CD"/>
    <w:rsid w:val="002A4F15"/>
    <w:rsid w:val="002B259C"/>
    <w:rsid w:val="002B50DB"/>
    <w:rsid w:val="002B5133"/>
    <w:rsid w:val="002C0238"/>
    <w:rsid w:val="002C12AB"/>
    <w:rsid w:val="002C195A"/>
    <w:rsid w:val="002C3A89"/>
    <w:rsid w:val="002C7CAC"/>
    <w:rsid w:val="002D3306"/>
    <w:rsid w:val="002D48AA"/>
    <w:rsid w:val="002D562F"/>
    <w:rsid w:val="002D664B"/>
    <w:rsid w:val="002D7BAA"/>
    <w:rsid w:val="002D7F54"/>
    <w:rsid w:val="002E3A0A"/>
    <w:rsid w:val="002E3FF4"/>
    <w:rsid w:val="002E5BE7"/>
    <w:rsid w:val="002F2BF6"/>
    <w:rsid w:val="002F78C8"/>
    <w:rsid w:val="00301CF3"/>
    <w:rsid w:val="00301ECC"/>
    <w:rsid w:val="00302811"/>
    <w:rsid w:val="00306013"/>
    <w:rsid w:val="003262AC"/>
    <w:rsid w:val="0032715C"/>
    <w:rsid w:val="00333468"/>
    <w:rsid w:val="00337CA5"/>
    <w:rsid w:val="00343395"/>
    <w:rsid w:val="00355DB5"/>
    <w:rsid w:val="00357F10"/>
    <w:rsid w:val="003600AF"/>
    <w:rsid w:val="00360F83"/>
    <w:rsid w:val="00362478"/>
    <w:rsid w:val="0036576B"/>
    <w:rsid w:val="0036785F"/>
    <w:rsid w:val="00375B25"/>
    <w:rsid w:val="00380780"/>
    <w:rsid w:val="003812AB"/>
    <w:rsid w:val="0038542F"/>
    <w:rsid w:val="00390F26"/>
    <w:rsid w:val="0039185A"/>
    <w:rsid w:val="00391B35"/>
    <w:rsid w:val="003952B0"/>
    <w:rsid w:val="00395C6B"/>
    <w:rsid w:val="00395FC0"/>
    <w:rsid w:val="00396542"/>
    <w:rsid w:val="0039685B"/>
    <w:rsid w:val="003A31A6"/>
    <w:rsid w:val="003A4AFF"/>
    <w:rsid w:val="003A5A8F"/>
    <w:rsid w:val="003A6077"/>
    <w:rsid w:val="003A60C3"/>
    <w:rsid w:val="003A7F0C"/>
    <w:rsid w:val="003A7F79"/>
    <w:rsid w:val="003B189B"/>
    <w:rsid w:val="003B1EE5"/>
    <w:rsid w:val="003B4C17"/>
    <w:rsid w:val="003B5F1D"/>
    <w:rsid w:val="003B6404"/>
    <w:rsid w:val="003B661E"/>
    <w:rsid w:val="003B664B"/>
    <w:rsid w:val="003B67E6"/>
    <w:rsid w:val="003C0EEA"/>
    <w:rsid w:val="003C449B"/>
    <w:rsid w:val="003C6AAC"/>
    <w:rsid w:val="003D21FF"/>
    <w:rsid w:val="003D59DF"/>
    <w:rsid w:val="003F004D"/>
    <w:rsid w:val="003F0112"/>
    <w:rsid w:val="003F071A"/>
    <w:rsid w:val="003F15C8"/>
    <w:rsid w:val="003F160B"/>
    <w:rsid w:val="003F4B91"/>
    <w:rsid w:val="003F6918"/>
    <w:rsid w:val="003F72E1"/>
    <w:rsid w:val="00400032"/>
    <w:rsid w:val="0040042F"/>
    <w:rsid w:val="00400B5B"/>
    <w:rsid w:val="00404266"/>
    <w:rsid w:val="00405A00"/>
    <w:rsid w:val="0041293C"/>
    <w:rsid w:val="00420870"/>
    <w:rsid w:val="00421D04"/>
    <w:rsid w:val="004232F1"/>
    <w:rsid w:val="00423719"/>
    <w:rsid w:val="0042496F"/>
    <w:rsid w:val="00433258"/>
    <w:rsid w:val="004336F3"/>
    <w:rsid w:val="00434EB3"/>
    <w:rsid w:val="0043791B"/>
    <w:rsid w:val="00441483"/>
    <w:rsid w:val="00441BCB"/>
    <w:rsid w:val="00447DA8"/>
    <w:rsid w:val="00450E5C"/>
    <w:rsid w:val="0045176A"/>
    <w:rsid w:val="00451813"/>
    <w:rsid w:val="00452EE8"/>
    <w:rsid w:val="00453A0B"/>
    <w:rsid w:val="00456332"/>
    <w:rsid w:val="00461826"/>
    <w:rsid w:val="00461963"/>
    <w:rsid w:val="004667AB"/>
    <w:rsid w:val="004800F9"/>
    <w:rsid w:val="00481A81"/>
    <w:rsid w:val="004874FB"/>
    <w:rsid w:val="0049134A"/>
    <w:rsid w:val="004A231A"/>
    <w:rsid w:val="004A58CB"/>
    <w:rsid w:val="004A638B"/>
    <w:rsid w:val="004B1795"/>
    <w:rsid w:val="004B33AA"/>
    <w:rsid w:val="004B56DD"/>
    <w:rsid w:val="004B5FE6"/>
    <w:rsid w:val="004C020F"/>
    <w:rsid w:val="004C1AFD"/>
    <w:rsid w:val="004C3CF7"/>
    <w:rsid w:val="004C4F97"/>
    <w:rsid w:val="004C558B"/>
    <w:rsid w:val="004D2CDD"/>
    <w:rsid w:val="004E1B60"/>
    <w:rsid w:val="004E6885"/>
    <w:rsid w:val="004F1A74"/>
    <w:rsid w:val="004F1F88"/>
    <w:rsid w:val="004F3A9E"/>
    <w:rsid w:val="004F3F7C"/>
    <w:rsid w:val="004F5F1B"/>
    <w:rsid w:val="004F756A"/>
    <w:rsid w:val="00502374"/>
    <w:rsid w:val="00504F99"/>
    <w:rsid w:val="00505845"/>
    <w:rsid w:val="005060A1"/>
    <w:rsid w:val="00507528"/>
    <w:rsid w:val="00516072"/>
    <w:rsid w:val="0053110A"/>
    <w:rsid w:val="005332EC"/>
    <w:rsid w:val="00534418"/>
    <w:rsid w:val="00534DBE"/>
    <w:rsid w:val="005353AB"/>
    <w:rsid w:val="005529EF"/>
    <w:rsid w:val="0055582C"/>
    <w:rsid w:val="005560BC"/>
    <w:rsid w:val="0055706B"/>
    <w:rsid w:val="005573BE"/>
    <w:rsid w:val="00561357"/>
    <w:rsid w:val="00563F5A"/>
    <w:rsid w:val="00566552"/>
    <w:rsid w:val="00566DFD"/>
    <w:rsid w:val="00571126"/>
    <w:rsid w:val="00572700"/>
    <w:rsid w:val="0057506C"/>
    <w:rsid w:val="00580468"/>
    <w:rsid w:val="0058603B"/>
    <w:rsid w:val="00591F51"/>
    <w:rsid w:val="00593C89"/>
    <w:rsid w:val="0059431B"/>
    <w:rsid w:val="00594B47"/>
    <w:rsid w:val="005A1CD9"/>
    <w:rsid w:val="005A2618"/>
    <w:rsid w:val="005A2F78"/>
    <w:rsid w:val="005A3927"/>
    <w:rsid w:val="005A39CC"/>
    <w:rsid w:val="005B4730"/>
    <w:rsid w:val="005B625C"/>
    <w:rsid w:val="005C03BE"/>
    <w:rsid w:val="005E05D7"/>
    <w:rsid w:val="005E41E7"/>
    <w:rsid w:val="005E450F"/>
    <w:rsid w:val="005F066F"/>
    <w:rsid w:val="005F12AE"/>
    <w:rsid w:val="005F5D1C"/>
    <w:rsid w:val="005F6DC9"/>
    <w:rsid w:val="00604FE4"/>
    <w:rsid w:val="0062298A"/>
    <w:rsid w:val="00626514"/>
    <w:rsid w:val="00626589"/>
    <w:rsid w:val="006274DE"/>
    <w:rsid w:val="006313F5"/>
    <w:rsid w:val="00632A24"/>
    <w:rsid w:val="006339A0"/>
    <w:rsid w:val="0063672C"/>
    <w:rsid w:val="00640099"/>
    <w:rsid w:val="006413A8"/>
    <w:rsid w:val="00641C31"/>
    <w:rsid w:val="00642E56"/>
    <w:rsid w:val="00651E00"/>
    <w:rsid w:val="00655364"/>
    <w:rsid w:val="00655455"/>
    <w:rsid w:val="00655947"/>
    <w:rsid w:val="00655FD2"/>
    <w:rsid w:val="006602F1"/>
    <w:rsid w:val="006618E8"/>
    <w:rsid w:val="0066332E"/>
    <w:rsid w:val="00664A46"/>
    <w:rsid w:val="00673AB7"/>
    <w:rsid w:val="00674572"/>
    <w:rsid w:val="00676A4D"/>
    <w:rsid w:val="0068436D"/>
    <w:rsid w:val="006862EF"/>
    <w:rsid w:val="00687763"/>
    <w:rsid w:val="00692B0D"/>
    <w:rsid w:val="00692F44"/>
    <w:rsid w:val="00693E0E"/>
    <w:rsid w:val="006A1AE3"/>
    <w:rsid w:val="006A240D"/>
    <w:rsid w:val="006A7AA5"/>
    <w:rsid w:val="006B1BB1"/>
    <w:rsid w:val="006C1337"/>
    <w:rsid w:val="006C1C1C"/>
    <w:rsid w:val="006C1EDA"/>
    <w:rsid w:val="006C30E1"/>
    <w:rsid w:val="006C4607"/>
    <w:rsid w:val="006D315C"/>
    <w:rsid w:val="006D3383"/>
    <w:rsid w:val="006D48F1"/>
    <w:rsid w:val="006E1D46"/>
    <w:rsid w:val="006E2B65"/>
    <w:rsid w:val="006E59F0"/>
    <w:rsid w:val="006E5A55"/>
    <w:rsid w:val="006E6F31"/>
    <w:rsid w:val="006F3FE9"/>
    <w:rsid w:val="006F45BE"/>
    <w:rsid w:val="006F4D9E"/>
    <w:rsid w:val="006F7367"/>
    <w:rsid w:val="006F742D"/>
    <w:rsid w:val="007004FC"/>
    <w:rsid w:val="00702A57"/>
    <w:rsid w:val="00706670"/>
    <w:rsid w:val="00707383"/>
    <w:rsid w:val="00710EEF"/>
    <w:rsid w:val="00711644"/>
    <w:rsid w:val="0071175C"/>
    <w:rsid w:val="00721B5C"/>
    <w:rsid w:val="0072417C"/>
    <w:rsid w:val="00734450"/>
    <w:rsid w:val="0073607B"/>
    <w:rsid w:val="007375E8"/>
    <w:rsid w:val="007424C1"/>
    <w:rsid w:val="007449B8"/>
    <w:rsid w:val="00745F67"/>
    <w:rsid w:val="0075039E"/>
    <w:rsid w:val="00751CA0"/>
    <w:rsid w:val="00752D9D"/>
    <w:rsid w:val="00754784"/>
    <w:rsid w:val="00757C6E"/>
    <w:rsid w:val="00762BDA"/>
    <w:rsid w:val="00765E1C"/>
    <w:rsid w:val="00775033"/>
    <w:rsid w:val="00775278"/>
    <w:rsid w:val="00777A2A"/>
    <w:rsid w:val="007805FD"/>
    <w:rsid w:val="00783F26"/>
    <w:rsid w:val="00784422"/>
    <w:rsid w:val="007A151C"/>
    <w:rsid w:val="007A3707"/>
    <w:rsid w:val="007A4B3B"/>
    <w:rsid w:val="007A6345"/>
    <w:rsid w:val="007B3B54"/>
    <w:rsid w:val="007B3FA0"/>
    <w:rsid w:val="007C0F2C"/>
    <w:rsid w:val="007C2B9C"/>
    <w:rsid w:val="007C2BCC"/>
    <w:rsid w:val="007C3C71"/>
    <w:rsid w:val="007C4EF0"/>
    <w:rsid w:val="007C5DE1"/>
    <w:rsid w:val="007D099D"/>
    <w:rsid w:val="007D0C29"/>
    <w:rsid w:val="007D28CE"/>
    <w:rsid w:val="007D3721"/>
    <w:rsid w:val="007D4A16"/>
    <w:rsid w:val="007D5996"/>
    <w:rsid w:val="007D610E"/>
    <w:rsid w:val="007E0C6B"/>
    <w:rsid w:val="007E2664"/>
    <w:rsid w:val="007E3ABF"/>
    <w:rsid w:val="007E3E06"/>
    <w:rsid w:val="007E5BFA"/>
    <w:rsid w:val="007E6689"/>
    <w:rsid w:val="007E731C"/>
    <w:rsid w:val="007F0A03"/>
    <w:rsid w:val="007F212D"/>
    <w:rsid w:val="007F327E"/>
    <w:rsid w:val="007F731A"/>
    <w:rsid w:val="00810040"/>
    <w:rsid w:val="00810696"/>
    <w:rsid w:val="0082023A"/>
    <w:rsid w:val="00821A7A"/>
    <w:rsid w:val="0082233A"/>
    <w:rsid w:val="008253F8"/>
    <w:rsid w:val="008325E4"/>
    <w:rsid w:val="00832A2B"/>
    <w:rsid w:val="00834E77"/>
    <w:rsid w:val="00837CBF"/>
    <w:rsid w:val="00840B5B"/>
    <w:rsid w:val="00843758"/>
    <w:rsid w:val="00845811"/>
    <w:rsid w:val="00846994"/>
    <w:rsid w:val="00847653"/>
    <w:rsid w:val="00850451"/>
    <w:rsid w:val="00850F77"/>
    <w:rsid w:val="00852042"/>
    <w:rsid w:val="008534C9"/>
    <w:rsid w:val="008539E1"/>
    <w:rsid w:val="0085599D"/>
    <w:rsid w:val="00856AF3"/>
    <w:rsid w:val="00856C56"/>
    <w:rsid w:val="00865B04"/>
    <w:rsid w:val="00866CB1"/>
    <w:rsid w:val="008673C7"/>
    <w:rsid w:val="00871D2C"/>
    <w:rsid w:val="0087510C"/>
    <w:rsid w:val="00877094"/>
    <w:rsid w:val="0088057F"/>
    <w:rsid w:val="00880757"/>
    <w:rsid w:val="00881809"/>
    <w:rsid w:val="00891BFC"/>
    <w:rsid w:val="00893256"/>
    <w:rsid w:val="00894398"/>
    <w:rsid w:val="00894544"/>
    <w:rsid w:val="00896704"/>
    <w:rsid w:val="00896ACF"/>
    <w:rsid w:val="0089738E"/>
    <w:rsid w:val="008B1D93"/>
    <w:rsid w:val="008B2545"/>
    <w:rsid w:val="008B3AB1"/>
    <w:rsid w:val="008B5FDB"/>
    <w:rsid w:val="008C2C3D"/>
    <w:rsid w:val="008C50F4"/>
    <w:rsid w:val="008C5649"/>
    <w:rsid w:val="008D68CD"/>
    <w:rsid w:val="008D7A0A"/>
    <w:rsid w:val="008E2AA7"/>
    <w:rsid w:val="008E4319"/>
    <w:rsid w:val="008E44A2"/>
    <w:rsid w:val="008E6245"/>
    <w:rsid w:val="008E697D"/>
    <w:rsid w:val="008F4629"/>
    <w:rsid w:val="00901AA4"/>
    <w:rsid w:val="00903263"/>
    <w:rsid w:val="009045D0"/>
    <w:rsid w:val="009046F2"/>
    <w:rsid w:val="00906A21"/>
    <w:rsid w:val="009079C3"/>
    <w:rsid w:val="00910462"/>
    <w:rsid w:val="009115A1"/>
    <w:rsid w:val="009139AE"/>
    <w:rsid w:val="00915045"/>
    <w:rsid w:val="00915AB1"/>
    <w:rsid w:val="00917532"/>
    <w:rsid w:val="009235BA"/>
    <w:rsid w:val="00924023"/>
    <w:rsid w:val="00924841"/>
    <w:rsid w:val="00924CE2"/>
    <w:rsid w:val="00925B9F"/>
    <w:rsid w:val="00931AED"/>
    <w:rsid w:val="009327A1"/>
    <w:rsid w:val="009329FF"/>
    <w:rsid w:val="009476A3"/>
    <w:rsid w:val="009506BA"/>
    <w:rsid w:val="00951F82"/>
    <w:rsid w:val="0095334F"/>
    <w:rsid w:val="009533ED"/>
    <w:rsid w:val="009560A3"/>
    <w:rsid w:val="009566C4"/>
    <w:rsid w:val="00960290"/>
    <w:rsid w:val="00960921"/>
    <w:rsid w:val="00960D95"/>
    <w:rsid w:val="00963EB0"/>
    <w:rsid w:val="0096407C"/>
    <w:rsid w:val="009644BC"/>
    <w:rsid w:val="00965897"/>
    <w:rsid w:val="0096765C"/>
    <w:rsid w:val="00970B72"/>
    <w:rsid w:val="009714C8"/>
    <w:rsid w:val="009727E4"/>
    <w:rsid w:val="00982520"/>
    <w:rsid w:val="00984545"/>
    <w:rsid w:val="009850C4"/>
    <w:rsid w:val="00991D15"/>
    <w:rsid w:val="009934C5"/>
    <w:rsid w:val="00993904"/>
    <w:rsid w:val="00994AC8"/>
    <w:rsid w:val="00994B1A"/>
    <w:rsid w:val="00994C0F"/>
    <w:rsid w:val="00994F66"/>
    <w:rsid w:val="009B22D7"/>
    <w:rsid w:val="009B4D66"/>
    <w:rsid w:val="009B72ED"/>
    <w:rsid w:val="009C307A"/>
    <w:rsid w:val="009C550B"/>
    <w:rsid w:val="009C6DEB"/>
    <w:rsid w:val="009D0ECF"/>
    <w:rsid w:val="009D21EB"/>
    <w:rsid w:val="009D6504"/>
    <w:rsid w:val="009D7EB7"/>
    <w:rsid w:val="009E12D7"/>
    <w:rsid w:val="009E460D"/>
    <w:rsid w:val="009E661A"/>
    <w:rsid w:val="009F7338"/>
    <w:rsid w:val="009F77F2"/>
    <w:rsid w:val="00A04A4A"/>
    <w:rsid w:val="00A052F0"/>
    <w:rsid w:val="00A05B78"/>
    <w:rsid w:val="00A06781"/>
    <w:rsid w:val="00A074C3"/>
    <w:rsid w:val="00A1509C"/>
    <w:rsid w:val="00A1520D"/>
    <w:rsid w:val="00A273EC"/>
    <w:rsid w:val="00A3274B"/>
    <w:rsid w:val="00A32E68"/>
    <w:rsid w:val="00A33891"/>
    <w:rsid w:val="00A34260"/>
    <w:rsid w:val="00A354CD"/>
    <w:rsid w:val="00A35E61"/>
    <w:rsid w:val="00A35F49"/>
    <w:rsid w:val="00A41FB3"/>
    <w:rsid w:val="00A46122"/>
    <w:rsid w:val="00A54115"/>
    <w:rsid w:val="00A54CD4"/>
    <w:rsid w:val="00A564AA"/>
    <w:rsid w:val="00A566F7"/>
    <w:rsid w:val="00A70CFD"/>
    <w:rsid w:val="00A720D3"/>
    <w:rsid w:val="00A72278"/>
    <w:rsid w:val="00A72A0B"/>
    <w:rsid w:val="00A73C72"/>
    <w:rsid w:val="00A75E1F"/>
    <w:rsid w:val="00A76ED6"/>
    <w:rsid w:val="00A81E42"/>
    <w:rsid w:val="00A839D5"/>
    <w:rsid w:val="00A864FE"/>
    <w:rsid w:val="00A86F41"/>
    <w:rsid w:val="00A87D04"/>
    <w:rsid w:val="00A908A1"/>
    <w:rsid w:val="00A915DE"/>
    <w:rsid w:val="00A950C5"/>
    <w:rsid w:val="00AA1D25"/>
    <w:rsid w:val="00AB2937"/>
    <w:rsid w:val="00AB2B1A"/>
    <w:rsid w:val="00AB397F"/>
    <w:rsid w:val="00AB3D71"/>
    <w:rsid w:val="00AB5832"/>
    <w:rsid w:val="00AB736D"/>
    <w:rsid w:val="00AC51F2"/>
    <w:rsid w:val="00AD0220"/>
    <w:rsid w:val="00AD5D17"/>
    <w:rsid w:val="00AE5066"/>
    <w:rsid w:val="00AE5E24"/>
    <w:rsid w:val="00AE61B7"/>
    <w:rsid w:val="00AE6CBA"/>
    <w:rsid w:val="00AE79AD"/>
    <w:rsid w:val="00AF23F1"/>
    <w:rsid w:val="00AF35E4"/>
    <w:rsid w:val="00AF5348"/>
    <w:rsid w:val="00AF5CDE"/>
    <w:rsid w:val="00AF5CE1"/>
    <w:rsid w:val="00AF6FC3"/>
    <w:rsid w:val="00B00116"/>
    <w:rsid w:val="00B01AEC"/>
    <w:rsid w:val="00B11A57"/>
    <w:rsid w:val="00B211C3"/>
    <w:rsid w:val="00B25597"/>
    <w:rsid w:val="00B267B9"/>
    <w:rsid w:val="00B27CD6"/>
    <w:rsid w:val="00B320C6"/>
    <w:rsid w:val="00B3276F"/>
    <w:rsid w:val="00B33E09"/>
    <w:rsid w:val="00B413C9"/>
    <w:rsid w:val="00B42F75"/>
    <w:rsid w:val="00B50708"/>
    <w:rsid w:val="00B50C68"/>
    <w:rsid w:val="00B51293"/>
    <w:rsid w:val="00B52B1E"/>
    <w:rsid w:val="00B53C5B"/>
    <w:rsid w:val="00B55481"/>
    <w:rsid w:val="00B566EB"/>
    <w:rsid w:val="00B56C32"/>
    <w:rsid w:val="00B57ACF"/>
    <w:rsid w:val="00B621B1"/>
    <w:rsid w:val="00B6304A"/>
    <w:rsid w:val="00B6305B"/>
    <w:rsid w:val="00B63AB7"/>
    <w:rsid w:val="00B64BB1"/>
    <w:rsid w:val="00B66305"/>
    <w:rsid w:val="00B73166"/>
    <w:rsid w:val="00B737D0"/>
    <w:rsid w:val="00B80DB9"/>
    <w:rsid w:val="00B8104E"/>
    <w:rsid w:val="00B8426C"/>
    <w:rsid w:val="00B846FC"/>
    <w:rsid w:val="00B91B8D"/>
    <w:rsid w:val="00B94E90"/>
    <w:rsid w:val="00B960BC"/>
    <w:rsid w:val="00B9665C"/>
    <w:rsid w:val="00BA1141"/>
    <w:rsid w:val="00BA2D96"/>
    <w:rsid w:val="00BB0A82"/>
    <w:rsid w:val="00BB0E46"/>
    <w:rsid w:val="00BB444A"/>
    <w:rsid w:val="00BB7C94"/>
    <w:rsid w:val="00BC0593"/>
    <w:rsid w:val="00BC0A9D"/>
    <w:rsid w:val="00BC65B7"/>
    <w:rsid w:val="00BE7E05"/>
    <w:rsid w:val="00BF40ED"/>
    <w:rsid w:val="00BF5BC2"/>
    <w:rsid w:val="00BF6318"/>
    <w:rsid w:val="00C0098E"/>
    <w:rsid w:val="00C065D4"/>
    <w:rsid w:val="00C06BA7"/>
    <w:rsid w:val="00C10671"/>
    <w:rsid w:val="00C1133D"/>
    <w:rsid w:val="00C142BE"/>
    <w:rsid w:val="00C15FB4"/>
    <w:rsid w:val="00C22AA6"/>
    <w:rsid w:val="00C24FE9"/>
    <w:rsid w:val="00C27A08"/>
    <w:rsid w:val="00C3017B"/>
    <w:rsid w:val="00C31312"/>
    <w:rsid w:val="00C326C6"/>
    <w:rsid w:val="00C35295"/>
    <w:rsid w:val="00C36ADD"/>
    <w:rsid w:val="00C36E74"/>
    <w:rsid w:val="00C37A61"/>
    <w:rsid w:val="00C40595"/>
    <w:rsid w:val="00C40C1E"/>
    <w:rsid w:val="00C41621"/>
    <w:rsid w:val="00C449FA"/>
    <w:rsid w:val="00C5384F"/>
    <w:rsid w:val="00C55233"/>
    <w:rsid w:val="00C56964"/>
    <w:rsid w:val="00C6360A"/>
    <w:rsid w:val="00C656D5"/>
    <w:rsid w:val="00C67103"/>
    <w:rsid w:val="00C706F1"/>
    <w:rsid w:val="00C71BB9"/>
    <w:rsid w:val="00C94C28"/>
    <w:rsid w:val="00CA025B"/>
    <w:rsid w:val="00CB0247"/>
    <w:rsid w:val="00CB3440"/>
    <w:rsid w:val="00CB5060"/>
    <w:rsid w:val="00CB7C44"/>
    <w:rsid w:val="00CC1692"/>
    <w:rsid w:val="00CC59BF"/>
    <w:rsid w:val="00CD138B"/>
    <w:rsid w:val="00CD18E4"/>
    <w:rsid w:val="00CD3E31"/>
    <w:rsid w:val="00CD408F"/>
    <w:rsid w:val="00CD74A3"/>
    <w:rsid w:val="00CD74C5"/>
    <w:rsid w:val="00CD77B6"/>
    <w:rsid w:val="00CE0527"/>
    <w:rsid w:val="00CE5B23"/>
    <w:rsid w:val="00CF01B7"/>
    <w:rsid w:val="00CF1DBC"/>
    <w:rsid w:val="00CF1FFE"/>
    <w:rsid w:val="00CF3FE6"/>
    <w:rsid w:val="00CF70AD"/>
    <w:rsid w:val="00CF7729"/>
    <w:rsid w:val="00D00059"/>
    <w:rsid w:val="00D05C24"/>
    <w:rsid w:val="00D0702F"/>
    <w:rsid w:val="00D107FA"/>
    <w:rsid w:val="00D12275"/>
    <w:rsid w:val="00D12766"/>
    <w:rsid w:val="00D177C0"/>
    <w:rsid w:val="00D20C91"/>
    <w:rsid w:val="00D20FF4"/>
    <w:rsid w:val="00D2248E"/>
    <w:rsid w:val="00D24D2C"/>
    <w:rsid w:val="00D2758C"/>
    <w:rsid w:val="00D35881"/>
    <w:rsid w:val="00D37E25"/>
    <w:rsid w:val="00D4023B"/>
    <w:rsid w:val="00D549B2"/>
    <w:rsid w:val="00D61465"/>
    <w:rsid w:val="00D62137"/>
    <w:rsid w:val="00D73DDD"/>
    <w:rsid w:val="00D75F9B"/>
    <w:rsid w:val="00D85EA3"/>
    <w:rsid w:val="00DA7DA5"/>
    <w:rsid w:val="00DB073B"/>
    <w:rsid w:val="00DB78F0"/>
    <w:rsid w:val="00DC2E43"/>
    <w:rsid w:val="00DC3A92"/>
    <w:rsid w:val="00DC5561"/>
    <w:rsid w:val="00DC6A5A"/>
    <w:rsid w:val="00DD095C"/>
    <w:rsid w:val="00DD1020"/>
    <w:rsid w:val="00DD1330"/>
    <w:rsid w:val="00DD2860"/>
    <w:rsid w:val="00DD34A0"/>
    <w:rsid w:val="00DD5200"/>
    <w:rsid w:val="00DE0B83"/>
    <w:rsid w:val="00DE1A81"/>
    <w:rsid w:val="00DE1B21"/>
    <w:rsid w:val="00DE1C13"/>
    <w:rsid w:val="00DE32B2"/>
    <w:rsid w:val="00DE4E10"/>
    <w:rsid w:val="00DE6297"/>
    <w:rsid w:val="00DF6337"/>
    <w:rsid w:val="00E02ABF"/>
    <w:rsid w:val="00E03BA7"/>
    <w:rsid w:val="00E06A8F"/>
    <w:rsid w:val="00E14995"/>
    <w:rsid w:val="00E16C7A"/>
    <w:rsid w:val="00E179CD"/>
    <w:rsid w:val="00E23E8D"/>
    <w:rsid w:val="00E24FA3"/>
    <w:rsid w:val="00E26666"/>
    <w:rsid w:val="00E317DD"/>
    <w:rsid w:val="00E31B6E"/>
    <w:rsid w:val="00E31BAB"/>
    <w:rsid w:val="00E360E1"/>
    <w:rsid w:val="00E37F98"/>
    <w:rsid w:val="00E434E9"/>
    <w:rsid w:val="00E45E1A"/>
    <w:rsid w:val="00E46559"/>
    <w:rsid w:val="00E50939"/>
    <w:rsid w:val="00E53B56"/>
    <w:rsid w:val="00E564FA"/>
    <w:rsid w:val="00E56DC6"/>
    <w:rsid w:val="00E641A8"/>
    <w:rsid w:val="00E6670C"/>
    <w:rsid w:val="00E70640"/>
    <w:rsid w:val="00E718C8"/>
    <w:rsid w:val="00E72FF5"/>
    <w:rsid w:val="00E776E8"/>
    <w:rsid w:val="00E8718B"/>
    <w:rsid w:val="00E87E7D"/>
    <w:rsid w:val="00E92439"/>
    <w:rsid w:val="00E92C1F"/>
    <w:rsid w:val="00E95D4B"/>
    <w:rsid w:val="00E970C7"/>
    <w:rsid w:val="00EA6E11"/>
    <w:rsid w:val="00EB199F"/>
    <w:rsid w:val="00EB64DE"/>
    <w:rsid w:val="00EC23F7"/>
    <w:rsid w:val="00EC4BD8"/>
    <w:rsid w:val="00EC4E5F"/>
    <w:rsid w:val="00EC63EB"/>
    <w:rsid w:val="00ED3BB1"/>
    <w:rsid w:val="00ED412F"/>
    <w:rsid w:val="00EE161A"/>
    <w:rsid w:val="00EE56B0"/>
    <w:rsid w:val="00EE633A"/>
    <w:rsid w:val="00EF1FB4"/>
    <w:rsid w:val="00EF36B2"/>
    <w:rsid w:val="00EF6E0E"/>
    <w:rsid w:val="00F02097"/>
    <w:rsid w:val="00F0644A"/>
    <w:rsid w:val="00F12DF9"/>
    <w:rsid w:val="00F201EC"/>
    <w:rsid w:val="00F208A9"/>
    <w:rsid w:val="00F278A5"/>
    <w:rsid w:val="00F34024"/>
    <w:rsid w:val="00F36513"/>
    <w:rsid w:val="00F409A2"/>
    <w:rsid w:val="00F411EF"/>
    <w:rsid w:val="00F41D75"/>
    <w:rsid w:val="00F42349"/>
    <w:rsid w:val="00F46D29"/>
    <w:rsid w:val="00F5139D"/>
    <w:rsid w:val="00F5618C"/>
    <w:rsid w:val="00F56416"/>
    <w:rsid w:val="00F63DAC"/>
    <w:rsid w:val="00F7262E"/>
    <w:rsid w:val="00F729EC"/>
    <w:rsid w:val="00F7454F"/>
    <w:rsid w:val="00F75037"/>
    <w:rsid w:val="00F77988"/>
    <w:rsid w:val="00F77F48"/>
    <w:rsid w:val="00F83966"/>
    <w:rsid w:val="00F87BEC"/>
    <w:rsid w:val="00F92B43"/>
    <w:rsid w:val="00F93646"/>
    <w:rsid w:val="00FB30F1"/>
    <w:rsid w:val="00FB53E7"/>
    <w:rsid w:val="00FB5DA6"/>
    <w:rsid w:val="00FB6DFE"/>
    <w:rsid w:val="00FC24C7"/>
    <w:rsid w:val="00FD2411"/>
    <w:rsid w:val="00FF0C70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5FDCC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link w:val="BalloonTextChar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3FE9"/>
    <w:rPr>
      <w:sz w:val="24"/>
      <w:szCs w:val="24"/>
      <w:lang w:val="lv-LV" w:eastAsia="lv-LV" w:bidi="ar-SA"/>
    </w:rPr>
  </w:style>
  <w:style w:type="paragraph" w:styleId="Signature">
    <w:name w:val="Signature"/>
    <w:basedOn w:val="Normal"/>
    <w:next w:val="EnvelopeReturn"/>
    <w:link w:val="SignatureChar"/>
    <w:rsid w:val="00395C6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395C6B"/>
    <w:rPr>
      <w:sz w:val="26"/>
      <w:lang w:val="en-AU" w:eastAsia="en-US" w:bidi="ar-SA"/>
    </w:rPr>
  </w:style>
  <w:style w:type="paragraph" w:styleId="EnvelopeReturn">
    <w:name w:val="envelope return"/>
    <w:basedOn w:val="Normal"/>
    <w:rsid w:val="00395C6B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spelle">
    <w:name w:val="spelle"/>
    <w:basedOn w:val="DefaultParagraphFont"/>
    <w:rsid w:val="00604FE4"/>
  </w:style>
  <w:style w:type="paragraph" w:customStyle="1" w:styleId="Default">
    <w:name w:val="Default"/>
    <w:rsid w:val="009329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64A46"/>
    <w:pPr>
      <w:spacing w:before="100" w:beforeAutospacing="1" w:after="100" w:afterAutospacing="1"/>
    </w:pPr>
  </w:style>
  <w:style w:type="character" w:customStyle="1" w:styleId="BalloonTextChar">
    <w:name w:val="Balloon Text Char"/>
    <w:basedOn w:val="DefaultParagraphFont"/>
    <w:link w:val="BalloonText"/>
    <w:semiHidden/>
    <w:locked/>
    <w:rsid w:val="00B960BC"/>
    <w:rPr>
      <w:rFonts w:ascii="Tahoma" w:hAnsi="Tahoma" w:cs="Tahoma"/>
      <w:sz w:val="16"/>
      <w:szCs w:val="16"/>
      <w:lang w:val="lv-LV" w:eastAsia="lv-LV" w:bidi="ar-SA"/>
    </w:rPr>
  </w:style>
  <w:style w:type="character" w:customStyle="1" w:styleId="apple-style-span">
    <w:name w:val="apple-style-span"/>
    <w:basedOn w:val="DefaultParagraphFont"/>
    <w:rsid w:val="00CC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4BDAF-483D-46D0-AB93-6F603B81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666</Words>
  <Characters>5363</Characters>
  <Application>Microsoft Office Word</Application>
  <DocSecurity>0</DocSecurity>
  <Lines>162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Nr.333</vt:lpstr>
    </vt:vector>
  </TitlesOfParts>
  <Manager/>
  <Company>Valsts kanceleja, ES struktūrfondu departaments</Company>
  <LinksUpToDate>false</LinksUpToDate>
  <CharactersWithSpaces>5980</CharactersWithSpaces>
  <SharedDoc>false</SharedDoc>
  <HLinks>
    <vt:vector size="6" baseType="variant">
      <vt:variant>
        <vt:i4>6750284</vt:i4>
      </vt:variant>
      <vt:variant>
        <vt:i4>3</vt:i4>
      </vt:variant>
      <vt:variant>
        <vt:i4>0</vt:i4>
      </vt:variant>
      <vt:variant>
        <vt:i4>5</vt:i4>
      </vt:variant>
      <vt:variant>
        <vt:lpwstr>mailto:sanita.vasiljeva@mk.gov.lv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Nr.333</dc:title>
  <dc:subject>MK noteikumu anotācija</dc:subject>
  <dc:creator>Dace Balode</dc:creator>
  <cp:keywords/>
  <dc:description>67082910_x000d_
Dace.Balode@mk.gov.lv</dc:description>
  <cp:lastModifiedBy>Inese Šņickovska</cp:lastModifiedBy>
  <cp:revision>38</cp:revision>
  <cp:lastPrinted>2012-12-14T08:52:00Z</cp:lastPrinted>
  <dcterms:created xsi:type="dcterms:W3CDTF">2012-12-06T14:46:00Z</dcterms:created>
  <dcterms:modified xsi:type="dcterms:W3CDTF">2012-12-14T08:52:00Z</dcterms:modified>
</cp:coreProperties>
</file>