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15" w:rsidRPr="00080B76" w:rsidRDefault="00146015" w:rsidP="00A72B7C">
      <w:pPr>
        <w:tabs>
          <w:tab w:val="left" w:pos="284"/>
          <w:tab w:val="left" w:pos="709"/>
          <w:tab w:val="left" w:pos="851"/>
          <w:tab w:val="left" w:pos="2410"/>
        </w:tabs>
        <w:jc w:val="center"/>
        <w:rPr>
          <w:b/>
          <w:sz w:val="28"/>
          <w:szCs w:val="28"/>
        </w:rPr>
      </w:pPr>
      <w:r w:rsidRPr="00146015">
        <w:rPr>
          <w:b/>
          <w:sz w:val="28"/>
          <w:szCs w:val="28"/>
        </w:rPr>
        <w:t xml:space="preserve">Ministru kabineta noteikumu projekta „Grozījumi Ministru kabineta 2003. gada 29.aprīļa noteikumos Nr.239 “Finanšu ministrijas nolikums”” </w:t>
      </w:r>
      <w:r w:rsidRPr="00080B76">
        <w:rPr>
          <w:b/>
          <w:sz w:val="28"/>
          <w:szCs w:val="28"/>
        </w:rPr>
        <w:t xml:space="preserve">sākotnējās ietekmes novērtējuma </w:t>
      </w:r>
      <w:smartTag w:uri="schemas-tilde-lv/tildestengine" w:element="veidnes">
        <w:smartTagPr>
          <w:attr w:name="text" w:val="ziņojums"/>
          <w:attr w:name="baseform" w:val="ziņojums"/>
          <w:attr w:name="id" w:val="-1"/>
        </w:smartTagPr>
        <w:r w:rsidRPr="00080B76">
          <w:rPr>
            <w:b/>
            <w:sz w:val="28"/>
            <w:szCs w:val="28"/>
          </w:rPr>
          <w:t>ziņojums</w:t>
        </w:r>
      </w:smartTag>
      <w:r w:rsidRPr="00080B76">
        <w:rPr>
          <w:b/>
          <w:sz w:val="28"/>
          <w:szCs w:val="28"/>
        </w:rPr>
        <w:t xml:space="preserve"> (anotācija)</w:t>
      </w:r>
    </w:p>
    <w:p w:rsidR="00146015" w:rsidRPr="001B4A46" w:rsidRDefault="00146015" w:rsidP="00146015">
      <w:pPr>
        <w:pStyle w:val="naislab"/>
        <w:spacing w:before="0" w:after="0"/>
        <w:jc w:val="center"/>
        <w:outlineLvl w:val="0"/>
        <w:rPr>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39"/>
        <w:gridCol w:w="6060"/>
      </w:tblGrid>
      <w:tr w:rsidR="00146015" w:rsidRPr="007030B3" w:rsidTr="00A552B4">
        <w:tc>
          <w:tcPr>
            <w:tcW w:w="9539" w:type="dxa"/>
            <w:gridSpan w:val="3"/>
          </w:tcPr>
          <w:p w:rsidR="00146015" w:rsidRPr="007030B3" w:rsidRDefault="00146015" w:rsidP="00A552B4">
            <w:pPr>
              <w:pStyle w:val="naislab"/>
              <w:spacing w:before="0" w:after="0"/>
              <w:jc w:val="center"/>
              <w:outlineLvl w:val="0"/>
              <w:rPr>
                <w:b/>
              </w:rPr>
            </w:pPr>
            <w:r w:rsidRPr="007030B3">
              <w:rPr>
                <w:b/>
              </w:rPr>
              <w:t>I. Tiesību akta projekta izstrādes nepieciešamība</w:t>
            </w:r>
          </w:p>
        </w:tc>
      </w:tr>
      <w:tr w:rsidR="0050234E" w:rsidRPr="007030B3" w:rsidTr="00706294">
        <w:trPr>
          <w:trHeight w:val="6899"/>
        </w:trPr>
        <w:tc>
          <w:tcPr>
            <w:tcW w:w="540" w:type="dxa"/>
          </w:tcPr>
          <w:p w:rsidR="0050234E" w:rsidRPr="007030B3" w:rsidRDefault="0050234E" w:rsidP="00A552B4">
            <w:pPr>
              <w:pStyle w:val="naislab"/>
              <w:spacing w:before="0" w:after="0"/>
              <w:jc w:val="center"/>
              <w:outlineLvl w:val="0"/>
            </w:pPr>
            <w:r w:rsidRPr="007030B3">
              <w:t>1.</w:t>
            </w:r>
          </w:p>
        </w:tc>
        <w:tc>
          <w:tcPr>
            <w:tcW w:w="2939" w:type="dxa"/>
          </w:tcPr>
          <w:p w:rsidR="0050234E" w:rsidRPr="007030B3" w:rsidRDefault="0050234E" w:rsidP="00A552B4">
            <w:pPr>
              <w:pStyle w:val="naislab"/>
              <w:spacing w:before="0" w:after="0"/>
              <w:jc w:val="both"/>
              <w:outlineLvl w:val="0"/>
            </w:pPr>
            <w:r w:rsidRPr="007030B3">
              <w:t>Pamatojums</w:t>
            </w:r>
          </w:p>
        </w:tc>
        <w:tc>
          <w:tcPr>
            <w:tcW w:w="6060" w:type="dxa"/>
          </w:tcPr>
          <w:p w:rsidR="0050234E" w:rsidRDefault="0050234E" w:rsidP="00497FA2">
            <w:pPr>
              <w:pStyle w:val="naislab"/>
              <w:spacing w:before="0" w:after="0"/>
              <w:jc w:val="both"/>
            </w:pPr>
            <w:r>
              <w:t>Valsts pārvaldes iekārtas likuma 16.panta pirmā daļa, kas paredz, ka ministrijas darbību reglamentē Ministru kabineta apstiprināts nolikums.</w:t>
            </w:r>
          </w:p>
          <w:p w:rsidR="0050234E" w:rsidRPr="007030B3" w:rsidRDefault="0050234E" w:rsidP="00B44C6C">
            <w:pPr>
              <w:pStyle w:val="naislab"/>
              <w:spacing w:before="0" w:after="0"/>
              <w:jc w:val="both"/>
            </w:pPr>
            <w:r w:rsidRPr="00146015">
              <w:t xml:space="preserve">Ministru kabineta 2011.gada 29.novembra sēdes </w:t>
            </w:r>
            <w:proofErr w:type="spellStart"/>
            <w:r w:rsidRPr="00146015">
              <w:t>protokollēmumā</w:t>
            </w:r>
            <w:proofErr w:type="spellEnd"/>
            <w:r w:rsidRPr="00146015">
              <w:t xml:space="preserve"> (sēdes protokola Nr.70 42§ 7.punkts) uzdots Finanšu ministrijai sagatavot un iesniegt Ministru kabinetā Ministru kabineta 2003.gada 29.aprīļa noteikumu Nr.23</w:t>
            </w:r>
            <w:r>
              <w:t>9 „Finanšu ministrijas nolikums” grozījumu</w:t>
            </w:r>
            <w:r w:rsidRPr="00146015">
              <w:t xml:space="preserve"> projektu, sakarā ar  akciju sabiedrības „Augstsprieguma tīkls” akciju iegādi valsts īpašumā. Vienlaikus grozījumi Ministru kabineta 2003.gada 29.aprīļa noteikumos Nr.239 „Finanšu ministrijas nolikums”</w:t>
            </w:r>
            <w:r>
              <w:t xml:space="preserve"> (turpmāk – Finanšu ministrijas nolikums)</w:t>
            </w:r>
            <w:r w:rsidRPr="00146015">
              <w:t xml:space="preserve"> izstrādāti, ņemot vērā Iekšējā audita 2010.gada 30.marta ziņojuma par komercdarbības atbalsta kontroles auditu Finanšu ministrijā ieteikumus Nr.2.1.,</w:t>
            </w:r>
            <w:r>
              <w:t xml:space="preserve"> audita ziņojumu </w:t>
            </w:r>
            <w:proofErr w:type="spellStart"/>
            <w:r w:rsidRPr="00497FA2">
              <w:t>Nr</w:t>
            </w:r>
            <w:proofErr w:type="spellEnd"/>
            <w:r w:rsidRPr="00497FA2">
              <w:t xml:space="preserve">. M-15-11/18 </w:t>
            </w:r>
            <w:r>
              <w:t xml:space="preserve">par nepieciešamību </w:t>
            </w:r>
            <w:r w:rsidRPr="00323E16">
              <w:t>precizēt un loģiski sastrukturizēt informāciju par iestādes darbības nozarēm, apakšnozarēm, funkcijām un uzdevumiem</w:t>
            </w:r>
            <w:r>
              <w:t xml:space="preserve"> Finanšu ministrijas nolikumā, lai</w:t>
            </w:r>
            <w:r w:rsidRPr="00497FA2">
              <w:t xml:space="preserve"> </w:t>
            </w:r>
            <w:r w:rsidRPr="00323E16">
              <w:t xml:space="preserve"> sabiedrībai sniegtu pilnīgu un viennozīmīgi sa</w:t>
            </w:r>
            <w:r>
              <w:t xml:space="preserve">protamu priekšstatu par Finanšu ministrijas  darbības jomām, un audita ziņojumu </w:t>
            </w:r>
            <w:proofErr w:type="spellStart"/>
            <w:r>
              <w:t>Nr.</w:t>
            </w:r>
            <w:r w:rsidRPr="00497FA2">
              <w:t>M-6-11</w:t>
            </w:r>
            <w:proofErr w:type="spellEnd"/>
            <w:r w:rsidRPr="00497FA2">
              <w:t>/26</w:t>
            </w:r>
            <w:r>
              <w:t xml:space="preserve"> par </w:t>
            </w:r>
            <w:r w:rsidRPr="00497FA2">
              <w:t>valsts fi</w:t>
            </w:r>
            <w:r>
              <w:t>nanšu stabilitātes nodrošināšanu</w:t>
            </w:r>
            <w:r w:rsidRPr="00497FA2">
              <w:t xml:space="preserve"> un ek</w:t>
            </w:r>
            <w:r>
              <w:t>onomiskās attīstības veicināšanu,</w:t>
            </w:r>
            <w:r w:rsidRPr="00497FA2">
              <w:t xml:space="preserve"> </w:t>
            </w:r>
            <w:r>
              <w:t xml:space="preserve"> </w:t>
            </w:r>
            <w:r w:rsidRPr="00146015">
              <w:t>jo Finanšu ministrijas nolikums nav aktualizēt</w:t>
            </w:r>
            <w:r>
              <w:t>s</w:t>
            </w:r>
            <w:r w:rsidRPr="00146015">
              <w:t xml:space="preserve"> kopš 2009.gada, tāpēc nepieciešams minētos noteikumus aktualizēt atbilstoši faktiskajai situācijai.</w:t>
            </w:r>
          </w:p>
        </w:tc>
      </w:tr>
      <w:tr w:rsidR="00146015" w:rsidRPr="007030B3" w:rsidTr="00A552B4">
        <w:tc>
          <w:tcPr>
            <w:tcW w:w="540" w:type="dxa"/>
          </w:tcPr>
          <w:p w:rsidR="00146015" w:rsidRPr="007030B3" w:rsidRDefault="00146015" w:rsidP="00A552B4">
            <w:pPr>
              <w:pStyle w:val="naislab"/>
              <w:spacing w:before="0" w:after="0"/>
              <w:jc w:val="center"/>
              <w:outlineLvl w:val="0"/>
            </w:pPr>
            <w:r w:rsidRPr="007030B3">
              <w:t>2.</w:t>
            </w:r>
          </w:p>
        </w:tc>
        <w:tc>
          <w:tcPr>
            <w:tcW w:w="2939" w:type="dxa"/>
          </w:tcPr>
          <w:p w:rsidR="00146015" w:rsidRPr="007030B3" w:rsidRDefault="00146015" w:rsidP="00A552B4">
            <w:pPr>
              <w:pStyle w:val="naislab"/>
              <w:spacing w:before="0" w:after="0"/>
              <w:jc w:val="both"/>
              <w:outlineLvl w:val="0"/>
            </w:pPr>
            <w:r w:rsidRPr="007030B3">
              <w:t>Pašreizējā situācija un problēmas</w:t>
            </w:r>
          </w:p>
        </w:tc>
        <w:tc>
          <w:tcPr>
            <w:tcW w:w="6060" w:type="dxa"/>
          </w:tcPr>
          <w:p w:rsidR="00146015" w:rsidRDefault="00146015" w:rsidP="00D65701">
            <w:pPr>
              <w:ind w:firstLine="459"/>
              <w:jc w:val="both"/>
            </w:pPr>
            <w:r>
              <w:t>Ministru kabinets 2011. gada 29. novembrī (sēdes protokola Nr.70 42§ 7.punkts) ir pieņēmis rīkojumu, kas paredz, ka Finanšu ministrija iegādājas Latvijas Republikai visas akciju sabiedrības „Latvenergo” īpašumā esošās akciju sabiedrības „Augstsprieguma tīkls” kapitāla daļas, iegūstot izšķirošo ietek</w:t>
            </w:r>
            <w:r w:rsidR="00D2480C">
              <w:t xml:space="preserve">mi akciju sabiedrībā. </w:t>
            </w:r>
            <w:r w:rsidR="00E77BF3">
              <w:t>Bez tam Ministru kabin</w:t>
            </w:r>
            <w:r w:rsidR="008D39E8">
              <w:t>e</w:t>
            </w:r>
            <w:r w:rsidR="00E77BF3">
              <w:t>ts ar 2011.gada 19.jūlija rīkojumu Nr.325(protokols Nr.44) nolēma pārdot valstij piederošās akciju sabiedrības „Jelgavas siltumtīklu uzņēmums” akcijas un nodot tās turējumā valsts akciju sabiedrībai „Privatizācijas aģentūra”. Ievērojot minēto, nepieciešams izdarīt grozījumus</w:t>
            </w:r>
            <w:r w:rsidR="0050234E">
              <w:t xml:space="preserve"> </w:t>
            </w:r>
            <w:r w:rsidR="00B44C6C">
              <w:t xml:space="preserve">Finanšu ministrijas nolikumā. </w:t>
            </w:r>
          </w:p>
          <w:p w:rsidR="0093460D" w:rsidRDefault="0093460D" w:rsidP="00D65701">
            <w:pPr>
              <w:ind w:firstLine="459"/>
              <w:jc w:val="both"/>
            </w:pPr>
            <w:r>
              <w:t>Ministrijā, veiktās struktūras optimizācijas dēļ, vairs nav patstāvīgo struktūrvienību, kuras saglabājušās Finanšu ministrijas nolikumā</w:t>
            </w:r>
            <w:r w:rsidR="00F50DB7">
              <w:t xml:space="preserve"> un Finanšu ministrijas nolikuma attiecīgās normas jāprecizē atbilstoši faktiskajai situācijai.</w:t>
            </w:r>
          </w:p>
          <w:p w:rsidR="00546865" w:rsidRDefault="00546865" w:rsidP="00D65701">
            <w:pPr>
              <w:ind w:firstLine="459"/>
              <w:jc w:val="both"/>
            </w:pPr>
            <w:r>
              <w:t>Valsts pārvaldes iekārtas likuma 16.panta pirmā daļa nosaka, ka tiešās valsts pārvaldes iestādes darbību regulē Ministru kabineta apstiprināts nolikums. Finanšu ministrijas nolikum</w:t>
            </w:r>
            <w:r w:rsidR="00B44C6C">
              <w:t>ā</w:t>
            </w:r>
            <w:r>
              <w:t xml:space="preserve"> ir ietverta vispārēja informācija par iestādes struktūrvienību sadalījumu</w:t>
            </w:r>
            <w:r w:rsidR="0035043C">
              <w:t xml:space="preserve"> un vispārējo padotību</w:t>
            </w:r>
            <w:r>
              <w:t xml:space="preserve"> </w:t>
            </w:r>
            <w:r>
              <w:lastRenderedPageBreak/>
              <w:t xml:space="preserve">(departamenti, nodaļas, valsts sekretāra vietnieki, administrācijas vadītājs, </w:t>
            </w:r>
            <w:proofErr w:type="spellStart"/>
            <w:r>
              <w:t>skat</w:t>
            </w:r>
            <w:proofErr w:type="spellEnd"/>
            <w:r>
              <w:t>., minēto noteikumu 12.</w:t>
            </w:r>
            <w:r w:rsidR="0035043C">
              <w:t>, 13.</w:t>
            </w:r>
            <w:r>
              <w:t xml:space="preserve"> un</w:t>
            </w:r>
            <w:r w:rsidR="0035043C">
              <w:t xml:space="preserve"> 14</w:t>
            </w:r>
            <w:r>
              <w:t>.punktu).</w:t>
            </w:r>
          </w:p>
          <w:p w:rsidR="00807BE1" w:rsidRDefault="00546865" w:rsidP="00D65701">
            <w:pPr>
              <w:ind w:firstLine="459"/>
              <w:jc w:val="both"/>
            </w:pPr>
            <w:r>
              <w:t>Ievērojot, ka  Finanšu ministrija ar attie</w:t>
            </w:r>
            <w:r w:rsidR="0035043C">
              <w:t>cīg</w:t>
            </w:r>
            <w:r>
              <w:t xml:space="preserve">u departamentu </w:t>
            </w:r>
            <w:r w:rsidR="0035043C">
              <w:t>starpniecību</w:t>
            </w:r>
            <w:r>
              <w:t xml:space="preserve"> veic </w:t>
            </w:r>
            <w:r w:rsidR="0035043C">
              <w:t xml:space="preserve">gan </w:t>
            </w:r>
            <w:r w:rsidR="00706294">
              <w:t>v</w:t>
            </w:r>
            <w:r w:rsidR="0035043C">
              <w:t xml:space="preserve">adošās iestādes, gan </w:t>
            </w:r>
            <w:r w:rsidR="00706294">
              <w:t>r</w:t>
            </w:r>
            <w:r w:rsidR="0035043C">
              <w:t xml:space="preserve">evīzijas iestādes funkcijas, bet atbilstoši </w:t>
            </w:r>
            <w:r w:rsidR="00807BE1" w:rsidRPr="00807BE1">
              <w:t>Eiropas Savienības struktūrfondu u</w:t>
            </w:r>
            <w:r w:rsidR="0035043C">
              <w:t>n Kohēzijas fonda vadības likuma 9.panta ceturtajai daļai un 11.panta trešajai daļai šo iestāžu funkcijām ir jābūt nodalītām no citām funkcijā</w:t>
            </w:r>
            <w:r w:rsidR="003563E6">
              <w:t>m</w:t>
            </w:r>
            <w:r w:rsidR="0035043C">
              <w:t xml:space="preserve"> (vadošās iestādes funkcijām no revīzijas iestādes funkcijām), kā arī, ka revīzijas iestāde atbilstoši </w:t>
            </w:r>
            <w:r w:rsidR="0035043C" w:rsidRPr="0035043C">
              <w:t>Eiropas Savienības struktūrfondu un Kohēzijas fonda vadības likuma</w:t>
            </w:r>
            <w:r w:rsidR="0035043C">
              <w:t xml:space="preserve"> 11.panta pirmajai daļai var pieprasīt informāciju un uzraudzīt arī vadošās iestādes darbību, tad šo abu iestāžu funkcionālo padotību nedrīkst īstenot viena augstākā amatpersona un revīzija</w:t>
            </w:r>
            <w:r w:rsidR="003563E6">
              <w:t>s iestādes  funkcionālā padotība ir jānodala no administratīvās</w:t>
            </w:r>
            <w:r w:rsidR="0035043C">
              <w:t xml:space="preserve"> padotības. Tā kā šāds vispārīgs regulējums ir iekļauts Finanšu ministrijas nolikumā, tad attiecīgi ir jāprecizē nolikums atbilstoši faktiskajai un tiesiskajai situ</w:t>
            </w:r>
            <w:r w:rsidR="00D65701">
              <w:t xml:space="preserve">ācijai. Vienlaicīgi arī Finanšu ministrijas funkcijas jāpapildina ar revīzijas iestādes </w:t>
            </w:r>
            <w:r w:rsidR="00980000">
              <w:t xml:space="preserve">uzdevumu </w:t>
            </w:r>
            <w:r w:rsidR="00D65701">
              <w:t>veikšanu.</w:t>
            </w:r>
          </w:p>
          <w:p w:rsidR="00146015" w:rsidRDefault="005A4BBA" w:rsidP="00D65701">
            <w:pPr>
              <w:ind w:firstLine="459"/>
              <w:jc w:val="both"/>
            </w:pPr>
            <w:r>
              <w:t>A</w:t>
            </w:r>
            <w:r w:rsidR="00146015">
              <w:t>tbilstoši Iekšējā audita departamenta ieteikumiem</w:t>
            </w:r>
            <w:r>
              <w:t xml:space="preserve"> </w:t>
            </w:r>
            <w:r w:rsidRPr="005A4BBA">
              <w:t>Nr.2.1.</w:t>
            </w:r>
            <w:r w:rsidR="00146015">
              <w:t xml:space="preserve"> ir nepieciešams minētajos noteikumos precizēt kompetenču sadalījumu komercdarbības atbalsta</w:t>
            </w:r>
            <w:r w:rsidR="003563E6">
              <w:t xml:space="preserve"> kontroles</w:t>
            </w:r>
            <w:r w:rsidR="00146015">
              <w:t xml:space="preserve"> jomā starp Finanšu ministriju u</w:t>
            </w:r>
            <w:r w:rsidR="00FB6625">
              <w:t>n Zemkopības ministriju</w:t>
            </w:r>
            <w:r w:rsidR="001065E8">
              <w:t>.</w:t>
            </w:r>
            <w:r w:rsidR="0093460D">
              <w:t xml:space="preserve"> Vienlaicīgi nepieciešams Finanšu ministrijas funkciju komercdarbības atbalsta kontroles jomā iekļaut arī nolikuma 1</w:t>
            </w:r>
            <w:r w:rsidR="001065E8">
              <w:t>.punktā pie vispārējās</w:t>
            </w:r>
            <w:r w:rsidR="0093460D">
              <w:t xml:space="preserve"> Finanšu ministrijas kompetences apraksta</w:t>
            </w:r>
            <w:r w:rsidR="00376947">
              <w:t>, jo līdz šim nolikuma 1.punktā šī informācija nav bijusi iekļauta, lai gan noteikta kā viena no ministrijas veiktajām funkcij</w:t>
            </w:r>
            <w:r w:rsidR="00D83FFF">
              <w:t>ām nolikuma 5</w:t>
            </w:r>
            <w:r w:rsidR="00BF1F5E">
              <w:t>.</w:t>
            </w:r>
            <w:r w:rsidR="00D83FFF">
              <w:t>1.apakšpunktā</w:t>
            </w:r>
            <w:r w:rsidR="0093460D">
              <w:t>.</w:t>
            </w:r>
          </w:p>
          <w:p w:rsidR="00706249" w:rsidRDefault="00F50DB7" w:rsidP="00D65701">
            <w:pPr>
              <w:ind w:firstLine="459"/>
              <w:jc w:val="both"/>
            </w:pPr>
            <w:r>
              <w:t>I</w:t>
            </w:r>
            <w:r w:rsidR="005A4BBA">
              <w:t xml:space="preserve">ekšējā auditā </w:t>
            </w:r>
            <w:proofErr w:type="spellStart"/>
            <w:r w:rsidR="005A4BBA">
              <w:t>Nr.M-15-11</w:t>
            </w:r>
            <w:proofErr w:type="spellEnd"/>
            <w:r w:rsidR="005A4BBA">
              <w:t xml:space="preserve">/18 tika </w:t>
            </w:r>
            <w:r w:rsidR="00323E16">
              <w:t>izteikta nepieciešamība</w:t>
            </w:r>
            <w:r w:rsidR="00323E16" w:rsidRPr="00323E16">
              <w:t xml:space="preserve"> precizēt un loģiski sastrukturizēt informāciju par iestādes darbības nozarēm, apakšnozarēm, funkcijām un uzdevumiem Finanšu ministrijas nolikumā, lai pama</w:t>
            </w:r>
            <w:r w:rsidR="003563E6">
              <w:t>tfunkciju un uzdevumu sadalījums</w:t>
            </w:r>
            <w:r w:rsidR="00323E16" w:rsidRPr="00323E16">
              <w:t xml:space="preserve"> pēc reorganizācijas sabiedrībai sniegtu pilnīgu un viennozīmīgi saprotamu priekšstatu par Finanšu ministrijas  darbības jomām</w:t>
            </w:r>
            <w:r w:rsidR="00323E16">
              <w:t xml:space="preserve">. Līdz ar to nepieciešams iekļaut Finanšu ministrijas nolikumā informāciju par uzdevumiem, kurus Finanšu ministrija pilda un kuru īstenošanu veic konkrētas struktūrvienības, bet kuras nav ietvertas Finanšu ministrijas nolikumā, </w:t>
            </w:r>
            <w:proofErr w:type="spellStart"/>
            <w:r w:rsidR="00323E16">
              <w:t>piem</w:t>
            </w:r>
            <w:proofErr w:type="spellEnd"/>
            <w:r w:rsidR="00323E16">
              <w:t>.</w:t>
            </w:r>
            <w:r w:rsidR="0050234E">
              <w:t>,</w:t>
            </w:r>
            <w:r w:rsidR="00323E16">
              <w:t xml:space="preserve"> </w:t>
            </w:r>
            <w:r w:rsidR="00581493">
              <w:t xml:space="preserve">atbilstoši </w:t>
            </w:r>
            <w:r w:rsidR="00581493" w:rsidRPr="00581493">
              <w:t>Sabiedriskā la</w:t>
            </w:r>
            <w:r w:rsidR="00581493">
              <w:t>buma organiz</w:t>
            </w:r>
            <w:r w:rsidR="003563E6">
              <w:t>āciju likuma 5., 6. un 7.pantam</w:t>
            </w:r>
            <w:r w:rsidR="00581493">
              <w:t xml:space="preserve"> sabiedriskā labuma organizāciju reģistru, kā arī statusa piešķiršanas procesu regulē Finanšu ministrijas padotībā esošais Valsts ieņēmumu dienests, līdz ar to arī politiku minētajā jomā ir jāizstrādā Finanšu ministrijai. </w:t>
            </w:r>
            <w:r w:rsidR="00706249">
              <w:t xml:space="preserve">Savukārt citas veicamās funkcijas, kas iekļautas Finanšu ministrijas nolikuma 1.punktā, </w:t>
            </w:r>
            <w:proofErr w:type="spellStart"/>
            <w:r w:rsidR="00706249">
              <w:t>piem</w:t>
            </w:r>
            <w:proofErr w:type="spellEnd"/>
            <w:r w:rsidR="00706249">
              <w:t xml:space="preserve">., izložu un azartspēļu organizēšanas politika, patērētāju interešu aizsardzības </w:t>
            </w:r>
            <w:r w:rsidR="00706249">
              <w:lastRenderedPageBreak/>
              <w:t>politika d</w:t>
            </w:r>
            <w:r w:rsidR="00F32F31">
              <w:t>ārgmetālu, dārgakmeņ</w:t>
            </w:r>
            <w:r w:rsidR="00706249">
              <w:t>u un to izstrādājumu izmantošanas jomā, nav ietvertas pie</w:t>
            </w:r>
            <w:r w:rsidR="00980000">
              <w:t xml:space="preserve"> uzskaitītajiem</w:t>
            </w:r>
            <w:r w:rsidR="00706249">
              <w:t xml:space="preserve"> Finanšu ministrijas </w:t>
            </w:r>
            <w:r w:rsidR="00980000">
              <w:t xml:space="preserve">uzdevumiem Finanšu ministrijas </w:t>
            </w:r>
            <w:r w:rsidR="00706249">
              <w:t>nolikuma 5.punktā.</w:t>
            </w:r>
          </w:p>
          <w:p w:rsidR="00644ED0" w:rsidRDefault="00644ED0" w:rsidP="0050234E">
            <w:pPr>
              <w:ind w:firstLine="459"/>
              <w:jc w:val="both"/>
            </w:pPr>
            <w:r>
              <w:t>Bez tam</w:t>
            </w:r>
            <w:r w:rsidR="00475592">
              <w:t>,</w:t>
            </w:r>
            <w:r>
              <w:t xml:space="preserve"> tā kā Latvijas Republikai kā Eiropas Savienības dalībvalstij ir jāveic </w:t>
            </w:r>
            <w:r w:rsidRPr="00644ED0">
              <w:t>da</w:t>
            </w:r>
            <w:r>
              <w:t>lībvalsts maksājumi ES budžetā, nodrošino</w:t>
            </w:r>
            <w:r w:rsidRPr="00644ED0">
              <w:t>t Latvijas Republikas kā Eiropas Savienības dalībvalsts saistību izpildi, piedaloties Eiropas Kopienas pašu resursu sistēmā atbilstoši attiecīgajam Eiropas Ko</w:t>
            </w:r>
            <w:r>
              <w:t xml:space="preserve">pienas </w:t>
            </w:r>
            <w:r w:rsidRPr="00644ED0">
              <w:t xml:space="preserve"> </w:t>
            </w:r>
            <w:proofErr w:type="spellStart"/>
            <w:r w:rsidRPr="0050234E">
              <w:rPr>
                <w:i/>
              </w:rPr>
              <w:t>acquis</w:t>
            </w:r>
            <w:proofErr w:type="spellEnd"/>
            <w:r w:rsidRPr="0050234E">
              <w:rPr>
                <w:i/>
              </w:rPr>
              <w:t xml:space="preserve"> </w:t>
            </w:r>
            <w:proofErr w:type="spellStart"/>
            <w:r w:rsidRPr="0050234E">
              <w:rPr>
                <w:i/>
              </w:rPr>
              <w:t>communautaire</w:t>
            </w:r>
            <w:proofErr w:type="spellEnd"/>
            <w:r w:rsidRPr="00644ED0">
              <w:t xml:space="preserve"> (Eiropas Ko</w:t>
            </w:r>
            <w:r>
              <w:t>pienas</w:t>
            </w:r>
            <w:r w:rsidRPr="00644ED0">
              <w:t xml:space="preserve"> ti</w:t>
            </w:r>
            <w:r w:rsidR="003F4BF6">
              <w:t xml:space="preserve">esību aktu un pienākumu kopums) un šo saistību izpildi veic Finanšu ministrija, tad nepieciešams šo </w:t>
            </w:r>
            <w:r w:rsidR="00475592">
              <w:t xml:space="preserve">uzdevumu </w:t>
            </w:r>
            <w:r w:rsidR="003F4BF6">
              <w:t>iekļaut Finanšu ministrijas nolikumā.</w:t>
            </w:r>
          </w:p>
          <w:p w:rsidR="00644ED0" w:rsidRDefault="003F4BF6" w:rsidP="00D65701">
            <w:pPr>
              <w:ind w:firstLine="459"/>
              <w:jc w:val="both"/>
            </w:pPr>
            <w:r>
              <w:t xml:space="preserve">Tāpat atbilstoši </w:t>
            </w:r>
            <w:r w:rsidRPr="003F4BF6">
              <w:t>Valsts pārvaldes iestāžu nodarīto</w:t>
            </w:r>
            <w:r>
              <w:t xml:space="preserve"> zaudējumu atlīdzināšanas likuma 24.panta pirmajai daļai likumā noteiktajos gadījumos zaudējumu atlīdzināšanu privātpersonām veic Finanšu ministrija</w:t>
            </w:r>
            <w:r w:rsidR="00475592">
              <w:t>. Minētais uzdevums nav ietverts</w:t>
            </w:r>
            <w:r>
              <w:t xml:space="preserve"> Finanšu ministrijas nolikumā,   kā rezultātā arī </w:t>
            </w:r>
            <w:r w:rsidR="00475592">
              <w:t>šajā</w:t>
            </w:r>
            <w:r>
              <w:t xml:space="preserve"> gadījumā ir jāprecizē nolikums, iekļaujot minēto </w:t>
            </w:r>
            <w:r w:rsidR="00475592">
              <w:t xml:space="preserve">uzdevumu </w:t>
            </w:r>
            <w:r>
              <w:t>Finanšu ministrijas nolikumā.</w:t>
            </w:r>
          </w:p>
          <w:p w:rsidR="005A4BBA" w:rsidRPr="007030B3" w:rsidRDefault="008A305B" w:rsidP="00D65701">
            <w:pPr>
              <w:ind w:firstLine="459"/>
              <w:jc w:val="both"/>
            </w:pPr>
            <w:r>
              <w:t>A</w:t>
            </w:r>
            <w:r w:rsidR="005A4BBA">
              <w:t xml:space="preserve">uditā </w:t>
            </w:r>
            <w:proofErr w:type="spellStart"/>
            <w:r w:rsidR="005A4BBA">
              <w:t>Nr.M-6-11</w:t>
            </w:r>
            <w:proofErr w:type="spellEnd"/>
            <w:r w:rsidR="005A4BBA">
              <w:t xml:space="preserve">/26 tika sniegts ieteikums papildināt nolikumu ar deleģējumu </w:t>
            </w:r>
            <w:r w:rsidR="008E7760">
              <w:t xml:space="preserve">Finanšu ministrijai </w:t>
            </w:r>
            <w:r w:rsidR="005A4BBA">
              <w:t>finanšu tirgus politikas jomā</w:t>
            </w:r>
            <w:r>
              <w:t>, kas līdz šim nav bijis iekļauts Finanšu ministrijas nolikumā, lai gan atbilstoši Finanšu ministrijas 2011.gada 14.marta reglamentam Nr.12-16/3 „Finanšu ministrijas Finanšu tirgus politikas departamenta reglaments” Finanšu ministrija ar kompetentā depart</w:t>
            </w:r>
            <w:r w:rsidR="00C43DC7">
              <w:t xml:space="preserve">amenta starpniecību, cita </w:t>
            </w:r>
            <w:r w:rsidR="0050234E">
              <w:t>starpā, analizē</w:t>
            </w:r>
            <w:r>
              <w:t xml:space="preserve"> finanšu tirgus situāciju valstī un koordinē ministrijas pozīcijas izstrādi par finanšu tirgus politikas jautājumiem; izstrādā nostāju un koordinē rīcību attiecībā uz Latvijas Republikas finanšu tirgus institūcijām, kurās valsts ir akcionārs vai ministrija ir valsts kapitāla daļu turētāja, restrukturizāciju un tālāku attīstību; nodrošina valsts politikas izstrādi un vadību finanšu tirgus jautājumos, tajā skaitā, veic valsts atbalsta programmu finanšu tirgus darbībai izstrādes koordināciju un to ieviešanas un darbības pārraudzību, kā arī veic citus uzdevumus finanšu tirgus politikas jomā.</w:t>
            </w:r>
          </w:p>
        </w:tc>
      </w:tr>
      <w:tr w:rsidR="00146015" w:rsidRPr="007030B3" w:rsidTr="00A552B4">
        <w:tc>
          <w:tcPr>
            <w:tcW w:w="540" w:type="dxa"/>
          </w:tcPr>
          <w:p w:rsidR="00146015" w:rsidRPr="007030B3" w:rsidRDefault="00146015" w:rsidP="00A552B4">
            <w:pPr>
              <w:pStyle w:val="naislab"/>
              <w:spacing w:before="0" w:after="0"/>
              <w:jc w:val="center"/>
              <w:outlineLvl w:val="0"/>
            </w:pPr>
            <w:r w:rsidRPr="007030B3">
              <w:lastRenderedPageBreak/>
              <w:t>3.</w:t>
            </w:r>
          </w:p>
        </w:tc>
        <w:tc>
          <w:tcPr>
            <w:tcW w:w="2939" w:type="dxa"/>
          </w:tcPr>
          <w:p w:rsidR="00146015" w:rsidRPr="007030B3" w:rsidRDefault="00146015" w:rsidP="00A552B4">
            <w:pPr>
              <w:pStyle w:val="naislab"/>
              <w:spacing w:before="0" w:after="0"/>
              <w:jc w:val="both"/>
              <w:outlineLvl w:val="0"/>
            </w:pPr>
            <w:r w:rsidRPr="007030B3">
              <w:t>Saistītie politikas ietekmes novērtējumi un pētījumi</w:t>
            </w:r>
          </w:p>
        </w:tc>
        <w:tc>
          <w:tcPr>
            <w:tcW w:w="6060" w:type="dxa"/>
          </w:tcPr>
          <w:p w:rsidR="00146015" w:rsidRPr="009B0777" w:rsidRDefault="00146015" w:rsidP="00A552B4">
            <w:pPr>
              <w:jc w:val="both"/>
            </w:pPr>
            <w:r>
              <w:rPr>
                <w:rFonts w:ascii="Verdana" w:hAnsi="Verdana"/>
                <w:sz w:val="18"/>
                <w:szCs w:val="18"/>
              </w:rPr>
              <w:t xml:space="preserve"> </w:t>
            </w:r>
            <w:r w:rsidRPr="009B0777">
              <w:t>Projekts šo jomu neskar</w:t>
            </w:r>
            <w:r>
              <w:t>.</w:t>
            </w:r>
          </w:p>
        </w:tc>
      </w:tr>
      <w:tr w:rsidR="00146015" w:rsidRPr="007030B3" w:rsidTr="00A552B4">
        <w:tc>
          <w:tcPr>
            <w:tcW w:w="540" w:type="dxa"/>
          </w:tcPr>
          <w:p w:rsidR="00146015" w:rsidRPr="007030B3" w:rsidRDefault="00146015" w:rsidP="00A552B4">
            <w:pPr>
              <w:pStyle w:val="naislab"/>
              <w:spacing w:before="0" w:after="0"/>
              <w:jc w:val="center"/>
              <w:outlineLvl w:val="0"/>
            </w:pPr>
            <w:r w:rsidRPr="007030B3">
              <w:t>4.</w:t>
            </w:r>
          </w:p>
        </w:tc>
        <w:tc>
          <w:tcPr>
            <w:tcW w:w="2939" w:type="dxa"/>
          </w:tcPr>
          <w:p w:rsidR="00146015" w:rsidRPr="007030B3" w:rsidRDefault="00146015" w:rsidP="00A552B4">
            <w:pPr>
              <w:pStyle w:val="naislab"/>
              <w:spacing w:before="0" w:after="0"/>
              <w:jc w:val="both"/>
              <w:outlineLvl w:val="0"/>
            </w:pPr>
            <w:r w:rsidRPr="007030B3">
              <w:t>Tiesiskā regulējuma mērķis un būtība</w:t>
            </w:r>
          </w:p>
        </w:tc>
        <w:tc>
          <w:tcPr>
            <w:tcW w:w="6060" w:type="dxa"/>
          </w:tcPr>
          <w:p w:rsidR="00146015" w:rsidRDefault="00993CBC" w:rsidP="00EE1ED8">
            <w:pPr>
              <w:ind w:firstLine="459"/>
              <w:jc w:val="both"/>
            </w:pPr>
            <w:r>
              <w:t>Lai izpildītu Ministru kabineta 2011. gada 29. novembra</w:t>
            </w:r>
            <w:r w:rsidRPr="00993CBC">
              <w:t xml:space="preserve"> (sēdes protokola Nr.70 42§ 7.punkts) rīkojumu, kas paredz, ka Finanšu ministrija iegādājas Latvijas Republikai visas akciju sabiedrības „Latvenergo” īpašumā esošās akciju sabiedrības „Augstsprieguma tīkls” kapitāla daļas</w:t>
            </w:r>
            <w:r w:rsidR="00C10326">
              <w:t>, n</w:t>
            </w:r>
            <w:r w:rsidR="00E83B81">
              <w:t xml:space="preserve">oteikumu </w:t>
            </w:r>
            <w:r w:rsidR="00807BE1">
              <w:t>projekta 10.punkts</w:t>
            </w:r>
            <w:r w:rsidR="00EE1ED8">
              <w:t xml:space="preserve"> </w:t>
            </w:r>
            <w:r w:rsidR="00146015">
              <w:t xml:space="preserve">paredz </w:t>
            </w:r>
            <w:r w:rsidR="00C10326">
              <w:t xml:space="preserve">Finanšu ministrijas nolikuma </w:t>
            </w:r>
            <w:r w:rsidR="009710EF">
              <w:t xml:space="preserve">25.punktu </w:t>
            </w:r>
            <w:r w:rsidR="00146015">
              <w:t>papildināt ar 25.8. apakšpunktu.</w:t>
            </w:r>
          </w:p>
          <w:p w:rsidR="0035043C" w:rsidRDefault="00C10326" w:rsidP="00D65701">
            <w:pPr>
              <w:ind w:firstLine="459"/>
              <w:jc w:val="both"/>
            </w:pPr>
            <w:r>
              <w:t xml:space="preserve">Tā kā </w:t>
            </w:r>
            <w:r w:rsidRPr="00C10326">
              <w:t xml:space="preserve">Ministru kabinets ar 2011.gada 19.jūlija rīkojumu Nr.325(protokols Nr.44) nolēma pārdot valstij piederošās </w:t>
            </w:r>
            <w:r w:rsidRPr="00C10326">
              <w:lastRenderedPageBreak/>
              <w:t>akciju sabiedrības „Jelgavas siltumtīklu uzņēmums” akcijas un nodot tās turējumā valsts akciju sabiedr</w:t>
            </w:r>
            <w:r>
              <w:t>ībai „Privatizācijas aģentūra”</w:t>
            </w:r>
            <w:r w:rsidR="00807BE1">
              <w:t>, noteikumu projekta 9.punkts</w:t>
            </w:r>
            <w:r>
              <w:t xml:space="preserve"> paredz svītrot no Finanšu ministrijas nolikuma  25.5.apakšpunktu.Ievērojot, ka </w:t>
            </w:r>
            <w:r w:rsidR="00A0659E" w:rsidRPr="00A0659E">
              <w:t xml:space="preserve">ministrijā reorganizācijas rezultātā vairs nav patstāvīgo struktūrvienību, tad </w:t>
            </w:r>
            <w:r w:rsidR="00807BE1">
              <w:t xml:space="preserve">ar noteikumu projekta 4., 6.-8.punktu tiek </w:t>
            </w:r>
            <w:r w:rsidR="00A0659E" w:rsidRPr="00A0659E">
              <w:t>p</w:t>
            </w:r>
            <w:r w:rsidR="00807BE1">
              <w:t xml:space="preserve">recizētas Finanšu ministrijas nolikuma </w:t>
            </w:r>
            <w:r w:rsidR="00D83FFF">
              <w:t>12., 13., 14.punkts un izslēgts 16.punkts</w:t>
            </w:r>
            <w:r w:rsidR="00A0659E" w:rsidRPr="00A0659E">
              <w:t>, kas saturēja regulējumu attiecībā uz patstāvīgajām struktūrvie</w:t>
            </w:r>
            <w:r w:rsidR="00807BE1">
              <w:t>nībām</w:t>
            </w:r>
            <w:r w:rsidR="0035043C">
              <w:t xml:space="preserve">, kā rezultātā </w:t>
            </w:r>
            <w:r w:rsidR="00376947">
              <w:t xml:space="preserve">nolikums vairs neparedz </w:t>
            </w:r>
            <w:r w:rsidR="00D83FFF">
              <w:t>šādu</w:t>
            </w:r>
            <w:r w:rsidR="00376947">
              <w:t xml:space="preserve"> struktūrvienību esamību.</w:t>
            </w:r>
          </w:p>
          <w:p w:rsidR="00D65701" w:rsidRDefault="0035043C" w:rsidP="00D65701">
            <w:pPr>
              <w:ind w:firstLine="459"/>
              <w:jc w:val="both"/>
            </w:pPr>
            <w:r w:rsidRPr="0035043C">
              <w:t>Ievērojot, ka  Finanšu ministrija ar attiecīgu depa</w:t>
            </w:r>
            <w:r w:rsidR="00376947">
              <w:t>rtamentu starpniecību veic gan vadošās iestādes, gan r</w:t>
            </w:r>
            <w:r w:rsidRPr="0035043C">
              <w:t>evīzijas iestādes funkcijas, bet atbilstoši Eiropas Savienības struktūrfondu un Kohēzijas fonda vadības likuma 9.panta ceturtajai daļai un 11.panta trešajai daļai šo iestāžu funkcijām ir jābūt nodalītām no citām funkcijā</w:t>
            </w:r>
            <w:r w:rsidR="00EE1ED8">
              <w:t>m</w:t>
            </w:r>
            <w:r w:rsidRPr="0035043C">
              <w:t xml:space="preserve"> (vadošās iestādes funkcijām no revīzijas iestādes funkcijām), </w:t>
            </w:r>
            <w:r w:rsidR="00376947">
              <w:t>kā arī, ka Finanšu ministrijas nolikums satur vispārīgu ministrijas struktūrvienību padotības definēšanu, tad noteikumu projekta 5.punkts paredz nodalīt revīzijas iestādes funkcionālo un administratīvo padotību. Līdz ar to tiek panākts, ka ir vispārīgi zināma rev</w:t>
            </w:r>
            <w:r w:rsidR="00E2238E">
              <w:t>īzija</w:t>
            </w:r>
            <w:r w:rsidR="00376947">
              <w:t>s</w:t>
            </w:r>
            <w:r w:rsidR="00E2238E">
              <w:t xml:space="preserve"> </w:t>
            </w:r>
            <w:r w:rsidR="00376947">
              <w:t>iestādes padotība un augstāku amatpersonu kompetences apjomi attiecībā uz revīzijas iestādi.</w:t>
            </w:r>
            <w:r w:rsidR="00D65701">
              <w:t xml:space="preserve"> </w:t>
            </w:r>
            <w:r w:rsidR="00D65701" w:rsidRPr="00D65701">
              <w:t xml:space="preserve">Vienlaicīgi arī </w:t>
            </w:r>
            <w:r w:rsidR="00D65701">
              <w:t xml:space="preserve">Finanšu ministrijas </w:t>
            </w:r>
            <w:r w:rsidR="00980000">
              <w:t>uzdevumi ir papildināti ar revīzijas iestādes uzdevumu</w:t>
            </w:r>
            <w:r w:rsidR="00D65701">
              <w:t xml:space="preserve"> veikšanu (noteikumu projekta 3.punkts papildina Finanšu ministrijas nolikumu ar 5.14.apakšpunktu), nodrošinot, lai </w:t>
            </w:r>
            <w:r w:rsidR="00D65701" w:rsidRPr="00D65701">
              <w:t>pama</w:t>
            </w:r>
            <w:r w:rsidR="00EE1ED8">
              <w:t>tfunkciju un uzdevumu sadalījums</w:t>
            </w:r>
            <w:r w:rsidR="00D65701" w:rsidRPr="00D65701">
              <w:t xml:space="preserve"> sabiedrībai sniegtu </w:t>
            </w:r>
          </w:p>
          <w:p w:rsidR="00D65701" w:rsidRDefault="00D65701" w:rsidP="0050234E">
            <w:pPr>
              <w:jc w:val="both"/>
            </w:pPr>
            <w:r w:rsidRPr="00D65701">
              <w:t>pilnīgu un viennozīmīgi saprotamu priekšstatu par Finanšu ministrijas  darbības jomām</w:t>
            </w:r>
            <w:r>
              <w:t>.</w:t>
            </w:r>
          </w:p>
          <w:p w:rsidR="00F50DB7" w:rsidRDefault="00E2238E" w:rsidP="00D65701">
            <w:pPr>
              <w:ind w:firstLine="459"/>
              <w:jc w:val="both"/>
            </w:pPr>
            <w:r>
              <w:t>Lai a</w:t>
            </w:r>
            <w:r w:rsidRPr="00E2238E">
              <w:t>tbilstoši Iekšējā audita departamenta ieteikumiem Nr.2.1 precizēt</w:t>
            </w:r>
            <w:r w:rsidR="001065E8">
              <w:t>u</w:t>
            </w:r>
            <w:r w:rsidRPr="00E2238E">
              <w:t xml:space="preserve"> kompetenču sadalījumu komercdarbības atbalsta </w:t>
            </w:r>
            <w:r w:rsidR="00EE1ED8">
              <w:t xml:space="preserve">kontroles </w:t>
            </w:r>
            <w:r w:rsidRPr="00E2238E">
              <w:t>jomā starp Finanšu ministriju un Zemkopības</w:t>
            </w:r>
            <w:r w:rsidR="001065E8">
              <w:t xml:space="preserve"> ministriju un</w:t>
            </w:r>
            <w:r w:rsidRPr="00E2238E">
              <w:t xml:space="preserve"> Finanšu ministrijas funkciju komercdarbības atbalsta kontroles jomā iekļaut</w:t>
            </w:r>
            <w:r w:rsidR="001065E8">
              <w:t>u</w:t>
            </w:r>
            <w:r w:rsidRPr="00E2238E">
              <w:t xml:space="preserve"> arī </w:t>
            </w:r>
            <w:r w:rsidR="001065E8">
              <w:t>nolikuma 1.punktā pie vispārēja</w:t>
            </w:r>
            <w:r w:rsidRPr="00E2238E">
              <w:t xml:space="preserve"> Finanšu m</w:t>
            </w:r>
            <w:r w:rsidR="001065E8">
              <w:t xml:space="preserve">inistrijas kompetences apraksta, ar noteikumu projekta </w:t>
            </w:r>
            <w:r w:rsidR="00F50DB7">
              <w:t xml:space="preserve"> 1. un </w:t>
            </w:r>
            <w:r w:rsidR="00BB68D4">
              <w:t>2.</w:t>
            </w:r>
            <w:r w:rsidR="006E60C5">
              <w:t>punktu ir precizēts Finanšu ministrijas nolikuma</w:t>
            </w:r>
            <w:r w:rsidR="00F50DB7">
              <w:t xml:space="preserve"> 1.punkts un 5.1.apakšpunkts. </w:t>
            </w:r>
          </w:p>
          <w:p w:rsidR="00C43DC7" w:rsidRDefault="00F32F31" w:rsidP="0050234E">
            <w:pPr>
              <w:ind w:firstLine="459"/>
              <w:jc w:val="both"/>
            </w:pPr>
            <w:r>
              <w:t xml:space="preserve">Lai </w:t>
            </w:r>
            <w:r w:rsidR="003F4BF6">
              <w:t>izpildītu iekšējā audita</w:t>
            </w:r>
            <w:r w:rsidRPr="00F32F31">
              <w:t xml:space="preserve"> </w:t>
            </w:r>
            <w:proofErr w:type="spellStart"/>
            <w:r w:rsidRPr="00F32F31">
              <w:t>Nr.M-15-11</w:t>
            </w:r>
            <w:proofErr w:type="spellEnd"/>
            <w:r w:rsidRPr="00F32F31">
              <w:t xml:space="preserve">/18 </w:t>
            </w:r>
            <w:r w:rsidR="003F4BF6">
              <w:t>ieteikumus</w:t>
            </w:r>
            <w:r>
              <w:t xml:space="preserve"> par </w:t>
            </w:r>
            <w:r w:rsidR="00B579B0">
              <w:t>nepieciešamību</w:t>
            </w:r>
            <w:r w:rsidRPr="00F32F31">
              <w:t xml:space="preserve"> precizēt un loģiski sastrukturizēt informāciju par iestādes darbības nozarēm, apakšn</w:t>
            </w:r>
            <w:r w:rsidR="003F4BF6">
              <w:t xml:space="preserve">ozarēm, funkcijām un uzdevumiem, </w:t>
            </w:r>
            <w:proofErr w:type="spellStart"/>
            <w:r w:rsidR="003F4BF6">
              <w:t>t.sk</w:t>
            </w:r>
            <w:proofErr w:type="spellEnd"/>
            <w:r w:rsidR="003F4BF6">
              <w:t>., iekļaujot faktiski veicamās funkcijas</w:t>
            </w:r>
            <w:r w:rsidR="00980000">
              <w:t xml:space="preserve"> un uzdevumu</w:t>
            </w:r>
            <w:r w:rsidR="00B579B0">
              <w:t>s, kuri</w:t>
            </w:r>
            <w:r w:rsidR="003F4BF6">
              <w:t xml:space="preserve"> nav </w:t>
            </w:r>
            <w:r w:rsidR="00B579B0">
              <w:t>norādīti</w:t>
            </w:r>
            <w:r w:rsidR="00C43DC7">
              <w:t xml:space="preserve"> Finanšu ministrijas </w:t>
            </w:r>
            <w:r w:rsidR="003F4BF6">
              <w:t>nolikumā,</w:t>
            </w:r>
            <w:r w:rsidR="00C43DC7">
              <w:t xml:space="preserve"> bet izriet no normatīvajiem aktiem (</w:t>
            </w:r>
            <w:proofErr w:type="spellStart"/>
            <w:r w:rsidR="00C43DC7">
              <w:t>piem</w:t>
            </w:r>
            <w:proofErr w:type="spellEnd"/>
            <w:r w:rsidR="00C43DC7">
              <w:t xml:space="preserve">., </w:t>
            </w:r>
            <w:r w:rsidR="00C43DC7" w:rsidRPr="00C43DC7">
              <w:t>Valsts pārvaldes iestāžu nodarīto zaudējumu atlīdzināšanas likuma</w:t>
            </w:r>
            <w:r w:rsidR="00C43DC7">
              <w:t>)</w:t>
            </w:r>
            <w:r w:rsidR="00C43DC7" w:rsidRPr="00C43DC7">
              <w:t xml:space="preserve"> </w:t>
            </w:r>
            <w:r w:rsidR="003F4BF6">
              <w:t xml:space="preserve">vai </w:t>
            </w:r>
            <w:r w:rsidR="00B579B0">
              <w:t>norādīti</w:t>
            </w:r>
            <w:r w:rsidR="003F4BF6">
              <w:t xml:space="preserve"> tikai </w:t>
            </w:r>
            <w:r w:rsidR="00980000">
              <w:t xml:space="preserve">Finanšu ministrijas </w:t>
            </w:r>
            <w:r w:rsidR="003F4BF6">
              <w:t>nolikuma 1.punktā</w:t>
            </w:r>
            <w:r w:rsidR="00C43DC7">
              <w:t>, bet ne 5.punktā</w:t>
            </w:r>
            <w:r w:rsidR="00980000">
              <w:t xml:space="preserve"> (pie uzdevumiem)</w:t>
            </w:r>
            <w:r w:rsidR="00C43DC7">
              <w:t>, vai izriet no Latvijas Republikas kā dalībvalsts saistībām,</w:t>
            </w:r>
            <w:r>
              <w:t xml:space="preserve"> </w:t>
            </w:r>
            <w:r w:rsidR="00644ED0">
              <w:t xml:space="preserve">ar </w:t>
            </w:r>
            <w:r w:rsidR="00644ED0">
              <w:lastRenderedPageBreak/>
              <w:t xml:space="preserve">noteikumu projekta 3.punktu </w:t>
            </w:r>
            <w:r w:rsidR="00B579B0">
              <w:t>Finanšu ministrijas nolikuma</w:t>
            </w:r>
            <w:r w:rsidR="00C43DC7">
              <w:t xml:space="preserve"> 5.punktā </w:t>
            </w:r>
            <w:r w:rsidR="00980000">
              <w:t>papildināti</w:t>
            </w:r>
            <w:r w:rsidR="00C43DC7">
              <w:t xml:space="preserve"> Finan</w:t>
            </w:r>
            <w:r w:rsidR="00980000">
              <w:t>šu ministrijas veiktie uzdevumi</w:t>
            </w:r>
            <w:r w:rsidR="00C43DC7">
              <w:t xml:space="preserve"> (iekļaujot </w:t>
            </w:r>
            <w:r w:rsidR="001107C4">
              <w:t>5.1</w:t>
            </w:r>
            <w:r w:rsidR="00D65701">
              <w:t>5</w:t>
            </w:r>
            <w:r w:rsidR="00C43DC7">
              <w:t xml:space="preserve">.- </w:t>
            </w:r>
            <w:r w:rsidR="001107C4">
              <w:t>5.20</w:t>
            </w:r>
            <w:r w:rsidR="00C43DC7">
              <w:t>.</w:t>
            </w:r>
            <w:r w:rsidR="00980000">
              <w:t>apakšpunktu</w:t>
            </w:r>
            <w:r w:rsidR="00C43DC7">
              <w:t xml:space="preserve">). </w:t>
            </w:r>
            <w:r w:rsidR="00D65701">
              <w:t>Tādējādi tiek nodrošināts, ka</w:t>
            </w:r>
            <w:r w:rsidR="00D65701" w:rsidRPr="00D65701">
              <w:t xml:space="preserve"> pama</w:t>
            </w:r>
            <w:r w:rsidR="00D65701">
              <w:t>tfunkciju un uzdevumu sadalījums sabiedrībai sniedz</w:t>
            </w:r>
            <w:r w:rsidR="00D65701" w:rsidRPr="00D65701">
              <w:t xml:space="preserve"> pilnīgu un viennozīmīgi saprotamu priekšstatu par Finanšu ministrijas  darbības jomām.</w:t>
            </w:r>
          </w:p>
          <w:p w:rsidR="00146015" w:rsidRPr="007030B3" w:rsidRDefault="00D65701" w:rsidP="0050234E">
            <w:pPr>
              <w:ind w:firstLine="459"/>
              <w:jc w:val="both"/>
            </w:pPr>
            <w:r>
              <w:t>Lai izpildītu audita</w:t>
            </w:r>
            <w:r w:rsidRPr="00D65701">
              <w:t xml:space="preserve"> </w:t>
            </w:r>
            <w:proofErr w:type="spellStart"/>
            <w:r w:rsidRPr="00D65701">
              <w:t>Nr.M-6-11</w:t>
            </w:r>
            <w:proofErr w:type="spellEnd"/>
            <w:r w:rsidRPr="00D65701">
              <w:t xml:space="preserve">/26 </w:t>
            </w:r>
            <w:r>
              <w:t>ieteikumu</w:t>
            </w:r>
            <w:r w:rsidRPr="00D65701">
              <w:t xml:space="preserve"> papildināt nolikumu ar deleģējumu Finanšu ministrijai finanšu tirgus politikas jomā, kas līdz šim nav bijis iekļauts Finanšu ministrijas nolikumā, </w:t>
            </w:r>
            <w:r>
              <w:t xml:space="preserve"> Finanšu ministrijas </w:t>
            </w:r>
            <w:r w:rsidR="0050234E">
              <w:t>nolikums tiek</w:t>
            </w:r>
            <w:r w:rsidR="00DA334D">
              <w:t xml:space="preserve"> papildināt</w:t>
            </w:r>
            <w:r>
              <w:t>s</w:t>
            </w:r>
            <w:r w:rsidR="00DA334D">
              <w:t xml:space="preserve"> ar 5.18 apakšpunktu, paredzot Finanšu ministrijai uzdevumu koordinēt finanšu tirgus politikas veidošanu valsts finanšu stabilitātes nodrošināšanai un ekonomiskās attīstības veidošanai.</w:t>
            </w:r>
          </w:p>
        </w:tc>
      </w:tr>
      <w:tr w:rsidR="00146015" w:rsidRPr="007030B3" w:rsidTr="00A552B4">
        <w:tc>
          <w:tcPr>
            <w:tcW w:w="540" w:type="dxa"/>
          </w:tcPr>
          <w:p w:rsidR="00146015" w:rsidRPr="007030B3" w:rsidRDefault="00146015" w:rsidP="00A552B4">
            <w:pPr>
              <w:pStyle w:val="naislab"/>
              <w:spacing w:before="0" w:after="0"/>
              <w:jc w:val="center"/>
              <w:outlineLvl w:val="0"/>
            </w:pPr>
            <w:r w:rsidRPr="007030B3">
              <w:lastRenderedPageBreak/>
              <w:t>5.</w:t>
            </w:r>
          </w:p>
        </w:tc>
        <w:tc>
          <w:tcPr>
            <w:tcW w:w="2939" w:type="dxa"/>
          </w:tcPr>
          <w:p w:rsidR="00146015" w:rsidRPr="007030B3" w:rsidRDefault="00146015" w:rsidP="00A552B4">
            <w:pPr>
              <w:pStyle w:val="naislab"/>
              <w:spacing w:before="0" w:after="0"/>
              <w:jc w:val="both"/>
              <w:outlineLvl w:val="0"/>
            </w:pPr>
            <w:r w:rsidRPr="007030B3">
              <w:t>Projekta izstrādē iesaistītās institūcijas</w:t>
            </w:r>
          </w:p>
        </w:tc>
        <w:tc>
          <w:tcPr>
            <w:tcW w:w="6060" w:type="dxa"/>
          </w:tcPr>
          <w:p w:rsidR="00146015" w:rsidRPr="007030B3" w:rsidRDefault="00B610CC" w:rsidP="00146015">
            <w:pPr>
              <w:pStyle w:val="naiskr"/>
              <w:spacing w:before="0" w:after="0"/>
              <w:jc w:val="both"/>
            </w:pPr>
            <w:r>
              <w:t>Finanšu ministrija.</w:t>
            </w:r>
          </w:p>
        </w:tc>
      </w:tr>
      <w:tr w:rsidR="00146015" w:rsidRPr="007030B3" w:rsidTr="00A552B4">
        <w:tc>
          <w:tcPr>
            <w:tcW w:w="540" w:type="dxa"/>
          </w:tcPr>
          <w:p w:rsidR="00146015" w:rsidRPr="007030B3" w:rsidRDefault="00146015" w:rsidP="00A552B4">
            <w:pPr>
              <w:pStyle w:val="naislab"/>
              <w:spacing w:before="0" w:after="0"/>
              <w:jc w:val="center"/>
              <w:outlineLvl w:val="0"/>
            </w:pPr>
            <w:r w:rsidRPr="007030B3">
              <w:t>6.</w:t>
            </w:r>
          </w:p>
        </w:tc>
        <w:tc>
          <w:tcPr>
            <w:tcW w:w="2939" w:type="dxa"/>
          </w:tcPr>
          <w:p w:rsidR="00146015" w:rsidRPr="007030B3" w:rsidRDefault="00146015" w:rsidP="00A552B4">
            <w:pPr>
              <w:pStyle w:val="naislab"/>
              <w:spacing w:before="0" w:after="0"/>
              <w:jc w:val="both"/>
              <w:outlineLvl w:val="0"/>
            </w:pPr>
            <w:r w:rsidRPr="007030B3">
              <w:t>Iemesli, kādēļ netika nodrošināta sabiedrības līdzdalība</w:t>
            </w:r>
          </w:p>
        </w:tc>
        <w:tc>
          <w:tcPr>
            <w:tcW w:w="6060" w:type="dxa"/>
          </w:tcPr>
          <w:p w:rsidR="00146015" w:rsidRPr="009B0777" w:rsidRDefault="00566ABE" w:rsidP="004241F1">
            <w:pPr>
              <w:jc w:val="both"/>
            </w:pPr>
            <w:r>
              <w:t xml:space="preserve"> </w:t>
            </w:r>
            <w:r w:rsidRPr="00566ABE">
              <w:t xml:space="preserve">Projekts </w:t>
            </w:r>
            <w:r w:rsidR="004241F1">
              <w:t xml:space="preserve">primāri ietekmē tikai </w:t>
            </w:r>
            <w:r w:rsidRPr="00566ABE">
              <w:t>Finanšu ministriju un tās padotīb</w:t>
            </w:r>
            <w:r w:rsidR="004241F1">
              <w:t>as iestādes</w:t>
            </w:r>
            <w:r w:rsidRPr="00566ABE">
              <w:t>, nosakot ministrijas funkcijas,</w:t>
            </w:r>
            <w:r w:rsidR="00140F91">
              <w:t xml:space="preserve"> uzdevumus, struktūru un </w:t>
            </w:r>
            <w:r>
              <w:t xml:space="preserve"> </w:t>
            </w:r>
            <w:r w:rsidR="00140F91">
              <w:t>padotības iestādes</w:t>
            </w:r>
            <w:r w:rsidR="004241F1">
              <w:t>.</w:t>
            </w:r>
          </w:p>
        </w:tc>
      </w:tr>
      <w:tr w:rsidR="00146015" w:rsidRPr="007030B3" w:rsidTr="00A552B4">
        <w:tc>
          <w:tcPr>
            <w:tcW w:w="540" w:type="dxa"/>
          </w:tcPr>
          <w:p w:rsidR="00146015" w:rsidRPr="007030B3" w:rsidRDefault="00146015" w:rsidP="00A552B4">
            <w:pPr>
              <w:pStyle w:val="naislab"/>
              <w:spacing w:before="0" w:after="0"/>
              <w:jc w:val="center"/>
              <w:outlineLvl w:val="0"/>
            </w:pPr>
            <w:r w:rsidRPr="007030B3">
              <w:t>7.</w:t>
            </w:r>
          </w:p>
        </w:tc>
        <w:tc>
          <w:tcPr>
            <w:tcW w:w="2939" w:type="dxa"/>
          </w:tcPr>
          <w:p w:rsidR="00146015" w:rsidRPr="007030B3" w:rsidRDefault="00146015" w:rsidP="00A552B4">
            <w:pPr>
              <w:pStyle w:val="naislab"/>
              <w:spacing w:before="0" w:after="0"/>
              <w:jc w:val="both"/>
              <w:outlineLvl w:val="0"/>
            </w:pPr>
            <w:r w:rsidRPr="007030B3">
              <w:t>Cita informācija</w:t>
            </w:r>
          </w:p>
        </w:tc>
        <w:tc>
          <w:tcPr>
            <w:tcW w:w="6060" w:type="dxa"/>
          </w:tcPr>
          <w:p w:rsidR="00146015" w:rsidRPr="007030B3" w:rsidRDefault="00146015" w:rsidP="00A552B4">
            <w:pPr>
              <w:jc w:val="both"/>
            </w:pPr>
            <w:r w:rsidRPr="007030B3">
              <w:t>Nav</w:t>
            </w:r>
            <w:r>
              <w:t>.</w:t>
            </w:r>
          </w:p>
        </w:tc>
      </w:tr>
    </w:tbl>
    <w:p w:rsidR="00146015" w:rsidRPr="007030B3" w:rsidRDefault="00146015" w:rsidP="00146015">
      <w:pPr>
        <w:rPr>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39"/>
        <w:gridCol w:w="6060"/>
      </w:tblGrid>
      <w:tr w:rsidR="00146015" w:rsidRPr="007030B3" w:rsidTr="00A552B4">
        <w:tc>
          <w:tcPr>
            <w:tcW w:w="9539" w:type="dxa"/>
            <w:gridSpan w:val="3"/>
          </w:tcPr>
          <w:p w:rsidR="00146015" w:rsidRPr="007030B3" w:rsidRDefault="00146015" w:rsidP="00A552B4">
            <w:pPr>
              <w:jc w:val="center"/>
              <w:rPr>
                <w:b/>
              </w:rPr>
            </w:pPr>
            <w:r w:rsidRPr="007030B3">
              <w:rPr>
                <w:b/>
              </w:rPr>
              <w:t>II. Tiesību akta projekta ietekme uz sabiedrību</w:t>
            </w: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1.</w:t>
            </w:r>
          </w:p>
        </w:tc>
        <w:tc>
          <w:tcPr>
            <w:tcW w:w="2939" w:type="dxa"/>
          </w:tcPr>
          <w:p w:rsidR="00146015" w:rsidRPr="007030B3" w:rsidRDefault="00146015" w:rsidP="00A552B4">
            <w:pPr>
              <w:pStyle w:val="naislab"/>
              <w:spacing w:before="0" w:after="0"/>
              <w:jc w:val="both"/>
              <w:outlineLvl w:val="0"/>
            </w:pPr>
            <w:r w:rsidRPr="007030B3">
              <w:t xml:space="preserve">Sabiedrības </w:t>
            </w:r>
            <w:proofErr w:type="spellStart"/>
            <w:r w:rsidRPr="007030B3">
              <w:t>mērķgrupa</w:t>
            </w:r>
            <w:proofErr w:type="spellEnd"/>
          </w:p>
        </w:tc>
        <w:tc>
          <w:tcPr>
            <w:tcW w:w="6060" w:type="dxa"/>
          </w:tcPr>
          <w:p w:rsidR="00A552B4" w:rsidRPr="007030B3" w:rsidRDefault="00146015" w:rsidP="00A552B4">
            <w:pPr>
              <w:pStyle w:val="naiskr"/>
              <w:spacing w:before="0" w:after="0"/>
              <w:jc w:val="both"/>
            </w:pPr>
            <w:r w:rsidRPr="007030B3">
              <w:t xml:space="preserve">Noteikumu projekts </w:t>
            </w:r>
            <w:r w:rsidR="008F1CCE">
              <w:t xml:space="preserve">primāri </w:t>
            </w:r>
            <w:r w:rsidRPr="007030B3">
              <w:t xml:space="preserve">ir attiecināms uz </w:t>
            </w:r>
            <w:r w:rsidR="008215D9">
              <w:t>Finanšu ministrijas</w:t>
            </w:r>
            <w:r w:rsidR="00ED6774">
              <w:t xml:space="preserve"> un</w:t>
            </w:r>
            <w:r w:rsidR="00AA4869">
              <w:t xml:space="preserve"> </w:t>
            </w:r>
            <w:r w:rsidR="00ED6774">
              <w:t>tās</w:t>
            </w:r>
            <w:r w:rsidR="008215D9">
              <w:t xml:space="preserve"> </w:t>
            </w:r>
            <w:r w:rsidR="00AA4869">
              <w:t xml:space="preserve">padotības iestāžu </w:t>
            </w:r>
            <w:r w:rsidR="008215D9">
              <w:t>darbiniekiem un amatpersonām</w:t>
            </w:r>
            <w:r w:rsidR="00AA4869">
              <w:t xml:space="preserve"> – aptuveni </w:t>
            </w:r>
            <w:r w:rsidR="0042672B">
              <w:t>498</w:t>
            </w:r>
            <w:r w:rsidR="008F1CCE">
              <w:t xml:space="preserve">0, kā arī </w:t>
            </w:r>
            <w:r w:rsidR="004241F1">
              <w:t xml:space="preserve">sekundāri </w:t>
            </w:r>
            <w:r w:rsidR="008F1CCE">
              <w:t>uz visu sabiedrību kopumā, ņemot vērā, ka Ministru kabineta noteikumi kā ārējais normatīvais akts ir saistoši ikvienam tiesību subjektam</w:t>
            </w:r>
          </w:p>
          <w:p w:rsidR="00146015" w:rsidRPr="007030B3" w:rsidRDefault="00146015" w:rsidP="00A552B4">
            <w:pPr>
              <w:pStyle w:val="naiskr"/>
              <w:spacing w:before="0" w:after="0"/>
              <w:jc w:val="both"/>
            </w:pP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2.</w:t>
            </w:r>
          </w:p>
        </w:tc>
        <w:tc>
          <w:tcPr>
            <w:tcW w:w="2939" w:type="dxa"/>
          </w:tcPr>
          <w:p w:rsidR="00146015" w:rsidRPr="007030B3" w:rsidRDefault="00146015" w:rsidP="00A552B4">
            <w:pPr>
              <w:pStyle w:val="naislab"/>
              <w:spacing w:before="0" w:after="0"/>
              <w:jc w:val="both"/>
              <w:outlineLvl w:val="0"/>
            </w:pPr>
            <w:r w:rsidRPr="007030B3">
              <w:t xml:space="preserve">Citas sabiedrības grupas (bez </w:t>
            </w:r>
            <w:proofErr w:type="spellStart"/>
            <w:r w:rsidRPr="007030B3">
              <w:t>mērķgrupas</w:t>
            </w:r>
            <w:proofErr w:type="spellEnd"/>
            <w:r w:rsidRPr="007030B3">
              <w:t>), kuras tiesiskais regulējums arī ietekmē vai varētu ietekmēt</w:t>
            </w:r>
          </w:p>
        </w:tc>
        <w:tc>
          <w:tcPr>
            <w:tcW w:w="6060" w:type="dxa"/>
          </w:tcPr>
          <w:p w:rsidR="00146015" w:rsidRPr="007030B3" w:rsidRDefault="00A552B4" w:rsidP="00A552B4">
            <w:pPr>
              <w:pStyle w:val="naiskr"/>
              <w:spacing w:before="0" w:after="0"/>
              <w:jc w:val="both"/>
              <w:rPr>
                <w:bCs/>
              </w:rPr>
            </w:pPr>
            <w:r>
              <w:rPr>
                <w:bCs/>
              </w:rPr>
              <w:t>Projekts šo jomu neskar.</w:t>
            </w: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3.</w:t>
            </w:r>
          </w:p>
        </w:tc>
        <w:tc>
          <w:tcPr>
            <w:tcW w:w="2939" w:type="dxa"/>
          </w:tcPr>
          <w:p w:rsidR="00146015" w:rsidRPr="007030B3" w:rsidRDefault="00146015" w:rsidP="00A552B4">
            <w:pPr>
              <w:pStyle w:val="naislab"/>
              <w:spacing w:before="0" w:after="0"/>
              <w:jc w:val="both"/>
              <w:outlineLvl w:val="0"/>
            </w:pPr>
            <w:r w:rsidRPr="007030B3">
              <w:t>Tiesiskā regulējuma finansiālā ietekme</w:t>
            </w:r>
          </w:p>
        </w:tc>
        <w:tc>
          <w:tcPr>
            <w:tcW w:w="6060" w:type="dxa"/>
          </w:tcPr>
          <w:p w:rsidR="00146015" w:rsidRPr="009B0777" w:rsidRDefault="002346D1" w:rsidP="008215D9">
            <w:pPr>
              <w:jc w:val="both"/>
              <w:rPr>
                <w:strike/>
              </w:rPr>
            </w:pPr>
            <w:r>
              <w:t>Projekts šo jomu neskar.</w:t>
            </w: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4.</w:t>
            </w:r>
          </w:p>
        </w:tc>
        <w:tc>
          <w:tcPr>
            <w:tcW w:w="2939" w:type="dxa"/>
          </w:tcPr>
          <w:p w:rsidR="00146015" w:rsidRPr="007030B3" w:rsidRDefault="00146015" w:rsidP="00A552B4">
            <w:pPr>
              <w:pStyle w:val="naislab"/>
              <w:spacing w:before="0" w:after="0"/>
              <w:jc w:val="both"/>
              <w:outlineLvl w:val="0"/>
            </w:pPr>
            <w:r w:rsidRPr="007030B3">
              <w:t>Tiesiskā regulējuma nefinansiālā ietekme</w:t>
            </w:r>
          </w:p>
        </w:tc>
        <w:tc>
          <w:tcPr>
            <w:tcW w:w="6060" w:type="dxa"/>
          </w:tcPr>
          <w:p w:rsidR="00146015" w:rsidRPr="009B0777" w:rsidRDefault="007F046C" w:rsidP="00A552B4">
            <w:pPr>
              <w:jc w:val="both"/>
            </w:pPr>
            <w:r w:rsidRPr="007F046C">
              <w:t>Projekts šo jomu neskar.</w:t>
            </w: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5.</w:t>
            </w:r>
          </w:p>
        </w:tc>
        <w:tc>
          <w:tcPr>
            <w:tcW w:w="2939" w:type="dxa"/>
          </w:tcPr>
          <w:p w:rsidR="00146015" w:rsidRPr="007030B3" w:rsidRDefault="00146015" w:rsidP="00A552B4">
            <w:pPr>
              <w:pStyle w:val="naislab"/>
              <w:spacing w:before="0" w:after="0"/>
              <w:jc w:val="both"/>
              <w:outlineLvl w:val="0"/>
            </w:pPr>
            <w:r w:rsidRPr="007030B3">
              <w:t>Administratīvās procedūras raksturojums</w:t>
            </w:r>
          </w:p>
        </w:tc>
        <w:tc>
          <w:tcPr>
            <w:tcW w:w="6060" w:type="dxa"/>
          </w:tcPr>
          <w:p w:rsidR="00146015" w:rsidRPr="009B0777" w:rsidRDefault="00146015" w:rsidP="00A552B4">
            <w:pPr>
              <w:jc w:val="both"/>
            </w:pPr>
            <w:r w:rsidRPr="009B0777">
              <w:t xml:space="preserve"> Projekts šo jomu neskar</w:t>
            </w:r>
            <w:r>
              <w:t>.</w:t>
            </w: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6.</w:t>
            </w:r>
          </w:p>
        </w:tc>
        <w:tc>
          <w:tcPr>
            <w:tcW w:w="2939" w:type="dxa"/>
          </w:tcPr>
          <w:p w:rsidR="00146015" w:rsidRPr="007030B3" w:rsidRDefault="00146015" w:rsidP="00A552B4">
            <w:pPr>
              <w:pStyle w:val="naislab"/>
              <w:spacing w:before="0" w:after="0"/>
              <w:jc w:val="both"/>
              <w:outlineLvl w:val="0"/>
            </w:pPr>
            <w:r w:rsidRPr="007030B3">
              <w:t>Administratīvo i</w:t>
            </w:r>
            <w:smartTag w:uri="urn:schemas-microsoft-com:office:smarttags" w:element="PersonName">
              <w:r w:rsidRPr="007030B3">
                <w:t>zm</w:t>
              </w:r>
            </w:smartTag>
            <w:r w:rsidRPr="007030B3">
              <w:t>aksu monetārs novērtējums</w:t>
            </w:r>
          </w:p>
        </w:tc>
        <w:tc>
          <w:tcPr>
            <w:tcW w:w="6060" w:type="dxa"/>
          </w:tcPr>
          <w:p w:rsidR="00146015" w:rsidRPr="009B0777" w:rsidRDefault="00146015" w:rsidP="00A552B4">
            <w:pPr>
              <w:jc w:val="both"/>
            </w:pPr>
            <w:r w:rsidRPr="009B0777">
              <w:t>Projekts šo jomu neskar.</w:t>
            </w:r>
          </w:p>
        </w:tc>
      </w:tr>
      <w:tr w:rsidR="00146015" w:rsidRPr="007030B3" w:rsidTr="00F43D0C">
        <w:tc>
          <w:tcPr>
            <w:tcW w:w="540" w:type="dxa"/>
          </w:tcPr>
          <w:p w:rsidR="00146015" w:rsidRPr="007030B3" w:rsidRDefault="00146015" w:rsidP="00A552B4">
            <w:pPr>
              <w:pStyle w:val="naislab"/>
              <w:spacing w:before="0" w:after="0"/>
              <w:jc w:val="center"/>
              <w:outlineLvl w:val="0"/>
            </w:pPr>
            <w:r w:rsidRPr="007030B3">
              <w:t>7.</w:t>
            </w:r>
          </w:p>
        </w:tc>
        <w:tc>
          <w:tcPr>
            <w:tcW w:w="2939" w:type="dxa"/>
          </w:tcPr>
          <w:p w:rsidR="00146015" w:rsidRPr="007030B3" w:rsidRDefault="00146015" w:rsidP="00A552B4">
            <w:pPr>
              <w:pStyle w:val="naislab"/>
              <w:spacing w:before="0" w:after="0"/>
              <w:jc w:val="both"/>
              <w:outlineLvl w:val="0"/>
            </w:pPr>
            <w:r w:rsidRPr="007030B3">
              <w:t>Cita informācija</w:t>
            </w:r>
          </w:p>
        </w:tc>
        <w:tc>
          <w:tcPr>
            <w:tcW w:w="6060" w:type="dxa"/>
          </w:tcPr>
          <w:p w:rsidR="00146015" w:rsidRPr="007030B3" w:rsidRDefault="00146015" w:rsidP="00A552B4">
            <w:pPr>
              <w:jc w:val="both"/>
            </w:pPr>
            <w:r w:rsidRPr="007030B3">
              <w:t>Nav</w:t>
            </w:r>
            <w:r>
              <w:t>.</w:t>
            </w:r>
          </w:p>
        </w:tc>
      </w:tr>
    </w:tbl>
    <w:p w:rsidR="00146015" w:rsidRPr="007030B3" w:rsidRDefault="00146015" w:rsidP="00146015">
      <w:pPr>
        <w:rPr>
          <w:sz w:val="16"/>
          <w:szCs w:val="16"/>
        </w:rPr>
      </w:pPr>
    </w:p>
    <w:p w:rsidR="00146015" w:rsidRPr="007030B3" w:rsidRDefault="00146015" w:rsidP="00146015">
      <w:pPr>
        <w:rPr>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39"/>
        <w:gridCol w:w="6060"/>
      </w:tblGrid>
      <w:tr w:rsidR="00146015" w:rsidRPr="007030B3" w:rsidTr="00A552B4">
        <w:trPr>
          <w:trHeight w:val="279"/>
        </w:trPr>
        <w:tc>
          <w:tcPr>
            <w:tcW w:w="9539" w:type="dxa"/>
            <w:gridSpan w:val="3"/>
          </w:tcPr>
          <w:p w:rsidR="00146015" w:rsidRPr="007030B3" w:rsidRDefault="00146015" w:rsidP="00A552B4">
            <w:pPr>
              <w:jc w:val="center"/>
              <w:rPr>
                <w:b/>
              </w:rPr>
            </w:pPr>
            <w:r w:rsidRPr="007030B3">
              <w:rPr>
                <w:b/>
              </w:rPr>
              <w:t>VII. Tiesību akta projekta izpildes nodrošināšana un tās ietekme uz institūcijām</w:t>
            </w:r>
          </w:p>
        </w:tc>
      </w:tr>
      <w:tr w:rsidR="00146015" w:rsidRPr="007030B3" w:rsidTr="00F43D0C">
        <w:trPr>
          <w:trHeight w:val="279"/>
        </w:trPr>
        <w:tc>
          <w:tcPr>
            <w:tcW w:w="540" w:type="dxa"/>
          </w:tcPr>
          <w:p w:rsidR="00146015" w:rsidRPr="007030B3" w:rsidRDefault="00146015" w:rsidP="00A552B4">
            <w:pPr>
              <w:jc w:val="both"/>
            </w:pPr>
            <w:r w:rsidRPr="007030B3">
              <w:t>1.</w:t>
            </w:r>
          </w:p>
        </w:tc>
        <w:tc>
          <w:tcPr>
            <w:tcW w:w="2939" w:type="dxa"/>
          </w:tcPr>
          <w:p w:rsidR="00146015" w:rsidRPr="007030B3" w:rsidRDefault="00146015" w:rsidP="00A552B4">
            <w:pPr>
              <w:jc w:val="both"/>
            </w:pPr>
            <w:r w:rsidRPr="007030B3">
              <w:t>Projekta izpildē iesaistītās institūcijas</w:t>
            </w:r>
          </w:p>
        </w:tc>
        <w:tc>
          <w:tcPr>
            <w:tcW w:w="6060" w:type="dxa"/>
          </w:tcPr>
          <w:p w:rsidR="00146015" w:rsidRPr="007030B3" w:rsidRDefault="00146015" w:rsidP="007F046C">
            <w:pPr>
              <w:jc w:val="both"/>
            </w:pPr>
            <w:r w:rsidRPr="007030B3">
              <w:t xml:space="preserve">Izpildi nodrošinās </w:t>
            </w:r>
            <w:r w:rsidR="007F046C">
              <w:t>Finanšu ministrija.</w:t>
            </w:r>
          </w:p>
        </w:tc>
      </w:tr>
      <w:tr w:rsidR="00146015" w:rsidRPr="007030B3" w:rsidTr="00F43D0C">
        <w:trPr>
          <w:trHeight w:val="279"/>
        </w:trPr>
        <w:tc>
          <w:tcPr>
            <w:tcW w:w="540" w:type="dxa"/>
          </w:tcPr>
          <w:p w:rsidR="00146015" w:rsidRPr="007030B3" w:rsidRDefault="00146015" w:rsidP="00A552B4">
            <w:pPr>
              <w:jc w:val="both"/>
            </w:pPr>
            <w:r w:rsidRPr="007030B3">
              <w:t>2.</w:t>
            </w:r>
          </w:p>
        </w:tc>
        <w:tc>
          <w:tcPr>
            <w:tcW w:w="2939" w:type="dxa"/>
          </w:tcPr>
          <w:p w:rsidR="00146015" w:rsidRPr="007030B3" w:rsidRDefault="00146015" w:rsidP="00A552B4">
            <w:pPr>
              <w:jc w:val="both"/>
            </w:pPr>
            <w:r w:rsidRPr="007030B3">
              <w:t>Projekta izpildes ietekme uz pārvaldes funkcijām</w:t>
            </w:r>
          </w:p>
        </w:tc>
        <w:tc>
          <w:tcPr>
            <w:tcW w:w="6060" w:type="dxa"/>
          </w:tcPr>
          <w:p w:rsidR="00146015" w:rsidRPr="00FD673B" w:rsidRDefault="00146015" w:rsidP="00980000">
            <w:pPr>
              <w:jc w:val="both"/>
            </w:pPr>
            <w:r w:rsidRPr="00FD673B">
              <w:t xml:space="preserve"> </w:t>
            </w:r>
            <w:r w:rsidR="00A07C27">
              <w:t xml:space="preserve">Projekts </w:t>
            </w:r>
            <w:r w:rsidR="00980000">
              <w:t>ne</w:t>
            </w:r>
            <w:r w:rsidR="00A07C27">
              <w:t xml:space="preserve">paredz </w:t>
            </w:r>
            <w:r w:rsidR="00980000">
              <w:t>jaunas funkcijas vai uzdevumu</w:t>
            </w:r>
            <w:r w:rsidR="00B579B0">
              <w:t>s</w:t>
            </w:r>
            <w:r w:rsidR="00980000">
              <w:t xml:space="preserve">, kurus jau neveiktu Finanšu ministrija,  bet aktualizē un nostiprina jau faktiski Finanšu ministrijas veiktās funkcijas. Līdz ar to Finanšu ministrijas nolikums tikai precizē Finanšu </w:t>
            </w:r>
            <w:r w:rsidR="00980000">
              <w:lastRenderedPageBreak/>
              <w:t>ministrijas veiktās</w:t>
            </w:r>
            <w:r w:rsidR="00A07C27">
              <w:t xml:space="preserve"> funkcijas</w:t>
            </w:r>
            <w:r w:rsidR="00B74F0B">
              <w:t xml:space="preserve"> un neietekmē esošās pārvaldes funkcijas.</w:t>
            </w:r>
            <w:r w:rsidR="00A07C27">
              <w:t xml:space="preserve"> </w:t>
            </w:r>
          </w:p>
        </w:tc>
      </w:tr>
      <w:tr w:rsidR="00146015" w:rsidRPr="007030B3" w:rsidTr="00F43D0C">
        <w:trPr>
          <w:trHeight w:val="279"/>
        </w:trPr>
        <w:tc>
          <w:tcPr>
            <w:tcW w:w="540" w:type="dxa"/>
          </w:tcPr>
          <w:p w:rsidR="00146015" w:rsidRPr="007030B3" w:rsidRDefault="00146015" w:rsidP="00A552B4">
            <w:pPr>
              <w:jc w:val="both"/>
            </w:pPr>
            <w:r w:rsidRPr="007030B3">
              <w:lastRenderedPageBreak/>
              <w:t>3.</w:t>
            </w:r>
          </w:p>
        </w:tc>
        <w:tc>
          <w:tcPr>
            <w:tcW w:w="2939" w:type="dxa"/>
          </w:tcPr>
          <w:p w:rsidR="00146015" w:rsidRPr="007030B3" w:rsidRDefault="00146015" w:rsidP="00A552B4">
            <w:pPr>
              <w:pStyle w:val="naisf"/>
              <w:spacing w:before="0" w:after="0"/>
              <w:ind w:left="57" w:right="57" w:firstLine="0"/>
              <w:jc w:val="left"/>
            </w:pPr>
            <w:r w:rsidRPr="007030B3">
              <w:t>Projekta izpildes ietekme uz pārvaldes institucionālo struktūru.</w:t>
            </w:r>
            <w:r>
              <w:t xml:space="preserve"> </w:t>
            </w:r>
            <w:r w:rsidRPr="007030B3">
              <w:t>Jaunu institūciju izveide</w:t>
            </w:r>
          </w:p>
        </w:tc>
        <w:tc>
          <w:tcPr>
            <w:tcW w:w="6060" w:type="dxa"/>
          </w:tcPr>
          <w:p w:rsidR="00146015" w:rsidRPr="00FD673B" w:rsidRDefault="00146015" w:rsidP="00A07C27">
            <w:pPr>
              <w:jc w:val="both"/>
            </w:pPr>
            <w:r w:rsidRPr="00FD673B">
              <w:t xml:space="preserve"> </w:t>
            </w:r>
            <w:r w:rsidR="00B41CCA">
              <w:t xml:space="preserve"> </w:t>
            </w:r>
            <w:r w:rsidR="00A07C27">
              <w:t>Jaunas institūcijas izveide nav paredzēta.</w:t>
            </w:r>
          </w:p>
        </w:tc>
      </w:tr>
      <w:tr w:rsidR="00146015" w:rsidRPr="007030B3" w:rsidTr="00F43D0C">
        <w:trPr>
          <w:trHeight w:val="279"/>
        </w:trPr>
        <w:tc>
          <w:tcPr>
            <w:tcW w:w="540" w:type="dxa"/>
          </w:tcPr>
          <w:p w:rsidR="00146015" w:rsidRPr="007030B3" w:rsidRDefault="00146015" w:rsidP="00A552B4">
            <w:pPr>
              <w:jc w:val="both"/>
            </w:pPr>
            <w:r w:rsidRPr="007030B3">
              <w:t>4.</w:t>
            </w:r>
          </w:p>
        </w:tc>
        <w:tc>
          <w:tcPr>
            <w:tcW w:w="2939" w:type="dxa"/>
          </w:tcPr>
          <w:p w:rsidR="00146015" w:rsidRPr="007030B3" w:rsidRDefault="00146015" w:rsidP="00A552B4">
            <w:pPr>
              <w:pStyle w:val="naisf"/>
              <w:spacing w:before="0" w:after="0"/>
              <w:ind w:left="57" w:right="57" w:firstLine="0"/>
              <w:jc w:val="left"/>
            </w:pPr>
            <w:r w:rsidRPr="007030B3">
              <w:t>Projekta izpildes ietekme uz pārvaldes institucionālo struktūru.</w:t>
            </w:r>
          </w:p>
          <w:p w:rsidR="00146015" w:rsidRPr="007030B3" w:rsidRDefault="00146015" w:rsidP="00A552B4">
            <w:pPr>
              <w:jc w:val="both"/>
            </w:pPr>
            <w:r w:rsidRPr="007030B3">
              <w:t>Esošu institūciju likvidācija</w:t>
            </w:r>
          </w:p>
        </w:tc>
        <w:tc>
          <w:tcPr>
            <w:tcW w:w="6060" w:type="dxa"/>
          </w:tcPr>
          <w:p w:rsidR="00146015" w:rsidRPr="00FD673B" w:rsidRDefault="00146015" w:rsidP="00A07C27">
            <w:pPr>
              <w:jc w:val="both"/>
            </w:pPr>
            <w:r w:rsidRPr="00FD673B">
              <w:t xml:space="preserve"> </w:t>
            </w:r>
            <w:r w:rsidR="00B41CCA">
              <w:t xml:space="preserve"> </w:t>
            </w:r>
            <w:r w:rsidR="00A07C27">
              <w:t>Esošās institūcijas netiek likvidētas.</w:t>
            </w:r>
          </w:p>
        </w:tc>
      </w:tr>
      <w:tr w:rsidR="00146015" w:rsidRPr="007030B3" w:rsidTr="00F43D0C">
        <w:trPr>
          <w:trHeight w:val="279"/>
        </w:trPr>
        <w:tc>
          <w:tcPr>
            <w:tcW w:w="540" w:type="dxa"/>
          </w:tcPr>
          <w:p w:rsidR="00146015" w:rsidRPr="007030B3" w:rsidRDefault="00146015" w:rsidP="00A552B4">
            <w:pPr>
              <w:jc w:val="both"/>
            </w:pPr>
            <w:r w:rsidRPr="007030B3">
              <w:t>5.</w:t>
            </w:r>
          </w:p>
        </w:tc>
        <w:tc>
          <w:tcPr>
            <w:tcW w:w="2939" w:type="dxa"/>
          </w:tcPr>
          <w:p w:rsidR="00146015" w:rsidRPr="007030B3" w:rsidRDefault="00146015" w:rsidP="00A552B4">
            <w:pPr>
              <w:pStyle w:val="naisf"/>
              <w:spacing w:before="0" w:after="0"/>
              <w:ind w:left="57" w:right="57" w:firstLine="0"/>
              <w:jc w:val="left"/>
            </w:pPr>
            <w:r w:rsidRPr="007030B3">
              <w:t>Projekta izpildes ietekme uz pārvaldes institucionālo struktūru.</w:t>
            </w:r>
            <w:r>
              <w:t xml:space="preserve"> </w:t>
            </w:r>
            <w:r w:rsidRPr="007030B3">
              <w:t>Esošu institūciju reorganizācija</w:t>
            </w:r>
          </w:p>
        </w:tc>
        <w:tc>
          <w:tcPr>
            <w:tcW w:w="6060" w:type="dxa"/>
          </w:tcPr>
          <w:p w:rsidR="00146015" w:rsidRPr="00FD673B" w:rsidRDefault="00146015" w:rsidP="00A552B4">
            <w:pPr>
              <w:jc w:val="both"/>
            </w:pPr>
            <w:r w:rsidRPr="00FD673B">
              <w:t xml:space="preserve"> Projekts šo jomu neskar</w:t>
            </w:r>
            <w:r>
              <w:t>.</w:t>
            </w:r>
          </w:p>
        </w:tc>
      </w:tr>
      <w:tr w:rsidR="00146015" w:rsidRPr="007030B3" w:rsidTr="00F43D0C">
        <w:trPr>
          <w:trHeight w:val="279"/>
        </w:trPr>
        <w:tc>
          <w:tcPr>
            <w:tcW w:w="540" w:type="dxa"/>
          </w:tcPr>
          <w:p w:rsidR="00146015" w:rsidRPr="007030B3" w:rsidRDefault="00146015" w:rsidP="00A552B4">
            <w:pPr>
              <w:jc w:val="both"/>
            </w:pPr>
            <w:r w:rsidRPr="007030B3">
              <w:t>6.</w:t>
            </w:r>
          </w:p>
        </w:tc>
        <w:tc>
          <w:tcPr>
            <w:tcW w:w="2939" w:type="dxa"/>
          </w:tcPr>
          <w:p w:rsidR="00146015" w:rsidRPr="007030B3" w:rsidRDefault="00146015" w:rsidP="00A552B4">
            <w:pPr>
              <w:jc w:val="both"/>
            </w:pPr>
            <w:r w:rsidRPr="007030B3">
              <w:t>Cita informācija</w:t>
            </w:r>
          </w:p>
        </w:tc>
        <w:tc>
          <w:tcPr>
            <w:tcW w:w="6060" w:type="dxa"/>
          </w:tcPr>
          <w:p w:rsidR="00146015" w:rsidRPr="007030B3" w:rsidRDefault="00146015" w:rsidP="00A552B4">
            <w:pPr>
              <w:jc w:val="both"/>
            </w:pPr>
            <w:r w:rsidRPr="007030B3">
              <w:t>Nav</w:t>
            </w:r>
            <w:r>
              <w:t>.</w:t>
            </w:r>
          </w:p>
        </w:tc>
      </w:tr>
    </w:tbl>
    <w:p w:rsidR="00146015" w:rsidRPr="001B4A46" w:rsidRDefault="00146015" w:rsidP="00146015">
      <w:pPr>
        <w:jc w:val="both"/>
      </w:pPr>
    </w:p>
    <w:p w:rsidR="00146015" w:rsidRDefault="007F046C" w:rsidP="00146015">
      <w:pPr>
        <w:pStyle w:val="naiskr"/>
        <w:tabs>
          <w:tab w:val="left" w:pos="2628"/>
        </w:tabs>
        <w:spacing w:before="0" w:after="0"/>
        <w:rPr>
          <w:i/>
        </w:rPr>
      </w:pPr>
      <w:r>
        <w:rPr>
          <w:i/>
        </w:rPr>
        <w:t xml:space="preserve">Anotācijas </w:t>
      </w:r>
      <w:r w:rsidR="00FB6625">
        <w:rPr>
          <w:i/>
        </w:rPr>
        <w:t xml:space="preserve">III, IV, </w:t>
      </w:r>
      <w:r>
        <w:rPr>
          <w:i/>
        </w:rPr>
        <w:t>V</w:t>
      </w:r>
      <w:r w:rsidR="00146015">
        <w:rPr>
          <w:i/>
        </w:rPr>
        <w:t xml:space="preserve"> un </w:t>
      </w:r>
      <w:r w:rsidR="00146015" w:rsidRPr="00183688">
        <w:rPr>
          <w:i/>
        </w:rPr>
        <w:t>V</w:t>
      </w:r>
      <w:r>
        <w:rPr>
          <w:i/>
        </w:rPr>
        <w:t>I</w:t>
      </w:r>
      <w:r w:rsidR="00146015" w:rsidRPr="00183688">
        <w:rPr>
          <w:i/>
        </w:rPr>
        <w:t xml:space="preserve"> sadaļa – </w:t>
      </w:r>
      <w:r w:rsidR="00146015">
        <w:rPr>
          <w:i/>
          <w:iCs/>
        </w:rPr>
        <w:t>projekts šīs jomas neskar.</w:t>
      </w:r>
    </w:p>
    <w:p w:rsidR="00146015" w:rsidRDefault="00146015" w:rsidP="00146015">
      <w:pPr>
        <w:jc w:val="both"/>
      </w:pPr>
    </w:p>
    <w:p w:rsidR="00A26B47" w:rsidRPr="001B4A46" w:rsidRDefault="00A26B47" w:rsidP="00146015">
      <w:pPr>
        <w:jc w:val="both"/>
      </w:pPr>
    </w:p>
    <w:p w:rsidR="00146015" w:rsidRDefault="007F046C" w:rsidP="00A26B47">
      <w:pPr>
        <w:ind w:firstLine="720"/>
        <w:jc w:val="both"/>
        <w:rPr>
          <w:sz w:val="28"/>
          <w:szCs w:val="28"/>
        </w:rPr>
      </w:pPr>
      <w:r>
        <w:rPr>
          <w:sz w:val="28"/>
          <w:szCs w:val="28"/>
        </w:rPr>
        <w:t xml:space="preserve">Finanšu </w:t>
      </w:r>
      <w:r w:rsidR="00146015" w:rsidRPr="00BF63EA">
        <w:rPr>
          <w:sz w:val="28"/>
          <w:szCs w:val="28"/>
        </w:rPr>
        <w:t>ministr</w:t>
      </w:r>
      <w:r w:rsidR="00A26B47">
        <w:rPr>
          <w:sz w:val="28"/>
          <w:szCs w:val="28"/>
        </w:rPr>
        <w:t>s</w:t>
      </w:r>
      <w:r w:rsidR="00A26B47">
        <w:rPr>
          <w:sz w:val="28"/>
          <w:szCs w:val="28"/>
        </w:rPr>
        <w:tab/>
      </w:r>
      <w:r w:rsidR="00A26B47">
        <w:rPr>
          <w:sz w:val="28"/>
          <w:szCs w:val="28"/>
        </w:rPr>
        <w:tab/>
      </w:r>
      <w:r w:rsidR="00A26B47">
        <w:rPr>
          <w:sz w:val="28"/>
          <w:szCs w:val="28"/>
        </w:rPr>
        <w:tab/>
      </w:r>
      <w:r w:rsidR="00A26B47">
        <w:rPr>
          <w:sz w:val="28"/>
          <w:szCs w:val="28"/>
        </w:rPr>
        <w:tab/>
      </w:r>
      <w:r w:rsidR="00A26B47">
        <w:rPr>
          <w:sz w:val="28"/>
          <w:szCs w:val="28"/>
        </w:rPr>
        <w:tab/>
      </w:r>
      <w:r w:rsidR="00A26B47">
        <w:rPr>
          <w:sz w:val="28"/>
          <w:szCs w:val="28"/>
        </w:rPr>
        <w:tab/>
      </w:r>
      <w:r w:rsidR="00A26B47">
        <w:rPr>
          <w:sz w:val="28"/>
          <w:szCs w:val="28"/>
        </w:rPr>
        <w:tab/>
        <w:t>A.Vilks</w:t>
      </w:r>
      <w:r w:rsidR="00146015">
        <w:rPr>
          <w:sz w:val="28"/>
          <w:szCs w:val="28"/>
        </w:rPr>
        <w:t xml:space="preserve"> </w:t>
      </w:r>
    </w:p>
    <w:p w:rsidR="00146015" w:rsidRDefault="00146015" w:rsidP="00146015">
      <w:pPr>
        <w:jc w:val="both"/>
        <w:rPr>
          <w:sz w:val="20"/>
          <w:szCs w:val="20"/>
        </w:rPr>
      </w:pPr>
    </w:p>
    <w:p w:rsidR="00DC18A0" w:rsidRDefault="00DC18A0" w:rsidP="00146015">
      <w:pPr>
        <w:jc w:val="both"/>
        <w:rPr>
          <w:sz w:val="20"/>
          <w:szCs w:val="20"/>
        </w:rPr>
      </w:pPr>
    </w:p>
    <w:p w:rsidR="00DC18A0" w:rsidRDefault="00DC18A0" w:rsidP="00146015">
      <w:pPr>
        <w:jc w:val="both"/>
        <w:rPr>
          <w:sz w:val="20"/>
          <w:szCs w:val="20"/>
        </w:rPr>
      </w:pPr>
    </w:p>
    <w:p w:rsidR="00DC18A0" w:rsidRPr="001B4A46" w:rsidRDefault="00DC18A0" w:rsidP="00146015">
      <w:pPr>
        <w:jc w:val="both"/>
        <w:rPr>
          <w:sz w:val="20"/>
          <w:szCs w:val="20"/>
        </w:rPr>
      </w:pPr>
    </w:p>
    <w:p w:rsidR="0050234E" w:rsidRDefault="004E74E5" w:rsidP="00146015">
      <w:pPr>
        <w:rPr>
          <w:sz w:val="20"/>
          <w:szCs w:val="20"/>
        </w:rPr>
      </w:pPr>
      <w:r>
        <w:rPr>
          <w:sz w:val="20"/>
          <w:szCs w:val="20"/>
        </w:rPr>
        <w:t>31</w:t>
      </w:r>
      <w:r w:rsidR="00076CC0">
        <w:rPr>
          <w:sz w:val="20"/>
          <w:szCs w:val="20"/>
        </w:rPr>
        <w:t>.01.2012. 1</w:t>
      </w:r>
      <w:r>
        <w:rPr>
          <w:sz w:val="20"/>
          <w:szCs w:val="20"/>
        </w:rPr>
        <w:t>1:47</w:t>
      </w:r>
    </w:p>
    <w:p w:rsidR="00146015" w:rsidRDefault="004E74E5" w:rsidP="00146015">
      <w:pPr>
        <w:rPr>
          <w:sz w:val="20"/>
          <w:szCs w:val="20"/>
        </w:rPr>
      </w:pPr>
      <w:r>
        <w:rPr>
          <w:sz w:val="20"/>
          <w:szCs w:val="20"/>
        </w:rPr>
        <w:t xml:space="preserve"> 1650</w:t>
      </w:r>
    </w:p>
    <w:p w:rsidR="007F046C" w:rsidRDefault="007F046C" w:rsidP="00146015">
      <w:pPr>
        <w:rPr>
          <w:sz w:val="20"/>
          <w:szCs w:val="20"/>
          <w:lang w:val="pl-PL"/>
        </w:rPr>
      </w:pPr>
      <w:r>
        <w:rPr>
          <w:sz w:val="20"/>
          <w:szCs w:val="20"/>
          <w:lang w:val="pl-PL"/>
        </w:rPr>
        <w:t>I.Bērziņa</w:t>
      </w:r>
    </w:p>
    <w:p w:rsidR="00146015" w:rsidRPr="007F046C" w:rsidRDefault="00146015" w:rsidP="00146015">
      <w:pPr>
        <w:rPr>
          <w:sz w:val="20"/>
          <w:szCs w:val="20"/>
          <w:lang w:val="pl-PL"/>
        </w:rPr>
      </w:pPr>
      <w:bookmarkStart w:id="0" w:name="_GoBack"/>
      <w:r w:rsidRPr="00F47201">
        <w:rPr>
          <w:sz w:val="20"/>
          <w:szCs w:val="20"/>
          <w:lang w:val="pl-PL"/>
        </w:rPr>
        <w:t>6</w:t>
      </w:r>
      <w:r w:rsidR="007F046C">
        <w:rPr>
          <w:sz w:val="20"/>
          <w:szCs w:val="20"/>
          <w:lang w:val="pl-PL"/>
        </w:rPr>
        <w:t>7095484, Ivanda.Berzina@f</w:t>
      </w:r>
      <w:r w:rsidRPr="00F47201">
        <w:rPr>
          <w:sz w:val="20"/>
          <w:szCs w:val="20"/>
          <w:lang w:val="pl-PL"/>
        </w:rPr>
        <w:t>m.gov.lv</w:t>
      </w:r>
    </w:p>
    <w:bookmarkEnd w:id="0"/>
    <w:p w:rsidR="00957B23" w:rsidRDefault="00957B23"/>
    <w:sectPr w:rsidR="00957B23" w:rsidSect="00A552B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57" w:rsidRDefault="005D7857" w:rsidP="00146015">
      <w:r>
        <w:separator/>
      </w:r>
    </w:p>
  </w:endnote>
  <w:endnote w:type="continuationSeparator" w:id="0">
    <w:p w:rsidR="005D7857" w:rsidRDefault="005D7857" w:rsidP="0014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8" w:rsidRDefault="00EE1ED8" w:rsidP="00A552B4">
    <w:pPr>
      <w:jc w:val="both"/>
      <w:rPr>
        <w:sz w:val="20"/>
        <w:szCs w:val="20"/>
      </w:rPr>
    </w:pPr>
    <w:proofErr w:type="spellStart"/>
    <w:r>
      <w:rPr>
        <w:sz w:val="20"/>
        <w:szCs w:val="20"/>
      </w:rPr>
      <w:t>MKAnotacija_FMNolikums</w:t>
    </w:r>
    <w:r w:rsidR="004E74E5">
      <w:rPr>
        <w:sz w:val="20"/>
        <w:szCs w:val="20"/>
      </w:rPr>
      <w:t>_VSS-2</w:t>
    </w:r>
    <w:proofErr w:type="spellEnd"/>
  </w:p>
  <w:p w:rsidR="004E74E5" w:rsidRDefault="004E74E5" w:rsidP="00A552B4">
    <w:pPr>
      <w:jc w:val="both"/>
      <w:rPr>
        <w:sz w:val="20"/>
        <w:szCs w:val="20"/>
      </w:rPr>
    </w:pPr>
  </w:p>
  <w:p w:rsidR="00EE1ED8" w:rsidRPr="00366CE5" w:rsidRDefault="00EE1ED8" w:rsidP="00A552B4">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8" w:rsidRPr="00752472" w:rsidRDefault="00EE1ED8" w:rsidP="00A552B4">
    <w:pPr>
      <w:jc w:val="both"/>
      <w:rPr>
        <w:sz w:val="20"/>
        <w:szCs w:val="20"/>
      </w:rPr>
    </w:pPr>
    <w:proofErr w:type="spellStart"/>
    <w:r>
      <w:rPr>
        <w:sz w:val="20"/>
        <w:szCs w:val="20"/>
      </w:rPr>
      <w:t>MKAnotacija_FMNolikums</w:t>
    </w:r>
    <w:r w:rsidR="004E74E5">
      <w:rPr>
        <w:sz w:val="20"/>
        <w:szCs w:val="20"/>
      </w:rPr>
      <w:t>_VSS-2</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57" w:rsidRDefault="005D7857" w:rsidP="00146015">
      <w:r>
        <w:separator/>
      </w:r>
    </w:p>
  </w:footnote>
  <w:footnote w:type="continuationSeparator" w:id="0">
    <w:p w:rsidR="005D7857" w:rsidRDefault="005D7857" w:rsidP="0014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8" w:rsidRDefault="00EE1ED8" w:rsidP="00A55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ED8" w:rsidRDefault="00EE1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8" w:rsidRDefault="00EE1ED8" w:rsidP="00A55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4763">
      <w:rPr>
        <w:rStyle w:val="PageNumber"/>
        <w:noProof/>
      </w:rPr>
      <w:t>6</w:t>
    </w:r>
    <w:r>
      <w:rPr>
        <w:rStyle w:val="PageNumber"/>
      </w:rPr>
      <w:fldChar w:fldCharType="end"/>
    </w:r>
  </w:p>
  <w:p w:rsidR="00EE1ED8" w:rsidRDefault="00EE1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15"/>
    <w:rsid w:val="0001677F"/>
    <w:rsid w:val="00076CC0"/>
    <w:rsid w:val="00084BF6"/>
    <w:rsid w:val="000A262B"/>
    <w:rsid w:val="001065E8"/>
    <w:rsid w:val="001107C4"/>
    <w:rsid w:val="00140F91"/>
    <w:rsid w:val="00146015"/>
    <w:rsid w:val="001E4F03"/>
    <w:rsid w:val="001F7307"/>
    <w:rsid w:val="002346D1"/>
    <w:rsid w:val="002A0327"/>
    <w:rsid w:val="002A649B"/>
    <w:rsid w:val="002F3079"/>
    <w:rsid w:val="00323E16"/>
    <w:rsid w:val="0035043C"/>
    <w:rsid w:val="003563E6"/>
    <w:rsid w:val="00376947"/>
    <w:rsid w:val="003A4864"/>
    <w:rsid w:val="003C707A"/>
    <w:rsid w:val="003F1FCF"/>
    <w:rsid w:val="003F4BF6"/>
    <w:rsid w:val="004241F1"/>
    <w:rsid w:val="0042672B"/>
    <w:rsid w:val="00440A2F"/>
    <w:rsid w:val="00475592"/>
    <w:rsid w:val="00497FA2"/>
    <w:rsid w:val="004E74E5"/>
    <w:rsid w:val="0050234E"/>
    <w:rsid w:val="00546865"/>
    <w:rsid w:val="00563900"/>
    <w:rsid w:val="005651D5"/>
    <w:rsid w:val="00565C87"/>
    <w:rsid w:val="00566ABE"/>
    <w:rsid w:val="00581493"/>
    <w:rsid w:val="005A25AD"/>
    <w:rsid w:val="005A4763"/>
    <w:rsid w:val="005A4BBA"/>
    <w:rsid w:val="005A6E81"/>
    <w:rsid w:val="005D7857"/>
    <w:rsid w:val="0061336F"/>
    <w:rsid w:val="0062625B"/>
    <w:rsid w:val="00644ED0"/>
    <w:rsid w:val="006C392F"/>
    <w:rsid w:val="006E31E6"/>
    <w:rsid w:val="006E60C5"/>
    <w:rsid w:val="00706249"/>
    <w:rsid w:val="00706294"/>
    <w:rsid w:val="007F046C"/>
    <w:rsid w:val="00807BE1"/>
    <w:rsid w:val="008215D9"/>
    <w:rsid w:val="00835EF1"/>
    <w:rsid w:val="008A1497"/>
    <w:rsid w:val="008A305B"/>
    <w:rsid w:val="008D39E8"/>
    <w:rsid w:val="008E7760"/>
    <w:rsid w:val="008F1CCE"/>
    <w:rsid w:val="008F5559"/>
    <w:rsid w:val="00924E61"/>
    <w:rsid w:val="0093460D"/>
    <w:rsid w:val="00934A9E"/>
    <w:rsid w:val="00957B23"/>
    <w:rsid w:val="009710EF"/>
    <w:rsid w:val="00980000"/>
    <w:rsid w:val="00981366"/>
    <w:rsid w:val="00993CBC"/>
    <w:rsid w:val="009B6677"/>
    <w:rsid w:val="009E5822"/>
    <w:rsid w:val="00A042E1"/>
    <w:rsid w:val="00A0659E"/>
    <w:rsid w:val="00A07C27"/>
    <w:rsid w:val="00A26B47"/>
    <w:rsid w:val="00A26D7C"/>
    <w:rsid w:val="00A37228"/>
    <w:rsid w:val="00A43737"/>
    <w:rsid w:val="00A552B4"/>
    <w:rsid w:val="00A72B7C"/>
    <w:rsid w:val="00A83101"/>
    <w:rsid w:val="00A932C8"/>
    <w:rsid w:val="00AA4869"/>
    <w:rsid w:val="00AA5800"/>
    <w:rsid w:val="00AD0477"/>
    <w:rsid w:val="00AD705F"/>
    <w:rsid w:val="00B12ADC"/>
    <w:rsid w:val="00B33808"/>
    <w:rsid w:val="00B41CCA"/>
    <w:rsid w:val="00B44C6C"/>
    <w:rsid w:val="00B579B0"/>
    <w:rsid w:val="00B610CC"/>
    <w:rsid w:val="00B6671D"/>
    <w:rsid w:val="00B74F0B"/>
    <w:rsid w:val="00B92689"/>
    <w:rsid w:val="00B97706"/>
    <w:rsid w:val="00BB68D4"/>
    <w:rsid w:val="00BF1F5E"/>
    <w:rsid w:val="00C10326"/>
    <w:rsid w:val="00C43DC7"/>
    <w:rsid w:val="00C8364A"/>
    <w:rsid w:val="00D2480C"/>
    <w:rsid w:val="00D65701"/>
    <w:rsid w:val="00D83FFF"/>
    <w:rsid w:val="00DA334D"/>
    <w:rsid w:val="00DC18A0"/>
    <w:rsid w:val="00E17AFC"/>
    <w:rsid w:val="00E2238E"/>
    <w:rsid w:val="00E256C6"/>
    <w:rsid w:val="00E77BF3"/>
    <w:rsid w:val="00E83B81"/>
    <w:rsid w:val="00E951CD"/>
    <w:rsid w:val="00ED6774"/>
    <w:rsid w:val="00EE1ED8"/>
    <w:rsid w:val="00F32F31"/>
    <w:rsid w:val="00F43D0C"/>
    <w:rsid w:val="00F50DB7"/>
    <w:rsid w:val="00FB6625"/>
    <w:rsid w:val="00FD6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1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46015"/>
    <w:pPr>
      <w:spacing w:before="75" w:after="75"/>
      <w:jc w:val="right"/>
    </w:pPr>
  </w:style>
  <w:style w:type="paragraph" w:customStyle="1" w:styleId="naiskr">
    <w:name w:val="naiskr"/>
    <w:basedOn w:val="Normal"/>
    <w:rsid w:val="00146015"/>
    <w:pPr>
      <w:spacing w:before="75" w:after="75"/>
    </w:pPr>
  </w:style>
  <w:style w:type="paragraph" w:styleId="Header">
    <w:name w:val="header"/>
    <w:basedOn w:val="Normal"/>
    <w:link w:val="HeaderChar"/>
    <w:rsid w:val="00146015"/>
    <w:pPr>
      <w:tabs>
        <w:tab w:val="center" w:pos="4153"/>
        <w:tab w:val="right" w:pos="8306"/>
      </w:tabs>
    </w:pPr>
  </w:style>
  <w:style w:type="character" w:customStyle="1" w:styleId="HeaderChar">
    <w:name w:val="Header Char"/>
    <w:basedOn w:val="DefaultParagraphFont"/>
    <w:link w:val="Header"/>
    <w:rsid w:val="00146015"/>
    <w:rPr>
      <w:rFonts w:ascii="Times New Roman" w:eastAsia="Times New Roman" w:hAnsi="Times New Roman" w:cs="Times New Roman"/>
      <w:sz w:val="24"/>
      <w:szCs w:val="24"/>
      <w:lang w:eastAsia="lv-LV"/>
    </w:rPr>
  </w:style>
  <w:style w:type="character" w:styleId="PageNumber">
    <w:name w:val="page number"/>
    <w:basedOn w:val="DefaultParagraphFont"/>
    <w:rsid w:val="00146015"/>
  </w:style>
  <w:style w:type="paragraph" w:customStyle="1" w:styleId="naisf">
    <w:name w:val="naisf"/>
    <w:basedOn w:val="Normal"/>
    <w:rsid w:val="00146015"/>
    <w:pPr>
      <w:spacing w:before="75" w:after="75"/>
      <w:ind w:firstLine="375"/>
      <w:jc w:val="both"/>
    </w:pPr>
  </w:style>
  <w:style w:type="paragraph" w:styleId="Footer">
    <w:name w:val="footer"/>
    <w:basedOn w:val="Normal"/>
    <w:link w:val="FooterChar"/>
    <w:rsid w:val="00146015"/>
    <w:pPr>
      <w:tabs>
        <w:tab w:val="center" w:pos="4153"/>
        <w:tab w:val="right" w:pos="8306"/>
      </w:tabs>
    </w:pPr>
  </w:style>
  <w:style w:type="character" w:customStyle="1" w:styleId="FooterChar">
    <w:name w:val="Footer Char"/>
    <w:basedOn w:val="DefaultParagraphFont"/>
    <w:link w:val="Footer"/>
    <w:rsid w:val="0014601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552B4"/>
    <w:rPr>
      <w:rFonts w:ascii="Tahoma" w:hAnsi="Tahoma" w:cs="Tahoma"/>
      <w:sz w:val="16"/>
      <w:szCs w:val="16"/>
    </w:rPr>
  </w:style>
  <w:style w:type="character" w:customStyle="1" w:styleId="BalloonTextChar">
    <w:name w:val="Balloon Text Char"/>
    <w:basedOn w:val="DefaultParagraphFont"/>
    <w:link w:val="BalloonText"/>
    <w:uiPriority w:val="99"/>
    <w:semiHidden/>
    <w:rsid w:val="00A552B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1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46015"/>
    <w:pPr>
      <w:spacing w:before="75" w:after="75"/>
      <w:jc w:val="right"/>
    </w:pPr>
  </w:style>
  <w:style w:type="paragraph" w:customStyle="1" w:styleId="naiskr">
    <w:name w:val="naiskr"/>
    <w:basedOn w:val="Normal"/>
    <w:rsid w:val="00146015"/>
    <w:pPr>
      <w:spacing w:before="75" w:after="75"/>
    </w:pPr>
  </w:style>
  <w:style w:type="paragraph" w:styleId="Header">
    <w:name w:val="header"/>
    <w:basedOn w:val="Normal"/>
    <w:link w:val="HeaderChar"/>
    <w:rsid w:val="00146015"/>
    <w:pPr>
      <w:tabs>
        <w:tab w:val="center" w:pos="4153"/>
        <w:tab w:val="right" w:pos="8306"/>
      </w:tabs>
    </w:pPr>
  </w:style>
  <w:style w:type="character" w:customStyle="1" w:styleId="HeaderChar">
    <w:name w:val="Header Char"/>
    <w:basedOn w:val="DefaultParagraphFont"/>
    <w:link w:val="Header"/>
    <w:rsid w:val="00146015"/>
    <w:rPr>
      <w:rFonts w:ascii="Times New Roman" w:eastAsia="Times New Roman" w:hAnsi="Times New Roman" w:cs="Times New Roman"/>
      <w:sz w:val="24"/>
      <w:szCs w:val="24"/>
      <w:lang w:eastAsia="lv-LV"/>
    </w:rPr>
  </w:style>
  <w:style w:type="character" w:styleId="PageNumber">
    <w:name w:val="page number"/>
    <w:basedOn w:val="DefaultParagraphFont"/>
    <w:rsid w:val="00146015"/>
  </w:style>
  <w:style w:type="paragraph" w:customStyle="1" w:styleId="naisf">
    <w:name w:val="naisf"/>
    <w:basedOn w:val="Normal"/>
    <w:rsid w:val="00146015"/>
    <w:pPr>
      <w:spacing w:before="75" w:after="75"/>
      <w:ind w:firstLine="375"/>
      <w:jc w:val="both"/>
    </w:pPr>
  </w:style>
  <w:style w:type="paragraph" w:styleId="Footer">
    <w:name w:val="footer"/>
    <w:basedOn w:val="Normal"/>
    <w:link w:val="FooterChar"/>
    <w:rsid w:val="00146015"/>
    <w:pPr>
      <w:tabs>
        <w:tab w:val="center" w:pos="4153"/>
        <w:tab w:val="right" w:pos="8306"/>
      </w:tabs>
    </w:pPr>
  </w:style>
  <w:style w:type="character" w:customStyle="1" w:styleId="FooterChar">
    <w:name w:val="Footer Char"/>
    <w:basedOn w:val="DefaultParagraphFont"/>
    <w:link w:val="Footer"/>
    <w:rsid w:val="0014601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552B4"/>
    <w:rPr>
      <w:rFonts w:ascii="Tahoma" w:hAnsi="Tahoma" w:cs="Tahoma"/>
      <w:sz w:val="16"/>
      <w:szCs w:val="16"/>
    </w:rPr>
  </w:style>
  <w:style w:type="character" w:customStyle="1" w:styleId="BalloonTextChar">
    <w:name w:val="Balloon Text Char"/>
    <w:basedOn w:val="DefaultParagraphFont"/>
    <w:link w:val="BalloonText"/>
    <w:uiPriority w:val="99"/>
    <w:semiHidden/>
    <w:rsid w:val="00A552B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D853-081B-4701-8B89-84234092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8880</Words>
  <Characters>5063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 gada 29.aprīļa noteikumos Nr.239 “Finanšu ministrijas nolikums”” sākotnējās ietekmes novērtējuma ziņojums </dc:title>
  <dc:subject>Anotācija</dc:subject>
  <dc:creator>jn-berzi</dc:creator>
  <cp:keywords/>
  <dc:description>67095484,
 Ivanda.Berzina@fm.gov.lv</dc:description>
  <cp:lastModifiedBy>Windows User</cp:lastModifiedBy>
  <cp:revision>49</cp:revision>
  <cp:lastPrinted>2012-01-31T07:54:00Z</cp:lastPrinted>
  <dcterms:created xsi:type="dcterms:W3CDTF">2011-12-30T09:33:00Z</dcterms:created>
  <dcterms:modified xsi:type="dcterms:W3CDTF">2012-02-20T10:19:00Z</dcterms:modified>
</cp:coreProperties>
</file>