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9C" w:rsidRPr="00AB2091" w:rsidRDefault="0070459C" w:rsidP="00E2340B">
      <w:pPr>
        <w:pStyle w:val="naisvisr"/>
        <w:spacing w:before="0" w:after="0"/>
      </w:pPr>
      <w:r w:rsidRPr="00AB2091">
        <w:t>Ministru kabineta rīkojuma projekta</w:t>
      </w:r>
    </w:p>
    <w:p w:rsidR="0070459C" w:rsidRPr="00AB2091" w:rsidRDefault="0070459C" w:rsidP="00E2340B">
      <w:pPr>
        <w:spacing w:after="0" w:line="240" w:lineRule="auto"/>
        <w:jc w:val="center"/>
        <w:outlineLvl w:val="2"/>
        <w:rPr>
          <w:rFonts w:ascii="Times New Roman" w:hAnsi="Times New Roman"/>
          <w:b/>
          <w:bCs/>
          <w:sz w:val="28"/>
          <w:lang w:val="lv-LV"/>
        </w:rPr>
      </w:pPr>
      <w:r w:rsidRPr="00AB2091">
        <w:rPr>
          <w:rFonts w:ascii="Times New Roman" w:hAnsi="Times New Roman"/>
          <w:sz w:val="28"/>
          <w:szCs w:val="28"/>
          <w:lang w:val="lv-LV"/>
        </w:rPr>
        <w:t>"</w:t>
      </w:r>
      <w:r w:rsidRPr="00AB2091">
        <w:rPr>
          <w:rFonts w:ascii="Times New Roman" w:hAnsi="Times New Roman"/>
          <w:b/>
          <w:bCs/>
          <w:sz w:val="28"/>
          <w:lang w:val="lv-LV"/>
        </w:rPr>
        <w:t>Par pasākumiem, kas veicami, lai nodrošinātu informācijas aktualizāciju</w:t>
      </w:r>
    </w:p>
    <w:p w:rsidR="0070459C" w:rsidRPr="00AB2091" w:rsidRDefault="0070459C" w:rsidP="00E2340B">
      <w:pPr>
        <w:spacing w:after="0" w:line="240" w:lineRule="auto"/>
        <w:jc w:val="center"/>
        <w:outlineLvl w:val="2"/>
        <w:rPr>
          <w:rFonts w:ascii="Times New Roman" w:hAnsi="Times New Roman"/>
          <w:b/>
          <w:bCs/>
          <w:sz w:val="28"/>
          <w:lang w:val="lv-LV"/>
        </w:rPr>
      </w:pPr>
      <w:r w:rsidRPr="00AB2091">
        <w:rPr>
          <w:rFonts w:ascii="Times New Roman" w:hAnsi="Times New Roman"/>
          <w:b/>
          <w:bCs/>
          <w:sz w:val="28"/>
          <w:lang w:val="lv-LV"/>
        </w:rPr>
        <w:t>ministriju un citu centrālo valsts iestāžu funkciju datubāzē</w:t>
      </w:r>
      <w:r w:rsidRPr="00AB2091">
        <w:rPr>
          <w:rFonts w:ascii="Times New Roman" w:hAnsi="Times New Roman"/>
          <w:sz w:val="28"/>
          <w:szCs w:val="28"/>
          <w:lang w:val="lv-LV"/>
        </w:rPr>
        <w:t>"</w:t>
      </w:r>
    </w:p>
    <w:p w:rsidR="0070459C" w:rsidRPr="00AB2091" w:rsidRDefault="0070459C" w:rsidP="00E2340B">
      <w:pPr>
        <w:spacing w:after="0" w:line="240" w:lineRule="auto"/>
        <w:jc w:val="center"/>
        <w:rPr>
          <w:rFonts w:ascii="Times New Roman" w:hAnsi="Times New Roman"/>
          <w:b/>
          <w:sz w:val="28"/>
          <w:szCs w:val="28"/>
          <w:lang w:val="lv-LV"/>
        </w:rPr>
      </w:pPr>
      <w:r w:rsidRPr="00AB2091">
        <w:rPr>
          <w:rFonts w:ascii="Times New Roman" w:hAnsi="Times New Roman"/>
          <w:b/>
          <w:sz w:val="28"/>
          <w:szCs w:val="28"/>
          <w:lang w:val="lv-LV"/>
        </w:rPr>
        <w:t>sākotnējās ietekmes novērtējuma ziņojums (anotācija)</w:t>
      </w:r>
    </w:p>
    <w:p w:rsidR="0070459C" w:rsidRPr="00AB2091" w:rsidRDefault="0070459C" w:rsidP="00E2340B">
      <w:pPr>
        <w:pStyle w:val="BodyTextIndent"/>
        <w:tabs>
          <w:tab w:val="left" w:pos="709"/>
        </w:tabs>
        <w:rPr>
          <w:b/>
          <w:sz w:val="28"/>
          <w:szCs w:val="28"/>
        </w:rPr>
      </w:pPr>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1906"/>
        <w:gridCol w:w="7684"/>
      </w:tblGrid>
      <w:tr w:rsidR="0070459C" w:rsidRPr="00AB2091" w:rsidTr="0068770C">
        <w:tc>
          <w:tcPr>
            <w:tcW w:w="10016" w:type="dxa"/>
            <w:gridSpan w:val="3"/>
          </w:tcPr>
          <w:p w:rsidR="0070459C" w:rsidRPr="00AB2091" w:rsidRDefault="0070459C" w:rsidP="00E2340B">
            <w:pPr>
              <w:numPr>
                <w:ilvl w:val="0"/>
                <w:numId w:val="1"/>
              </w:numPr>
              <w:spacing w:after="0" w:line="240" w:lineRule="auto"/>
              <w:jc w:val="center"/>
              <w:rPr>
                <w:rFonts w:ascii="Times New Roman" w:hAnsi="Times New Roman"/>
                <w:b/>
                <w:bCs/>
                <w:sz w:val="28"/>
                <w:szCs w:val="28"/>
                <w:lang w:val="lv-LV" w:eastAsia="lv-LV"/>
              </w:rPr>
            </w:pPr>
            <w:r w:rsidRPr="00AB2091">
              <w:rPr>
                <w:rFonts w:ascii="Times New Roman" w:hAnsi="Times New Roman"/>
                <w:b/>
                <w:bCs/>
                <w:sz w:val="28"/>
                <w:szCs w:val="28"/>
                <w:lang w:val="lv-LV" w:eastAsia="lv-LV"/>
              </w:rPr>
              <w:t>Tiesību akta projekta izstrādes nepieciešamība</w:t>
            </w:r>
          </w:p>
          <w:p w:rsidR="0070459C" w:rsidRPr="00AB2091" w:rsidRDefault="0070459C" w:rsidP="00E2340B">
            <w:pPr>
              <w:spacing w:after="0" w:line="240" w:lineRule="auto"/>
              <w:ind w:left="1080"/>
              <w:jc w:val="both"/>
              <w:rPr>
                <w:rFonts w:ascii="Times New Roman" w:hAnsi="Times New Roman"/>
                <w:b/>
                <w:sz w:val="28"/>
                <w:szCs w:val="28"/>
                <w:lang w:val="lv-LV"/>
              </w:rPr>
            </w:pPr>
          </w:p>
        </w:tc>
      </w:tr>
      <w:tr w:rsidR="0070459C" w:rsidRPr="00AB2091" w:rsidTr="0068770C">
        <w:tc>
          <w:tcPr>
            <w:tcW w:w="426" w:type="dxa"/>
          </w:tcPr>
          <w:p w:rsidR="0070459C" w:rsidRPr="00AB2091" w:rsidRDefault="0070459C" w:rsidP="00E2340B">
            <w:pPr>
              <w:pStyle w:val="NormalWeb"/>
              <w:spacing w:before="0" w:beforeAutospacing="0" w:after="0" w:afterAutospacing="0"/>
              <w:jc w:val="both"/>
              <w:rPr>
                <w:sz w:val="28"/>
                <w:szCs w:val="28"/>
              </w:rPr>
            </w:pPr>
            <w:r w:rsidRPr="00AB2091">
              <w:rPr>
                <w:sz w:val="28"/>
                <w:szCs w:val="28"/>
              </w:rPr>
              <w:t>1.</w:t>
            </w:r>
          </w:p>
        </w:tc>
        <w:tc>
          <w:tcPr>
            <w:tcW w:w="1906" w:type="dxa"/>
          </w:tcPr>
          <w:p w:rsidR="0070459C" w:rsidRPr="00AB2091" w:rsidRDefault="0070459C" w:rsidP="00E2340B">
            <w:pPr>
              <w:pStyle w:val="NormalWeb"/>
              <w:spacing w:before="0" w:beforeAutospacing="0" w:after="0" w:afterAutospacing="0"/>
              <w:jc w:val="both"/>
              <w:rPr>
                <w:sz w:val="28"/>
                <w:szCs w:val="28"/>
              </w:rPr>
            </w:pPr>
            <w:r w:rsidRPr="00AB2091">
              <w:rPr>
                <w:sz w:val="28"/>
                <w:szCs w:val="28"/>
              </w:rPr>
              <w:t>Pamatojums</w:t>
            </w:r>
          </w:p>
        </w:tc>
        <w:tc>
          <w:tcPr>
            <w:tcW w:w="7684" w:type="dxa"/>
          </w:tcPr>
          <w:p w:rsidR="0070459C" w:rsidRPr="00AB2091" w:rsidRDefault="0070459C" w:rsidP="001C0655">
            <w:pPr>
              <w:pStyle w:val="BodyText2"/>
              <w:spacing w:after="0" w:line="240" w:lineRule="auto"/>
              <w:rPr>
                <w:rFonts w:ascii="Times New Roman" w:hAnsi="Times New Roman"/>
                <w:sz w:val="28"/>
                <w:szCs w:val="28"/>
                <w:lang w:val="lv-LV"/>
              </w:rPr>
            </w:pPr>
            <w:r w:rsidRPr="00AB2091">
              <w:rPr>
                <w:rFonts w:ascii="Times New Roman" w:hAnsi="Times New Roman"/>
                <w:bCs/>
                <w:sz w:val="28"/>
                <w:szCs w:val="28"/>
                <w:lang w:val="lv-LV"/>
              </w:rPr>
              <w:t>Atbilst Valdības rīcības plāna pasākumiem un  Deklarācijas par Valda Dombrovska vadītā Ministru kabineta iecerēto darbību īstenošanu uzdevumam "</w:t>
            </w:r>
            <w:r w:rsidRPr="00AB2091">
              <w:rPr>
                <w:rFonts w:ascii="Times New Roman" w:hAnsi="Times New Roman"/>
                <w:bCs/>
                <w:sz w:val="28"/>
                <w:szCs w:val="28"/>
                <w:u w:val="single"/>
                <w:lang w:val="lv-LV"/>
              </w:rPr>
              <w:t>Pabeigt valsts pārvaldes iestāžu funkciju auditu</w:t>
            </w:r>
            <w:r w:rsidRPr="00AB2091">
              <w:rPr>
                <w:rFonts w:ascii="Times New Roman" w:hAnsi="Times New Roman"/>
                <w:bCs/>
                <w:sz w:val="28"/>
                <w:szCs w:val="28"/>
                <w:lang w:val="lv-LV"/>
              </w:rPr>
              <w:t xml:space="preserve"> un noteikt iestāžu un darbinieku skaitu atbilstoši pārvaldes uzdevumu apjomam. Nodarbinātības modeli valsts pārvaldē transformēt no kvantitātes uz kvalitāti"</w:t>
            </w:r>
          </w:p>
        </w:tc>
      </w:tr>
      <w:tr w:rsidR="0070459C" w:rsidRPr="00AB2091" w:rsidTr="0068770C">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2.</w:t>
            </w:r>
          </w:p>
        </w:tc>
        <w:tc>
          <w:tcPr>
            <w:tcW w:w="1906" w:type="dxa"/>
          </w:tcPr>
          <w:p w:rsidR="0070459C" w:rsidRPr="00AB2091" w:rsidRDefault="0070459C" w:rsidP="009A4641">
            <w:pPr>
              <w:spacing w:after="0" w:line="240" w:lineRule="auto"/>
              <w:rPr>
                <w:rFonts w:ascii="Times New Roman" w:hAnsi="Times New Roman"/>
                <w:sz w:val="28"/>
                <w:szCs w:val="28"/>
                <w:lang w:val="lv-LV"/>
              </w:rPr>
            </w:pPr>
            <w:r w:rsidRPr="00AB2091">
              <w:rPr>
                <w:rFonts w:ascii="Times New Roman" w:hAnsi="Times New Roman"/>
                <w:sz w:val="28"/>
                <w:szCs w:val="28"/>
                <w:lang w:val="lv-LV" w:eastAsia="lv-LV"/>
              </w:rPr>
              <w:t>Pašreizējā situācija un problēmas</w:t>
            </w:r>
          </w:p>
        </w:tc>
        <w:tc>
          <w:tcPr>
            <w:tcW w:w="7684" w:type="dxa"/>
          </w:tcPr>
          <w:p w:rsidR="0070459C" w:rsidRPr="00AB2091" w:rsidRDefault="0070459C" w:rsidP="001C0655">
            <w:pPr>
              <w:pStyle w:val="BodyText"/>
              <w:spacing w:after="0"/>
              <w:rPr>
                <w:spacing w:val="-4"/>
                <w:sz w:val="28"/>
                <w:szCs w:val="28"/>
              </w:rPr>
            </w:pPr>
            <w:r w:rsidRPr="00AB2091">
              <w:rPr>
                <w:bCs/>
                <w:spacing w:val="-4"/>
                <w:sz w:val="28"/>
              </w:rPr>
              <w:t>Ministriju un citu centrālo valsts iestāžu un institūciju funkciju datubāzē apkopotā informācija nav aktualizēta kopš 2010.gada. Līdz šim veiktās strukturālās reformas ir būtiski mainījušas institūciju veikto funkciju saturu, apjomu un skaitu. Līdz šim izmantotā informācija par funkcijām nebija izstrādāta, pielietojot vienveidīgu un konsekventu pieeju, lai nodrošinātu iespējas salīdzināt, klasificēt un grupēt relatīvi līdzīgās valsts budžeta finansētas un institūciju īstenotās funkcijas</w:t>
            </w:r>
          </w:p>
        </w:tc>
      </w:tr>
      <w:tr w:rsidR="0070459C" w:rsidRPr="00AB2091" w:rsidTr="0068770C">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3.</w:t>
            </w:r>
          </w:p>
        </w:tc>
        <w:tc>
          <w:tcPr>
            <w:tcW w:w="1906" w:type="dxa"/>
          </w:tcPr>
          <w:p w:rsidR="0070459C" w:rsidRPr="00AB2091" w:rsidRDefault="0070459C" w:rsidP="00E2340B">
            <w:pPr>
              <w:spacing w:after="0" w:line="240" w:lineRule="auto"/>
              <w:jc w:val="both"/>
              <w:rPr>
                <w:rFonts w:ascii="Times New Roman" w:hAnsi="Times New Roman"/>
                <w:sz w:val="28"/>
                <w:szCs w:val="28"/>
                <w:lang w:val="lv-LV" w:eastAsia="lv-LV"/>
              </w:rPr>
            </w:pPr>
            <w:r w:rsidRPr="00AB2091">
              <w:rPr>
                <w:rFonts w:ascii="Times New Roman" w:hAnsi="Times New Roman"/>
                <w:sz w:val="28"/>
                <w:szCs w:val="28"/>
                <w:lang w:val="lv-LV" w:eastAsia="lv-LV"/>
              </w:rPr>
              <w:t>Saistītie politikas ietekmes novērtējumi un pētījumi</w:t>
            </w:r>
          </w:p>
        </w:tc>
        <w:tc>
          <w:tcPr>
            <w:tcW w:w="7684" w:type="dxa"/>
          </w:tcPr>
          <w:p w:rsidR="0070459C" w:rsidRPr="00AB2091" w:rsidRDefault="0070459C" w:rsidP="00E2340B">
            <w:pPr>
              <w:pStyle w:val="BodyText"/>
              <w:spacing w:after="0"/>
              <w:jc w:val="both"/>
              <w:rPr>
                <w:sz w:val="28"/>
                <w:szCs w:val="28"/>
              </w:rPr>
            </w:pPr>
            <w:r w:rsidRPr="00AB2091">
              <w:rPr>
                <w:bCs/>
                <w:sz w:val="28"/>
                <w:szCs w:val="28"/>
              </w:rPr>
              <w:t>Tiesību</w:t>
            </w:r>
            <w:r w:rsidRPr="00AB2091">
              <w:rPr>
                <w:color w:val="000000"/>
                <w:sz w:val="28"/>
                <w:szCs w:val="28"/>
              </w:rPr>
              <w:t xml:space="preserve"> akta projekts šo jomu neskar</w:t>
            </w:r>
          </w:p>
        </w:tc>
      </w:tr>
      <w:tr w:rsidR="0070459C" w:rsidRPr="00AB2091" w:rsidTr="0068770C">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4.</w:t>
            </w:r>
          </w:p>
        </w:tc>
        <w:tc>
          <w:tcPr>
            <w:tcW w:w="1906" w:type="dxa"/>
          </w:tcPr>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eastAsia="lv-LV"/>
              </w:rPr>
              <w:t>Tiesiskā regulējuma mērķis un būtība</w:t>
            </w:r>
          </w:p>
        </w:tc>
        <w:tc>
          <w:tcPr>
            <w:tcW w:w="7684" w:type="dxa"/>
          </w:tcPr>
          <w:p w:rsidR="0070459C" w:rsidRPr="00AB2091" w:rsidRDefault="0070459C" w:rsidP="001C0655">
            <w:pPr>
              <w:pStyle w:val="BodyText"/>
              <w:spacing w:after="0"/>
              <w:rPr>
                <w:sz w:val="28"/>
                <w:szCs w:val="28"/>
              </w:rPr>
            </w:pPr>
            <w:r w:rsidRPr="00AB2091">
              <w:rPr>
                <w:sz w:val="28"/>
                <w:szCs w:val="28"/>
              </w:rPr>
              <w:t>Ministru kabineta rīkojuma projekts apstiprina institūciju funkciju sarakstu, nosaka termiņus budžeta bāzes informācijas aktualizēšanai un dod uzdevumu Valsts kancelejai sagatavot publiskā vietnē internetā sabiedrībai pieejamu informāciju par valsts budžeta izdevumiem.</w:t>
            </w:r>
          </w:p>
          <w:p w:rsidR="0070459C" w:rsidRPr="00AB2091" w:rsidRDefault="0070459C" w:rsidP="001C0655">
            <w:pPr>
              <w:pStyle w:val="BodyText"/>
              <w:spacing w:after="0"/>
              <w:rPr>
                <w:sz w:val="28"/>
                <w:szCs w:val="28"/>
              </w:rPr>
            </w:pPr>
            <w:r w:rsidRPr="00AB2091">
              <w:rPr>
                <w:sz w:val="28"/>
                <w:szCs w:val="28"/>
              </w:rPr>
              <w:t>Rīkojuma projektā:</w:t>
            </w:r>
          </w:p>
          <w:p w:rsidR="0070459C" w:rsidRPr="00AB2091" w:rsidRDefault="0070459C" w:rsidP="001C0655">
            <w:pPr>
              <w:numPr>
                <w:ilvl w:val="0"/>
                <w:numId w:val="5"/>
              </w:numPr>
              <w:spacing w:after="0" w:line="240" w:lineRule="auto"/>
              <w:rPr>
                <w:rFonts w:ascii="Times New Roman" w:hAnsi="Times New Roman"/>
                <w:sz w:val="28"/>
                <w:lang w:val="lv-LV"/>
              </w:rPr>
            </w:pPr>
            <w:r w:rsidRPr="00AB2091">
              <w:rPr>
                <w:rFonts w:ascii="Times New Roman" w:hAnsi="Times New Roman"/>
                <w:sz w:val="28"/>
                <w:lang w:val="lv-LV"/>
              </w:rPr>
              <w:t>tiek noteikts ministriju un citu centrālo valsts iestāžu un institūciju funkciju saraksts;</w:t>
            </w:r>
          </w:p>
          <w:p w:rsidR="0070459C" w:rsidRPr="00AB2091" w:rsidRDefault="0070459C" w:rsidP="001C0655">
            <w:pPr>
              <w:numPr>
                <w:ilvl w:val="0"/>
                <w:numId w:val="5"/>
              </w:numPr>
              <w:spacing w:after="0" w:line="240" w:lineRule="auto"/>
              <w:rPr>
                <w:rFonts w:ascii="Times New Roman" w:hAnsi="Times New Roman"/>
                <w:sz w:val="28"/>
                <w:lang w:val="lv-LV"/>
              </w:rPr>
            </w:pPr>
            <w:r w:rsidRPr="00AB2091">
              <w:rPr>
                <w:rFonts w:ascii="Times New Roman" w:hAnsi="Times New Roman"/>
                <w:sz w:val="28"/>
                <w:lang w:val="lv-LV"/>
              </w:rPr>
              <w:t>funkciju datubāzē tiek ievadīta informācija par plānotajiem valsts budžeta bāzes izdevumiem 2012.–2014.gadam sadalījumā pa funkcijām;</w:t>
            </w:r>
          </w:p>
          <w:p w:rsidR="0070459C" w:rsidRPr="00AB2091" w:rsidRDefault="0070459C" w:rsidP="001C0655">
            <w:pPr>
              <w:numPr>
                <w:ilvl w:val="0"/>
                <w:numId w:val="5"/>
              </w:numPr>
              <w:spacing w:after="0" w:line="240" w:lineRule="auto"/>
              <w:rPr>
                <w:rFonts w:ascii="Times New Roman" w:hAnsi="Times New Roman"/>
                <w:sz w:val="28"/>
                <w:lang w:val="lv-LV"/>
              </w:rPr>
            </w:pPr>
            <w:r w:rsidRPr="00AB2091">
              <w:rPr>
                <w:rFonts w:ascii="Times New Roman" w:hAnsi="Times New Roman"/>
                <w:sz w:val="28"/>
                <w:lang w:val="lv-LV"/>
              </w:rPr>
              <w:t>tiek publicētas vienotas ministriju un citu centrālo valsts iestāžu un institūciju funkciju definēšanas un funkciju saraksta pārvaldības vadlīnijas;</w:t>
            </w:r>
          </w:p>
          <w:p w:rsidR="0070459C" w:rsidRPr="00AB2091" w:rsidRDefault="0070459C" w:rsidP="001C0655">
            <w:pPr>
              <w:numPr>
                <w:ilvl w:val="0"/>
                <w:numId w:val="5"/>
              </w:numPr>
              <w:spacing w:after="0" w:line="240" w:lineRule="auto"/>
              <w:rPr>
                <w:rFonts w:ascii="Times New Roman" w:hAnsi="Times New Roman"/>
                <w:sz w:val="28"/>
                <w:lang w:val="lv-LV"/>
              </w:rPr>
            </w:pPr>
            <w:r w:rsidRPr="00AB2091">
              <w:rPr>
                <w:rFonts w:ascii="Times New Roman" w:hAnsi="Times New Roman"/>
                <w:sz w:val="28"/>
                <w:lang w:val="lv-LV"/>
              </w:rPr>
              <w:t>tiek informēta sabiedrība par ministriju un citu centrālo valsts iestāžu un institūciju funkcijām un izdevumiem to īstenošanai;</w:t>
            </w:r>
          </w:p>
          <w:p w:rsidR="0070459C" w:rsidRPr="00AB2091" w:rsidRDefault="0070459C" w:rsidP="001C0655">
            <w:pPr>
              <w:numPr>
                <w:ilvl w:val="0"/>
                <w:numId w:val="5"/>
              </w:numPr>
              <w:spacing w:after="0" w:line="240" w:lineRule="auto"/>
              <w:rPr>
                <w:rFonts w:ascii="Times New Roman" w:hAnsi="Times New Roman"/>
                <w:sz w:val="28"/>
                <w:lang w:val="lv-LV"/>
              </w:rPr>
            </w:pPr>
            <w:r w:rsidRPr="00AB2091">
              <w:rPr>
                <w:rFonts w:ascii="Times New Roman" w:hAnsi="Times New Roman"/>
                <w:sz w:val="28"/>
                <w:lang w:val="lv-LV"/>
              </w:rPr>
              <w:t>tiek nodrošināta informācijas regulāra atjaunošana un publiska pieejamība, kā arī nepieciešamības gadījumā organizēta funkciju pārvērtēšana strukturālo reformu kontekstā.</w:t>
            </w:r>
          </w:p>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lang w:val="lv-LV"/>
              </w:rPr>
              <w:t xml:space="preserve">Pasākumi tiek īstenoti un finansēti saskaņā ar </w:t>
            </w:r>
            <w:r w:rsidRPr="00AB2091">
              <w:rPr>
                <w:rFonts w:ascii="Times New Roman" w:hAnsi="Times New Roman"/>
                <w:sz w:val="28"/>
                <w:szCs w:val="28"/>
                <w:lang w:val="lv-LV"/>
              </w:rPr>
              <w:t>projekta "Atbalsts strukturālo reformu ieviešanai valsts pārvaldē" (identifikācijas Nr.1DP/1.5.1.1.1/10/IPIA/CFLA/004/002) 4.1.aktivitātes "Funkciju analīzes rīka pilnveidošana" attiecīgā līguma nosacījumiem. 100 % no projekta finansē Eiropas Savienība ar Eiropas Sociālā fonda starpniecību.</w:t>
            </w:r>
          </w:p>
          <w:p w:rsidR="0070459C" w:rsidRPr="00AB2091" w:rsidRDefault="0070459C" w:rsidP="001C0655">
            <w:pPr>
              <w:spacing w:after="0" w:line="240" w:lineRule="auto"/>
              <w:rPr>
                <w:rFonts w:ascii="Times New Roman" w:hAnsi="Times New Roman"/>
                <w:sz w:val="28"/>
                <w:szCs w:val="28"/>
                <w:lang w:val="lv-LV"/>
              </w:rPr>
            </w:pPr>
          </w:p>
          <w:p w:rsidR="0070459C" w:rsidRPr="00AB2091" w:rsidRDefault="0070459C" w:rsidP="001C0655">
            <w:pPr>
              <w:spacing w:after="0" w:line="240" w:lineRule="auto"/>
              <w:rPr>
                <w:rFonts w:ascii="Times New Roman" w:hAnsi="Times New Roman"/>
                <w:color w:val="000000"/>
                <w:sz w:val="28"/>
                <w:szCs w:val="28"/>
                <w:lang w:val="lv-LV"/>
              </w:rPr>
            </w:pPr>
            <w:r w:rsidRPr="00AB2091">
              <w:rPr>
                <w:rFonts w:ascii="Times New Roman" w:hAnsi="Times New Roman"/>
                <w:sz w:val="28"/>
                <w:szCs w:val="28"/>
                <w:lang w:val="lv-LV"/>
              </w:rPr>
              <w:t>Normatīva akta kontekstā lietoto funkciju jēdzienu izmanto tikai kontekstā ar risināmo problēmu – sniegt paplašinātu izskaidrojumu sabiedrībai par valsts budžeta izdevumu sadalījumu atbilstoši funkcijām, kuras īsteno valsts institūcijas. Normatīvā akta kontekstā lietoto funkciju jēdziens neaizvieto citos normatīvos aktos, t.sk. nolikumos un likumos, minētās funkcijas un uzdevumus, to jēgu un būtību. Funkcija konkrētā normatīvā akta kontekstā ir v</w:t>
            </w:r>
            <w:r w:rsidRPr="00AB2091">
              <w:rPr>
                <w:rFonts w:ascii="Times New Roman" w:hAnsi="Times New Roman"/>
                <w:color w:val="000000"/>
                <w:sz w:val="28"/>
                <w:szCs w:val="28"/>
                <w:lang w:val="lv-LV"/>
              </w:rPr>
              <w:t>alsts atzīts, pastāvīgs, atsevišķu, loģiski saistītu uzdevumu kopums, par kuru realizēšanu atbild valsts. Valsts funkciju vienmēr realizē valsts ar savu institūciju starpniecību, tomēr atsevišķos gadījumos valsts var nodot trešajām pusēm izpildei atsevišķus funkcijas uzdevumus vai uzdevumu kopumu.</w:t>
            </w:r>
          </w:p>
          <w:p w:rsidR="0070459C" w:rsidRPr="00AB2091" w:rsidRDefault="0070459C" w:rsidP="001C0655">
            <w:pPr>
              <w:spacing w:after="0" w:line="240" w:lineRule="auto"/>
              <w:rPr>
                <w:rFonts w:ascii="Times New Roman" w:hAnsi="Times New Roman"/>
                <w:sz w:val="28"/>
                <w:szCs w:val="28"/>
                <w:lang w:val="lv-LV"/>
              </w:rPr>
            </w:pPr>
          </w:p>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Funkcija tiek skatīta tikai šī dokumenta un informācijas sistēmas kontekstā. Funkcijas definīcijas, kas lietotas normatīvā akta pielikumā, var atšķirties no citos normatīvajos dokumentos vai avotos sniegtās definīcijas.</w:t>
            </w:r>
          </w:p>
          <w:p w:rsidR="0070459C" w:rsidRPr="00AB2091" w:rsidRDefault="0070459C" w:rsidP="001C0655">
            <w:pPr>
              <w:spacing w:after="0" w:line="240" w:lineRule="auto"/>
              <w:rPr>
                <w:rFonts w:ascii="Times New Roman" w:hAnsi="Times New Roman"/>
                <w:sz w:val="28"/>
                <w:szCs w:val="28"/>
                <w:lang w:val="lv-LV"/>
              </w:rPr>
            </w:pPr>
          </w:p>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Informācija, kas tiek publicētā datubāzē, ir šāda:</w:t>
            </w:r>
          </w:p>
          <w:p w:rsidR="0070459C" w:rsidRPr="00AB2091" w:rsidRDefault="0070459C" w:rsidP="001C0655">
            <w:pPr>
              <w:spacing w:after="0" w:line="240" w:lineRule="auto"/>
              <w:rPr>
                <w:rFonts w:ascii="Times New Roman" w:hAnsi="Times New Roman"/>
                <w:sz w:val="28"/>
                <w:szCs w:val="28"/>
                <w:lang w:val="lv-LV"/>
              </w:rPr>
            </w:pPr>
          </w:p>
          <w:tbl>
            <w:tblPr>
              <w:tblW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634"/>
              <w:gridCol w:w="1194"/>
              <w:gridCol w:w="2813"/>
            </w:tblGrid>
            <w:tr w:rsidR="0070459C" w:rsidRPr="00AB2091" w:rsidTr="00FB508C">
              <w:trPr>
                <w:trHeight w:val="485"/>
                <w:tblHeader/>
              </w:trPr>
              <w:tc>
                <w:tcPr>
                  <w:tcW w:w="1349" w:type="dxa"/>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
                      <w:bCs/>
                      <w:lang w:val="lv-LV"/>
                    </w:rPr>
                  </w:pPr>
                  <w:r w:rsidRPr="00AB2091">
                    <w:rPr>
                      <w:rFonts w:ascii="Times New Roman" w:hAnsi="Times New Roman"/>
                      <w:b/>
                      <w:bCs/>
                      <w:lang w:val="lv-LV"/>
                    </w:rPr>
                    <w:t>Lauku bloks</w:t>
                  </w:r>
                </w:p>
              </w:tc>
              <w:tc>
                <w:tcPr>
                  <w:tcW w:w="2053" w:type="dxa"/>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
                      <w:bCs/>
                      <w:lang w:val="lv-LV"/>
                    </w:rPr>
                  </w:pPr>
                  <w:r w:rsidRPr="00AB2091">
                    <w:rPr>
                      <w:rFonts w:ascii="Times New Roman" w:hAnsi="Times New Roman"/>
                      <w:b/>
                      <w:bCs/>
                      <w:lang w:val="lv-LV"/>
                    </w:rPr>
                    <w:t>Lauks</w:t>
                  </w:r>
                </w:p>
              </w:tc>
              <w:tc>
                <w:tcPr>
                  <w:tcW w:w="1194" w:type="dxa"/>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
                      <w:bCs/>
                      <w:lang w:val="lv-LV"/>
                    </w:rPr>
                  </w:pPr>
                  <w:r w:rsidRPr="00AB2091">
                    <w:rPr>
                      <w:rFonts w:ascii="Times New Roman" w:hAnsi="Times New Roman"/>
                      <w:b/>
                      <w:bCs/>
                      <w:lang w:val="lv-LV"/>
                    </w:rPr>
                    <w:t>Statuss</w:t>
                  </w:r>
                </w:p>
              </w:tc>
              <w:tc>
                <w:tcPr>
                  <w:tcW w:w="2862" w:type="dxa"/>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
                      <w:bCs/>
                      <w:lang w:val="lv-LV"/>
                    </w:rPr>
                  </w:pPr>
                  <w:r w:rsidRPr="00AB2091">
                    <w:rPr>
                      <w:rFonts w:ascii="Times New Roman" w:hAnsi="Times New Roman"/>
                      <w:b/>
                      <w:bCs/>
                      <w:lang w:val="lv-LV"/>
                    </w:rPr>
                    <w:t>Ievades ierobežojumi</w:t>
                  </w:r>
                </w:p>
              </w:tc>
            </w:tr>
            <w:tr w:rsidR="0070459C" w:rsidRPr="00AB2091" w:rsidTr="00FB508C">
              <w:trPr>
                <w:trHeight w:val="344"/>
              </w:trPr>
              <w:tc>
                <w:tcPr>
                  <w:tcW w:w="1349" w:type="dxa"/>
                  <w:vMerge w:val="restart"/>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Funkciju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Gads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Laukā norādīts gads, par kuru tiek aizpildīta funkcijas informācija. Lielākā daļa funkcijas kartītes lauku paliek statiski gadu no gada</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Versija</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Institūcijas var rediģēt tikai pēdējo kartītes versiju, līdz brīdim, kad administratori (Finanš</w:t>
                  </w:r>
                  <w:r>
                    <w:rPr>
                      <w:rFonts w:ascii="Times New Roman" w:hAnsi="Times New Roman"/>
                      <w:lang w:val="lv-LV"/>
                    </w:rPr>
                    <w:t>u ministrija) apstiprina kartīti</w:t>
                  </w:r>
                  <w:r w:rsidRPr="00AB2091">
                    <w:rPr>
                      <w:rFonts w:ascii="Times New Roman" w:hAnsi="Times New Roman"/>
                      <w:lang w:val="lv-LV"/>
                    </w:rPr>
                    <w:t xml:space="preserve">. Pēc apstiprināšanas rediģēšanu vairs nevar veikt. Iepriekšējo gadu budžeta versijas var apskatīt saraksta skatā augšējā kreisajā stūrī esošajā </w:t>
                  </w:r>
                  <w:r w:rsidRPr="00AB2091">
                    <w:rPr>
                      <w:rFonts w:ascii="Times New Roman" w:hAnsi="Times New Roman"/>
                      <w:i/>
                      <w:iCs/>
                      <w:lang w:val="lv-LV"/>
                    </w:rPr>
                    <w:t>DROP-DOWN</w:t>
                  </w:r>
                  <w:r w:rsidRPr="00AB2091">
                    <w:rPr>
                      <w:rFonts w:ascii="Times New Roman" w:hAnsi="Times New Roman"/>
                      <w:lang w:val="lv-LV"/>
                    </w:rPr>
                    <w:t xml:space="preserve"> sarakstā, izvēloties konkrēto budžeta versiju. Kad ir izvēlēta versija, atverot konkrētas funkcijas kartīti, lasīšanas režīmā bez iespējas rediģēt atvērsies izvēlētās budžeta versijas funkcijas dati</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Aktuālā versija</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Lauka vērtība parāda, vai šī ir aktuālā versija. Ja lauka vērtība ir „nē”, tad institūcijas šo funkciju kartīti var rediģēt. Ja lauka vērtība ir „jā”, tad administratori ir apstiprinājuši funkcijas datus un institūcijas tos vairs nevar rediģēt. Lauka vērtību nosaka administratori. Institūcijām šajā laukā nav iespējams izvēlēties vērtību</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Resora kods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Laukā parādīts resora kods. Šis ir automātisks lauks. Lauka vērtība tiek attēlota automātiski</w:t>
                  </w:r>
                </w:p>
              </w:tc>
            </w:tr>
            <w:tr w:rsidR="0070459C" w:rsidRPr="00AB2091" w:rsidTr="00FB508C">
              <w:trPr>
                <w:trHeight w:val="32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Resora nosaukums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Laukā parādīts resora nosaukums. Šis ir automātisks lauks. Lauka vērtība tiek attēlota automātiski</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Iestāde</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Šajā laukā norāda institūciju, kura nodrošina funkcijas izpildi vai ir tieši un nepārprotami iesaistīta funkcijas izpildes nodrošināšanā. Laukā norāda vienu iestādi vai vienu tipveida iestāžu grupu (piemēram, muzeji)</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Budžeta veids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Laukā parādīts budžeta veids, kurš atbilst attiecīgajai funkcijai. Iespējamie lauku veidi ir:</w:t>
                  </w:r>
                </w:p>
                <w:p w:rsidR="0070459C" w:rsidRPr="00AB2091" w:rsidRDefault="0070459C" w:rsidP="001C0655">
                  <w:pPr>
                    <w:numPr>
                      <w:ilvl w:val="0"/>
                      <w:numId w:val="6"/>
                    </w:numPr>
                    <w:spacing w:after="0" w:line="240" w:lineRule="auto"/>
                    <w:rPr>
                      <w:rFonts w:ascii="Times New Roman" w:hAnsi="Times New Roman"/>
                      <w:lang w:val="lv-LV"/>
                    </w:rPr>
                  </w:pPr>
                  <w:r w:rsidRPr="00AB2091">
                    <w:rPr>
                      <w:rFonts w:ascii="Times New Roman" w:hAnsi="Times New Roman"/>
                      <w:lang w:val="lv-LV"/>
                    </w:rPr>
                    <w:t>pamatbudžets;</w:t>
                  </w:r>
                </w:p>
                <w:p w:rsidR="0070459C" w:rsidRPr="00AB2091" w:rsidRDefault="0070459C" w:rsidP="001C0655">
                  <w:pPr>
                    <w:numPr>
                      <w:ilvl w:val="0"/>
                      <w:numId w:val="6"/>
                    </w:numPr>
                    <w:spacing w:after="0" w:line="240" w:lineRule="auto"/>
                    <w:rPr>
                      <w:rFonts w:ascii="Times New Roman" w:hAnsi="Times New Roman"/>
                      <w:lang w:val="lv-LV"/>
                    </w:rPr>
                  </w:pPr>
                  <w:r w:rsidRPr="00AB2091">
                    <w:rPr>
                      <w:rFonts w:ascii="Times New Roman" w:hAnsi="Times New Roman"/>
                      <w:lang w:val="lv-LV"/>
                    </w:rPr>
                    <w:t>speciālais budžets</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Funkcijas kods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Funkcijas kods sastāv no četriem cipariem, no kuriem pirmie divi cipari apzīmē resora kodu un pēdējie divi cipari apzīmē kārtas numuru. Kārtas numuriem tiek izmantoti tikai nepāra cipari, lai jaunu funkciju rašanās gadījumā būtu kodu rezerve. Funkciju kodi tiks definēti kopā ar funkciju sarakstu, līdz ar to ministrijām, ievadot funkciju datus, jāizmanto definētie atbilstošie kodi</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Funkcijas nosaukums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Funkcijas nosaukums tiek ņemts no funkciju klasifikatora. Funkcijas nosaukums ir īss un nepārprotams. Ar funkciju saistītās aktivitātes un uzdevumus var pievienot laukam „Funkcijas būtība”. Funkcijas nosaukuma definēšanas vadlīnijas ir aprakstītas Funkciju aprakstīšanas metodoloģijas 1.daļā „Funkciju saraksts”. Resoru centrālie aparāti ievada sava resora funkciju nosaukumus rīkā, izmantojot definēto funkciju klasifikatoru. Veidojot jaunas funkcijas, to nosaukums jāveido atbilstoši Funkciju aprakstīšanas metodoloģijas 1.daļas vadlīnijām</w:t>
                  </w:r>
                </w:p>
              </w:tc>
            </w:tr>
            <w:tr w:rsidR="0070459C" w:rsidRPr="00AB2091" w:rsidTr="00FB508C">
              <w:trPr>
                <w:trHeight w:val="32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Funkcijas būtība</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Informācijas lauks satur teksta datus. Informācijai šajā laukā jābūt maksimāli konkrētai, saprotamai vairumam potenciālo izmantotāju un jāatklāj galvenais valsts budžeta līdzekļu izmantošanas mērķis. Šajā laukā var tikt norādīta šāda informācija:</w:t>
                  </w:r>
                </w:p>
                <w:p w:rsidR="0070459C" w:rsidRPr="00AB2091" w:rsidRDefault="0070459C" w:rsidP="001C0655">
                  <w:pPr>
                    <w:numPr>
                      <w:ilvl w:val="0"/>
                      <w:numId w:val="7"/>
                    </w:numPr>
                    <w:spacing w:after="0" w:line="240" w:lineRule="auto"/>
                    <w:rPr>
                      <w:rFonts w:ascii="Times New Roman" w:hAnsi="Times New Roman"/>
                      <w:lang w:val="lv-LV"/>
                    </w:rPr>
                  </w:pPr>
                  <w:r w:rsidRPr="00AB2091">
                    <w:rPr>
                      <w:rFonts w:ascii="Times New Roman" w:hAnsi="Times New Roman"/>
                      <w:lang w:val="lv-LV"/>
                    </w:rPr>
                    <w:t>Funkcijas ietvaros īstenoto uzdevumu un aktivitāšu uzskaitījums.</w:t>
                  </w:r>
                </w:p>
                <w:p w:rsidR="0070459C" w:rsidRPr="00AB2091" w:rsidRDefault="0070459C" w:rsidP="001C0655">
                  <w:pPr>
                    <w:numPr>
                      <w:ilvl w:val="0"/>
                      <w:numId w:val="7"/>
                    </w:numPr>
                    <w:spacing w:after="0" w:line="240" w:lineRule="auto"/>
                    <w:rPr>
                      <w:rFonts w:ascii="Times New Roman" w:hAnsi="Times New Roman"/>
                      <w:lang w:val="lv-LV"/>
                    </w:rPr>
                  </w:pPr>
                  <w:r w:rsidRPr="00AB2091">
                    <w:rPr>
                      <w:rFonts w:ascii="Times New Roman" w:hAnsi="Times New Roman"/>
                      <w:lang w:val="lv-LV"/>
                    </w:rPr>
                    <w:t>Detalizētāks funkcijas skaidrojums (informācija, kas ir būtiska, bet netiek ietverta funkcijas nosaukumā)</w:t>
                  </w:r>
                </w:p>
              </w:tc>
            </w:tr>
            <w:tr w:rsidR="0070459C" w:rsidRPr="00AB2091" w:rsidTr="00FB508C">
              <w:trPr>
                <w:trHeight w:val="344"/>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Tips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Laukā norādīts funkcijas tips, iespējamas trīs vērtības:</w:t>
                  </w:r>
                </w:p>
                <w:p w:rsidR="0070459C" w:rsidRPr="00AB2091" w:rsidRDefault="0070459C" w:rsidP="001C0655">
                  <w:pPr>
                    <w:numPr>
                      <w:ilvl w:val="0"/>
                      <w:numId w:val="8"/>
                    </w:numPr>
                    <w:spacing w:after="0" w:line="240" w:lineRule="auto"/>
                    <w:rPr>
                      <w:rFonts w:ascii="Times New Roman" w:hAnsi="Times New Roman"/>
                      <w:lang w:val="lv-LV"/>
                    </w:rPr>
                  </w:pPr>
                  <w:r w:rsidRPr="00AB2091">
                    <w:rPr>
                      <w:rFonts w:ascii="Times New Roman" w:hAnsi="Times New Roman"/>
                      <w:lang w:val="lv-LV"/>
                    </w:rPr>
                    <w:t>pamatfunkcija;</w:t>
                  </w:r>
                </w:p>
                <w:p w:rsidR="0070459C" w:rsidRPr="00AB2091" w:rsidRDefault="0070459C" w:rsidP="001C0655">
                  <w:pPr>
                    <w:numPr>
                      <w:ilvl w:val="0"/>
                      <w:numId w:val="8"/>
                    </w:numPr>
                    <w:spacing w:after="0" w:line="240" w:lineRule="auto"/>
                    <w:rPr>
                      <w:rFonts w:ascii="Times New Roman" w:hAnsi="Times New Roman"/>
                      <w:lang w:val="lv-LV"/>
                    </w:rPr>
                  </w:pPr>
                  <w:r w:rsidRPr="00AB2091">
                    <w:rPr>
                      <w:rFonts w:ascii="Times New Roman" w:hAnsi="Times New Roman"/>
                      <w:lang w:val="lv-LV"/>
                    </w:rPr>
                    <w:t>atbalsta un vadības funkcija;</w:t>
                  </w:r>
                </w:p>
                <w:p w:rsidR="0070459C" w:rsidRPr="00AB2091" w:rsidRDefault="0070459C" w:rsidP="001C0655">
                  <w:pPr>
                    <w:numPr>
                      <w:ilvl w:val="0"/>
                      <w:numId w:val="8"/>
                    </w:numPr>
                    <w:spacing w:after="0" w:line="240" w:lineRule="auto"/>
                    <w:rPr>
                      <w:rFonts w:ascii="Times New Roman" w:hAnsi="Times New Roman"/>
                      <w:lang w:val="lv-LV"/>
                    </w:rPr>
                  </w:pPr>
                  <w:r w:rsidRPr="00AB2091">
                    <w:rPr>
                      <w:rFonts w:ascii="Times New Roman" w:hAnsi="Times New Roman"/>
                      <w:lang w:val="lv-LV"/>
                    </w:rPr>
                    <w:t>projekts</w:t>
                  </w:r>
                </w:p>
              </w:tc>
            </w:tr>
            <w:tr w:rsidR="0070459C" w:rsidRPr="00AB2091" w:rsidTr="00FB508C">
              <w:trPr>
                <w:trHeight w:val="360"/>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ES direktīvas un regulas, citi starptautiski tiesību akti, kas paredz sankcijas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Šajā laukā norāda visas regulas un direktīvas (numurus un nosaukumus), kuru prasības pārņemot vai ieviešot tiek uzlikta nepārprotama saistība veikt konkrēto funkciju vai atsevišķus tās uzdevumus un kuras paredz sankcijas. Šajā laukā nenorāda MK noteikumus, Satversmes likumus, rezolūcijas, konvencijas utt. Katru normatīvā akta numuru atdala vienu no otra, izmantojot simbolu „#” un neizmantojot atstarpes, punktus, komatus, kolu, semikolu u.tml. </w:t>
                  </w:r>
                  <w:r w:rsidRPr="00AB2091">
                    <w:rPr>
                      <w:rFonts w:ascii="Times New Roman" w:hAnsi="Times New Roman"/>
                      <w:i/>
                      <w:iCs/>
                      <w:lang w:val="lv-LV"/>
                    </w:rPr>
                    <w:t>Piemērs: 1111#2222#1234#</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Citi būtiski normatīvie akti, kas nosaka funkcijas veikšanu</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Šajā laukā norāda būtiskākos citus normatīvos aktus (datumus, numurus un nosaukumus), kuru prasības pārņemot vai ieviešot tiek uzlikta nepārprotama saistība veikt konkrēto funkciju vai atsevišķus tās uzdevumus. Šajā laukā nenorāda regulas un direktīvas, kuras paredz sankcijas (tās norāda iepriekšējā laukā). Vienas funkcijas ietvaros dublētu funkciju kartīšu gadījumā normatīvie akti var būt dažādi atkarībā no atbilstošās budžeta programmas vai apakšprogrammas. Katru normatīvo aktu (kurš satur datumu, numuru un nosaukumu) atdala vienu no otra, izmantojot simbolu „#” un neizmantojot atstarpes, punktus, komatus, kolu, semikolu u.tml. </w:t>
                  </w:r>
                  <w:r w:rsidRPr="00AB2091">
                    <w:rPr>
                      <w:rFonts w:ascii="Times New Roman" w:hAnsi="Times New Roman"/>
                      <w:i/>
                      <w:iCs/>
                      <w:lang w:val="lv-LV"/>
                    </w:rPr>
                    <w:t>Piemērs: 1111#2222#1234</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Piezīmes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Šajā laukā norāda funkcijas informāciju, kuru institūcija uzskata par būtisku un kuras ievadei nav izveidoti atsevišķi lauki funkcijas kartītē.</w:t>
                  </w:r>
                </w:p>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Šajā sadaļā var norādīt:</w:t>
                  </w:r>
                </w:p>
                <w:p w:rsidR="0070459C" w:rsidRPr="00AB2091" w:rsidRDefault="0070459C" w:rsidP="001C0655">
                  <w:pPr>
                    <w:numPr>
                      <w:ilvl w:val="0"/>
                      <w:numId w:val="9"/>
                    </w:numPr>
                    <w:spacing w:after="0" w:line="240" w:lineRule="auto"/>
                    <w:rPr>
                      <w:rFonts w:ascii="Times New Roman" w:hAnsi="Times New Roman"/>
                      <w:lang w:val="lv-LV"/>
                    </w:rPr>
                  </w:pPr>
                  <w:r w:rsidRPr="00AB2091">
                    <w:rPr>
                      <w:rFonts w:ascii="Times New Roman" w:hAnsi="Times New Roman"/>
                      <w:lang w:val="lv-LV"/>
                    </w:rPr>
                    <w:t>Funkcijas specifiskos rezultatīvos rādītājus, ja tādi pastāv;</w:t>
                  </w:r>
                </w:p>
                <w:p w:rsidR="0070459C" w:rsidRPr="00AB2091" w:rsidRDefault="0070459C" w:rsidP="001C0655">
                  <w:pPr>
                    <w:numPr>
                      <w:ilvl w:val="0"/>
                      <w:numId w:val="9"/>
                    </w:numPr>
                    <w:spacing w:after="0" w:line="240" w:lineRule="auto"/>
                    <w:rPr>
                      <w:rFonts w:ascii="Times New Roman" w:hAnsi="Times New Roman"/>
                      <w:lang w:val="lv-LV"/>
                    </w:rPr>
                  </w:pPr>
                  <w:r w:rsidRPr="00AB2091">
                    <w:rPr>
                      <w:rFonts w:ascii="Times New Roman" w:hAnsi="Times New Roman"/>
                      <w:lang w:val="lv-LV"/>
                    </w:rPr>
                    <w:t>Funkcijas izmaksu pamatojumu;</w:t>
                  </w:r>
                </w:p>
                <w:p w:rsidR="0070459C" w:rsidRPr="00AB2091" w:rsidRDefault="0070459C" w:rsidP="001C0655">
                  <w:pPr>
                    <w:numPr>
                      <w:ilvl w:val="0"/>
                      <w:numId w:val="9"/>
                    </w:numPr>
                    <w:spacing w:after="0" w:line="240" w:lineRule="auto"/>
                    <w:rPr>
                      <w:rFonts w:ascii="Times New Roman" w:hAnsi="Times New Roman"/>
                      <w:lang w:val="lv-LV"/>
                    </w:rPr>
                  </w:pPr>
                  <w:r w:rsidRPr="00AB2091">
                    <w:rPr>
                      <w:rFonts w:ascii="Times New Roman" w:hAnsi="Times New Roman"/>
                      <w:lang w:val="lv-LV"/>
                    </w:rPr>
                    <w:t>Funkcijas saistību ar citām institūcijām vai pašvaldībām (kas funkcijas finansējuma samazināšanas vai palielināšanas gadījumā ietekmētu citu institūciju darbību)</w:t>
                  </w:r>
                </w:p>
              </w:tc>
            </w:tr>
            <w:tr w:rsidR="0070459C" w:rsidRPr="00AB2091" w:rsidTr="00FB508C">
              <w:trPr>
                <w:trHeight w:val="157"/>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Klasifikatoru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Fin. Min. Grupa</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Iespēja izvēlēties no iepriekš definēta saraksta</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COFOG Kods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COFOG – </w:t>
                  </w:r>
                  <w:r w:rsidRPr="00AB2091">
                    <w:rPr>
                      <w:rFonts w:ascii="Times New Roman" w:hAnsi="Times New Roman"/>
                      <w:i/>
                      <w:iCs/>
                      <w:lang w:val="lv-LV"/>
                    </w:rPr>
                    <w:t>Classification of the Functions of Government</w:t>
                  </w:r>
                  <w:r w:rsidRPr="00AB2091">
                    <w:rPr>
                      <w:rFonts w:ascii="Times New Roman" w:hAnsi="Times New Roman"/>
                      <w:lang w:val="lv-LV"/>
                    </w:rPr>
                    <w:t>, starptautisks funkciju klasifikators.</w:t>
                  </w:r>
                  <w:r w:rsidRPr="00AB2091">
                    <w:rPr>
                      <w:rFonts w:ascii="Times New Roman" w:hAnsi="Times New Roman"/>
                      <w:i/>
                      <w:iCs/>
                      <w:lang w:val="lv-LV"/>
                    </w:rPr>
                    <w:t xml:space="preserve"> </w:t>
                  </w:r>
                  <w:r w:rsidRPr="00AB2091">
                    <w:rPr>
                      <w:rFonts w:ascii="Times New Roman" w:hAnsi="Times New Roman"/>
                      <w:lang w:val="lv-LV"/>
                    </w:rPr>
                    <w:t>COFOG kods tiek piešķirts budžeta programmai vai apakšprogrammai, līdz ar to vienai funkcijai var būt vairāki dažādi COFOG kodi</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COFOG apraksts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COFOG – </w:t>
                  </w:r>
                  <w:r w:rsidRPr="00AB2091">
                    <w:rPr>
                      <w:rFonts w:ascii="Times New Roman" w:hAnsi="Times New Roman"/>
                      <w:i/>
                      <w:iCs/>
                      <w:lang w:val="lv-LV"/>
                    </w:rPr>
                    <w:t>Classification of the Functions of Government</w:t>
                  </w:r>
                  <w:r w:rsidRPr="00AB2091">
                    <w:rPr>
                      <w:rFonts w:ascii="Times New Roman" w:hAnsi="Times New Roman"/>
                      <w:lang w:val="lv-LV"/>
                    </w:rPr>
                    <w:t>, starptautisks funkciju klasifikators. Aizpildās automātiski, ievadot COFOG kodu</w:t>
                  </w:r>
                </w:p>
              </w:tc>
            </w:tr>
            <w:tr w:rsidR="0070459C" w:rsidRPr="00AB2091" w:rsidTr="00FB508C">
              <w:trPr>
                <w:trHeight w:val="157"/>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Budžeta programmas/ apakšprogrammas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Apakš-programma</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Izvēlētās funkcijas kartītes programma/apakšprogramma</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Mainīt programmu</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78.5pt;height:79.5pt;z-index:251658240;mso-wrap-style:none;mso-position-horizontal-relative:text;mso-position-vertical-relative:text;v-text-anchor:middle">
                        <v:stroke joinstyle="round"/>
                      </v:shape>
                    </w:pict>
                  </w:r>
                  <w:r w:rsidRPr="00AB2091">
                    <w:rPr>
                      <w:rFonts w:ascii="Times New Roman" w:hAnsi="Times New Roman"/>
                      <w:lang w:val="lv-LV"/>
                    </w:rPr>
                    <w:t xml:space="preserve">Ar šī lauka palīdzību ir iespējams pārslēgties starp vienas un tās pašas funkcijas kartītēm dažādās programmās. </w:t>
                  </w:r>
                </w:p>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Piemēram, ja dotajā brīdī tiek strādāts ar funkcijas datiem programmā „120000 – Kara muzejs” un pēc saglabāšanas nepieciešams turpināt darbu ar datu ievadi tai pašai funkcijai programmā „220000 – Nacionālie bruņotie spēki”, tad, izvēloties šajā laukā atbilstošo programmu, tiek atvērta vajadzīgā funkcijas kartīte</w:t>
                  </w:r>
                </w:p>
              </w:tc>
            </w:tr>
            <w:tr w:rsidR="0070459C" w:rsidRPr="00AB2091" w:rsidTr="00FB508C">
              <w:trPr>
                <w:trHeight w:val="157"/>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Nodarbināto skaita un ieņēmumu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Nodarbināto skaits</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Obligāts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Šajā laukā norāda nodarbināto personu skaitu, kuras nodrošina konkrētās funkcijas konkrētās budžeta programmas vai apakšprogrammas izpildi. Nodarbināto skaitu norāda budžeta programmai vai apakšprogrammai, nevis funkcijai. Laukā norāda tikai veselu skaitli, kas raksturo amata jeb štata vietu skaitu, nevis slodžu vai darba grāmatiņu skaitu. Institūcijām atsevišķi tiek izdalīts nodarbināto skaits pamatfunkcijās, atbalsta funkcijās un projektos. Pie pamatfunkcijām norāda tikai pamatfunkcijās nodarbināto personu skaitu. Nodarbināto skaits atsevišķos gadījumos var būt arī nulle, bet tādā gadījumā sadaļā „Budžetētās summas” sadalījumā pa EKK kodiem nedrīkst parādīties summa, kas lielāka par nulli, pie EKK 1000</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Ieņēmumi no maksas pakalpojumiem</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Šo lauku aizpilda tikai tādā gadījumā, ja funkcijai ir plānoti ienākumi no maksas pakalpojumiem. Laukā norāda, kādu summu latos sastāda ieņēmumi no maksas pakalpojumiem. Laukā ievada tikai ciparus (nepievienojot </w:t>
                  </w:r>
                  <w:smartTag w:uri="schemas-tilde-lv/tildestengine" w:element="currency2">
                    <w:smartTagPr>
                      <w:attr w:name="currency_text" w:val="Ls"/>
                      <w:attr w:name="currency_value" w:val="."/>
                      <w:attr w:name="currency_key" w:val="LVL"/>
                      <w:attr w:name="currency_id" w:val="48"/>
                    </w:smartTagPr>
                    <w:r w:rsidRPr="00AB2091">
                      <w:rPr>
                        <w:rFonts w:ascii="Times New Roman" w:hAnsi="Times New Roman"/>
                        <w:lang w:val="lv-LV"/>
                      </w:rPr>
                      <w:t>Ls,</w:t>
                    </w:r>
                  </w:smartTag>
                  <w:r w:rsidRPr="00AB2091">
                    <w:rPr>
                      <w:rFonts w:ascii="Times New Roman" w:hAnsi="Times New Roman"/>
                      <w:lang w:val="lv-LV"/>
                    </w:rPr>
                    <w:t xml:space="preserve"> LVL u.tml. zīmes). Šī summa netiek atņemta no summas, kas norādīta sadaļā </w:t>
                  </w:r>
                  <w:r w:rsidRPr="00AB2091">
                    <w:rPr>
                      <w:rFonts w:ascii="Times New Roman" w:hAnsi="Times New Roman"/>
                      <w:b/>
                      <w:bCs/>
                      <w:lang w:val="lv-LV"/>
                    </w:rPr>
                    <w:t>„Budžetētās summas</w:t>
                  </w:r>
                  <w:r w:rsidRPr="00AB2091">
                    <w:rPr>
                      <w:rFonts w:ascii="Times New Roman" w:hAnsi="Times New Roman"/>
                      <w:lang w:val="lv-LV"/>
                    </w:rPr>
                    <w:t xml:space="preserve">” laukā </w:t>
                  </w:r>
                  <w:r w:rsidRPr="00AB2091">
                    <w:rPr>
                      <w:rFonts w:ascii="Times New Roman" w:hAnsi="Times New Roman"/>
                      <w:b/>
                      <w:bCs/>
                      <w:lang w:val="lv-LV"/>
                    </w:rPr>
                    <w:t>„Summa kopā”</w:t>
                  </w:r>
                </w:p>
              </w:tc>
            </w:tr>
            <w:tr w:rsidR="0070459C" w:rsidRPr="00AB2091" w:rsidTr="00FB508C">
              <w:trPr>
                <w:trHeight w:val="157"/>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Budžetēto summu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Summa kopā</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 xml:space="preserve">Laukā norāda plānotās funkciju finanšu izmaksas attiecīgajā versijā. Laukā ievada tikai ciparus (nepievienojot </w:t>
                  </w:r>
                  <w:smartTag w:uri="schemas-tilde-lv/tildestengine" w:element="currency2">
                    <w:smartTagPr>
                      <w:attr w:name="currency_text" w:val="Ls"/>
                      <w:attr w:name="currency_value" w:val="."/>
                      <w:attr w:name="currency_key" w:val="LVL"/>
                      <w:attr w:name="currency_id" w:val="48"/>
                    </w:smartTagPr>
                    <w:r w:rsidRPr="00AB2091">
                      <w:rPr>
                        <w:rFonts w:ascii="Times New Roman" w:hAnsi="Times New Roman"/>
                        <w:lang w:val="lv-LV"/>
                      </w:rPr>
                      <w:t>Ls,</w:t>
                    </w:r>
                  </w:smartTag>
                  <w:r w:rsidRPr="00AB2091">
                    <w:rPr>
                      <w:rFonts w:ascii="Times New Roman" w:hAnsi="Times New Roman"/>
                      <w:lang w:val="lv-LV"/>
                    </w:rPr>
                    <w:t xml:space="preserve"> LVL u.tml. zīmes). Papildus budžetēto summu laukiem ir iespējams izvēlēties versiju no saraksta, ar kuru salīdzināt finanšu informāciju starp gadiem vai versijām. Izvēloties versiju, ar kuru salīdzināt kārtējā gada budžetētās summas, tā saglabājas kā noklusētā izvēle un, pārslēdzoties starp kartītēm, visur budžetētās summas tiks salīdzinātas ar norādīto versiju. Ja funkcijai ir plānoti ienākumi no maksas pakalpojumiem (ir aizpildīts lauks „ieņēmumi no maksas pakalpojumiem”), arī šī summa tiek pieskaitīta laukam „summa kopā”. No laukā „summa kopā” esošās summas atņemot summu, kas norādīta laukā „ieņēmumi no maksas pakalpojumiem”, tiek iegūta summa, ko institūcija funkcijas veikšanai saņem no valsts budžeta</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1000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1000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1100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1100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1200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Nerediģē</w:t>
                  </w:r>
                  <w:r w:rsidRPr="00AB2091">
                    <w:rPr>
                      <w:rFonts w:ascii="Times New Roman" w:hAnsi="Times New Roman"/>
                      <w:lang w:val="lv-LV"/>
                    </w:rPr>
                    <w:softHyphen/>
                    <w:t>jams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1200 attiecināmā summa no budžetētās summas. Tiek aprēķināta automātiski kā EKK1000 – EKK1100</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2000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2000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3000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3000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4000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4000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5000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5000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6000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6000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7000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7100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7100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7110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7110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7120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7120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7130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7130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7140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7140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7500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7500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8000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8000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EKK 9000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9000 attiecināmā summa no budžetētās summas</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t.sk. EKK 9600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Atkarībā no kolonnas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Uz EKK kodu 9600 attiecināmā summa no budžetētās summas</w:t>
                  </w:r>
                </w:p>
              </w:tc>
            </w:tr>
            <w:tr w:rsidR="0070459C" w:rsidRPr="00AB2091" w:rsidTr="00FB508C">
              <w:trPr>
                <w:trHeight w:val="157"/>
              </w:trPr>
              <w:tc>
                <w:tcPr>
                  <w:tcW w:w="1349" w:type="dxa"/>
                  <w:vMerge w:val="restart"/>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r w:rsidRPr="00AB2091">
                    <w:rPr>
                      <w:rFonts w:ascii="Times New Roman" w:hAnsi="Times New Roman"/>
                      <w:bCs/>
                      <w:lang w:val="lv-LV"/>
                    </w:rPr>
                    <w:t>Darbības rezultātu bloks</w:t>
                  </w: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Darbības rezultāti</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Laukos tiek ievadīti tekstuālie un skaitliskie rezultāti. Apraksta laukos norāda darbības rezultātus – institūciju būtiskākos darba galaproduktus jeb pakalpojumus un preces, kas tiek radītas, izmantojot ieguldījumus, īstenojot pasākumus, uzdevumus un funkcijas, kas pilnībā atrodas institūcijas pārraudzībā un ietekmē. Rezultatīvo rādītāju laukos norāda ciparisko informāciju, kas raksturo darbības rezultātus, piemēram, izsniegto licenču skaits, veikto pētījumu skaits, apmācīto personu skaits, veikto pārbaužu skaits utt. Vairāku darbības rezultātu sasniegšana kontekstā ar ārējās vides faktoru ietekmi nodrošina politikas rezultāta sasniegšanu</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2011</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Darbības rezultatīvie rādītāji (tikai skaitliski) šajā gadā</w:t>
                  </w:r>
                </w:p>
              </w:tc>
            </w:tr>
            <w:tr w:rsidR="0070459C" w:rsidRPr="00AB2091" w:rsidTr="00FB508C">
              <w:trPr>
                <w:trHeight w:val="157"/>
              </w:trPr>
              <w:tc>
                <w:tcPr>
                  <w:tcW w:w="1349" w:type="dxa"/>
                  <w:vMerge/>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bCs/>
                      <w:lang w:val="lv-LV"/>
                    </w:rPr>
                  </w:pPr>
                </w:p>
              </w:tc>
              <w:tc>
                <w:tcPr>
                  <w:tcW w:w="2053"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2010</w:t>
                  </w:r>
                </w:p>
              </w:tc>
              <w:tc>
                <w:tcPr>
                  <w:tcW w:w="1194"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Fakultatīvs</w:t>
                  </w:r>
                </w:p>
              </w:tc>
              <w:tc>
                <w:tcPr>
                  <w:tcW w:w="2862" w:type="dxa"/>
                  <w:tcBorders>
                    <w:top w:val="single" w:sz="4" w:space="0" w:color="auto"/>
                    <w:left w:val="single" w:sz="4" w:space="0" w:color="auto"/>
                    <w:bottom w:val="single" w:sz="4" w:space="0" w:color="auto"/>
                    <w:right w:val="single" w:sz="4" w:space="0" w:color="auto"/>
                  </w:tcBorders>
                </w:tcPr>
                <w:p w:rsidR="0070459C" w:rsidRPr="00AB2091" w:rsidRDefault="0070459C" w:rsidP="001C0655">
                  <w:pPr>
                    <w:spacing w:after="0" w:line="240" w:lineRule="auto"/>
                    <w:rPr>
                      <w:rFonts w:ascii="Times New Roman" w:hAnsi="Times New Roman"/>
                      <w:lang w:val="lv-LV"/>
                    </w:rPr>
                  </w:pPr>
                  <w:r w:rsidRPr="00AB2091">
                    <w:rPr>
                      <w:rFonts w:ascii="Times New Roman" w:hAnsi="Times New Roman"/>
                      <w:lang w:val="lv-LV"/>
                    </w:rPr>
                    <w:t>Darbības rezultatīvie rādītāji (tikai skaitliski) iepriekšējā gadā</w:t>
                  </w:r>
                </w:p>
              </w:tc>
            </w:tr>
          </w:tbl>
          <w:p w:rsidR="0070459C" w:rsidRPr="00AB2091" w:rsidRDefault="0070459C" w:rsidP="001C0655">
            <w:pPr>
              <w:spacing w:after="0" w:line="240" w:lineRule="auto"/>
              <w:rPr>
                <w:rFonts w:ascii="Times New Roman" w:hAnsi="Times New Roman"/>
                <w:sz w:val="28"/>
                <w:lang w:val="lv-LV"/>
              </w:rPr>
            </w:pPr>
          </w:p>
        </w:tc>
      </w:tr>
      <w:tr w:rsidR="0070459C" w:rsidRPr="00AB2091" w:rsidTr="0068770C">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5.</w:t>
            </w:r>
          </w:p>
        </w:tc>
        <w:tc>
          <w:tcPr>
            <w:tcW w:w="1906" w:type="dxa"/>
          </w:tcPr>
          <w:p w:rsidR="0070459C" w:rsidRPr="00AB2091" w:rsidRDefault="0070459C" w:rsidP="00E2340B">
            <w:pPr>
              <w:spacing w:after="0" w:line="240" w:lineRule="auto"/>
              <w:jc w:val="both"/>
              <w:rPr>
                <w:rFonts w:ascii="Times New Roman" w:hAnsi="Times New Roman"/>
                <w:sz w:val="28"/>
                <w:szCs w:val="28"/>
                <w:lang w:val="lv-LV" w:eastAsia="lv-LV"/>
              </w:rPr>
            </w:pPr>
            <w:r w:rsidRPr="00AB2091">
              <w:rPr>
                <w:rFonts w:ascii="Times New Roman" w:hAnsi="Times New Roman"/>
                <w:sz w:val="28"/>
                <w:szCs w:val="28"/>
                <w:lang w:val="lv-LV" w:eastAsia="lv-LV"/>
              </w:rPr>
              <w:t>Projekta izstrādē iesaistītās institūcijas</w:t>
            </w:r>
          </w:p>
        </w:tc>
        <w:tc>
          <w:tcPr>
            <w:tcW w:w="7684" w:type="dxa"/>
          </w:tcPr>
          <w:p w:rsidR="0070459C" w:rsidRPr="00AB2091" w:rsidRDefault="0070459C" w:rsidP="001C0655">
            <w:pPr>
              <w:pStyle w:val="BodyText"/>
              <w:spacing w:after="0"/>
              <w:rPr>
                <w:sz w:val="28"/>
                <w:szCs w:val="28"/>
              </w:rPr>
            </w:pPr>
            <w:r w:rsidRPr="00AB2091">
              <w:rPr>
                <w:sz w:val="28"/>
                <w:szCs w:val="28"/>
              </w:rPr>
              <w:t xml:space="preserve">Valsts kanceleja, konsultējoties ar Finanšu ministriju un citām nozaru ministrijām un attiecīgo institūciju speciālistiem. </w:t>
            </w:r>
            <w:r w:rsidRPr="00AB2091">
              <w:rPr>
                <w:b/>
                <w:sz w:val="28"/>
                <w:szCs w:val="28"/>
              </w:rPr>
              <w:t>Nozaru ministrijas izteica savus viedokļus, kas atšķīrās no projekta ietvaros izstrādātajām rekomendācijām. Ministriju ieteikumi, priekšlikumi un cita veida informācija (sanāksmju protokoli) apkopotā veidā ir izmantota, lai izstrādātu funkciju aprakstīšanas vadlīnijas</w:t>
            </w:r>
            <w:r w:rsidRPr="00AB2091">
              <w:rPr>
                <w:sz w:val="28"/>
                <w:szCs w:val="28"/>
              </w:rPr>
              <w:t xml:space="preserve"> </w:t>
            </w:r>
          </w:p>
        </w:tc>
      </w:tr>
      <w:tr w:rsidR="0070459C" w:rsidRPr="00AB2091" w:rsidTr="0068770C">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6.</w:t>
            </w:r>
          </w:p>
        </w:tc>
        <w:tc>
          <w:tcPr>
            <w:tcW w:w="190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eastAsia="lv-LV"/>
              </w:rPr>
              <w:t>Iemesli, kādēļ netika nodrošināta sabiedrības līdzdalība</w:t>
            </w:r>
          </w:p>
        </w:tc>
        <w:tc>
          <w:tcPr>
            <w:tcW w:w="7684" w:type="dxa"/>
          </w:tcPr>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Jautājumu loks ir vairākkārt apspriests un analizēts dažādos  sabiedrības līdzdalības formātos, piedaloties valdības sadarbības partneriem un nevalstisko organizāciju pārstāvjiem</w:t>
            </w:r>
          </w:p>
        </w:tc>
      </w:tr>
    </w:tbl>
    <w:p w:rsidR="0070459C" w:rsidRPr="00AB2091" w:rsidRDefault="0070459C">
      <w:pPr>
        <w:rPr>
          <w:lang w:val="lv-LV"/>
        </w:rPr>
      </w:pPr>
      <w:r w:rsidRPr="00AB2091">
        <w:rPr>
          <w:lang w:val="lv-LV"/>
        </w:rPr>
        <w:br w:type="page"/>
      </w:r>
    </w:p>
    <w:tbl>
      <w:tblPr>
        <w:tblW w:w="10016" w:type="dxa"/>
        <w:tblInd w:w="-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26"/>
        <w:gridCol w:w="1906"/>
        <w:gridCol w:w="7684"/>
      </w:tblGrid>
      <w:tr w:rsidR="0070459C" w:rsidRPr="00AB2091" w:rsidTr="00C63CF1">
        <w:tc>
          <w:tcPr>
            <w:tcW w:w="10016" w:type="dxa"/>
            <w:gridSpan w:val="3"/>
            <w:tcBorders>
              <w:top w:val="single" w:sz="8" w:space="0" w:color="auto"/>
              <w:left w:val="single" w:sz="8" w:space="0" w:color="auto"/>
              <w:bottom w:val="outset" w:sz="6" w:space="0" w:color="auto"/>
              <w:right w:val="single" w:sz="8" w:space="0" w:color="auto"/>
            </w:tcBorders>
            <w:vAlign w:val="center"/>
          </w:tcPr>
          <w:p w:rsidR="0070459C" w:rsidRPr="00AB2091" w:rsidRDefault="0070459C" w:rsidP="00E2340B">
            <w:pPr>
              <w:spacing w:after="0" w:line="240" w:lineRule="auto"/>
              <w:ind w:right="57"/>
              <w:jc w:val="center"/>
              <w:rPr>
                <w:rFonts w:ascii="Times New Roman" w:hAnsi="Times New Roman"/>
                <w:b/>
                <w:bCs/>
                <w:sz w:val="28"/>
                <w:szCs w:val="28"/>
                <w:lang w:val="lv-LV" w:eastAsia="lv-LV"/>
              </w:rPr>
            </w:pPr>
            <w:r w:rsidRPr="00AB2091">
              <w:rPr>
                <w:rFonts w:ascii="Times New Roman" w:hAnsi="Times New Roman"/>
                <w:b/>
                <w:bCs/>
                <w:sz w:val="28"/>
                <w:szCs w:val="28"/>
                <w:lang w:val="lv-LV" w:eastAsia="lv-LV"/>
              </w:rPr>
              <w:t>II. Tiesību akta projekta ietekme uz sabiedrību</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1.</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Sabiedrības mērķgrupa</w:t>
            </w:r>
          </w:p>
        </w:tc>
        <w:tc>
          <w:tcPr>
            <w:tcW w:w="7684" w:type="dxa"/>
            <w:tcBorders>
              <w:top w:val="outset" w:sz="6" w:space="0" w:color="auto"/>
              <w:left w:val="outset" w:sz="6" w:space="0" w:color="auto"/>
              <w:bottom w:val="outset" w:sz="6" w:space="0" w:color="auto"/>
            </w:tcBorders>
          </w:tcPr>
          <w:p w:rsidR="0070459C" w:rsidRPr="00AB2091" w:rsidRDefault="0070459C" w:rsidP="00E2340B">
            <w:pPr>
              <w:spacing w:after="0" w:line="240" w:lineRule="auto"/>
              <w:ind w:right="57"/>
              <w:jc w:val="both"/>
              <w:rPr>
                <w:rFonts w:ascii="Times New Roman" w:hAnsi="Times New Roman"/>
                <w:color w:val="000000"/>
                <w:sz w:val="28"/>
                <w:szCs w:val="28"/>
                <w:lang w:val="lv-LV"/>
              </w:rPr>
            </w:pPr>
            <w:r w:rsidRPr="00AB2091">
              <w:rPr>
                <w:rFonts w:ascii="Times New Roman" w:hAnsi="Times New Roman"/>
                <w:sz w:val="28"/>
                <w:szCs w:val="28"/>
                <w:lang w:val="lv-LV" w:eastAsia="lv-LV"/>
              </w:rPr>
              <w:t xml:space="preserve">Valsts tiešās pārvaldes iestādes, </w:t>
            </w:r>
            <w:r w:rsidRPr="00AB2091">
              <w:rPr>
                <w:rFonts w:ascii="Times New Roman" w:hAnsi="Times New Roman"/>
                <w:bCs/>
                <w:sz w:val="28"/>
                <w:lang w:val="lv-LV"/>
              </w:rPr>
              <w:t>ministrijas un citas centrālās valsts iestādes un institūcijas</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2.</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rPr>
                <w:rFonts w:ascii="Times New Roman" w:hAnsi="Times New Roman"/>
                <w:spacing w:val="-6"/>
                <w:sz w:val="28"/>
                <w:szCs w:val="28"/>
                <w:lang w:val="lv-LV" w:eastAsia="lv-LV"/>
              </w:rPr>
            </w:pPr>
            <w:r w:rsidRPr="00AB2091">
              <w:rPr>
                <w:rFonts w:ascii="Times New Roman" w:hAnsi="Times New Roman"/>
                <w:spacing w:val="-6"/>
                <w:sz w:val="28"/>
                <w:szCs w:val="28"/>
                <w:lang w:val="lv-LV" w:eastAsia="lv-LV"/>
              </w:rPr>
              <w:t>Citas sabiedrības grupas (bez mērķgrupas), kuras tiesiskais regulējums arī ietekmē vai varētu ietekmēt</w:t>
            </w:r>
          </w:p>
        </w:tc>
        <w:tc>
          <w:tcPr>
            <w:tcW w:w="7684" w:type="dxa"/>
            <w:tcBorders>
              <w:top w:val="outset" w:sz="6" w:space="0" w:color="auto"/>
              <w:left w:val="outset" w:sz="6" w:space="0" w:color="auto"/>
              <w:bottom w:val="outset" w:sz="6" w:space="0" w:color="auto"/>
            </w:tcBorders>
          </w:tcPr>
          <w:p w:rsidR="0070459C" w:rsidRPr="00AB2091" w:rsidRDefault="0070459C" w:rsidP="001C0655">
            <w:pPr>
              <w:spacing w:after="0" w:line="240" w:lineRule="auto"/>
              <w:ind w:right="57"/>
              <w:rPr>
                <w:rFonts w:ascii="Times New Roman" w:hAnsi="Times New Roman"/>
                <w:sz w:val="28"/>
                <w:szCs w:val="28"/>
                <w:lang w:val="lv-LV" w:eastAsia="lv-LV"/>
              </w:rPr>
            </w:pPr>
            <w:r w:rsidRPr="00AB2091">
              <w:rPr>
                <w:rFonts w:ascii="Times New Roman" w:hAnsi="Times New Roman"/>
                <w:color w:val="000000"/>
                <w:sz w:val="28"/>
                <w:szCs w:val="28"/>
                <w:lang w:val="lv-LV"/>
              </w:rPr>
              <w:t>Pastarpināti informāciju iegūs un varēs izmantot visas sabiedriskās grupas, kurām ir interese par valsts budžeta izdevumiem un tā sadalījumu atbilstoši institūciju funkcijām</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3.</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Tiesiskā regulējuma finansiālā ietekme</w:t>
            </w:r>
          </w:p>
        </w:tc>
        <w:tc>
          <w:tcPr>
            <w:tcW w:w="7684" w:type="dxa"/>
            <w:tcBorders>
              <w:top w:val="outset" w:sz="6" w:space="0" w:color="auto"/>
              <w:left w:val="outset" w:sz="6" w:space="0" w:color="auto"/>
              <w:bottom w:val="outset" w:sz="6" w:space="0" w:color="auto"/>
            </w:tcBorders>
          </w:tcPr>
          <w:p w:rsidR="0070459C" w:rsidRPr="00AB2091" w:rsidRDefault="0070459C" w:rsidP="001C0655">
            <w:pPr>
              <w:spacing w:after="0" w:line="240" w:lineRule="auto"/>
              <w:ind w:right="57"/>
              <w:rPr>
                <w:rFonts w:ascii="Times New Roman" w:hAnsi="Times New Roman"/>
                <w:sz w:val="28"/>
                <w:szCs w:val="28"/>
                <w:lang w:val="lv-LV" w:eastAsia="lv-LV"/>
              </w:rPr>
            </w:pPr>
            <w:r w:rsidRPr="00AB2091">
              <w:rPr>
                <w:rFonts w:ascii="Times New Roman" w:hAnsi="Times New Roman"/>
                <w:color w:val="000000"/>
                <w:sz w:val="28"/>
                <w:szCs w:val="28"/>
                <w:lang w:val="lv-LV"/>
              </w:rPr>
              <w:t>Tiesību akta projekts šo jomu tieši neskar. Katra atsevišķa pasākuma īstenošanas gaitā tiek noteikta finansiālā ietekme, kas tiek atspoguļota ziņojumos un konsultantu iesniegtajos materiālos</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4.</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Tiesiskā regulējuma nefinansiālā ietekme</w:t>
            </w:r>
          </w:p>
        </w:tc>
        <w:tc>
          <w:tcPr>
            <w:tcW w:w="7684" w:type="dxa"/>
            <w:tcBorders>
              <w:top w:val="outset" w:sz="6" w:space="0" w:color="auto"/>
              <w:left w:val="outset" w:sz="6" w:space="0" w:color="auto"/>
              <w:bottom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color w:val="000000"/>
                <w:sz w:val="28"/>
                <w:szCs w:val="28"/>
                <w:lang w:val="lv-LV"/>
              </w:rPr>
              <w:t>Tiesību akta projekts šo jomu tieši neskar</w:t>
            </w:r>
          </w:p>
        </w:tc>
      </w:tr>
      <w:tr w:rsidR="0070459C" w:rsidRPr="00AB2091" w:rsidTr="00C63CF1">
        <w:trPr>
          <w:trHeight w:val="1089"/>
        </w:trPr>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5.</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Administratīvās procedūras raksturojums</w:t>
            </w:r>
          </w:p>
        </w:tc>
        <w:tc>
          <w:tcPr>
            <w:tcW w:w="7684" w:type="dxa"/>
            <w:tcBorders>
              <w:top w:val="outset" w:sz="6" w:space="0" w:color="auto"/>
              <w:left w:val="outset" w:sz="6" w:space="0" w:color="auto"/>
              <w:bottom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color w:val="000000"/>
                <w:sz w:val="28"/>
                <w:szCs w:val="28"/>
                <w:lang w:val="lv-LV"/>
              </w:rPr>
              <w:t xml:space="preserve">Tiesību akta projekts šo jomu tieši neskar </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6.</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Administratīvo izmaksu monetārs novērtējums</w:t>
            </w:r>
          </w:p>
        </w:tc>
        <w:tc>
          <w:tcPr>
            <w:tcW w:w="7684" w:type="dxa"/>
            <w:tcBorders>
              <w:top w:val="outset" w:sz="6" w:space="0" w:color="auto"/>
              <w:left w:val="outset" w:sz="6" w:space="0" w:color="auto"/>
              <w:bottom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color w:val="000000"/>
                <w:sz w:val="28"/>
                <w:szCs w:val="28"/>
                <w:lang w:val="lv-LV"/>
              </w:rPr>
              <w:t>Tiesību akta projekts šo jomu tieši neskar</w:t>
            </w:r>
          </w:p>
        </w:tc>
      </w:tr>
      <w:tr w:rsidR="0070459C" w:rsidRPr="00AB2091" w:rsidTr="00C63CF1">
        <w:tc>
          <w:tcPr>
            <w:tcW w:w="426" w:type="dxa"/>
            <w:tcBorders>
              <w:top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7.</w:t>
            </w:r>
          </w:p>
        </w:tc>
        <w:tc>
          <w:tcPr>
            <w:tcW w:w="1906" w:type="dxa"/>
            <w:tcBorders>
              <w:top w:val="outset" w:sz="6" w:space="0" w:color="auto"/>
              <w:left w:val="outset" w:sz="6" w:space="0" w:color="auto"/>
              <w:bottom w:val="outset" w:sz="6" w:space="0" w:color="auto"/>
              <w:right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Cita informācija</w:t>
            </w:r>
          </w:p>
        </w:tc>
        <w:tc>
          <w:tcPr>
            <w:tcW w:w="7684" w:type="dxa"/>
            <w:tcBorders>
              <w:top w:val="outset" w:sz="6" w:space="0" w:color="auto"/>
              <w:left w:val="outset" w:sz="6" w:space="0" w:color="auto"/>
              <w:bottom w:val="outset" w:sz="6" w:space="0" w:color="auto"/>
            </w:tcBorders>
          </w:tcPr>
          <w:p w:rsidR="0070459C" w:rsidRPr="00AB2091" w:rsidRDefault="0070459C" w:rsidP="00E2340B">
            <w:pPr>
              <w:spacing w:after="0" w:line="240" w:lineRule="auto"/>
              <w:ind w:right="57"/>
              <w:jc w:val="both"/>
              <w:rPr>
                <w:rFonts w:ascii="Times New Roman" w:hAnsi="Times New Roman"/>
                <w:sz w:val="28"/>
                <w:szCs w:val="28"/>
                <w:lang w:val="lv-LV" w:eastAsia="lv-LV"/>
              </w:rPr>
            </w:pPr>
            <w:r w:rsidRPr="00AB2091">
              <w:rPr>
                <w:rFonts w:ascii="Times New Roman" w:hAnsi="Times New Roman"/>
                <w:sz w:val="28"/>
                <w:szCs w:val="28"/>
                <w:lang w:val="lv-LV" w:eastAsia="lv-LV"/>
              </w:rPr>
              <w:t>Nav</w:t>
            </w:r>
          </w:p>
        </w:tc>
      </w:tr>
      <w:tr w:rsidR="0070459C" w:rsidRPr="00AB2091" w:rsidTr="00C63C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26" w:type="dxa"/>
          </w:tcPr>
          <w:p w:rsidR="0070459C" w:rsidRPr="00AB2091" w:rsidRDefault="0070459C" w:rsidP="00E2340B">
            <w:pPr>
              <w:spacing w:after="0" w:line="240" w:lineRule="auto"/>
              <w:jc w:val="both"/>
              <w:rPr>
                <w:rFonts w:ascii="Times New Roman" w:hAnsi="Times New Roman"/>
                <w:b/>
                <w:sz w:val="28"/>
                <w:szCs w:val="28"/>
                <w:lang w:val="lv-LV"/>
              </w:rPr>
            </w:pPr>
          </w:p>
        </w:tc>
        <w:tc>
          <w:tcPr>
            <w:tcW w:w="9590" w:type="dxa"/>
            <w:gridSpan w:val="2"/>
          </w:tcPr>
          <w:p w:rsidR="0070459C" w:rsidRPr="00AB2091" w:rsidRDefault="0070459C" w:rsidP="00E2340B">
            <w:pPr>
              <w:spacing w:after="0" w:line="240" w:lineRule="auto"/>
              <w:jc w:val="center"/>
              <w:rPr>
                <w:rFonts w:ascii="Times New Roman" w:hAnsi="Times New Roman"/>
                <w:sz w:val="28"/>
                <w:szCs w:val="28"/>
                <w:lang w:val="lv-LV"/>
              </w:rPr>
            </w:pPr>
            <w:r w:rsidRPr="00AB2091">
              <w:rPr>
                <w:rFonts w:ascii="Times New Roman" w:hAnsi="Times New Roman"/>
                <w:b/>
                <w:sz w:val="28"/>
                <w:szCs w:val="28"/>
                <w:lang w:val="lv-LV"/>
              </w:rPr>
              <w:t>VII. Kā tiks nodrošināta normatīvā akta izpilde</w:t>
            </w:r>
          </w:p>
        </w:tc>
      </w:tr>
      <w:tr w:rsidR="0070459C" w:rsidRPr="00AB2091" w:rsidTr="00C63C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26" w:type="dxa"/>
          </w:tcPr>
          <w:p w:rsidR="0070459C" w:rsidRPr="00AB2091" w:rsidRDefault="0070459C" w:rsidP="00AB2091">
            <w:pPr>
              <w:spacing w:after="0" w:line="240" w:lineRule="auto"/>
              <w:rPr>
                <w:rFonts w:ascii="Times New Roman" w:hAnsi="Times New Roman"/>
                <w:sz w:val="28"/>
                <w:szCs w:val="28"/>
                <w:lang w:val="lv-LV"/>
              </w:rPr>
            </w:pPr>
            <w:r w:rsidRPr="00AB2091">
              <w:rPr>
                <w:rFonts w:ascii="Times New Roman" w:hAnsi="Times New Roman"/>
                <w:sz w:val="28"/>
                <w:szCs w:val="28"/>
                <w:lang w:val="lv-LV"/>
              </w:rPr>
              <w:t>1.</w:t>
            </w:r>
          </w:p>
        </w:tc>
        <w:tc>
          <w:tcPr>
            <w:tcW w:w="1906" w:type="dxa"/>
          </w:tcPr>
          <w:p w:rsidR="0070459C" w:rsidRPr="00AB2091" w:rsidRDefault="0070459C" w:rsidP="00AB2091">
            <w:pPr>
              <w:spacing w:after="0" w:line="240" w:lineRule="auto"/>
              <w:rPr>
                <w:rFonts w:ascii="Times New Roman" w:hAnsi="Times New Roman"/>
                <w:spacing w:val="-6"/>
                <w:sz w:val="28"/>
                <w:szCs w:val="28"/>
                <w:lang w:val="lv-LV"/>
              </w:rPr>
            </w:pPr>
            <w:r w:rsidRPr="00AB2091">
              <w:rPr>
                <w:rFonts w:ascii="Times New Roman" w:hAnsi="Times New Roman"/>
                <w:spacing w:val="-6"/>
                <w:sz w:val="28"/>
                <w:szCs w:val="28"/>
                <w:lang w:val="lv-LV"/>
              </w:rPr>
              <w:t>Kā tiks nodrošināta normatīvā akta izpilde no valsts un pašvaldību puses – vai tiek radītas jaunas valsts institūci</w:t>
            </w:r>
            <w:r w:rsidRPr="00AB2091">
              <w:rPr>
                <w:rFonts w:ascii="Times New Roman" w:hAnsi="Times New Roman"/>
                <w:spacing w:val="-6"/>
                <w:sz w:val="28"/>
                <w:szCs w:val="28"/>
                <w:lang w:val="lv-LV"/>
              </w:rPr>
              <w:softHyphen/>
              <w:t>jas vai paplašinātas esošo institūci</w:t>
            </w:r>
            <w:r w:rsidRPr="00AB2091">
              <w:rPr>
                <w:rFonts w:ascii="Times New Roman" w:hAnsi="Times New Roman"/>
                <w:spacing w:val="-6"/>
                <w:sz w:val="28"/>
                <w:szCs w:val="28"/>
                <w:lang w:val="lv-LV"/>
              </w:rPr>
              <w:softHyphen/>
              <w:t>ju funkcijas</w:t>
            </w:r>
          </w:p>
        </w:tc>
        <w:tc>
          <w:tcPr>
            <w:tcW w:w="7684" w:type="dxa"/>
          </w:tcPr>
          <w:p w:rsidR="0070459C" w:rsidRPr="00AB2091" w:rsidRDefault="0070459C" w:rsidP="00AB2091">
            <w:pPr>
              <w:spacing w:after="0" w:line="240" w:lineRule="auto"/>
              <w:rPr>
                <w:rFonts w:ascii="Times New Roman" w:hAnsi="Times New Roman"/>
                <w:sz w:val="28"/>
                <w:szCs w:val="28"/>
                <w:lang w:val="lv-LV"/>
              </w:rPr>
            </w:pPr>
            <w:r w:rsidRPr="00AB2091">
              <w:rPr>
                <w:rFonts w:ascii="Times New Roman" w:hAnsi="Times New Roman"/>
                <w:sz w:val="28"/>
                <w:szCs w:val="28"/>
                <w:lang w:val="lv-LV"/>
              </w:rPr>
              <w:t>Nav attiecināms</w:t>
            </w:r>
          </w:p>
        </w:tc>
      </w:tr>
      <w:tr w:rsidR="0070459C" w:rsidRPr="00AB2091" w:rsidTr="00C63C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26" w:type="dxa"/>
          </w:tcPr>
          <w:p w:rsidR="0070459C" w:rsidRPr="00AB2091" w:rsidRDefault="0070459C" w:rsidP="00AB2091">
            <w:pPr>
              <w:spacing w:after="0" w:line="240" w:lineRule="auto"/>
              <w:rPr>
                <w:rFonts w:ascii="Times New Roman" w:hAnsi="Times New Roman"/>
                <w:sz w:val="28"/>
                <w:szCs w:val="28"/>
                <w:lang w:val="lv-LV"/>
              </w:rPr>
            </w:pPr>
            <w:r w:rsidRPr="00AB2091">
              <w:rPr>
                <w:rFonts w:ascii="Times New Roman" w:hAnsi="Times New Roman"/>
                <w:sz w:val="28"/>
                <w:szCs w:val="28"/>
                <w:lang w:val="lv-LV"/>
              </w:rPr>
              <w:t>2.</w:t>
            </w:r>
          </w:p>
        </w:tc>
        <w:tc>
          <w:tcPr>
            <w:tcW w:w="1906" w:type="dxa"/>
          </w:tcPr>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Kā sabiedrība tiks informēta par normatīvā akta ieviešanu</w:t>
            </w:r>
          </w:p>
        </w:tc>
        <w:tc>
          <w:tcPr>
            <w:tcW w:w="7684" w:type="dxa"/>
          </w:tcPr>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 xml:space="preserve">Normatīvā akta projekts pēc tā pieņemšanas tiks publicēts laikrakstā "Latvijas Vēstnesis" un periodiskajā izdevumā "Latvijas Republikas Saeimas un Ministru Kabineta Ziņotājs", kā arī iekļauts Normatīvo aktu informācijas sistēmā (NAIS) un tiesību aktu portālā </w:t>
            </w:r>
            <w:hyperlink r:id="rId7" w:tooltip="http://www.likumi.lv/" w:history="1">
              <w:r w:rsidRPr="00AB2091">
                <w:rPr>
                  <w:rStyle w:val="Hyperlink"/>
                  <w:rFonts w:ascii="Times New Roman" w:hAnsi="Times New Roman"/>
                  <w:color w:val="auto"/>
                  <w:sz w:val="28"/>
                  <w:szCs w:val="28"/>
                  <w:u w:val="none"/>
                  <w:lang w:val="lv-LV"/>
                </w:rPr>
                <w:t>www.likumi.lv</w:t>
              </w:r>
            </w:hyperlink>
          </w:p>
        </w:tc>
      </w:tr>
      <w:tr w:rsidR="0070459C" w:rsidRPr="00AB2091" w:rsidTr="00C63C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3.</w:t>
            </w:r>
          </w:p>
        </w:tc>
        <w:tc>
          <w:tcPr>
            <w:tcW w:w="1906" w:type="dxa"/>
          </w:tcPr>
          <w:p w:rsidR="0070459C" w:rsidRPr="00AB2091" w:rsidRDefault="0070459C" w:rsidP="001C0655">
            <w:pPr>
              <w:spacing w:after="0" w:line="240" w:lineRule="auto"/>
              <w:rPr>
                <w:rFonts w:ascii="Times New Roman" w:hAnsi="Times New Roman"/>
                <w:sz w:val="28"/>
                <w:szCs w:val="28"/>
                <w:lang w:val="lv-LV"/>
              </w:rPr>
            </w:pPr>
            <w:r w:rsidRPr="00AB2091">
              <w:rPr>
                <w:rFonts w:ascii="Times New Roman" w:hAnsi="Times New Roman"/>
                <w:sz w:val="28"/>
                <w:szCs w:val="28"/>
                <w:lang w:val="lv-LV"/>
              </w:rPr>
              <w:t> Kā indivīds var aizstāvēt savas tiesības, ja normatīvais akts viņu ierobežo</w:t>
            </w:r>
          </w:p>
        </w:tc>
        <w:tc>
          <w:tcPr>
            <w:tcW w:w="7684"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Normatīvais akts neierobežo indivīda tiesības</w:t>
            </w:r>
          </w:p>
        </w:tc>
      </w:tr>
      <w:tr w:rsidR="0070459C" w:rsidRPr="00AB2091" w:rsidTr="00C63C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42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4.</w:t>
            </w:r>
          </w:p>
        </w:tc>
        <w:tc>
          <w:tcPr>
            <w:tcW w:w="1906"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Cita informācija</w:t>
            </w:r>
          </w:p>
        </w:tc>
        <w:tc>
          <w:tcPr>
            <w:tcW w:w="7684" w:type="dxa"/>
          </w:tcPr>
          <w:p w:rsidR="0070459C" w:rsidRPr="00AB2091" w:rsidRDefault="0070459C" w:rsidP="00E2340B">
            <w:pPr>
              <w:spacing w:after="0" w:line="240" w:lineRule="auto"/>
              <w:jc w:val="both"/>
              <w:rPr>
                <w:rFonts w:ascii="Times New Roman" w:hAnsi="Times New Roman"/>
                <w:sz w:val="28"/>
                <w:szCs w:val="28"/>
                <w:lang w:val="lv-LV"/>
              </w:rPr>
            </w:pPr>
            <w:r w:rsidRPr="00AB2091">
              <w:rPr>
                <w:rFonts w:ascii="Times New Roman" w:hAnsi="Times New Roman"/>
                <w:sz w:val="28"/>
                <w:szCs w:val="28"/>
                <w:lang w:val="lv-LV"/>
              </w:rPr>
              <w:t>Nav attiecināms</w:t>
            </w:r>
          </w:p>
        </w:tc>
      </w:tr>
    </w:tbl>
    <w:p w:rsidR="0070459C" w:rsidRPr="00AB2091" w:rsidRDefault="0070459C" w:rsidP="00E2340B">
      <w:pPr>
        <w:spacing w:after="0" w:line="240" w:lineRule="auto"/>
        <w:ind w:firstLine="720"/>
        <w:jc w:val="both"/>
        <w:rPr>
          <w:rFonts w:ascii="Times New Roman" w:hAnsi="Times New Roman"/>
          <w:sz w:val="28"/>
          <w:szCs w:val="28"/>
          <w:lang w:val="lv-LV"/>
        </w:rPr>
      </w:pPr>
    </w:p>
    <w:p w:rsidR="0070459C" w:rsidRPr="00AB2091" w:rsidRDefault="0070459C" w:rsidP="00E2340B">
      <w:pPr>
        <w:spacing w:after="0" w:line="240" w:lineRule="auto"/>
        <w:ind w:firstLine="720"/>
        <w:jc w:val="both"/>
        <w:rPr>
          <w:rFonts w:ascii="Times New Roman" w:hAnsi="Times New Roman"/>
          <w:sz w:val="28"/>
          <w:szCs w:val="28"/>
          <w:lang w:val="lv-LV"/>
        </w:rPr>
      </w:pPr>
      <w:r w:rsidRPr="00AB2091">
        <w:rPr>
          <w:rFonts w:ascii="Times New Roman" w:hAnsi="Times New Roman"/>
          <w:sz w:val="28"/>
          <w:szCs w:val="28"/>
          <w:lang w:val="lv-LV"/>
        </w:rPr>
        <w:t>Anotācijas III, IV, V un VI sadaļa – tiesību akta projekts šo jomu neskar</w:t>
      </w:r>
    </w:p>
    <w:p w:rsidR="0070459C" w:rsidRPr="00AB2091" w:rsidRDefault="0070459C" w:rsidP="00E2340B">
      <w:pPr>
        <w:spacing w:after="0" w:line="240" w:lineRule="auto"/>
        <w:ind w:firstLine="720"/>
        <w:jc w:val="both"/>
        <w:rPr>
          <w:rFonts w:ascii="Times New Roman" w:hAnsi="Times New Roman"/>
          <w:sz w:val="28"/>
          <w:szCs w:val="28"/>
          <w:lang w:val="lv-LV"/>
        </w:rPr>
      </w:pPr>
    </w:p>
    <w:p w:rsidR="0070459C" w:rsidRPr="00AB2091" w:rsidRDefault="0070459C" w:rsidP="00E2340B">
      <w:pPr>
        <w:spacing w:after="0" w:line="240" w:lineRule="auto"/>
        <w:ind w:firstLine="720"/>
        <w:jc w:val="both"/>
        <w:rPr>
          <w:rFonts w:ascii="Times New Roman" w:hAnsi="Times New Roman"/>
          <w:sz w:val="28"/>
          <w:szCs w:val="28"/>
          <w:lang w:val="lv-LV"/>
        </w:rPr>
      </w:pPr>
    </w:p>
    <w:p w:rsidR="0070459C" w:rsidRPr="00AB2091" w:rsidRDefault="0070459C" w:rsidP="00E2340B">
      <w:pPr>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09"/>
        <w:jc w:val="both"/>
        <w:rPr>
          <w:rFonts w:ascii="Times New Roman" w:hAnsi="Times New Roman"/>
          <w:sz w:val="28"/>
          <w:lang w:val="lv-LV"/>
        </w:rPr>
      </w:pPr>
      <w:r w:rsidRPr="00AB2091">
        <w:rPr>
          <w:rFonts w:ascii="Times New Roman" w:hAnsi="Times New Roman"/>
          <w:sz w:val="28"/>
          <w:szCs w:val="28"/>
          <w:lang w:val="lv-LV"/>
        </w:rPr>
        <w:t>Ministru prezidents</w:t>
      </w:r>
      <w:r w:rsidRPr="00AB2091">
        <w:rPr>
          <w:rFonts w:ascii="Times New Roman" w:hAnsi="Times New Roman"/>
          <w:sz w:val="28"/>
          <w:lang w:val="lv-LV"/>
        </w:rPr>
        <w:tab/>
        <w:t>V.Dombrovskis</w:t>
      </w: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r w:rsidRPr="00AB2091">
        <w:rPr>
          <w:rFonts w:ascii="Times New Roman" w:hAnsi="Times New Roman"/>
          <w:sz w:val="28"/>
          <w:szCs w:val="28"/>
          <w:lang w:val="lv-LV"/>
        </w:rPr>
        <w:t>Iesniedzējs:</w:t>
      </w:r>
    </w:p>
    <w:p w:rsidR="0070459C" w:rsidRPr="00AB2091" w:rsidRDefault="0070459C" w:rsidP="00E2340B">
      <w:pPr>
        <w:tabs>
          <w:tab w:val="left" w:pos="6804"/>
        </w:tabs>
        <w:spacing w:after="0" w:line="240" w:lineRule="auto"/>
        <w:ind w:firstLine="709"/>
        <w:jc w:val="both"/>
        <w:rPr>
          <w:rFonts w:ascii="Times New Roman" w:hAnsi="Times New Roman"/>
          <w:sz w:val="28"/>
          <w:lang w:val="lv-LV"/>
        </w:rPr>
      </w:pPr>
      <w:r w:rsidRPr="00AB2091">
        <w:rPr>
          <w:rFonts w:ascii="Times New Roman" w:hAnsi="Times New Roman"/>
          <w:sz w:val="28"/>
          <w:szCs w:val="28"/>
          <w:lang w:val="lv-LV"/>
        </w:rPr>
        <w:t>Ministru prezidents</w:t>
      </w:r>
      <w:r w:rsidRPr="00AB2091">
        <w:rPr>
          <w:rFonts w:ascii="Times New Roman" w:hAnsi="Times New Roman"/>
          <w:sz w:val="28"/>
          <w:szCs w:val="28"/>
          <w:u w:val="single"/>
          <w:lang w:val="lv-LV"/>
        </w:rPr>
        <w:tab/>
      </w:r>
      <w:r w:rsidRPr="00AB2091">
        <w:rPr>
          <w:rFonts w:ascii="Times New Roman" w:hAnsi="Times New Roman"/>
          <w:sz w:val="28"/>
          <w:lang w:val="lv-LV"/>
        </w:rPr>
        <w:t>V.Dombrovskis</w:t>
      </w: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r w:rsidRPr="00AB2091">
        <w:rPr>
          <w:rFonts w:ascii="Times New Roman" w:hAnsi="Times New Roman"/>
          <w:sz w:val="28"/>
          <w:szCs w:val="28"/>
          <w:lang w:val="lv-LV"/>
        </w:rPr>
        <w:t>Vizē:</w:t>
      </w:r>
    </w:p>
    <w:p w:rsidR="0070459C" w:rsidRPr="00AB2091" w:rsidRDefault="0070459C" w:rsidP="00E2340B">
      <w:pPr>
        <w:tabs>
          <w:tab w:val="left" w:pos="6804"/>
        </w:tabs>
        <w:spacing w:after="0" w:line="240" w:lineRule="auto"/>
        <w:ind w:firstLine="720"/>
        <w:jc w:val="both"/>
        <w:rPr>
          <w:rFonts w:ascii="Times New Roman" w:hAnsi="Times New Roman"/>
          <w:sz w:val="28"/>
          <w:szCs w:val="28"/>
          <w:lang w:val="lv-LV"/>
        </w:rPr>
      </w:pPr>
      <w:r w:rsidRPr="00AB2091">
        <w:rPr>
          <w:rFonts w:ascii="Times New Roman" w:hAnsi="Times New Roman"/>
          <w:sz w:val="28"/>
          <w:szCs w:val="28"/>
          <w:lang w:val="lv-LV"/>
        </w:rPr>
        <w:t>Valsts kancelejas direktore</w:t>
      </w:r>
      <w:r w:rsidRPr="00AB2091">
        <w:rPr>
          <w:rFonts w:ascii="Times New Roman" w:hAnsi="Times New Roman"/>
          <w:sz w:val="28"/>
          <w:szCs w:val="28"/>
          <w:u w:val="single"/>
          <w:lang w:val="lv-LV"/>
        </w:rPr>
        <w:tab/>
      </w:r>
      <w:r w:rsidRPr="00AB2091">
        <w:rPr>
          <w:rFonts w:ascii="Times New Roman" w:hAnsi="Times New Roman"/>
          <w:sz w:val="28"/>
          <w:szCs w:val="28"/>
          <w:lang w:val="lv-LV"/>
        </w:rPr>
        <w:t>E.Dreimane</w:t>
      </w:r>
    </w:p>
    <w:p w:rsidR="0070459C" w:rsidRPr="00AB2091" w:rsidRDefault="0070459C" w:rsidP="00E2340B">
      <w:pPr>
        <w:pStyle w:val="BodyText"/>
        <w:spacing w:after="0"/>
        <w:rPr>
          <w:szCs w:val="28"/>
        </w:rPr>
      </w:pPr>
    </w:p>
    <w:p w:rsidR="0070459C" w:rsidRPr="00AB2091" w:rsidRDefault="0070459C" w:rsidP="00E2340B">
      <w:pPr>
        <w:spacing w:after="0" w:line="240" w:lineRule="auto"/>
        <w:ind w:firstLine="720"/>
        <w:jc w:val="both"/>
        <w:rPr>
          <w:rFonts w:ascii="Times New Roman" w:hAnsi="Times New Roman"/>
          <w:sz w:val="24"/>
          <w:szCs w:val="24"/>
          <w:lang w:val="lv-LV"/>
        </w:rPr>
      </w:pPr>
    </w:p>
    <w:p w:rsidR="0070459C" w:rsidRPr="00AB2091" w:rsidRDefault="0070459C" w:rsidP="00E2340B">
      <w:pPr>
        <w:spacing w:after="0" w:line="240" w:lineRule="auto"/>
        <w:ind w:firstLine="720"/>
        <w:jc w:val="both"/>
        <w:rPr>
          <w:rFonts w:ascii="Times New Roman" w:hAnsi="Times New Roman"/>
          <w:sz w:val="24"/>
          <w:szCs w:val="24"/>
          <w:lang w:val="lv-LV"/>
        </w:rPr>
      </w:pPr>
    </w:p>
    <w:p w:rsidR="0070459C" w:rsidRPr="00AB2091" w:rsidRDefault="0070459C" w:rsidP="00E2340B">
      <w:pPr>
        <w:spacing w:after="0" w:line="240" w:lineRule="auto"/>
        <w:ind w:firstLine="720"/>
        <w:jc w:val="both"/>
        <w:rPr>
          <w:rFonts w:ascii="Times New Roman" w:hAnsi="Times New Roman"/>
          <w:sz w:val="24"/>
          <w:szCs w:val="24"/>
          <w:lang w:val="lv-LV"/>
        </w:rPr>
      </w:pPr>
      <w:r w:rsidRPr="00AB2091">
        <w:rPr>
          <w:rFonts w:ascii="Times New Roman" w:hAnsi="Times New Roman"/>
          <w:sz w:val="24"/>
          <w:szCs w:val="24"/>
          <w:lang w:val="lv-LV"/>
        </w:rPr>
        <w:fldChar w:fldCharType="begin"/>
      </w:r>
      <w:r w:rsidRPr="00AB2091">
        <w:rPr>
          <w:rFonts w:ascii="Times New Roman" w:hAnsi="Times New Roman"/>
          <w:sz w:val="24"/>
          <w:szCs w:val="24"/>
          <w:lang w:val="lv-LV"/>
        </w:rPr>
        <w:instrText xml:space="preserve"> SAVEDATE  \@ "yyyy-MM-dd" \* MERGEFORMAT </w:instrText>
      </w:r>
      <w:r w:rsidRPr="00AB2091">
        <w:rPr>
          <w:rFonts w:ascii="Times New Roman" w:hAnsi="Times New Roman"/>
          <w:sz w:val="24"/>
          <w:szCs w:val="24"/>
          <w:lang w:val="lv-LV"/>
        </w:rPr>
        <w:fldChar w:fldCharType="separate"/>
      </w:r>
      <w:r>
        <w:rPr>
          <w:rFonts w:ascii="Times New Roman" w:hAnsi="Times New Roman"/>
          <w:noProof/>
          <w:sz w:val="24"/>
          <w:szCs w:val="24"/>
          <w:lang w:val="lv-LV"/>
        </w:rPr>
        <w:t>2011-08-03</w:t>
      </w:r>
      <w:r w:rsidRPr="00AB2091">
        <w:rPr>
          <w:rFonts w:ascii="Times New Roman" w:hAnsi="Times New Roman"/>
          <w:sz w:val="24"/>
          <w:szCs w:val="24"/>
          <w:lang w:val="lv-LV"/>
        </w:rPr>
        <w:fldChar w:fldCharType="end"/>
      </w:r>
    </w:p>
    <w:p w:rsidR="0070459C" w:rsidRPr="00AB2091" w:rsidRDefault="0070459C" w:rsidP="00E2340B">
      <w:pPr>
        <w:spacing w:after="0" w:line="240" w:lineRule="auto"/>
        <w:ind w:firstLine="720"/>
        <w:jc w:val="both"/>
        <w:rPr>
          <w:rFonts w:ascii="Times New Roman" w:hAnsi="Times New Roman"/>
          <w:sz w:val="24"/>
          <w:szCs w:val="24"/>
          <w:lang w:val="lv-LV"/>
        </w:rPr>
      </w:pPr>
      <w:r w:rsidRPr="00AB2091">
        <w:rPr>
          <w:rFonts w:ascii="Times New Roman" w:hAnsi="Times New Roman"/>
          <w:sz w:val="24"/>
          <w:szCs w:val="24"/>
          <w:lang w:val="lv-LV"/>
        </w:rPr>
        <w:t>2171</w:t>
      </w:r>
    </w:p>
    <w:p w:rsidR="0070459C" w:rsidRPr="00AB2091" w:rsidRDefault="0070459C" w:rsidP="00E2340B">
      <w:pPr>
        <w:spacing w:after="0" w:line="240" w:lineRule="auto"/>
        <w:ind w:firstLine="720"/>
        <w:jc w:val="both"/>
        <w:rPr>
          <w:rFonts w:ascii="Times New Roman" w:hAnsi="Times New Roman"/>
          <w:sz w:val="24"/>
          <w:szCs w:val="24"/>
          <w:u w:val="single"/>
          <w:lang w:val="lv-LV"/>
        </w:rPr>
      </w:pPr>
      <w:r w:rsidRPr="00AB2091">
        <w:rPr>
          <w:rFonts w:ascii="Times New Roman" w:hAnsi="Times New Roman"/>
          <w:sz w:val="24"/>
          <w:szCs w:val="24"/>
          <w:lang w:val="lv-LV"/>
        </w:rPr>
        <w:t>Stūris 67082933</w:t>
      </w:r>
    </w:p>
    <w:p w:rsidR="0070459C" w:rsidRPr="00AB2091" w:rsidRDefault="0070459C" w:rsidP="00E2340B">
      <w:pPr>
        <w:spacing w:after="0" w:line="240" w:lineRule="auto"/>
        <w:ind w:firstLine="720"/>
        <w:jc w:val="both"/>
        <w:rPr>
          <w:rFonts w:ascii="Times New Roman" w:hAnsi="Times New Roman"/>
          <w:sz w:val="24"/>
          <w:szCs w:val="24"/>
          <w:lang w:val="lv-LV"/>
        </w:rPr>
      </w:pPr>
      <w:hyperlink r:id="rId8" w:history="1">
        <w:r w:rsidRPr="00AB2091">
          <w:rPr>
            <w:rFonts w:ascii="Times New Roman" w:hAnsi="Times New Roman"/>
            <w:sz w:val="24"/>
            <w:szCs w:val="24"/>
            <w:lang w:val="lv-LV"/>
          </w:rPr>
          <w:t>Valerijs.Sturis@mk.gov.lv</w:t>
        </w:r>
      </w:hyperlink>
    </w:p>
    <w:p w:rsidR="0070459C" w:rsidRPr="00AB2091" w:rsidRDefault="0070459C" w:rsidP="00E2340B">
      <w:pPr>
        <w:tabs>
          <w:tab w:val="left" w:pos="6840"/>
        </w:tabs>
        <w:spacing w:after="0" w:line="240" w:lineRule="auto"/>
        <w:ind w:firstLine="720"/>
        <w:jc w:val="both"/>
        <w:rPr>
          <w:rFonts w:ascii="Times New Roman" w:hAnsi="Times New Roman"/>
          <w:sz w:val="24"/>
          <w:szCs w:val="24"/>
          <w:lang w:val="lv-LV"/>
        </w:rPr>
      </w:pPr>
    </w:p>
    <w:sectPr w:rsidR="0070459C" w:rsidRPr="00AB2091" w:rsidSect="00D951B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9C" w:rsidRDefault="0070459C">
      <w:r>
        <w:separator/>
      </w:r>
    </w:p>
  </w:endnote>
  <w:endnote w:type="continuationSeparator" w:id="0">
    <w:p w:rsidR="0070459C" w:rsidRDefault="00704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9C" w:rsidRPr="00E2340B" w:rsidRDefault="0070459C" w:rsidP="00E2340B">
    <w:pPr>
      <w:pStyle w:val="Footer"/>
      <w:rPr>
        <w:rFonts w:ascii="Times New Roman" w:hAnsi="Times New Roman"/>
        <w:sz w:val="16"/>
      </w:rPr>
    </w:pPr>
    <w:fldSimple w:instr=" FILENAME  \* MERGEFORMAT ">
      <w:r w:rsidRPr="00E17D51">
        <w:rPr>
          <w:rFonts w:ascii="Times New Roman" w:hAnsi="Times New Roman"/>
          <w:noProof/>
          <w:sz w:val="16"/>
        </w:rPr>
        <w:t>MKanot_18072011_VSS_65720110727154255</w:t>
      </w:r>
    </w:fldSimple>
    <w:r>
      <w:rPr>
        <w:rFonts w:ascii="Times New Roman" w:hAnsi="Times New Roman"/>
        <w:sz w:val="16"/>
      </w:rPr>
      <w:t xml:space="preserve"> (39705)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9C" w:rsidRPr="00E2340B" w:rsidRDefault="0070459C" w:rsidP="00E2340B">
    <w:pPr>
      <w:pStyle w:val="Footer"/>
      <w:spacing w:after="0" w:line="240" w:lineRule="auto"/>
      <w:rPr>
        <w:rFonts w:ascii="Times New Roman" w:hAnsi="Times New Roman"/>
        <w:sz w:val="16"/>
      </w:rPr>
    </w:pPr>
    <w:fldSimple w:instr=" FILENAME  \* MERGEFORMAT ">
      <w:r w:rsidRPr="00E17D51">
        <w:rPr>
          <w:rFonts w:ascii="Times New Roman" w:hAnsi="Times New Roman"/>
          <w:noProof/>
          <w:sz w:val="16"/>
        </w:rPr>
        <w:t>MKanot_18072011_VSS_65720110727154255</w:t>
      </w:r>
    </w:fldSimple>
    <w:r>
      <w:rPr>
        <w:rFonts w:ascii="Times New Roman" w:hAnsi="Times New Roman"/>
        <w:sz w:val="16"/>
      </w:rPr>
      <w:t xml:space="preserve"> (39705)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9C" w:rsidRDefault="0070459C">
      <w:r>
        <w:separator/>
      </w:r>
    </w:p>
  </w:footnote>
  <w:footnote w:type="continuationSeparator" w:id="0">
    <w:p w:rsidR="0070459C" w:rsidRDefault="00704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9C" w:rsidRDefault="0070459C" w:rsidP="00FE02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59C" w:rsidRDefault="00704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9C" w:rsidRPr="00E2340B" w:rsidRDefault="0070459C" w:rsidP="00FE0236">
    <w:pPr>
      <w:pStyle w:val="Header"/>
      <w:framePr w:wrap="around" w:vAnchor="text" w:hAnchor="margin" w:xAlign="center" w:y="1"/>
      <w:rPr>
        <w:rStyle w:val="PageNumber"/>
        <w:sz w:val="24"/>
        <w:szCs w:val="24"/>
      </w:rPr>
    </w:pPr>
    <w:r w:rsidRPr="00E2340B">
      <w:rPr>
        <w:rStyle w:val="PageNumber"/>
        <w:sz w:val="24"/>
        <w:szCs w:val="24"/>
      </w:rPr>
      <w:fldChar w:fldCharType="begin"/>
    </w:r>
    <w:r w:rsidRPr="00E2340B">
      <w:rPr>
        <w:rStyle w:val="PageNumber"/>
        <w:sz w:val="24"/>
        <w:szCs w:val="24"/>
      </w:rPr>
      <w:instrText xml:space="preserve">PAGE  </w:instrText>
    </w:r>
    <w:r w:rsidRPr="00E2340B">
      <w:rPr>
        <w:rStyle w:val="PageNumber"/>
        <w:sz w:val="24"/>
        <w:szCs w:val="24"/>
      </w:rPr>
      <w:fldChar w:fldCharType="separate"/>
    </w:r>
    <w:r>
      <w:rPr>
        <w:rStyle w:val="PageNumber"/>
        <w:noProof/>
        <w:sz w:val="24"/>
        <w:szCs w:val="24"/>
      </w:rPr>
      <w:t>9</w:t>
    </w:r>
    <w:r w:rsidRPr="00E2340B">
      <w:rPr>
        <w:rStyle w:val="PageNumber"/>
        <w:sz w:val="24"/>
        <w:szCs w:val="24"/>
      </w:rPr>
      <w:fldChar w:fldCharType="end"/>
    </w:r>
  </w:p>
  <w:p w:rsidR="0070459C" w:rsidRDefault="00704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E66"/>
    <w:multiLevelType w:val="hybridMultilevel"/>
    <w:tmpl w:val="26C4B40E"/>
    <w:lvl w:ilvl="0" w:tplc="05F4BB4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40D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86D287F"/>
    <w:multiLevelType w:val="hybridMultilevel"/>
    <w:tmpl w:val="969EAA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88D6675"/>
    <w:multiLevelType w:val="hybridMultilevel"/>
    <w:tmpl w:val="C520F088"/>
    <w:name w:val="WW8Num3"/>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B9812F8"/>
    <w:multiLevelType w:val="hybridMultilevel"/>
    <w:tmpl w:val="048846BA"/>
    <w:lvl w:ilvl="0" w:tplc="D750AA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DA05A90"/>
    <w:multiLevelType w:val="hybridMultilevel"/>
    <w:tmpl w:val="83C6D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9C7736B"/>
    <w:multiLevelType w:val="multilevel"/>
    <w:tmpl w:val="46F8E95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C934386"/>
    <w:multiLevelType w:val="hybridMultilevel"/>
    <w:tmpl w:val="43DA864E"/>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nsid w:val="75B2782B"/>
    <w:multiLevelType w:val="hybridMultilevel"/>
    <w:tmpl w:val="216C78D6"/>
    <w:lvl w:ilvl="0" w:tplc="227E7D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6"/>
  </w:num>
  <w:num w:numId="5">
    <w:abstractNumId w:val="0"/>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8B"/>
    <w:rsid w:val="00003FC4"/>
    <w:rsid w:val="000049D6"/>
    <w:rsid w:val="000522CF"/>
    <w:rsid w:val="00052D96"/>
    <w:rsid w:val="0009472C"/>
    <w:rsid w:val="0009766A"/>
    <w:rsid w:val="000B2A98"/>
    <w:rsid w:val="000D3094"/>
    <w:rsid w:val="000E0CE6"/>
    <w:rsid w:val="0013515D"/>
    <w:rsid w:val="00163615"/>
    <w:rsid w:val="0017391C"/>
    <w:rsid w:val="00176EC9"/>
    <w:rsid w:val="00186CC5"/>
    <w:rsid w:val="00195EB6"/>
    <w:rsid w:val="00197386"/>
    <w:rsid w:val="001B28DC"/>
    <w:rsid w:val="001C0655"/>
    <w:rsid w:val="001C17FB"/>
    <w:rsid w:val="001C2A92"/>
    <w:rsid w:val="001D6272"/>
    <w:rsid w:val="001F3D65"/>
    <w:rsid w:val="00230722"/>
    <w:rsid w:val="00247C25"/>
    <w:rsid w:val="00250F61"/>
    <w:rsid w:val="002A6771"/>
    <w:rsid w:val="002B317B"/>
    <w:rsid w:val="002C32D3"/>
    <w:rsid w:val="002D09F8"/>
    <w:rsid w:val="002D1308"/>
    <w:rsid w:val="00303926"/>
    <w:rsid w:val="00322FA8"/>
    <w:rsid w:val="00346827"/>
    <w:rsid w:val="003859A1"/>
    <w:rsid w:val="003A2BE2"/>
    <w:rsid w:val="003C61EE"/>
    <w:rsid w:val="00431CA8"/>
    <w:rsid w:val="00437132"/>
    <w:rsid w:val="00437E1A"/>
    <w:rsid w:val="0046438E"/>
    <w:rsid w:val="00467715"/>
    <w:rsid w:val="00497684"/>
    <w:rsid w:val="004B25F0"/>
    <w:rsid w:val="004E2B4D"/>
    <w:rsid w:val="004E4F59"/>
    <w:rsid w:val="004F574E"/>
    <w:rsid w:val="00520C1D"/>
    <w:rsid w:val="0052467D"/>
    <w:rsid w:val="00551DE3"/>
    <w:rsid w:val="00555884"/>
    <w:rsid w:val="00560616"/>
    <w:rsid w:val="005D38CD"/>
    <w:rsid w:val="005D4A3F"/>
    <w:rsid w:val="005F7F36"/>
    <w:rsid w:val="00606DE0"/>
    <w:rsid w:val="00632D15"/>
    <w:rsid w:val="00682A7D"/>
    <w:rsid w:val="0068770C"/>
    <w:rsid w:val="006A6989"/>
    <w:rsid w:val="006E44E3"/>
    <w:rsid w:val="006F2A1B"/>
    <w:rsid w:val="0070459C"/>
    <w:rsid w:val="007106F1"/>
    <w:rsid w:val="00713397"/>
    <w:rsid w:val="0075692F"/>
    <w:rsid w:val="00756AF1"/>
    <w:rsid w:val="00761D98"/>
    <w:rsid w:val="00777D0C"/>
    <w:rsid w:val="00790459"/>
    <w:rsid w:val="0079492B"/>
    <w:rsid w:val="00794ECD"/>
    <w:rsid w:val="007F1F77"/>
    <w:rsid w:val="00802E35"/>
    <w:rsid w:val="008056F1"/>
    <w:rsid w:val="00830F7D"/>
    <w:rsid w:val="00853387"/>
    <w:rsid w:val="00875F3D"/>
    <w:rsid w:val="00892A01"/>
    <w:rsid w:val="00893A02"/>
    <w:rsid w:val="00896FAD"/>
    <w:rsid w:val="008A396C"/>
    <w:rsid w:val="008A3985"/>
    <w:rsid w:val="008B0D64"/>
    <w:rsid w:val="008D254F"/>
    <w:rsid w:val="008E548B"/>
    <w:rsid w:val="008E5CBC"/>
    <w:rsid w:val="008F5F65"/>
    <w:rsid w:val="00914AEA"/>
    <w:rsid w:val="0093279F"/>
    <w:rsid w:val="00936861"/>
    <w:rsid w:val="00945A62"/>
    <w:rsid w:val="009542DA"/>
    <w:rsid w:val="0096028B"/>
    <w:rsid w:val="009802BA"/>
    <w:rsid w:val="00997BF8"/>
    <w:rsid w:val="009A4641"/>
    <w:rsid w:val="00A1245B"/>
    <w:rsid w:val="00A1452A"/>
    <w:rsid w:val="00A206C9"/>
    <w:rsid w:val="00A50D07"/>
    <w:rsid w:val="00A54BDE"/>
    <w:rsid w:val="00A851A5"/>
    <w:rsid w:val="00AB1D16"/>
    <w:rsid w:val="00AB2091"/>
    <w:rsid w:val="00AB5F2B"/>
    <w:rsid w:val="00AC48AF"/>
    <w:rsid w:val="00B01943"/>
    <w:rsid w:val="00B07D47"/>
    <w:rsid w:val="00B11286"/>
    <w:rsid w:val="00B265AD"/>
    <w:rsid w:val="00B44FBE"/>
    <w:rsid w:val="00B57BBA"/>
    <w:rsid w:val="00B73568"/>
    <w:rsid w:val="00BA2B7C"/>
    <w:rsid w:val="00BB22C5"/>
    <w:rsid w:val="00BB54F2"/>
    <w:rsid w:val="00BD0BB8"/>
    <w:rsid w:val="00BE269B"/>
    <w:rsid w:val="00C03582"/>
    <w:rsid w:val="00C15938"/>
    <w:rsid w:val="00C44F93"/>
    <w:rsid w:val="00C61014"/>
    <w:rsid w:val="00C63CF1"/>
    <w:rsid w:val="00C66915"/>
    <w:rsid w:val="00C9011A"/>
    <w:rsid w:val="00CA2DCB"/>
    <w:rsid w:val="00CB0079"/>
    <w:rsid w:val="00CC3C30"/>
    <w:rsid w:val="00CD34B0"/>
    <w:rsid w:val="00CD39A9"/>
    <w:rsid w:val="00CF7C6C"/>
    <w:rsid w:val="00D17F96"/>
    <w:rsid w:val="00D36EB8"/>
    <w:rsid w:val="00D43A0F"/>
    <w:rsid w:val="00D951B0"/>
    <w:rsid w:val="00DA7BD4"/>
    <w:rsid w:val="00DE5605"/>
    <w:rsid w:val="00E03DBD"/>
    <w:rsid w:val="00E05045"/>
    <w:rsid w:val="00E10515"/>
    <w:rsid w:val="00E17D51"/>
    <w:rsid w:val="00E2340B"/>
    <w:rsid w:val="00E34C37"/>
    <w:rsid w:val="00E47BDD"/>
    <w:rsid w:val="00E52FA1"/>
    <w:rsid w:val="00E848E9"/>
    <w:rsid w:val="00E85ECA"/>
    <w:rsid w:val="00EA56D1"/>
    <w:rsid w:val="00EA797B"/>
    <w:rsid w:val="00EB797C"/>
    <w:rsid w:val="00F109EC"/>
    <w:rsid w:val="00F168BF"/>
    <w:rsid w:val="00F174D4"/>
    <w:rsid w:val="00F33954"/>
    <w:rsid w:val="00F86677"/>
    <w:rsid w:val="00FB508C"/>
    <w:rsid w:val="00FE023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B"/>
    <w:pPr>
      <w:spacing w:after="200" w:line="276"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28B"/>
    <w:pPr>
      <w:spacing w:before="100" w:beforeAutospacing="1" w:after="100" w:afterAutospacing="1" w:line="240" w:lineRule="auto"/>
    </w:pPr>
    <w:rPr>
      <w:rFonts w:ascii="Times New Roman" w:hAnsi="Times New Roman"/>
      <w:sz w:val="24"/>
      <w:szCs w:val="24"/>
      <w:lang w:val="lv-LV" w:eastAsia="lv-LV"/>
    </w:rPr>
  </w:style>
  <w:style w:type="paragraph" w:styleId="BodyTextIndent">
    <w:name w:val="Body Text Indent"/>
    <w:basedOn w:val="Normal"/>
    <w:link w:val="BodyTextIndentChar"/>
    <w:uiPriority w:val="99"/>
    <w:rsid w:val="0096028B"/>
    <w:pPr>
      <w:spacing w:after="0" w:line="240" w:lineRule="auto"/>
      <w:jc w:val="both"/>
    </w:pPr>
    <w:rPr>
      <w:rFonts w:ascii="Times New Roman" w:hAnsi="Times New Roman"/>
      <w:sz w:val="24"/>
      <w:szCs w:val="20"/>
      <w:lang w:val="lv-LV" w:eastAsia="lv-LV"/>
    </w:rPr>
  </w:style>
  <w:style w:type="character" w:customStyle="1" w:styleId="BodyTextIndentChar">
    <w:name w:val="Body Text Indent Char"/>
    <w:basedOn w:val="DefaultParagraphFont"/>
    <w:link w:val="BodyTextIndent"/>
    <w:uiPriority w:val="99"/>
    <w:semiHidden/>
    <w:locked/>
    <w:rsid w:val="00756AF1"/>
    <w:rPr>
      <w:rFonts w:ascii="Calibri" w:hAnsi="Calibri" w:cs="Times New Roman"/>
      <w:lang w:val="en-US" w:eastAsia="en-US"/>
    </w:rPr>
  </w:style>
  <w:style w:type="paragraph" w:customStyle="1" w:styleId="RakstzCharCharRakstzCharCharRakstz">
    <w:name w:val="Rakstz. Char Char Rakstz. Char Char Rakstz."/>
    <w:basedOn w:val="Normal"/>
    <w:uiPriority w:val="99"/>
    <w:rsid w:val="0096028B"/>
    <w:pPr>
      <w:spacing w:after="160" w:line="240" w:lineRule="exact"/>
    </w:pPr>
    <w:rPr>
      <w:rFonts w:ascii="Tahoma" w:hAnsi="Tahoma"/>
      <w:sz w:val="20"/>
      <w:szCs w:val="20"/>
      <w:lang w:val="lv-LV"/>
    </w:rPr>
  </w:style>
  <w:style w:type="paragraph" w:styleId="BodyText">
    <w:name w:val="Body Text"/>
    <w:basedOn w:val="Normal"/>
    <w:link w:val="BodyTextChar"/>
    <w:uiPriority w:val="99"/>
    <w:rsid w:val="0096028B"/>
    <w:pPr>
      <w:spacing w:after="120" w:line="240" w:lineRule="auto"/>
    </w:pPr>
    <w:rPr>
      <w:rFonts w:ascii="Times New Roman" w:hAnsi="Times New Roman"/>
      <w:sz w:val="20"/>
      <w:szCs w:val="20"/>
      <w:lang w:val="lv-LV" w:eastAsia="lv-LV"/>
    </w:rPr>
  </w:style>
  <w:style w:type="character" w:customStyle="1" w:styleId="BodyTextChar">
    <w:name w:val="Body Text Char"/>
    <w:basedOn w:val="DefaultParagraphFont"/>
    <w:link w:val="BodyText"/>
    <w:uiPriority w:val="99"/>
    <w:semiHidden/>
    <w:locked/>
    <w:rsid w:val="00756AF1"/>
    <w:rPr>
      <w:rFonts w:ascii="Calibri" w:hAnsi="Calibri" w:cs="Times New Roman"/>
      <w:lang w:val="en-US" w:eastAsia="en-US"/>
    </w:rPr>
  </w:style>
  <w:style w:type="paragraph" w:styleId="BodyText2">
    <w:name w:val="Body Text 2"/>
    <w:basedOn w:val="Normal"/>
    <w:link w:val="BodyText2Char"/>
    <w:uiPriority w:val="99"/>
    <w:rsid w:val="0096028B"/>
    <w:pPr>
      <w:spacing w:after="120" w:line="480" w:lineRule="auto"/>
    </w:pPr>
  </w:style>
  <w:style w:type="character" w:customStyle="1" w:styleId="BodyText2Char">
    <w:name w:val="Body Text 2 Char"/>
    <w:basedOn w:val="DefaultParagraphFont"/>
    <w:link w:val="BodyText2"/>
    <w:uiPriority w:val="99"/>
    <w:semiHidden/>
    <w:locked/>
    <w:rsid w:val="00756AF1"/>
    <w:rPr>
      <w:rFonts w:ascii="Calibri" w:hAnsi="Calibri" w:cs="Times New Roman"/>
      <w:lang w:val="en-US" w:eastAsia="en-US"/>
    </w:rPr>
  </w:style>
  <w:style w:type="paragraph" w:styleId="Header">
    <w:name w:val="header"/>
    <w:basedOn w:val="Normal"/>
    <w:link w:val="HeaderChar"/>
    <w:uiPriority w:val="99"/>
    <w:rsid w:val="00052D96"/>
    <w:pPr>
      <w:tabs>
        <w:tab w:val="center" w:pos="4153"/>
        <w:tab w:val="right" w:pos="8306"/>
      </w:tabs>
      <w:spacing w:after="0" w:line="240" w:lineRule="auto"/>
    </w:pPr>
    <w:rPr>
      <w:rFonts w:ascii="Times New Roman" w:hAnsi="Times New Roman"/>
      <w:sz w:val="20"/>
      <w:szCs w:val="20"/>
      <w:lang w:val="lv-LV" w:eastAsia="lv-LV"/>
    </w:rPr>
  </w:style>
  <w:style w:type="character" w:customStyle="1" w:styleId="HeaderChar">
    <w:name w:val="Header Char"/>
    <w:basedOn w:val="DefaultParagraphFont"/>
    <w:link w:val="Header"/>
    <w:uiPriority w:val="99"/>
    <w:semiHidden/>
    <w:locked/>
    <w:rsid w:val="00756AF1"/>
    <w:rPr>
      <w:rFonts w:ascii="Calibri" w:hAnsi="Calibri" w:cs="Times New Roman"/>
      <w:lang w:val="en-US" w:eastAsia="en-US"/>
    </w:rPr>
  </w:style>
  <w:style w:type="character" w:styleId="Hyperlink">
    <w:name w:val="Hyperlink"/>
    <w:basedOn w:val="DefaultParagraphFont"/>
    <w:uiPriority w:val="99"/>
    <w:rsid w:val="00052D96"/>
    <w:rPr>
      <w:rFonts w:cs="Times New Roman"/>
      <w:color w:val="0000FF"/>
      <w:u w:val="single"/>
    </w:rPr>
  </w:style>
  <w:style w:type="paragraph" w:styleId="Footer">
    <w:name w:val="footer"/>
    <w:basedOn w:val="Normal"/>
    <w:link w:val="FooterChar"/>
    <w:uiPriority w:val="99"/>
    <w:rsid w:val="00052D96"/>
    <w:pPr>
      <w:tabs>
        <w:tab w:val="center" w:pos="4153"/>
        <w:tab w:val="right" w:pos="8306"/>
      </w:tabs>
    </w:pPr>
  </w:style>
  <w:style w:type="character" w:customStyle="1" w:styleId="FooterChar">
    <w:name w:val="Footer Char"/>
    <w:basedOn w:val="DefaultParagraphFont"/>
    <w:link w:val="Footer"/>
    <w:uiPriority w:val="99"/>
    <w:locked/>
    <w:rsid w:val="00052D96"/>
    <w:rPr>
      <w:rFonts w:ascii="Calibri" w:hAnsi="Calibri" w:cs="Times New Roman"/>
      <w:sz w:val="22"/>
      <w:szCs w:val="22"/>
      <w:lang w:val="en-US" w:eastAsia="en-US" w:bidi="ar-SA"/>
    </w:rPr>
  </w:style>
  <w:style w:type="character" w:styleId="PageNumber">
    <w:name w:val="page number"/>
    <w:basedOn w:val="DefaultParagraphFont"/>
    <w:uiPriority w:val="99"/>
    <w:rsid w:val="0079492B"/>
    <w:rPr>
      <w:rFonts w:cs="Times New Roman"/>
    </w:rPr>
  </w:style>
  <w:style w:type="paragraph" w:customStyle="1" w:styleId="naisf">
    <w:name w:val="naisf"/>
    <w:basedOn w:val="Normal"/>
    <w:uiPriority w:val="99"/>
    <w:rsid w:val="004B25F0"/>
    <w:pPr>
      <w:spacing w:before="75" w:after="75" w:line="240" w:lineRule="auto"/>
      <w:ind w:firstLine="375"/>
      <w:jc w:val="both"/>
    </w:pPr>
    <w:rPr>
      <w:rFonts w:ascii="Times New Roman" w:hAnsi="Times New Roman"/>
      <w:sz w:val="24"/>
      <w:szCs w:val="24"/>
      <w:lang w:val="lv-LV" w:eastAsia="lv-LV"/>
    </w:rPr>
  </w:style>
  <w:style w:type="paragraph" w:styleId="BalloonText">
    <w:name w:val="Balloon Text"/>
    <w:basedOn w:val="Normal"/>
    <w:link w:val="BalloonTextChar"/>
    <w:uiPriority w:val="99"/>
    <w:semiHidden/>
    <w:rsid w:val="00560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AF1"/>
    <w:rPr>
      <w:rFonts w:cs="Times New Roman"/>
      <w:sz w:val="2"/>
      <w:lang w:val="en-US" w:eastAsia="en-US"/>
    </w:rPr>
  </w:style>
  <w:style w:type="paragraph" w:customStyle="1" w:styleId="naisvisr">
    <w:name w:val="naisvisr"/>
    <w:basedOn w:val="Normal"/>
    <w:uiPriority w:val="99"/>
    <w:rsid w:val="00CC3C30"/>
    <w:pPr>
      <w:spacing w:before="150" w:after="150" w:line="240" w:lineRule="auto"/>
      <w:jc w:val="center"/>
    </w:pPr>
    <w:rPr>
      <w:rFonts w:ascii="Times New Roman" w:hAnsi="Times New Roman"/>
      <w:b/>
      <w:bCs/>
      <w:sz w:val="28"/>
      <w:szCs w:val="28"/>
      <w:lang w:val="lv-LV" w:eastAsia="lv-LV"/>
    </w:rPr>
  </w:style>
  <w:style w:type="character" w:styleId="Strong">
    <w:name w:val="Strong"/>
    <w:basedOn w:val="DefaultParagraphFont"/>
    <w:uiPriority w:val="99"/>
    <w:qFormat/>
    <w:rsid w:val="00437E1A"/>
    <w:rPr>
      <w:rFonts w:cs="Times New Roman"/>
      <w:b/>
      <w:bCs/>
    </w:rPr>
  </w:style>
</w:styles>
</file>

<file path=word/webSettings.xml><?xml version="1.0" encoding="utf-8"?>
<w:webSettings xmlns:r="http://schemas.openxmlformats.org/officeDocument/2006/relationships" xmlns:w="http://schemas.openxmlformats.org/wordprocessingml/2006/main">
  <w:divs>
    <w:div w:id="1008212972">
      <w:marLeft w:val="0"/>
      <w:marRight w:val="0"/>
      <w:marTop w:val="0"/>
      <w:marBottom w:val="0"/>
      <w:divBdr>
        <w:top w:val="none" w:sz="0" w:space="0" w:color="auto"/>
        <w:left w:val="none" w:sz="0" w:space="0" w:color="auto"/>
        <w:bottom w:val="none" w:sz="0" w:space="0" w:color="auto"/>
        <w:right w:val="none" w:sz="0" w:space="0" w:color="auto"/>
      </w:divBdr>
    </w:div>
    <w:div w:id="1008212973">
      <w:marLeft w:val="0"/>
      <w:marRight w:val="0"/>
      <w:marTop w:val="0"/>
      <w:marBottom w:val="0"/>
      <w:divBdr>
        <w:top w:val="none" w:sz="0" w:space="0" w:color="auto"/>
        <w:left w:val="none" w:sz="0" w:space="0" w:color="auto"/>
        <w:bottom w:val="none" w:sz="0" w:space="0" w:color="auto"/>
        <w:right w:val="none" w:sz="0" w:space="0" w:color="auto"/>
      </w:divBdr>
    </w:div>
    <w:div w:id="1008212974">
      <w:marLeft w:val="0"/>
      <w:marRight w:val="0"/>
      <w:marTop w:val="0"/>
      <w:marBottom w:val="0"/>
      <w:divBdr>
        <w:top w:val="none" w:sz="0" w:space="0" w:color="auto"/>
        <w:left w:val="none" w:sz="0" w:space="0" w:color="auto"/>
        <w:bottom w:val="none" w:sz="0" w:space="0" w:color="auto"/>
        <w:right w:val="none" w:sz="0" w:space="0" w:color="auto"/>
      </w:divBdr>
    </w:div>
    <w:div w:id="1008212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js.Sturis@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11</Pages>
  <Words>2017</Words>
  <Characters>15173</Characters>
  <Application>Microsoft Office Outlook</Application>
  <DocSecurity>0</DocSecurity>
  <Lines>0</Lines>
  <Paragraphs>0</Paragraphs>
  <ScaleCrop>false</ScaleCrop>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“Grozījumi Ministru kabineta 2009.gada 3.marta rīkojumā Nr.147</dc:subject>
  <dc:creator>Valērijs Stūris</dc:creator>
  <cp:keywords/>
  <dc:description/>
  <cp:lastModifiedBy>Emīlija Spundzāne</cp:lastModifiedBy>
  <cp:revision>20</cp:revision>
  <cp:lastPrinted>2011-08-03T10:16:00Z</cp:lastPrinted>
  <dcterms:created xsi:type="dcterms:W3CDTF">2011-07-18T07:01:00Z</dcterms:created>
  <dcterms:modified xsi:type="dcterms:W3CDTF">2011-08-03T10:16:00Z</dcterms:modified>
</cp:coreProperties>
</file>