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DD0CE" w14:textId="57283450" w:rsidR="001E639F" w:rsidRDefault="00804D4D" w:rsidP="00A95BE7">
      <w:pPr>
        <w:jc w:val="center"/>
        <w:rPr>
          <w:b/>
          <w:sz w:val="28"/>
          <w:szCs w:val="28"/>
          <w:lang w:eastAsia="en-US"/>
        </w:rPr>
      </w:pPr>
      <w:r w:rsidRPr="00A95BE7">
        <w:rPr>
          <w:b/>
          <w:spacing w:val="-4"/>
          <w:sz w:val="28"/>
          <w:szCs w:val="28"/>
        </w:rPr>
        <w:t xml:space="preserve">Ministru kabineta </w:t>
      </w:r>
      <w:r w:rsidR="001818F5" w:rsidRPr="00A95BE7">
        <w:rPr>
          <w:b/>
          <w:spacing w:val="-4"/>
          <w:sz w:val="28"/>
          <w:szCs w:val="28"/>
        </w:rPr>
        <w:t>noteikumu</w:t>
      </w:r>
      <w:r w:rsidRPr="00A95BE7">
        <w:rPr>
          <w:b/>
          <w:spacing w:val="-4"/>
          <w:sz w:val="28"/>
          <w:szCs w:val="28"/>
        </w:rPr>
        <w:t xml:space="preserve"> projekta </w:t>
      </w:r>
      <w:r w:rsidR="001818F5" w:rsidRPr="00A95BE7">
        <w:rPr>
          <w:b/>
          <w:bCs/>
          <w:sz w:val="28"/>
          <w:szCs w:val="28"/>
        </w:rPr>
        <w:t>"Grozījum</w:t>
      </w:r>
      <w:r w:rsidR="00FE521F">
        <w:rPr>
          <w:b/>
          <w:bCs/>
          <w:sz w:val="28"/>
          <w:szCs w:val="28"/>
        </w:rPr>
        <w:t>s</w:t>
      </w:r>
      <w:r w:rsidR="001818F5" w:rsidRPr="00A95BE7">
        <w:rPr>
          <w:b/>
          <w:bCs/>
          <w:sz w:val="28"/>
          <w:szCs w:val="28"/>
        </w:rPr>
        <w:t xml:space="preserve"> Ministru kabineta </w:t>
      </w:r>
      <w:proofErr w:type="spellStart"/>
      <w:r w:rsidR="001818F5" w:rsidRPr="00A95BE7">
        <w:rPr>
          <w:b/>
          <w:bCs/>
          <w:sz w:val="28"/>
          <w:szCs w:val="28"/>
        </w:rPr>
        <w:t>2009.gada</w:t>
      </w:r>
      <w:proofErr w:type="spellEnd"/>
      <w:r w:rsidR="001818F5" w:rsidRPr="00A95BE7">
        <w:rPr>
          <w:b/>
          <w:bCs/>
          <w:sz w:val="28"/>
          <w:szCs w:val="28"/>
        </w:rPr>
        <w:t xml:space="preserve"> </w:t>
      </w:r>
      <w:proofErr w:type="spellStart"/>
      <w:r w:rsidR="001818F5" w:rsidRPr="00A95BE7">
        <w:rPr>
          <w:b/>
          <w:bCs/>
          <w:sz w:val="28"/>
          <w:szCs w:val="28"/>
        </w:rPr>
        <w:t>13.oktobra</w:t>
      </w:r>
      <w:proofErr w:type="spellEnd"/>
      <w:r w:rsidR="001818F5" w:rsidRPr="00A95BE7">
        <w:rPr>
          <w:b/>
          <w:bCs/>
          <w:sz w:val="28"/>
          <w:szCs w:val="28"/>
        </w:rPr>
        <w:t xml:space="preserve"> noteikumos </w:t>
      </w:r>
      <w:proofErr w:type="spellStart"/>
      <w:r w:rsidR="001818F5" w:rsidRPr="00A95BE7">
        <w:rPr>
          <w:b/>
          <w:bCs/>
          <w:sz w:val="28"/>
          <w:szCs w:val="28"/>
        </w:rPr>
        <w:t>Nr.1178</w:t>
      </w:r>
      <w:proofErr w:type="spellEnd"/>
      <w:r w:rsidR="001818F5" w:rsidRPr="00A95BE7">
        <w:rPr>
          <w:b/>
          <w:bCs/>
          <w:sz w:val="28"/>
          <w:szCs w:val="28"/>
        </w:rPr>
        <w:t xml:space="preserve"> "Attīstības plānošanas dokumentu izstrādes un ietekmes izvērtēšanas noteikumi""</w:t>
      </w:r>
      <w:r w:rsidR="005E2D40" w:rsidRPr="00A95BE7">
        <w:rPr>
          <w:b/>
          <w:sz w:val="28"/>
          <w:szCs w:val="28"/>
          <w:lang w:eastAsia="en-US"/>
        </w:rPr>
        <w:t xml:space="preserve"> </w:t>
      </w:r>
    </w:p>
    <w:p w14:paraId="298F2939" w14:textId="65705AF5" w:rsidR="00804D4D" w:rsidRPr="00A95BE7" w:rsidRDefault="00804D4D" w:rsidP="00A95BE7">
      <w:pPr>
        <w:jc w:val="center"/>
        <w:rPr>
          <w:b/>
          <w:bCs/>
          <w:sz w:val="28"/>
          <w:szCs w:val="28"/>
        </w:rPr>
      </w:pPr>
      <w:r w:rsidRPr="00A95BE7">
        <w:rPr>
          <w:b/>
          <w:spacing w:val="-4"/>
          <w:sz w:val="28"/>
          <w:szCs w:val="28"/>
        </w:rPr>
        <w:t>sākotnējās ietekmes novērtējuma ziņojums (anotācija)</w:t>
      </w:r>
    </w:p>
    <w:p w14:paraId="298F293A" w14:textId="77777777" w:rsidR="00FA338D" w:rsidRPr="007A573E" w:rsidRDefault="00FA338D" w:rsidP="00A95BE7">
      <w:pPr>
        <w:pStyle w:val="naislab"/>
        <w:spacing w:before="0" w:after="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332"/>
        <w:gridCol w:w="6559"/>
      </w:tblGrid>
      <w:tr w:rsidR="00FA338D" w:rsidRPr="00344C35" w14:paraId="298F293C" w14:textId="77777777" w:rsidTr="00670636">
        <w:tc>
          <w:tcPr>
            <w:tcW w:w="9539" w:type="dxa"/>
            <w:gridSpan w:val="3"/>
          </w:tcPr>
          <w:p w14:paraId="298F293B" w14:textId="77777777" w:rsidR="00FA338D" w:rsidRPr="00344C35" w:rsidRDefault="00FA338D" w:rsidP="00A95BE7">
            <w:pPr>
              <w:pStyle w:val="naislab"/>
              <w:spacing w:before="0" w:after="0"/>
              <w:jc w:val="center"/>
              <w:outlineLvl w:val="0"/>
              <w:rPr>
                <w:b/>
              </w:rPr>
            </w:pPr>
            <w:r w:rsidRPr="00344C35">
              <w:rPr>
                <w:b/>
              </w:rPr>
              <w:t>I. Tiesību akta projekta izstrādes nepieciešamība</w:t>
            </w:r>
          </w:p>
        </w:tc>
      </w:tr>
      <w:tr w:rsidR="001C63E8" w:rsidRPr="00344C35" w14:paraId="298F2941" w14:textId="77777777" w:rsidTr="00670636">
        <w:tc>
          <w:tcPr>
            <w:tcW w:w="396" w:type="dxa"/>
          </w:tcPr>
          <w:p w14:paraId="298F293D" w14:textId="77777777" w:rsidR="00FA338D" w:rsidRPr="00344C35" w:rsidRDefault="00FA338D" w:rsidP="00A95BE7">
            <w:pPr>
              <w:pStyle w:val="naislab"/>
              <w:spacing w:before="0" w:after="0"/>
              <w:jc w:val="center"/>
              <w:outlineLvl w:val="0"/>
            </w:pPr>
            <w:r w:rsidRPr="00344C35">
              <w:t>1.</w:t>
            </w:r>
          </w:p>
        </w:tc>
        <w:tc>
          <w:tcPr>
            <w:tcW w:w="2374" w:type="dxa"/>
          </w:tcPr>
          <w:p w14:paraId="298F293E" w14:textId="77777777" w:rsidR="00FA338D" w:rsidRPr="00344C35" w:rsidRDefault="00FA338D" w:rsidP="003A6C38">
            <w:pPr>
              <w:pStyle w:val="naislab"/>
              <w:spacing w:before="0" w:after="0"/>
              <w:jc w:val="left"/>
              <w:outlineLvl w:val="0"/>
            </w:pPr>
            <w:r w:rsidRPr="00344C35">
              <w:t>Pamatojums</w:t>
            </w:r>
          </w:p>
        </w:tc>
        <w:tc>
          <w:tcPr>
            <w:tcW w:w="6769" w:type="dxa"/>
          </w:tcPr>
          <w:p w14:paraId="298F2940" w14:textId="4CF22C91" w:rsidR="000D5EFD" w:rsidRPr="00454480" w:rsidRDefault="004C3DB0" w:rsidP="003A6C38">
            <w:pPr>
              <w:pStyle w:val="naislab"/>
              <w:spacing w:before="0" w:after="0"/>
              <w:jc w:val="both"/>
              <w:rPr>
                <w:bCs/>
              </w:rPr>
            </w:pPr>
            <w:r>
              <w:t xml:space="preserve">Ministru kabineta </w:t>
            </w:r>
            <w:proofErr w:type="spellStart"/>
            <w:r>
              <w:t>2012.gada</w:t>
            </w:r>
            <w:proofErr w:type="spellEnd"/>
            <w:r>
              <w:t xml:space="preserve"> </w:t>
            </w:r>
            <w:proofErr w:type="spellStart"/>
            <w:r>
              <w:t>10.aprīļa</w:t>
            </w:r>
            <w:proofErr w:type="spellEnd"/>
            <w:r>
              <w:t xml:space="preserve"> sēdes </w:t>
            </w:r>
            <w:proofErr w:type="spellStart"/>
            <w:r>
              <w:t>protokollēmuma</w:t>
            </w:r>
            <w:proofErr w:type="spellEnd"/>
            <w:r>
              <w:t xml:space="preserve"> (</w:t>
            </w:r>
            <w:proofErr w:type="spellStart"/>
            <w:r>
              <w:t>Nr.19</w:t>
            </w:r>
            <w:proofErr w:type="spellEnd"/>
            <w:proofErr w:type="gramStart"/>
            <w:r w:rsidR="003A6C38">
              <w:t xml:space="preserve">  </w:t>
            </w:r>
            <w:r>
              <w:t xml:space="preserve"> </w:t>
            </w:r>
            <w:proofErr w:type="gramEnd"/>
            <w:r w:rsidRPr="004C3DB0">
              <w:t>8.§</w:t>
            </w:r>
            <w:r>
              <w:t xml:space="preserve">) </w:t>
            </w:r>
            <w:r w:rsidRPr="004C3DB0">
              <w:t>"Instrukcijas projekts "</w:t>
            </w:r>
            <w:bookmarkStart w:id="0" w:name="_GoBack"/>
            <w:r w:rsidRPr="004C3DB0">
              <w:t>Grozījum</w:t>
            </w:r>
            <w:bookmarkEnd w:id="0"/>
            <w:r w:rsidRPr="004C3DB0">
              <w:t>i Ministru kabineta 2011.gada 4.janvāra instrukcijā Nr.1 "Kārtība, kādā izstrādā un aktualizē institūcijas darbības stratēģiju un novērtē tās ieviešanu"""</w:t>
            </w:r>
            <w:r>
              <w:t xml:space="preserve"> (</w:t>
            </w:r>
            <w:proofErr w:type="spellStart"/>
            <w:r w:rsidRPr="004C3DB0">
              <w:t>TA-802</w:t>
            </w:r>
            <w:r>
              <w:t>)</w:t>
            </w:r>
            <w:proofErr w:type="spellEnd"/>
            <w:r w:rsidR="001818F5">
              <w:t xml:space="preserve"> </w:t>
            </w:r>
            <w:proofErr w:type="spellStart"/>
            <w:r w:rsidR="001818F5">
              <w:t>2.1</w:t>
            </w:r>
            <w:r w:rsidRPr="004C3DB0">
              <w:t>.apakšpunkts</w:t>
            </w:r>
            <w:proofErr w:type="spellEnd"/>
            <w:r w:rsidR="003A6C38">
              <w:t xml:space="preserve">, </w:t>
            </w:r>
            <w:hyperlink r:id="rId9" w:tgtFrame="_blank" w:history="1">
              <w:r w:rsidR="00454480" w:rsidRPr="00122E86">
                <w:rPr>
                  <w:bCs/>
                </w:rPr>
                <w:t>Attīstības plānošanas sistēmas likuma</w:t>
              </w:r>
            </w:hyperlink>
            <w:r w:rsidR="00454480">
              <w:t xml:space="preserve"> </w:t>
            </w:r>
            <w:r w:rsidR="00454480">
              <w:rPr>
                <w:bCs/>
              </w:rPr>
              <w:t>11.panta piektā un sestā daļa</w:t>
            </w:r>
          </w:p>
        </w:tc>
      </w:tr>
      <w:tr w:rsidR="001C63E8" w:rsidRPr="00344C35" w14:paraId="298F294A" w14:textId="77777777" w:rsidTr="00670636">
        <w:tc>
          <w:tcPr>
            <w:tcW w:w="396" w:type="dxa"/>
          </w:tcPr>
          <w:p w14:paraId="298F2942" w14:textId="77777777" w:rsidR="00FA338D" w:rsidRPr="00344C35" w:rsidRDefault="00FA338D" w:rsidP="00A95BE7">
            <w:pPr>
              <w:pStyle w:val="naislab"/>
              <w:spacing w:before="0" w:after="0"/>
              <w:jc w:val="center"/>
              <w:outlineLvl w:val="0"/>
            </w:pPr>
            <w:r w:rsidRPr="00344C35">
              <w:t>2.</w:t>
            </w:r>
          </w:p>
        </w:tc>
        <w:tc>
          <w:tcPr>
            <w:tcW w:w="2374" w:type="dxa"/>
          </w:tcPr>
          <w:p w14:paraId="298F2943" w14:textId="77777777" w:rsidR="00FA338D" w:rsidRPr="00344C35" w:rsidRDefault="00FA338D" w:rsidP="003A6C38">
            <w:pPr>
              <w:pStyle w:val="naislab"/>
              <w:spacing w:before="0" w:after="0"/>
              <w:jc w:val="left"/>
              <w:outlineLvl w:val="0"/>
            </w:pPr>
            <w:r w:rsidRPr="00344C35">
              <w:t>Pašreizējā situācija un problēmas</w:t>
            </w:r>
          </w:p>
        </w:tc>
        <w:tc>
          <w:tcPr>
            <w:tcW w:w="6769" w:type="dxa"/>
          </w:tcPr>
          <w:p w14:paraId="298F2944" w14:textId="483C4627" w:rsidR="00AD2FB7" w:rsidRDefault="00B20919" w:rsidP="00A95BE7">
            <w:pPr>
              <w:jc w:val="both"/>
            </w:pPr>
            <w:r w:rsidRPr="00C34EB8">
              <w:t>Ministru kabinet</w:t>
            </w:r>
            <w:r w:rsidR="00454480" w:rsidRPr="00C34EB8">
              <w:t>a 2009.gada 13.oktobra noteikumi</w:t>
            </w:r>
            <w:r w:rsidRPr="00C34EB8">
              <w:t xml:space="preserve"> Nr.1178 "Attīstības plānošanas dokumentu izstrādes un ietekmes izvērtēšanas noteikumi"</w:t>
            </w:r>
            <w:r w:rsidR="00C34EB8">
              <w:t xml:space="preserve"> (turpmāk </w:t>
            </w:r>
            <w:r w:rsidR="003A6C38">
              <w:t>–</w:t>
            </w:r>
            <w:r w:rsidR="00C34EB8">
              <w:t xml:space="preserve"> noteikumi)</w:t>
            </w:r>
            <w:r w:rsidRPr="00C34EB8">
              <w:t xml:space="preserve"> </w:t>
            </w:r>
            <w:r w:rsidR="00454480" w:rsidRPr="00C34EB8">
              <w:t xml:space="preserve">izstrādāti </w:t>
            </w:r>
            <w:r w:rsidR="00C34EB8" w:rsidRPr="00C34EB8">
              <w:t xml:space="preserve">saskaņā ar Attīstības plānošanas sistēmas likumā doto pilnvarojumu Ministru kabinetam </w:t>
            </w:r>
            <w:r w:rsidR="00C34EB8" w:rsidRPr="00C34EB8">
              <w:rPr>
                <w:color w:val="000000"/>
                <w:shd w:val="clear" w:color="auto" w:fill="FFFFFF"/>
              </w:rPr>
              <w:t>noteikt visu līmeņu, veidu un termiņu attīstības plānošanas dokumentus, tajos ietveramo saturu, to izstrādāšanas, apstiprināšanas, aktualizācijas, spēka zaudēšanas kārtību un darbības termiņu, kā arī attiecīgo pārskatu sniegšanas un sabiedrības līdzdalības kārtību.</w:t>
            </w:r>
            <w:r w:rsidR="00C34EB8">
              <w:t xml:space="preserve"> </w:t>
            </w:r>
            <w:r w:rsidR="00C34EB8">
              <w:rPr>
                <w:color w:val="000000"/>
                <w:shd w:val="clear" w:color="auto" w:fill="FFFFFF"/>
              </w:rPr>
              <w:t>Līdz ar to n</w:t>
            </w:r>
            <w:r w:rsidR="00C34EB8" w:rsidRPr="00C34EB8">
              <w:rPr>
                <w:color w:val="000000"/>
                <w:shd w:val="clear" w:color="auto" w:fill="FFFFFF"/>
              </w:rPr>
              <w:t xml:space="preserve">oteikumi nosaka attīstības plānošanas dokumentos – visu līmeņu, veidu un termiņu politikas </w:t>
            </w:r>
            <w:r w:rsidR="003A6C38">
              <w:t xml:space="preserve">plānošanas </w:t>
            </w:r>
            <w:r w:rsidR="00C34EB8" w:rsidRPr="00F17B76">
              <w:t xml:space="preserve">dokumentos un institūciju vadības dokumentos – ietveramo saturu, </w:t>
            </w:r>
            <w:r w:rsidR="00B00523">
              <w:t>dokumentu</w:t>
            </w:r>
            <w:r w:rsidR="00C34EB8" w:rsidRPr="00F17B76">
              <w:t xml:space="preserve"> izstrādāšanas, apstiprināšanas, aktualizācijas un spēka zaudēšanas kārtību, darbības termiņu un pārskatu sniegšanas kārtību, kā arī to ietekmes novērtēšanas kārtību (izņemot stratēģisko ietekmes uz vidi novērtējumu). </w:t>
            </w:r>
          </w:p>
          <w:p w14:paraId="298F2945" w14:textId="7FE2977B" w:rsidR="009C1712" w:rsidRDefault="00C34EB8" w:rsidP="00A95BE7">
            <w:pPr>
              <w:jc w:val="both"/>
            </w:pPr>
            <w:r>
              <w:t>Attiecībā uz institūciju vadība</w:t>
            </w:r>
            <w:r w:rsidR="00F17B76">
              <w:t>s dokumentu izstrādi un saturu</w:t>
            </w:r>
            <w:r>
              <w:t xml:space="preserve"> noteikumi nosaka</w:t>
            </w:r>
            <w:r w:rsidR="00B00523">
              <w:t>,</w:t>
            </w:r>
            <w:r>
              <w:t xml:space="preserve"> </w:t>
            </w:r>
            <w:r w:rsidR="00B00523">
              <w:t>ka</w:t>
            </w:r>
            <w:r w:rsidR="00F17B76">
              <w:t xml:space="preserve"> </w:t>
            </w:r>
            <w:r w:rsidR="00F17B76" w:rsidRPr="00F17B76">
              <w:t>i</w:t>
            </w:r>
            <w:r w:rsidRPr="00F17B76">
              <w:t>nstitūciju vadības dokumenti ir institūcijas darbības stratēģija un gada darba plāns</w:t>
            </w:r>
            <w:bookmarkStart w:id="1" w:name="p23"/>
            <w:bookmarkEnd w:id="1"/>
            <w:r w:rsidR="00B00523">
              <w:t>.</w:t>
            </w:r>
            <w:r w:rsidR="00F17B76" w:rsidRPr="00F17B76">
              <w:t xml:space="preserve"> </w:t>
            </w:r>
            <w:r w:rsidR="00B00523">
              <w:t>I</w:t>
            </w:r>
            <w:r w:rsidRPr="00F17B76">
              <w:t>nstitūcijas darbības stratēģija nodrošina tiešās pārvaldes institūcijas darbības plānošanu tās kompetencē esošajās politikas nozarēs atbilstoši attiecīgajā nozarē apstiprinātiem attīstības plānošanas dokumentiem, tiesību aktiem un plānotajam institūcijas valsts budžeta izdevumu kopapjomam vidējam termiņam (trīs gadi)</w:t>
            </w:r>
            <w:bookmarkStart w:id="2" w:name="p24"/>
            <w:bookmarkEnd w:id="2"/>
            <w:r w:rsidR="00F17B76" w:rsidRPr="00F17B76">
              <w:t>, savukārt institūcijas gada darba plānu izstrādā attiecīgās institūcijas darbības stratēģijas īstenošanai, politisko vadlīniju dokumentu un citu uzdevumu izpildei</w:t>
            </w:r>
            <w:r w:rsidR="00F17B76">
              <w:t xml:space="preserve"> un t</w:t>
            </w:r>
            <w:r w:rsidR="00F17B76" w:rsidRPr="00F17B76">
              <w:t xml:space="preserve">ajā ietver konkrētajā gadā veicamos uzdevumus un pasākumus, to izpildes termiņus un atbildīgās struktūrvienības vai amatpersonas. </w:t>
            </w:r>
            <w:r w:rsidR="00F17B76">
              <w:t>Noteikumi nosaka arī darbības stratēģijas un gada darba plāna apstiprināšanas kārtību, paredzot, ka m</w:t>
            </w:r>
            <w:r w:rsidRPr="00F17B76">
              <w:t>inistriju, īpašu uzdevumu ministra sekretariātu un Valsts kancelejas darbības stratēģiju apstiprina Ministru kabinets</w:t>
            </w:r>
            <w:r w:rsidR="00F17B76">
              <w:t xml:space="preserve">, </w:t>
            </w:r>
            <w:r w:rsidRPr="00F17B76">
              <w:t>Ministru kabineta locekļa padotības iestādes vai ministrijas padotības iestādes darbības stratēģiju apstiprina attiecīgais Ministru kabineta loceklis, ja normatīvajos aktos nav no</w:t>
            </w:r>
            <w:r w:rsidR="00F17B76">
              <w:t>teikts citādi, c</w:t>
            </w:r>
            <w:r w:rsidRPr="00F17B76">
              <w:t>itas institūcijas darbības stratēģiju a</w:t>
            </w:r>
            <w:r w:rsidR="00F17B76">
              <w:t>pstiprina tās lēmējinstitūcija un</w:t>
            </w:r>
            <w:proofErr w:type="gramStart"/>
            <w:r w:rsidR="00F17B76">
              <w:t>, savukārt,</w:t>
            </w:r>
            <w:proofErr w:type="gramEnd"/>
            <w:r w:rsidR="00F17B76">
              <w:t xml:space="preserve"> i</w:t>
            </w:r>
            <w:r w:rsidR="00F17B76" w:rsidRPr="00F17B76">
              <w:t xml:space="preserve">nstitūcijas gada darba plānu un tā izpildes pārskatu apstiprina institūcijas vadītājs, ja normatīvajos </w:t>
            </w:r>
            <w:r w:rsidR="00F17B76" w:rsidRPr="00F17B76">
              <w:lastRenderedPageBreak/>
              <w:t>aktos nav noteikts citādi.</w:t>
            </w:r>
            <w:r w:rsidR="00F17B76">
              <w:t xml:space="preserve"> </w:t>
            </w:r>
            <w:r w:rsidR="00B00523">
              <w:t>Turklāt</w:t>
            </w:r>
            <w:r w:rsidR="00F17B76">
              <w:t xml:space="preserve"> noteikumos dots pilnvarojums Ministru kabinetam pieņemt instrukciju, kurā būtu noteikts </w:t>
            </w:r>
            <w:bookmarkStart w:id="3" w:name="p25"/>
            <w:bookmarkEnd w:id="3"/>
            <w:r w:rsidR="00F17B76">
              <w:t>i</w:t>
            </w:r>
            <w:r w:rsidRPr="00F17B76">
              <w:t>nstitūc</w:t>
            </w:r>
            <w:r w:rsidR="00F17B76">
              <w:t>ijas darbības stratēģijas saturs, kā arī kārtība</w:t>
            </w:r>
            <w:r w:rsidRPr="00F17B76">
              <w:t>, kādā to izstrādā, aktualizē un novērtē tās ieviešanu</w:t>
            </w:r>
            <w:bookmarkStart w:id="4" w:name="p26"/>
            <w:bookmarkStart w:id="5" w:name="p27"/>
            <w:bookmarkEnd w:id="4"/>
            <w:bookmarkEnd w:id="5"/>
            <w:r w:rsidR="00B00523">
              <w:t>.</w:t>
            </w:r>
            <w:r w:rsidR="009C1712">
              <w:t xml:space="preserve"> Ministru kabinets šo pilnvarojumu izpildījis </w:t>
            </w:r>
            <w:proofErr w:type="spellStart"/>
            <w:r w:rsidR="009C1712">
              <w:t>2011.gada</w:t>
            </w:r>
            <w:proofErr w:type="spellEnd"/>
            <w:r w:rsidR="009C1712">
              <w:t xml:space="preserve"> </w:t>
            </w:r>
            <w:proofErr w:type="spellStart"/>
            <w:r w:rsidR="009C1712">
              <w:t>4.janvārī</w:t>
            </w:r>
            <w:proofErr w:type="spellEnd"/>
            <w:r w:rsidR="003A6C38">
              <w:t>,</w:t>
            </w:r>
            <w:r w:rsidR="009C1712" w:rsidRPr="00344C35">
              <w:t xml:space="preserve"> </w:t>
            </w:r>
            <w:r w:rsidR="009C1712">
              <w:t>pieņemot</w:t>
            </w:r>
            <w:r w:rsidR="009C1712" w:rsidRPr="00344C35">
              <w:t xml:space="preserve"> </w:t>
            </w:r>
            <w:r w:rsidR="009C1712">
              <w:t xml:space="preserve">instrukciju </w:t>
            </w:r>
            <w:proofErr w:type="spellStart"/>
            <w:r w:rsidR="009C1712">
              <w:t>Nr.1</w:t>
            </w:r>
            <w:proofErr w:type="spellEnd"/>
            <w:r w:rsidR="009C1712" w:rsidRPr="00344C35">
              <w:t xml:space="preserve"> "Kārtība, kādā izstrādā un aktualizē institūcijas darbības stratēģiju un novērtē tās ie</w:t>
            </w:r>
            <w:r w:rsidR="009C1712">
              <w:t xml:space="preserve">viešanu" (turpmāk </w:t>
            </w:r>
            <w:r w:rsidR="003A6C38">
              <w:t>–</w:t>
            </w:r>
            <w:r w:rsidR="009C1712">
              <w:t xml:space="preserve"> instrukcija). Instrukcijas</w:t>
            </w:r>
            <w:r w:rsidR="009C1712" w:rsidRPr="00344C35">
              <w:t xml:space="preserve"> noslēguma jautājumos </w:t>
            </w:r>
            <w:r w:rsidR="009C1712">
              <w:t xml:space="preserve">sākotnēji bija </w:t>
            </w:r>
            <w:r w:rsidR="009C1712" w:rsidRPr="00344C35">
              <w:t xml:space="preserve">noteikts, ka nākamais plānošanas cikls ilgst no </w:t>
            </w:r>
            <w:proofErr w:type="spellStart"/>
            <w:r w:rsidR="009C1712" w:rsidRPr="00344C35">
              <w:t>2012.</w:t>
            </w:r>
            <w:r w:rsidR="003A6C38">
              <w:t>gada</w:t>
            </w:r>
            <w:proofErr w:type="spellEnd"/>
            <w:r w:rsidR="009C1712" w:rsidRPr="00344C35">
              <w:t xml:space="preserve"> līdz </w:t>
            </w:r>
            <w:proofErr w:type="spellStart"/>
            <w:r w:rsidR="009C1712" w:rsidRPr="00344C35">
              <w:t>2014.gadam</w:t>
            </w:r>
            <w:proofErr w:type="spellEnd"/>
            <w:r w:rsidR="009C1712" w:rsidRPr="00344C35">
              <w:t>, bet stratēģiju projektus izskatīšanai Ministru kabinetā iesniedz līdz 2012.gada 1.martam.</w:t>
            </w:r>
            <w:r w:rsidR="009C1712">
              <w:t xml:space="preserve"> </w:t>
            </w:r>
          </w:p>
          <w:p w14:paraId="298F2946" w14:textId="3E22138A" w:rsidR="00011A13" w:rsidRDefault="009C1712" w:rsidP="00A95BE7">
            <w:pPr>
              <w:jc w:val="both"/>
            </w:pPr>
            <w:r w:rsidRPr="00344C35">
              <w:t>T</w:t>
            </w:r>
            <w:r w:rsidR="001E639F">
              <w:t>aču ņemot vērā</w:t>
            </w:r>
            <w:r w:rsidRPr="00344C35">
              <w:t xml:space="preserve">, ka sakarā ar ārkārtas 11.Saeimas vēlēšanām likums </w:t>
            </w:r>
            <w:r w:rsidR="000076F9" w:rsidRPr="004C3DB0">
              <w:t>"</w:t>
            </w:r>
            <w:r w:rsidRPr="00344C35">
              <w:t>Par valsts budžetu 2012.gadam</w:t>
            </w:r>
            <w:r w:rsidR="000076F9" w:rsidRPr="004C3DB0">
              <w:t>"</w:t>
            </w:r>
            <w:r w:rsidRPr="00344C35">
              <w:t xml:space="preserve"> tika apstiprināts tikai 2011.gada 15.decembrī, in</w:t>
            </w:r>
            <w:r w:rsidR="00725E34">
              <w:t>stitūcijas to darbības stratēģiju 2012.</w:t>
            </w:r>
            <w:r w:rsidR="003A6C38">
              <w:t>–</w:t>
            </w:r>
            <w:proofErr w:type="spellStart"/>
            <w:r w:rsidR="00725E34">
              <w:t>2014.gadam</w:t>
            </w:r>
            <w:proofErr w:type="spellEnd"/>
            <w:r w:rsidR="00725E34">
              <w:t xml:space="preserve"> </w:t>
            </w:r>
            <w:r w:rsidRPr="00344C35">
              <w:t>izstrādi nevarēja uzsākt lai</w:t>
            </w:r>
            <w:r w:rsidR="003A6C38">
              <w:t>kus</w:t>
            </w:r>
            <w:r w:rsidRPr="00344C35">
              <w:t xml:space="preserve">. Papildus </w:t>
            </w:r>
            <w:r w:rsidRPr="00344C35">
              <w:rPr>
                <w:rFonts w:eastAsia="Calibri"/>
              </w:rPr>
              <w:t>2012.gada 1.janvārī stājās spēkā grozījumi Likumā par budžeta un finanšu vadību, kas paredz, ka f</w:t>
            </w:r>
            <w:r w:rsidRPr="00344C35">
              <w:t>inanšu ministrs ir atbildīgs par vidēja termiņa budžeta ietvara likuma projekta, gadskārtējā valsts budžeta likuma projekta (budžeta likumprojektu paketes) un tam pievienojamo paskaidrojumu izstrādāšanu</w:t>
            </w:r>
            <w:r w:rsidRPr="00344C35">
              <w:rPr>
                <w:rFonts w:eastAsia="Calibri"/>
              </w:rPr>
              <w:t>. Likums nosaka, ka f</w:t>
            </w:r>
            <w:r w:rsidRPr="00344C35">
              <w:t>inanšu ministrs katru gadu izstrādā vidēja termiņa budžeta ietvara likuma projektu nākamajiem tri</w:t>
            </w:r>
            <w:r w:rsidR="003A6C38">
              <w:t>jie</w:t>
            </w:r>
            <w:r w:rsidRPr="00344C35">
              <w:t>m saimnieciskajiem gadiem un iesniedz to Ministru kabinet</w:t>
            </w:r>
            <w:r w:rsidR="003A6C38">
              <w:t>ā</w:t>
            </w:r>
            <w:r w:rsidRPr="00344C35">
              <w:t xml:space="preserve">, nosakot maksimāli pieļaujamo valsts budžeta izdevumu kopapjomu, kā arī maksimāli pieļaujamo valsts budžeta kopējo izdevumu apjomu katrai ministrijai un citai centrālajai valsts iestādei. Saskaņā ar Likuma par budžetu un finanšu vadību pārejas noteikumu </w:t>
            </w:r>
            <w:proofErr w:type="spellStart"/>
            <w:r w:rsidRPr="00344C35">
              <w:t>62.punktu</w:t>
            </w:r>
            <w:proofErr w:type="spellEnd"/>
            <w:r w:rsidRPr="00344C35">
              <w:t xml:space="preserve"> līdz </w:t>
            </w:r>
            <w:proofErr w:type="spellStart"/>
            <w:r w:rsidRPr="00344C35">
              <w:t>2012.gada</w:t>
            </w:r>
            <w:proofErr w:type="spellEnd"/>
            <w:r w:rsidRPr="00344C35">
              <w:t xml:space="preserve"> </w:t>
            </w:r>
            <w:proofErr w:type="spellStart"/>
            <w:r w:rsidRPr="00344C35">
              <w:t>1.oktobrim</w:t>
            </w:r>
            <w:proofErr w:type="spellEnd"/>
            <w:r w:rsidRPr="00344C35">
              <w:t xml:space="preserve"> kopā ar likum</w:t>
            </w:r>
            <w:r w:rsidR="00B00523" w:rsidRPr="00344C35">
              <w:t>projektu</w:t>
            </w:r>
            <w:r w:rsidR="00B00523" w:rsidRPr="004C3DB0">
              <w:t xml:space="preserve"> </w:t>
            </w:r>
            <w:r w:rsidR="000076F9" w:rsidRPr="004C3DB0">
              <w:t>"</w:t>
            </w:r>
            <w:r w:rsidRPr="00344C35">
              <w:t xml:space="preserve">Par valsts budžetu </w:t>
            </w:r>
            <w:proofErr w:type="spellStart"/>
            <w:r w:rsidRPr="00344C35">
              <w:t>2013.gadam</w:t>
            </w:r>
            <w:proofErr w:type="spellEnd"/>
            <w:r w:rsidR="000076F9" w:rsidRPr="004C3DB0">
              <w:t>"</w:t>
            </w:r>
            <w:r w:rsidRPr="00344C35">
              <w:t xml:space="preserve"> (budžeta likumpr</w:t>
            </w:r>
            <w:r w:rsidR="00B4345C">
              <w:t>ojektu paketē) Ministru kabinetam bija jāiesniedz</w:t>
            </w:r>
            <w:r w:rsidRPr="00344C35">
              <w:t xml:space="preserve"> Saeim</w:t>
            </w:r>
            <w:r w:rsidR="003A6C38">
              <w:t>ā</w:t>
            </w:r>
            <w:r w:rsidRPr="00344C35">
              <w:t xml:space="preserve"> Vidēja termiņa budžeta ietvara likuma 2013.</w:t>
            </w:r>
            <w:r w:rsidR="003A6C38">
              <w:t>–</w:t>
            </w:r>
            <w:proofErr w:type="spellStart"/>
            <w:r w:rsidRPr="00344C35">
              <w:t>2015.gadam</w:t>
            </w:r>
            <w:proofErr w:type="spellEnd"/>
            <w:r w:rsidRPr="00344C35">
              <w:t xml:space="preserve"> projekt</w:t>
            </w:r>
            <w:r w:rsidR="003A6C38">
              <w:t>s</w:t>
            </w:r>
            <w:r w:rsidRPr="00344C35">
              <w:t xml:space="preserve">, kurš būtu uzskatāms par pamatu finansējuma norādīšanai institūcijas darbības stratēģijā </w:t>
            </w:r>
            <w:proofErr w:type="spellStart"/>
            <w:r w:rsidRPr="00344C35">
              <w:t>2013.</w:t>
            </w:r>
            <w:r w:rsidR="003A6C38">
              <w:t>gadam</w:t>
            </w:r>
            <w:proofErr w:type="spellEnd"/>
            <w:r w:rsidRPr="00344C35">
              <w:t xml:space="preserve"> un turpmāk</w:t>
            </w:r>
            <w:r w:rsidR="003A6C38">
              <w:t>aj</w:t>
            </w:r>
            <w:r w:rsidRPr="00344C35">
              <w:t>iem gadiem. Savukārt turpmāk saskaņā ar Likuma par budžetu un finanšu vadību 16.</w:t>
            </w:r>
            <w:r w:rsidR="003A6C38" w:rsidRPr="00344C35">
              <w:rPr>
                <w:vertAlign w:val="superscript"/>
              </w:rPr>
              <w:t>2</w:t>
            </w:r>
            <w:r w:rsidR="003A6C38">
              <w:rPr>
                <w:vertAlign w:val="superscript"/>
              </w:rPr>
              <w:t> </w:t>
            </w:r>
            <w:r w:rsidRPr="00344C35">
              <w:t xml:space="preserve">panta </w:t>
            </w:r>
            <w:r>
              <w:t>desmito daļu</w:t>
            </w:r>
            <w:r w:rsidRPr="00344C35">
              <w:t xml:space="preserve"> Ministru kabinetam Vidēja termiņa budžeta ietvara likumprojekts tri</w:t>
            </w:r>
            <w:r w:rsidR="003A6C38">
              <w:t>jie</w:t>
            </w:r>
            <w:r w:rsidRPr="00344C35">
              <w:t>m turpmākajiem gadiem jāiesniedz Saeim</w:t>
            </w:r>
            <w:r w:rsidR="003A6C38">
              <w:t>ā</w:t>
            </w:r>
            <w:r w:rsidRPr="00344C35">
              <w:t xml:space="preserve"> līdz kārtējā gada </w:t>
            </w:r>
            <w:proofErr w:type="spellStart"/>
            <w:r>
              <w:t>15.maijam</w:t>
            </w:r>
            <w:proofErr w:type="spellEnd"/>
            <w:r>
              <w:t xml:space="preserve"> (iepriekš </w:t>
            </w:r>
            <w:r w:rsidR="00B00523">
              <w:t xml:space="preserve">– līdz </w:t>
            </w:r>
            <w:proofErr w:type="spellStart"/>
            <w:r>
              <w:t>30.aprīlim</w:t>
            </w:r>
            <w:proofErr w:type="spellEnd"/>
            <w:r>
              <w:t>, grozījumi termiņā i</w:t>
            </w:r>
            <w:r w:rsidRPr="00EC0300">
              <w:t>zdarīti ar 15.11.2012. likumu, kas stāj</w:t>
            </w:r>
            <w:r w:rsidR="00406B35">
              <w:t>ā</w:t>
            </w:r>
            <w:r w:rsidRPr="00EC0300">
              <w:t>s spēkā 01.01.2013</w:t>
            </w:r>
            <w:r w:rsidR="003A6C38">
              <w:t>.</w:t>
            </w:r>
            <w:r>
              <w:t xml:space="preserve">), savukārt </w:t>
            </w:r>
            <w:r w:rsidRPr="00344C35">
              <w:t>saskaņā ar</w:t>
            </w:r>
            <w:r>
              <w:t xml:space="preserve"> </w:t>
            </w:r>
            <w:proofErr w:type="spellStart"/>
            <w:r>
              <w:t>21</w:t>
            </w:r>
            <w:r w:rsidRPr="00344C35">
              <w:t>.panta</w:t>
            </w:r>
            <w:proofErr w:type="spellEnd"/>
            <w:r w:rsidRPr="00344C35">
              <w:t xml:space="preserve"> </w:t>
            </w:r>
            <w:r>
              <w:t>pirmo daļu nāk</w:t>
            </w:r>
            <w:r w:rsidR="003A6C38">
              <w:t>am</w:t>
            </w:r>
            <w:r>
              <w:t xml:space="preserve">ā gada budžeta projektu Ministru kabinetam Saeimā jāiesniedz līdz kārtējā gada 1.oktobrim. </w:t>
            </w:r>
          </w:p>
          <w:p w14:paraId="298F2947" w14:textId="6C1D02C2" w:rsidR="00725E34" w:rsidRDefault="001B31ED" w:rsidP="00A95BE7">
            <w:pPr>
              <w:jc w:val="both"/>
            </w:pPr>
            <w:r>
              <w:t>Ņemot vērā minēto</w:t>
            </w:r>
            <w:r w:rsidR="003A6C38">
              <w:t>,</w:t>
            </w:r>
            <w:r>
              <w:t xml:space="preserve"> Ministru kabinets </w:t>
            </w:r>
            <w:proofErr w:type="spellStart"/>
            <w:r w:rsidR="00B00523">
              <w:t>2012.gada</w:t>
            </w:r>
            <w:proofErr w:type="spellEnd"/>
            <w:r w:rsidR="00B00523">
              <w:t xml:space="preserve"> </w:t>
            </w:r>
            <w:proofErr w:type="spellStart"/>
            <w:r w:rsidR="00B00523">
              <w:t>10.aprīlī</w:t>
            </w:r>
            <w:proofErr w:type="spellEnd"/>
            <w:r w:rsidR="00B00523">
              <w:t xml:space="preserve"> </w:t>
            </w:r>
            <w:r>
              <w:t xml:space="preserve">apstiprināja Valsts kancelejas sagatavotos grozījumus </w:t>
            </w:r>
            <w:r w:rsidRPr="001B31ED">
              <w:t>instrukcijā</w:t>
            </w:r>
            <w:r>
              <w:t>, paredzot, ka tiek mainīts plānošanas cikls, kuram jāizstrādā institūcijas darbības stratēģija – saskaņā ar grozījumiem, stratēģija tiktu izstrādāta 2013.</w:t>
            </w:r>
            <w:r w:rsidR="003A6C38">
              <w:t>–</w:t>
            </w:r>
            <w:proofErr w:type="spellStart"/>
            <w:r>
              <w:t>2015.gadam</w:t>
            </w:r>
            <w:proofErr w:type="spellEnd"/>
            <w:r>
              <w:t xml:space="preserve"> un </w:t>
            </w:r>
            <w:r w:rsidR="00EC0300">
              <w:t xml:space="preserve">tiktu iesniegta izskatīšanai Ministru kabinetā līdz 2013.gada 30.aprīlim. </w:t>
            </w:r>
            <w:r w:rsidR="00A12F05">
              <w:t>P</w:t>
            </w:r>
            <w:r w:rsidR="00EC0300">
              <w:t xml:space="preserve">apildus ar Ministru kabineta sēdes </w:t>
            </w:r>
            <w:proofErr w:type="spellStart"/>
            <w:r w:rsidR="00EC0300">
              <w:t>protokollēmuma</w:t>
            </w:r>
            <w:proofErr w:type="spellEnd"/>
            <w:r w:rsidR="00EC0300">
              <w:t xml:space="preserve"> (</w:t>
            </w:r>
            <w:proofErr w:type="spellStart"/>
            <w:r w:rsidR="00EC0300">
              <w:t>Nr.19</w:t>
            </w:r>
            <w:proofErr w:type="spellEnd"/>
            <w:proofErr w:type="gramStart"/>
            <w:r w:rsidR="00EC0300">
              <w:t xml:space="preserve"> </w:t>
            </w:r>
            <w:r w:rsidR="003A6C38">
              <w:t xml:space="preserve">  </w:t>
            </w:r>
            <w:proofErr w:type="gramEnd"/>
            <w:r w:rsidR="00EC0300" w:rsidRPr="004C3DB0">
              <w:t>8.§</w:t>
            </w:r>
            <w:r w:rsidR="00EC0300">
              <w:t xml:space="preserve">) </w:t>
            </w:r>
            <w:r w:rsidR="00EC0300" w:rsidRPr="004C3DB0">
              <w:t xml:space="preserve">"Instrukcijas projekts "Grozījumi Ministru kabineta 2011.gada 4.janvāra instrukcijā Nr.1 "Kārtība, kādā izstrādā un aktualizē </w:t>
            </w:r>
            <w:r w:rsidR="00EC0300" w:rsidRPr="004C3DB0">
              <w:lastRenderedPageBreak/>
              <w:t>institūcijas darbības stratēģiju un novērtē tās ieviešanu"""</w:t>
            </w:r>
            <w:r w:rsidR="00EC0300">
              <w:t xml:space="preserve"> (</w:t>
            </w:r>
            <w:r w:rsidR="00EC0300" w:rsidRPr="004C3DB0">
              <w:t>TA-802</w:t>
            </w:r>
            <w:r w:rsidR="00EC0300">
              <w:t>)</w:t>
            </w:r>
            <w:r w:rsidR="00EC0300" w:rsidRPr="004C3DB0">
              <w:t xml:space="preserve"> </w:t>
            </w:r>
            <w:r w:rsidR="00EC0300">
              <w:t xml:space="preserve">2.punktu tika noteikts, ka </w:t>
            </w:r>
            <w:r w:rsidR="00A12F05" w:rsidRPr="00A12F05">
              <w:t xml:space="preserve">Valsts kancelejai četru mēnešu laikā pēc likumprojekta "Par vidēja termiņa budžeta ietvara likuma 2013.–2015.gadam" pieņemšanas Saeimā </w:t>
            </w:r>
            <w:r w:rsidR="00A12F05">
              <w:t>jāsagatavo</w:t>
            </w:r>
            <w:r w:rsidR="00A12F05" w:rsidRPr="00A12F05">
              <w:t xml:space="preserve"> un </w:t>
            </w:r>
            <w:r w:rsidR="00A12F05">
              <w:t xml:space="preserve">jāiesniedz </w:t>
            </w:r>
            <w:r w:rsidR="00A12F05" w:rsidRPr="00A12F05">
              <w:t>izskatīšanai Ministru kabinetā</w:t>
            </w:r>
            <w:r w:rsidR="00A12F05">
              <w:t xml:space="preserve">, pirmkārt, </w:t>
            </w:r>
            <w:r w:rsidR="00A12F05" w:rsidRPr="00A12F05">
              <w:t>tiesību akta projekt</w:t>
            </w:r>
            <w:r w:rsidR="001E639F">
              <w:t>s</w:t>
            </w:r>
            <w:r w:rsidR="00A12F05" w:rsidRPr="00A12F05">
              <w:t xml:space="preserve"> par grozījumiem Ministru kabineta 2009.gada 13.oktobra noteikumos Nr.1178 "Attīstības plānošanas dokumentu izstrādes un ietekmes izvērtēšanas noteikumi", paredzot, ka Ministru kabineta loceklis apstiprina ministrijas, kā arī padotības iestādes un ministrijas padotības iestādes darbības stratēģiju, ja normatīvajos aktos nav noteikts citādi</w:t>
            </w:r>
            <w:r w:rsidR="00406B35">
              <w:t>, un ka</w:t>
            </w:r>
            <w:r w:rsidR="00A12F05" w:rsidRPr="00A12F05">
              <w:t xml:space="preserve"> Valsts kancelejas, Valsts administrācijas skolas, Korupcijas novēršanas un apkarošanas biroja un </w:t>
            </w:r>
            <w:proofErr w:type="spellStart"/>
            <w:r w:rsidR="00A12F05" w:rsidRPr="00A12F05">
              <w:t>Pārresoru</w:t>
            </w:r>
            <w:proofErr w:type="spellEnd"/>
            <w:r w:rsidR="00A12F05" w:rsidRPr="00A12F05">
              <w:t xml:space="preserve"> koordinācijas centra darbības stratēģiju apstiprina Ministru prezidents</w:t>
            </w:r>
            <w:r w:rsidR="00406B35">
              <w:t>,</w:t>
            </w:r>
            <w:r w:rsidR="00A12F05">
              <w:t xml:space="preserve"> un, otrkārt, </w:t>
            </w:r>
            <w:r w:rsidR="00A12F05" w:rsidRPr="00A12F05">
              <w:t>tiesību akta projekt</w:t>
            </w:r>
            <w:r w:rsidR="001E639F">
              <w:t>s</w:t>
            </w:r>
            <w:r w:rsidR="00A12F05" w:rsidRPr="00A12F05">
              <w:t xml:space="preserve"> par grozījumiem Ministru kabineta 2011.gada 4.janvāra instrukcijā Nr.1 "Kārtība, kādā izstrādā un aktualizē institūcijas darbības stratēģiju un novērtē tās ieviešanu". </w:t>
            </w:r>
          </w:p>
          <w:p w14:paraId="298F2948" w14:textId="111EDC00" w:rsidR="00725E34" w:rsidRDefault="00725E34" w:rsidP="00A95BE7">
            <w:pPr>
              <w:jc w:val="both"/>
            </w:pPr>
            <w:r>
              <w:t>Tiesību akta projekta</w:t>
            </w:r>
            <w:r w:rsidRPr="00A12F05">
              <w:t xml:space="preserve"> par grozījumiem Ministru kabineta 2009.gada 13.oktobra noteikumos Nr.1178 "Attīstības plānošanas dokumentu izstrādes un ietekmes izvērtēšanas noteikumi"</w:t>
            </w:r>
            <w:r w:rsidR="00031834">
              <w:t xml:space="preserve"> attiecībā uz institūciju darbības stratēģiju apstiprināšanas kārtību</w:t>
            </w:r>
            <w:r>
              <w:t xml:space="preserve"> izstrādes nepieciešamību pamato </w:t>
            </w:r>
            <w:r w:rsidR="006229BF">
              <w:t xml:space="preserve">ieviestās </w:t>
            </w:r>
            <w:r w:rsidR="00031834">
              <w:t xml:space="preserve">izmaiņas valsts budžeta plānošanā </w:t>
            </w:r>
            <w:r w:rsidR="001C63E8">
              <w:t>(</w:t>
            </w:r>
            <w:r w:rsidR="00031834">
              <w:t xml:space="preserve">vidēja termiņa </w:t>
            </w:r>
            <w:r w:rsidR="001C63E8">
              <w:t xml:space="preserve">budžeta </w:t>
            </w:r>
            <w:r w:rsidR="00031834">
              <w:t>plānošan</w:t>
            </w:r>
            <w:r w:rsidR="001C63E8">
              <w:t>a)</w:t>
            </w:r>
            <w:r w:rsidR="00031834">
              <w:t xml:space="preserve"> – ņemot vērā, ka ministrijas sagatavo valsts budžeta līdzekļu pieprasījumu</w:t>
            </w:r>
            <w:r w:rsidR="005A449C">
              <w:t>s</w:t>
            </w:r>
            <w:r w:rsidR="00031834">
              <w:t xml:space="preserve"> tr</w:t>
            </w:r>
            <w:r w:rsidR="00406B35">
              <w:t>iju</w:t>
            </w:r>
            <w:r w:rsidR="00031834">
              <w:t xml:space="preserve"> gadu periodam, kas tiek skatīti Ministru kabinet</w:t>
            </w:r>
            <w:r w:rsidR="00201828">
              <w:t xml:space="preserve">ā, </w:t>
            </w:r>
            <w:r w:rsidR="00031834">
              <w:t xml:space="preserve">par tiem tiek pieņemti </w:t>
            </w:r>
            <w:r w:rsidR="005A449C">
              <w:t xml:space="preserve">koleģiāli </w:t>
            </w:r>
            <w:r w:rsidR="00031834">
              <w:t>lēmumi</w:t>
            </w:r>
            <w:r w:rsidR="00406B35">
              <w:t>,</w:t>
            </w:r>
            <w:r w:rsidR="00201828">
              <w:t xml:space="preserve"> un visbeidzot tie tiek iekļauti Saeimas apstiprinātajā </w:t>
            </w:r>
            <w:r w:rsidR="00201828" w:rsidRPr="00344C35">
              <w:t>Vidēj</w:t>
            </w:r>
            <w:r w:rsidR="00201828">
              <w:t>a termiņa budžeta ietvara likumā</w:t>
            </w:r>
            <w:r w:rsidR="00D26444">
              <w:t xml:space="preserve"> attiecīgajam plānošanas periodam</w:t>
            </w:r>
            <w:r w:rsidR="00031834">
              <w:t xml:space="preserve">, </w:t>
            </w:r>
            <w:r w:rsidR="005A449C">
              <w:t xml:space="preserve">savukārt </w:t>
            </w:r>
            <w:r w:rsidR="00201828">
              <w:t xml:space="preserve">saskaņā ar Attīstības plānošanas sistēmas likumu </w:t>
            </w:r>
            <w:r w:rsidR="005A449C">
              <w:t xml:space="preserve">institūcijas darbības stratēģijā nosaka </w:t>
            </w:r>
            <w:r w:rsidR="005A449C" w:rsidRPr="005A449C">
              <w:t>attīstības plānošanas un budžeta plānošanas savstarpējo sasaisti</w:t>
            </w:r>
            <w:r w:rsidR="000C2FD4">
              <w:t xml:space="preserve">, nav lietderīgi institūciju darbības stratēģijas izskatīt un apstiprināt Ministru kabinetā, bet </w:t>
            </w:r>
            <w:r w:rsidR="0025693C">
              <w:t>at</w:t>
            </w:r>
            <w:r w:rsidR="000C2FD4">
              <w:t xml:space="preserve">ļaut institūcijas darbības stratēģiju apstiprināt </w:t>
            </w:r>
            <w:r w:rsidR="0025693C">
              <w:t>par ministrijas</w:t>
            </w:r>
            <w:r w:rsidR="006229BF">
              <w:t xml:space="preserve"> vai tās padotības iestādes</w:t>
            </w:r>
            <w:r w:rsidR="0025693C">
              <w:t xml:space="preserve"> darbu atbildīgajam attiecīgajam Ministru kabineta loceklim</w:t>
            </w:r>
            <w:r w:rsidR="00D26444">
              <w:t>. Ieviešot šādu kārtību</w:t>
            </w:r>
            <w:r w:rsidR="00406B35">
              <w:t>,</w:t>
            </w:r>
            <w:r w:rsidR="006229BF">
              <w:t xml:space="preserve"> turpmāk </w:t>
            </w:r>
            <w:r w:rsidR="000C2FD4">
              <w:t xml:space="preserve">tiktu būtiski </w:t>
            </w:r>
            <w:r w:rsidR="006229BF">
              <w:t xml:space="preserve">samazināta Ministru kabineta un visu ministriju iesaiste citu ministriju </w:t>
            </w:r>
            <w:r w:rsidR="000C2FD4">
              <w:t>darbības stratēģiju saskaņo</w:t>
            </w:r>
            <w:r w:rsidR="006229BF">
              <w:t>šanas proces</w:t>
            </w:r>
            <w:r w:rsidR="00201828">
              <w:t xml:space="preserve">ā, kas attiecīgi samazinātu arī ministriju darbības stratēģiju izstrādes ilgumu. </w:t>
            </w:r>
          </w:p>
          <w:p w14:paraId="298F2949" w14:textId="5B07E662" w:rsidR="008B0F92" w:rsidRPr="00344C35" w:rsidRDefault="002E71A2" w:rsidP="001E639F">
            <w:pPr>
              <w:jc w:val="both"/>
            </w:pPr>
            <w:r>
              <w:t xml:space="preserve">Valsts kanceleja, ņemot vērā tai doto uzdevumu izstrādāt grozījumus </w:t>
            </w:r>
            <w:r w:rsidR="005409D4" w:rsidRPr="00A12F05">
              <w:t xml:space="preserve">noteikumos </w:t>
            </w:r>
            <w:r w:rsidR="005409D4">
              <w:t>un</w:t>
            </w:r>
            <w:r w:rsidR="005409D4" w:rsidRPr="00A12F05">
              <w:t xml:space="preserve"> instrukcijā</w:t>
            </w:r>
            <w:r w:rsidR="005409D4">
              <w:t xml:space="preserve">, </w:t>
            </w:r>
            <w:proofErr w:type="spellStart"/>
            <w:r>
              <w:t>2013.gada</w:t>
            </w:r>
            <w:proofErr w:type="spellEnd"/>
            <w:r>
              <w:t xml:space="preserve"> </w:t>
            </w:r>
            <w:proofErr w:type="spellStart"/>
            <w:r w:rsidR="005409D4">
              <w:t>15.februārī</w:t>
            </w:r>
            <w:proofErr w:type="spellEnd"/>
            <w:r w:rsidR="005409D4">
              <w:t xml:space="preserve"> organizēja sanāksmi ar visu ministriju un </w:t>
            </w:r>
            <w:proofErr w:type="spellStart"/>
            <w:r w:rsidR="005409D4">
              <w:t>Pārresoru</w:t>
            </w:r>
            <w:proofErr w:type="spellEnd"/>
            <w:r w:rsidR="005409D4">
              <w:t xml:space="preserve"> koordinācijas centra pārstāvju līdzdalību, kurā tika pārrunāti provizoriskie grozījumi tiesību aktos saistībā ar institūciju darbības stratēģiju izstrādi un panākta vienošanās par termiņiem darbības stratēģiju izstrādei, </w:t>
            </w:r>
            <w:r w:rsidR="00514079">
              <w:t>kā arī stratēģiju</w:t>
            </w:r>
            <w:r w:rsidR="005409D4">
              <w:t xml:space="preserve"> satur</w:t>
            </w:r>
            <w:r w:rsidR="00514079">
              <w:t>u</w:t>
            </w:r>
            <w:r w:rsidR="005409D4">
              <w:t xml:space="preserve">. Līdz ar to Valsts kanceleja ir sagatavojusi atbilstošus grozījumus </w:t>
            </w:r>
            <w:r w:rsidR="005409D4" w:rsidRPr="00A12F05">
              <w:t xml:space="preserve">noteikumos </w:t>
            </w:r>
            <w:r w:rsidR="005409D4">
              <w:t>un</w:t>
            </w:r>
            <w:r w:rsidR="005409D4" w:rsidRPr="00A12F05">
              <w:t xml:space="preserve"> </w:t>
            </w:r>
            <w:r w:rsidR="001E639F">
              <w:t>instrukcijā.</w:t>
            </w:r>
            <w:r w:rsidR="00514079">
              <w:t xml:space="preserve"> </w:t>
            </w:r>
            <w:r w:rsidR="001E639F">
              <w:t>A</w:t>
            </w:r>
            <w:r w:rsidR="00514079">
              <w:t xml:space="preserve">bi tiesību akti apstiprināšanai Ministru kabinetā tiks virzīti </w:t>
            </w:r>
            <w:r w:rsidR="003A6C38">
              <w:t>kopā</w:t>
            </w:r>
          </w:p>
        </w:tc>
      </w:tr>
      <w:tr w:rsidR="001C63E8" w:rsidRPr="00344C35" w14:paraId="298F294E" w14:textId="77777777" w:rsidTr="00670636">
        <w:tc>
          <w:tcPr>
            <w:tcW w:w="396" w:type="dxa"/>
          </w:tcPr>
          <w:p w14:paraId="298F294B" w14:textId="77777777" w:rsidR="00FA338D" w:rsidRPr="00344C35" w:rsidRDefault="00FA338D" w:rsidP="00A95BE7">
            <w:pPr>
              <w:pStyle w:val="naislab"/>
              <w:spacing w:before="0" w:after="0"/>
              <w:jc w:val="center"/>
              <w:outlineLvl w:val="0"/>
            </w:pPr>
            <w:r w:rsidRPr="00344C35">
              <w:lastRenderedPageBreak/>
              <w:t>3.</w:t>
            </w:r>
          </w:p>
        </w:tc>
        <w:tc>
          <w:tcPr>
            <w:tcW w:w="2374" w:type="dxa"/>
          </w:tcPr>
          <w:p w14:paraId="298F294C" w14:textId="77777777" w:rsidR="00FA338D" w:rsidRPr="00344C35" w:rsidRDefault="00FA338D" w:rsidP="003A6C38">
            <w:pPr>
              <w:pStyle w:val="naislab"/>
              <w:spacing w:before="0" w:after="0"/>
              <w:jc w:val="left"/>
              <w:outlineLvl w:val="0"/>
            </w:pPr>
            <w:r w:rsidRPr="00344C35">
              <w:t>Saistītie politikas ietekmes novērtējumi un pētījumi</w:t>
            </w:r>
          </w:p>
        </w:tc>
        <w:tc>
          <w:tcPr>
            <w:tcW w:w="6769" w:type="dxa"/>
          </w:tcPr>
          <w:p w14:paraId="298F294D" w14:textId="6C0C2924" w:rsidR="00FA338D" w:rsidRPr="00344C35" w:rsidRDefault="00F0239C" w:rsidP="003A6C38">
            <w:pPr>
              <w:jc w:val="both"/>
            </w:pPr>
            <w:r>
              <w:t>Noteikumu</w:t>
            </w:r>
            <w:r w:rsidR="00FC0548">
              <w:t xml:space="preserve"> projekts šo jomu neskar</w:t>
            </w:r>
          </w:p>
        </w:tc>
      </w:tr>
      <w:tr w:rsidR="001C63E8" w:rsidRPr="00344C35" w14:paraId="298F2954" w14:textId="77777777" w:rsidTr="00670636">
        <w:tc>
          <w:tcPr>
            <w:tcW w:w="396" w:type="dxa"/>
          </w:tcPr>
          <w:p w14:paraId="298F294F" w14:textId="77777777" w:rsidR="00FA338D" w:rsidRPr="00344C35" w:rsidRDefault="00FA338D" w:rsidP="00A95BE7">
            <w:pPr>
              <w:pStyle w:val="naislab"/>
              <w:spacing w:before="0" w:after="0"/>
              <w:jc w:val="center"/>
              <w:outlineLvl w:val="0"/>
            </w:pPr>
            <w:r w:rsidRPr="00344C35">
              <w:lastRenderedPageBreak/>
              <w:t>4.</w:t>
            </w:r>
          </w:p>
        </w:tc>
        <w:tc>
          <w:tcPr>
            <w:tcW w:w="2374" w:type="dxa"/>
          </w:tcPr>
          <w:p w14:paraId="298F2950" w14:textId="77777777" w:rsidR="00FA338D" w:rsidRPr="00344C35" w:rsidRDefault="00FA338D" w:rsidP="003A6C38">
            <w:pPr>
              <w:pStyle w:val="naislab"/>
              <w:spacing w:before="0" w:after="0"/>
              <w:jc w:val="left"/>
              <w:outlineLvl w:val="0"/>
            </w:pPr>
            <w:r w:rsidRPr="00344C35">
              <w:t>Tiesiskā regulējuma mērķis un būtība</w:t>
            </w:r>
          </w:p>
        </w:tc>
        <w:tc>
          <w:tcPr>
            <w:tcW w:w="6769" w:type="dxa"/>
          </w:tcPr>
          <w:p w14:paraId="298F2951" w14:textId="0CF0B5F4" w:rsidR="00737FEE" w:rsidRDefault="002433BF" w:rsidP="00A95BE7">
            <w:pPr>
              <w:jc w:val="both"/>
            </w:pPr>
            <w:r>
              <w:t>Ministru kabineta n</w:t>
            </w:r>
            <w:r w:rsidR="00737FEE">
              <w:t>oteikumu</w:t>
            </w:r>
            <w:r w:rsidR="00FC50CB" w:rsidRPr="00344C35">
              <w:t xml:space="preserve"> </w:t>
            </w:r>
            <w:r w:rsidR="00CA1002" w:rsidRPr="00344C35">
              <w:t xml:space="preserve">projekta </w:t>
            </w:r>
            <w:r w:rsidR="00737FEE" w:rsidRPr="00737FEE">
              <w:t>"Grozījum</w:t>
            </w:r>
            <w:r w:rsidR="00FE521F">
              <w:t>s</w:t>
            </w:r>
            <w:r w:rsidR="00737FEE" w:rsidRPr="00737FEE">
              <w:t xml:space="preserve"> Ministru kabineta </w:t>
            </w:r>
            <w:proofErr w:type="spellStart"/>
            <w:r w:rsidR="00737FEE" w:rsidRPr="00737FEE">
              <w:t>2009.gada</w:t>
            </w:r>
            <w:proofErr w:type="spellEnd"/>
            <w:r w:rsidR="00737FEE" w:rsidRPr="00737FEE">
              <w:t xml:space="preserve"> 13.oktobra noteikumos Nr.1178 "Attīstības plānošanas dokumentu izstrādes un ietekmes izvērtēšanas noteikumi""</w:t>
            </w:r>
            <w:r w:rsidR="00737FEE">
              <w:t xml:space="preserve"> </w:t>
            </w:r>
            <w:r w:rsidR="00FC50CB" w:rsidRPr="00344C35">
              <w:t xml:space="preserve">(turpmāk – </w:t>
            </w:r>
            <w:r w:rsidR="00737FEE">
              <w:t>noteikumu</w:t>
            </w:r>
            <w:r w:rsidR="00FC50CB" w:rsidRPr="00344C35">
              <w:t xml:space="preserve"> projekts) </w:t>
            </w:r>
            <w:r w:rsidR="007E018A" w:rsidRPr="00344C35">
              <w:t xml:space="preserve">mērķis ir </w:t>
            </w:r>
            <w:r w:rsidR="00737FEE">
              <w:t>vienkāršot ministriju darbības stratēģiju izstrādes un apstiprināšanas kārtību.</w:t>
            </w:r>
          </w:p>
          <w:p w14:paraId="298F2952" w14:textId="77777777" w:rsidR="007E018A" w:rsidRPr="00344C35" w:rsidRDefault="00737FEE" w:rsidP="00A95BE7">
            <w:pPr>
              <w:jc w:val="both"/>
            </w:pPr>
            <w:r>
              <w:t>Noteikumu projekta</w:t>
            </w:r>
            <w:r w:rsidR="00FC50CB" w:rsidRPr="00344C35">
              <w:t xml:space="preserve"> būtība ir noteikt, </w:t>
            </w:r>
            <w:r w:rsidR="009538C1">
              <w:t>ka ministrijas</w:t>
            </w:r>
            <w:r w:rsidR="00973255">
              <w:t xml:space="preserve">, </w:t>
            </w:r>
            <w:r w:rsidR="00973255" w:rsidRPr="003C1B48">
              <w:t xml:space="preserve">kā arī </w:t>
            </w:r>
            <w:r w:rsidR="00973255">
              <w:t xml:space="preserve">ministra </w:t>
            </w:r>
            <w:r w:rsidR="00973255" w:rsidRPr="003C1B48">
              <w:t>padotībā esošas iestādes</w:t>
            </w:r>
            <w:r w:rsidR="009538C1">
              <w:t xml:space="preserve"> darbības stratēģiju apstiprina attiecīgais Ministru kabineta loceklis, kura padotībā </w:t>
            </w:r>
            <w:r w:rsidR="00973255">
              <w:t xml:space="preserve">attiecīgā iestāde </w:t>
            </w:r>
            <w:r w:rsidR="009538C1">
              <w:t>atrodas</w:t>
            </w:r>
            <w:r>
              <w:t>, savukārt</w:t>
            </w:r>
            <w:r w:rsidR="007A0B2A">
              <w:t xml:space="preserve"> </w:t>
            </w:r>
            <w:r w:rsidRPr="00A12F05">
              <w:t xml:space="preserve">Valsts kancelejas, Korupcijas novēršanas un apkarošanas biroja un </w:t>
            </w:r>
            <w:proofErr w:type="spellStart"/>
            <w:r w:rsidRPr="00A12F05">
              <w:t>Pārresoru</w:t>
            </w:r>
            <w:proofErr w:type="spellEnd"/>
            <w:r w:rsidRPr="00A12F05">
              <w:t xml:space="preserve"> koordinācijas centra darbības stratēģiju apstiprina Ministru prezidents</w:t>
            </w:r>
            <w:r>
              <w:t xml:space="preserve">. </w:t>
            </w:r>
          </w:p>
          <w:p w14:paraId="298F2953" w14:textId="37858C5D" w:rsidR="001D0F94" w:rsidRPr="00344C35" w:rsidRDefault="00FE521F" w:rsidP="001E639F">
            <w:pPr>
              <w:jc w:val="both"/>
            </w:pPr>
            <w:r>
              <w:t>Veicot grozījumu</w:t>
            </w:r>
            <w:r w:rsidR="001D0F94" w:rsidRPr="00344C35">
              <w:t xml:space="preserve"> </w:t>
            </w:r>
            <w:r w:rsidR="00737FEE">
              <w:t>noteikum</w:t>
            </w:r>
            <w:r w:rsidR="001E639F">
              <w:t>os</w:t>
            </w:r>
            <w:r w:rsidR="001D0F94" w:rsidRPr="00344C35">
              <w:t xml:space="preserve">, šīs sadaļas </w:t>
            </w:r>
            <w:proofErr w:type="spellStart"/>
            <w:r w:rsidR="001D0F94" w:rsidRPr="00344C35">
              <w:t>2.punktā</w:t>
            </w:r>
            <w:proofErr w:type="spellEnd"/>
            <w:r w:rsidR="001D0F94" w:rsidRPr="00344C35">
              <w:t xml:space="preserve"> identificētā problēma tiks atrisināta pilnībā un institūcijas varēs uzsākt savu darbības stratēģiju izstrādi</w:t>
            </w:r>
          </w:p>
        </w:tc>
      </w:tr>
      <w:tr w:rsidR="001C63E8" w:rsidRPr="00344C35" w14:paraId="298F2958" w14:textId="77777777" w:rsidTr="00670636">
        <w:tc>
          <w:tcPr>
            <w:tcW w:w="396" w:type="dxa"/>
          </w:tcPr>
          <w:p w14:paraId="298F2955" w14:textId="77777777" w:rsidR="00FA338D" w:rsidRPr="00344C35" w:rsidRDefault="00FA338D" w:rsidP="00A95BE7">
            <w:pPr>
              <w:pStyle w:val="naislab"/>
              <w:spacing w:before="0" w:after="0"/>
              <w:jc w:val="center"/>
              <w:outlineLvl w:val="0"/>
            </w:pPr>
            <w:r w:rsidRPr="00344C35">
              <w:t>5.</w:t>
            </w:r>
          </w:p>
        </w:tc>
        <w:tc>
          <w:tcPr>
            <w:tcW w:w="2374" w:type="dxa"/>
          </w:tcPr>
          <w:p w14:paraId="298F2956" w14:textId="77777777" w:rsidR="00FA338D" w:rsidRPr="00344C35" w:rsidRDefault="00FA338D" w:rsidP="003A6C38">
            <w:pPr>
              <w:pStyle w:val="naislab"/>
              <w:spacing w:before="0" w:after="0"/>
              <w:jc w:val="left"/>
              <w:outlineLvl w:val="0"/>
            </w:pPr>
            <w:r w:rsidRPr="00344C35">
              <w:t>Projekta izstrādē iesaistītās institūcijas</w:t>
            </w:r>
          </w:p>
        </w:tc>
        <w:tc>
          <w:tcPr>
            <w:tcW w:w="6769" w:type="dxa"/>
          </w:tcPr>
          <w:p w14:paraId="298F2957" w14:textId="77777777" w:rsidR="007E018A" w:rsidRPr="00344C35" w:rsidRDefault="001D0F94" w:rsidP="00A95BE7">
            <w:pPr>
              <w:pStyle w:val="naiskr"/>
              <w:spacing w:before="0" w:after="0"/>
              <w:jc w:val="both"/>
            </w:pPr>
            <w:r w:rsidRPr="00344C35">
              <w:t>Valsts kanceleja</w:t>
            </w:r>
          </w:p>
        </w:tc>
      </w:tr>
      <w:tr w:rsidR="001C63E8" w:rsidRPr="00344C35" w14:paraId="298F295C" w14:textId="77777777" w:rsidTr="00670636">
        <w:tc>
          <w:tcPr>
            <w:tcW w:w="396" w:type="dxa"/>
          </w:tcPr>
          <w:p w14:paraId="298F2959" w14:textId="77777777" w:rsidR="00FA338D" w:rsidRPr="00344C35" w:rsidRDefault="00FA338D" w:rsidP="00A95BE7">
            <w:pPr>
              <w:pStyle w:val="naislab"/>
              <w:spacing w:before="0" w:after="0"/>
              <w:jc w:val="center"/>
              <w:outlineLvl w:val="0"/>
            </w:pPr>
            <w:r w:rsidRPr="00344C35">
              <w:t>6.</w:t>
            </w:r>
          </w:p>
        </w:tc>
        <w:tc>
          <w:tcPr>
            <w:tcW w:w="2374" w:type="dxa"/>
          </w:tcPr>
          <w:p w14:paraId="298F295A" w14:textId="77777777" w:rsidR="00FA338D" w:rsidRPr="00344C35" w:rsidRDefault="00FA338D" w:rsidP="003A6C38">
            <w:pPr>
              <w:pStyle w:val="naislab"/>
              <w:spacing w:before="0" w:after="0"/>
              <w:jc w:val="left"/>
              <w:outlineLvl w:val="0"/>
            </w:pPr>
            <w:r w:rsidRPr="00344C35">
              <w:t>Iemesli, kādēļ netika nodrošināta sabiedrības līdzdalība</w:t>
            </w:r>
          </w:p>
        </w:tc>
        <w:tc>
          <w:tcPr>
            <w:tcW w:w="6769" w:type="dxa"/>
          </w:tcPr>
          <w:p w14:paraId="298F295B" w14:textId="302D711E" w:rsidR="00FA338D" w:rsidRPr="00344C35" w:rsidRDefault="00F0239C" w:rsidP="00A95BE7">
            <w:pPr>
              <w:jc w:val="both"/>
            </w:pPr>
            <w:r>
              <w:t>Noteikumu</w:t>
            </w:r>
            <w:r w:rsidR="00344C35">
              <w:t xml:space="preserve"> projekta izstrādē netika iesaistīta sabiedrība, jo </w:t>
            </w:r>
            <w:r w:rsidR="00520E31">
              <w:t>institūcijas darbības stratēģija nodrošina tiešās pārvaldes institūcijas darbības plānošanu tās kompetencē esošajās politikas nozarēs atbilstoši attiecīgajā nozarē apstiprinātiem attīstības plānošanas dokumentiem, tiesību aktiem un plānotajam institūcijas valsts budžeta izdevumu kopapjomam vidējam termiņam un tiešā veidā sabiedrības intereses neskar</w:t>
            </w:r>
          </w:p>
        </w:tc>
      </w:tr>
      <w:tr w:rsidR="001C63E8" w:rsidRPr="00344C35" w14:paraId="298F2960" w14:textId="77777777" w:rsidTr="00670636">
        <w:tc>
          <w:tcPr>
            <w:tcW w:w="396" w:type="dxa"/>
          </w:tcPr>
          <w:p w14:paraId="298F295D" w14:textId="77777777" w:rsidR="00FA338D" w:rsidRPr="00344C35" w:rsidRDefault="00FA338D" w:rsidP="00A95BE7">
            <w:pPr>
              <w:pStyle w:val="naislab"/>
              <w:spacing w:before="0" w:after="0"/>
              <w:jc w:val="center"/>
              <w:outlineLvl w:val="0"/>
            </w:pPr>
            <w:r w:rsidRPr="00344C35">
              <w:t>7.</w:t>
            </w:r>
          </w:p>
        </w:tc>
        <w:tc>
          <w:tcPr>
            <w:tcW w:w="2374" w:type="dxa"/>
          </w:tcPr>
          <w:p w14:paraId="298F295E" w14:textId="77777777" w:rsidR="00FA338D" w:rsidRPr="00344C35" w:rsidRDefault="00FA338D" w:rsidP="003A6C38">
            <w:pPr>
              <w:pStyle w:val="naislab"/>
              <w:spacing w:before="0" w:after="0"/>
              <w:jc w:val="left"/>
              <w:outlineLvl w:val="0"/>
            </w:pPr>
            <w:r w:rsidRPr="00344C35">
              <w:t>Cita informācija</w:t>
            </w:r>
          </w:p>
        </w:tc>
        <w:tc>
          <w:tcPr>
            <w:tcW w:w="6769" w:type="dxa"/>
          </w:tcPr>
          <w:p w14:paraId="298F295F" w14:textId="77777777" w:rsidR="007E018A" w:rsidRPr="00344C35" w:rsidRDefault="00FA338D" w:rsidP="00A95BE7">
            <w:pPr>
              <w:jc w:val="both"/>
            </w:pPr>
            <w:r w:rsidRPr="00344C35">
              <w:t>Nav</w:t>
            </w:r>
          </w:p>
        </w:tc>
      </w:tr>
    </w:tbl>
    <w:p w14:paraId="298F2961" w14:textId="77777777" w:rsidR="00B05965" w:rsidRDefault="00B05965" w:rsidP="00A95BE7"/>
    <w:p w14:paraId="298F2962" w14:textId="336CEC27" w:rsidR="00FA338D" w:rsidRDefault="006B6CB8" w:rsidP="00A95BE7">
      <w:r>
        <w:t xml:space="preserve">II, </w:t>
      </w:r>
      <w:r w:rsidR="00C20699">
        <w:t>III</w:t>
      </w:r>
      <w:r w:rsidR="00D34120">
        <w:t xml:space="preserve">, </w:t>
      </w:r>
      <w:r w:rsidR="00DF4CAD">
        <w:t>V un VI sadaļa</w:t>
      </w:r>
      <w:r w:rsidR="00520E31">
        <w:t xml:space="preserve"> – </w:t>
      </w:r>
      <w:r w:rsidR="00F0239C">
        <w:t>noteikumu</w:t>
      </w:r>
      <w:r w:rsidR="00FC0548">
        <w:t xml:space="preserve"> </w:t>
      </w:r>
      <w:r w:rsidR="00520E31">
        <w:t>projekts šīs jom</w:t>
      </w:r>
      <w:r w:rsidR="003A6C38">
        <w:t>as</w:t>
      </w:r>
      <w:r w:rsidR="00520E31">
        <w:t xml:space="preserve"> neskar.</w:t>
      </w:r>
    </w:p>
    <w:p w14:paraId="298F2963" w14:textId="77777777" w:rsidR="00670636" w:rsidRDefault="00670636" w:rsidP="00A95BE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268"/>
        <w:gridCol w:w="6186"/>
      </w:tblGrid>
      <w:tr w:rsidR="00670636" w:rsidRPr="00546898" w14:paraId="298F2965" w14:textId="77777777" w:rsidTr="00670636">
        <w:trPr>
          <w:trHeight w:val="497"/>
        </w:trPr>
        <w:tc>
          <w:tcPr>
            <w:tcW w:w="9322" w:type="dxa"/>
            <w:gridSpan w:val="3"/>
            <w:tcBorders>
              <w:top w:val="single" w:sz="4" w:space="0" w:color="auto"/>
              <w:left w:val="single" w:sz="4" w:space="0" w:color="auto"/>
              <w:bottom w:val="single" w:sz="4" w:space="0" w:color="auto"/>
              <w:right w:val="single" w:sz="4" w:space="0" w:color="auto"/>
            </w:tcBorders>
            <w:vAlign w:val="center"/>
          </w:tcPr>
          <w:p w14:paraId="298F2964" w14:textId="60AB5F34" w:rsidR="00670636" w:rsidRPr="007F01F9" w:rsidRDefault="003A6C38" w:rsidP="00A95BE7">
            <w:pPr>
              <w:ind w:left="57" w:right="57"/>
              <w:jc w:val="center"/>
              <w:rPr>
                <w:b/>
                <w:bCs/>
              </w:rPr>
            </w:pPr>
            <w:r>
              <w:rPr>
                <w:b/>
                <w:bCs/>
              </w:rPr>
              <w:t xml:space="preserve">IV. </w:t>
            </w:r>
            <w:r w:rsidR="00670636" w:rsidRPr="007F01F9">
              <w:rPr>
                <w:b/>
                <w:bCs/>
              </w:rPr>
              <w:t>Tiesību akta projekta ietekme uz</w:t>
            </w:r>
            <w:r w:rsidR="00670636">
              <w:rPr>
                <w:b/>
                <w:bCs/>
              </w:rPr>
              <w:t xml:space="preserve"> </w:t>
            </w:r>
            <w:r w:rsidR="00670636" w:rsidRPr="007F01F9">
              <w:rPr>
                <w:b/>
                <w:bCs/>
              </w:rPr>
              <w:t>spēkā esošo tiesību normu sistēmu</w:t>
            </w:r>
          </w:p>
        </w:tc>
      </w:tr>
      <w:tr w:rsidR="00670636" w:rsidRPr="008F120A" w14:paraId="298F2969" w14:textId="77777777" w:rsidTr="00670636">
        <w:trPr>
          <w:trHeight w:val="335"/>
        </w:trPr>
        <w:tc>
          <w:tcPr>
            <w:tcW w:w="868" w:type="dxa"/>
            <w:tcBorders>
              <w:top w:val="single" w:sz="4" w:space="0" w:color="auto"/>
              <w:left w:val="single" w:sz="4" w:space="0" w:color="auto"/>
              <w:bottom w:val="single" w:sz="4" w:space="0" w:color="auto"/>
              <w:right w:val="single" w:sz="4" w:space="0" w:color="auto"/>
            </w:tcBorders>
            <w:shd w:val="clear" w:color="auto" w:fill="FFFFFF"/>
            <w:hideMark/>
          </w:tcPr>
          <w:p w14:paraId="298F2966" w14:textId="77777777" w:rsidR="00670636" w:rsidRPr="00E10805" w:rsidRDefault="00670636" w:rsidP="00A95BE7">
            <w:pPr>
              <w:ind w:left="57" w:right="57"/>
              <w:jc w:val="both"/>
              <w:rPr>
                <w:bCs/>
              </w:rPr>
            </w:pPr>
            <w:r w:rsidRPr="00E10805">
              <w:rPr>
                <w:bCs/>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98F2967" w14:textId="77777777" w:rsidR="00670636" w:rsidRPr="007F01F9" w:rsidRDefault="00670636" w:rsidP="00A95BE7">
            <w:pPr>
              <w:ind w:left="57" w:right="57"/>
              <w:jc w:val="both"/>
              <w:rPr>
                <w:bCs/>
              </w:rPr>
            </w:pPr>
            <w:r w:rsidRPr="007F01F9">
              <w:rPr>
                <w:bCs/>
              </w:rPr>
              <w:t>Nepieciešamie saistītie tiesību aktu projekti</w:t>
            </w:r>
          </w:p>
        </w:tc>
        <w:tc>
          <w:tcPr>
            <w:tcW w:w="6186" w:type="dxa"/>
            <w:tcBorders>
              <w:top w:val="single" w:sz="4" w:space="0" w:color="auto"/>
              <w:left w:val="single" w:sz="4" w:space="0" w:color="auto"/>
              <w:bottom w:val="single" w:sz="4" w:space="0" w:color="auto"/>
              <w:right w:val="single" w:sz="4" w:space="0" w:color="auto"/>
            </w:tcBorders>
            <w:shd w:val="clear" w:color="auto" w:fill="FFFFFF"/>
            <w:hideMark/>
          </w:tcPr>
          <w:p w14:paraId="298F2968" w14:textId="7358DB3B" w:rsidR="00955009" w:rsidRPr="002433BF" w:rsidRDefault="003E53EF" w:rsidP="001E639F">
            <w:pPr>
              <w:ind w:right="57"/>
              <w:jc w:val="both"/>
            </w:pPr>
            <w:r>
              <w:rPr>
                <w:bCs/>
              </w:rPr>
              <w:t>Vienlai</w:t>
            </w:r>
            <w:r w:rsidR="003A6C38">
              <w:rPr>
                <w:bCs/>
              </w:rPr>
              <w:t>kus</w:t>
            </w:r>
            <w:r>
              <w:rPr>
                <w:bCs/>
              </w:rPr>
              <w:t xml:space="preserve"> ar </w:t>
            </w:r>
            <w:r w:rsidR="002433BF">
              <w:t>Ministru kabineta noteikumu</w:t>
            </w:r>
            <w:r w:rsidR="002433BF" w:rsidRPr="00344C35">
              <w:t xml:space="preserve"> </w:t>
            </w:r>
            <w:r w:rsidR="002433BF">
              <w:t xml:space="preserve">projektu </w:t>
            </w:r>
            <w:r w:rsidR="00670636" w:rsidRPr="007F01F9">
              <w:rPr>
                <w:bCs/>
              </w:rPr>
              <w:t>Vals</w:t>
            </w:r>
            <w:r>
              <w:rPr>
                <w:bCs/>
              </w:rPr>
              <w:t xml:space="preserve">ts kanceleja ir izstrādājusi </w:t>
            </w:r>
            <w:r w:rsidR="002433BF">
              <w:t>in</w:t>
            </w:r>
            <w:r w:rsidR="000076F9">
              <w:t>s</w:t>
            </w:r>
            <w:r w:rsidR="002433BF">
              <w:t xml:space="preserve">trukcijas projektu </w:t>
            </w:r>
            <w:r w:rsidR="000076F9" w:rsidRPr="004C3DB0">
              <w:t>"</w:t>
            </w:r>
            <w:r w:rsidR="002433BF" w:rsidRPr="00AB2C11">
              <w:rPr>
                <w:lang w:eastAsia="en-US"/>
              </w:rPr>
              <w:t xml:space="preserve">Grozījumi Ministru kabineta 2011.gada 4.janvāra instrukcijā Nr.1 </w:t>
            </w:r>
            <w:r w:rsidR="000076F9" w:rsidRPr="004C3DB0">
              <w:t>"</w:t>
            </w:r>
            <w:r w:rsidR="002433BF" w:rsidRPr="00AB2C11">
              <w:rPr>
                <w:lang w:eastAsia="en-US"/>
              </w:rPr>
              <w:t>Kārtība, kādā izstrādā un aktualizē institūcijas darbības stratēģiju un novērtē tās ieviešanu</w:t>
            </w:r>
            <w:r w:rsidR="000076F9" w:rsidRPr="004C3DB0">
              <w:t>""</w:t>
            </w:r>
            <w:r w:rsidR="001E639F">
              <w:rPr>
                <w:bCs/>
              </w:rPr>
              <w:t>.</w:t>
            </w:r>
            <w:r>
              <w:rPr>
                <w:bCs/>
              </w:rPr>
              <w:t xml:space="preserve"> </w:t>
            </w:r>
            <w:r w:rsidR="001E639F">
              <w:rPr>
                <w:bCs/>
              </w:rPr>
              <w:t>A</w:t>
            </w:r>
            <w:r>
              <w:rPr>
                <w:bCs/>
              </w:rPr>
              <w:t xml:space="preserve">bus </w:t>
            </w:r>
            <w:r w:rsidR="00670636">
              <w:rPr>
                <w:bCs/>
              </w:rPr>
              <w:t xml:space="preserve">projektus apstiprināšanai Ministru kabineta sēdē ir plānots virzīt </w:t>
            </w:r>
            <w:r w:rsidR="003A6C38">
              <w:rPr>
                <w:bCs/>
              </w:rPr>
              <w:t>kopā</w:t>
            </w:r>
            <w:r w:rsidR="00670636">
              <w:rPr>
                <w:bCs/>
              </w:rPr>
              <w:t xml:space="preserve"> </w:t>
            </w:r>
          </w:p>
        </w:tc>
      </w:tr>
      <w:tr w:rsidR="00670636" w:rsidRPr="007F01F9" w14:paraId="298F296E" w14:textId="77777777" w:rsidTr="00670636">
        <w:trPr>
          <w:trHeight w:val="335"/>
        </w:trPr>
        <w:tc>
          <w:tcPr>
            <w:tcW w:w="868" w:type="dxa"/>
            <w:tcBorders>
              <w:top w:val="single" w:sz="4" w:space="0" w:color="auto"/>
              <w:left w:val="single" w:sz="4" w:space="0" w:color="auto"/>
              <w:bottom w:val="single" w:sz="4" w:space="0" w:color="auto"/>
              <w:right w:val="single" w:sz="4" w:space="0" w:color="auto"/>
            </w:tcBorders>
            <w:shd w:val="clear" w:color="auto" w:fill="FFFFFF"/>
            <w:hideMark/>
          </w:tcPr>
          <w:p w14:paraId="298F296A" w14:textId="77777777" w:rsidR="00670636" w:rsidRPr="007F01F9" w:rsidRDefault="00670636" w:rsidP="00A95BE7">
            <w:pPr>
              <w:ind w:left="57" w:right="57"/>
              <w:jc w:val="both"/>
              <w:rPr>
                <w:bCs/>
              </w:rPr>
            </w:pPr>
            <w:r w:rsidRPr="007F01F9">
              <w:rPr>
                <w:bCs/>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98F296B" w14:textId="77777777" w:rsidR="00670636" w:rsidRPr="007F01F9" w:rsidRDefault="00670636" w:rsidP="00A95BE7">
            <w:pPr>
              <w:ind w:left="57" w:right="57"/>
              <w:jc w:val="both"/>
              <w:rPr>
                <w:bCs/>
              </w:rPr>
            </w:pPr>
            <w:r w:rsidRPr="007F01F9">
              <w:rPr>
                <w:bCs/>
              </w:rPr>
              <w:t>Cita</w:t>
            </w:r>
          </w:p>
          <w:p w14:paraId="298F296C" w14:textId="77777777" w:rsidR="00670636" w:rsidRPr="007F01F9" w:rsidRDefault="00670636" w:rsidP="00A95BE7">
            <w:pPr>
              <w:ind w:left="57" w:right="57"/>
              <w:jc w:val="both"/>
              <w:rPr>
                <w:bCs/>
              </w:rPr>
            </w:pPr>
            <w:r w:rsidRPr="007F01F9">
              <w:rPr>
                <w:bCs/>
              </w:rPr>
              <w:t>informācija</w:t>
            </w:r>
          </w:p>
        </w:tc>
        <w:tc>
          <w:tcPr>
            <w:tcW w:w="6186" w:type="dxa"/>
            <w:tcBorders>
              <w:top w:val="single" w:sz="4" w:space="0" w:color="auto"/>
              <w:left w:val="single" w:sz="4" w:space="0" w:color="auto"/>
              <w:bottom w:val="single" w:sz="4" w:space="0" w:color="auto"/>
              <w:right w:val="single" w:sz="4" w:space="0" w:color="auto"/>
            </w:tcBorders>
            <w:shd w:val="clear" w:color="auto" w:fill="FFFFFF"/>
            <w:hideMark/>
          </w:tcPr>
          <w:p w14:paraId="298F296D" w14:textId="77777777" w:rsidR="00670636" w:rsidRPr="007F01F9" w:rsidRDefault="00670636" w:rsidP="00A95BE7">
            <w:pPr>
              <w:ind w:right="57"/>
              <w:jc w:val="both"/>
              <w:rPr>
                <w:bCs/>
              </w:rPr>
            </w:pPr>
            <w:r w:rsidRPr="007F01F9">
              <w:rPr>
                <w:bCs/>
              </w:rPr>
              <w:t>Nav</w:t>
            </w:r>
          </w:p>
        </w:tc>
      </w:tr>
    </w:tbl>
    <w:p w14:paraId="298F296F" w14:textId="77777777" w:rsidR="00670636" w:rsidRDefault="00670636" w:rsidP="00A95BE7"/>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23"/>
        <w:gridCol w:w="6060"/>
      </w:tblGrid>
      <w:tr w:rsidR="00FA338D" w:rsidRPr="002704AD" w14:paraId="298F2971" w14:textId="77777777" w:rsidTr="00FE521F">
        <w:trPr>
          <w:trHeight w:val="279"/>
        </w:trPr>
        <w:tc>
          <w:tcPr>
            <w:tcW w:w="9379" w:type="dxa"/>
            <w:gridSpan w:val="3"/>
          </w:tcPr>
          <w:p w14:paraId="298F2970" w14:textId="77777777" w:rsidR="00FA338D" w:rsidRPr="002704AD" w:rsidRDefault="00FA338D" w:rsidP="00A95BE7">
            <w:pPr>
              <w:jc w:val="center"/>
              <w:rPr>
                <w:b/>
              </w:rPr>
            </w:pPr>
            <w:r w:rsidRPr="002704AD">
              <w:rPr>
                <w:b/>
              </w:rPr>
              <w:t>VII. Tiesību akta projekta izpildes nodrošināšana un tās ietekme uz institūcijām</w:t>
            </w:r>
          </w:p>
        </w:tc>
      </w:tr>
      <w:tr w:rsidR="00FA338D" w:rsidRPr="002704AD" w14:paraId="298F2975" w14:textId="77777777" w:rsidTr="00FE521F">
        <w:trPr>
          <w:trHeight w:val="279"/>
        </w:trPr>
        <w:tc>
          <w:tcPr>
            <w:tcW w:w="396" w:type="dxa"/>
          </w:tcPr>
          <w:p w14:paraId="298F2972" w14:textId="77777777" w:rsidR="00FA338D" w:rsidRPr="002704AD" w:rsidRDefault="00FA338D" w:rsidP="00A95BE7">
            <w:pPr>
              <w:jc w:val="both"/>
            </w:pPr>
            <w:r w:rsidRPr="002704AD">
              <w:t>1.</w:t>
            </w:r>
          </w:p>
        </w:tc>
        <w:tc>
          <w:tcPr>
            <w:tcW w:w="2923" w:type="dxa"/>
          </w:tcPr>
          <w:p w14:paraId="298F2973" w14:textId="77777777" w:rsidR="00FA338D" w:rsidRPr="002704AD" w:rsidRDefault="00FA338D" w:rsidP="003A6C38">
            <w:r w:rsidRPr="002704AD">
              <w:t>Projekta izpildē iesaistītās institūcijas</w:t>
            </w:r>
          </w:p>
        </w:tc>
        <w:tc>
          <w:tcPr>
            <w:tcW w:w="6060" w:type="dxa"/>
          </w:tcPr>
          <w:p w14:paraId="298F2974" w14:textId="77777777" w:rsidR="00FA338D" w:rsidRPr="002704AD" w:rsidRDefault="00F0239C" w:rsidP="00A95BE7">
            <w:pPr>
              <w:jc w:val="both"/>
            </w:pPr>
            <w:r w:rsidRPr="002704AD">
              <w:t>Noteikumu</w:t>
            </w:r>
            <w:r w:rsidR="00520E31" w:rsidRPr="002704AD">
              <w:t xml:space="preserve"> </w:t>
            </w:r>
            <w:r w:rsidR="00FC0548" w:rsidRPr="002704AD">
              <w:t xml:space="preserve">projekta </w:t>
            </w:r>
            <w:r w:rsidR="00520E31" w:rsidRPr="002704AD">
              <w:t>izpildi nodrošinās visas ministrijas, Korupcijas novēršanas un apkarošanas birojs, Valsts kanceleja</w:t>
            </w:r>
            <w:r w:rsidR="008E48B9" w:rsidRPr="002704AD">
              <w:t xml:space="preserve">, </w:t>
            </w:r>
            <w:proofErr w:type="spellStart"/>
            <w:r w:rsidR="008E48B9" w:rsidRPr="002704AD">
              <w:t>Pārresoru</w:t>
            </w:r>
            <w:proofErr w:type="spellEnd"/>
            <w:r w:rsidR="008E48B9" w:rsidRPr="002704AD">
              <w:t xml:space="preserve"> koordinācijas centrs</w:t>
            </w:r>
            <w:r w:rsidR="00520E31" w:rsidRPr="002704AD">
              <w:t xml:space="preserve"> un citas tiešās pārvaldes institūcijas, kā arī to </w:t>
            </w:r>
            <w:r w:rsidR="00FC0548" w:rsidRPr="002704AD">
              <w:t>padotībā esošās iestādes</w:t>
            </w:r>
          </w:p>
        </w:tc>
      </w:tr>
      <w:tr w:rsidR="00FA338D" w:rsidRPr="002704AD" w14:paraId="298F2979" w14:textId="77777777" w:rsidTr="00FE521F">
        <w:trPr>
          <w:trHeight w:val="279"/>
        </w:trPr>
        <w:tc>
          <w:tcPr>
            <w:tcW w:w="396" w:type="dxa"/>
          </w:tcPr>
          <w:p w14:paraId="298F2976" w14:textId="77777777" w:rsidR="00FA338D" w:rsidRPr="002704AD" w:rsidRDefault="00FA338D" w:rsidP="00A95BE7">
            <w:pPr>
              <w:jc w:val="both"/>
            </w:pPr>
            <w:r w:rsidRPr="002704AD">
              <w:t>2.</w:t>
            </w:r>
          </w:p>
        </w:tc>
        <w:tc>
          <w:tcPr>
            <w:tcW w:w="2923" w:type="dxa"/>
          </w:tcPr>
          <w:p w14:paraId="298F2977" w14:textId="77777777" w:rsidR="00FA338D" w:rsidRPr="002704AD" w:rsidRDefault="00FA338D" w:rsidP="003A6C38">
            <w:r w:rsidRPr="002704AD">
              <w:t>Projekta izpildes ietekme uz pārvaldes funkcijām</w:t>
            </w:r>
          </w:p>
        </w:tc>
        <w:tc>
          <w:tcPr>
            <w:tcW w:w="6060" w:type="dxa"/>
          </w:tcPr>
          <w:p w14:paraId="298F2978" w14:textId="3DB980D3" w:rsidR="00FA338D" w:rsidRPr="002704AD" w:rsidRDefault="00F0239C" w:rsidP="001E639F">
            <w:pPr>
              <w:jc w:val="both"/>
            </w:pPr>
            <w:r w:rsidRPr="002704AD">
              <w:t>Noteikumu</w:t>
            </w:r>
            <w:r w:rsidR="00FC0548" w:rsidRPr="002704AD">
              <w:t xml:space="preserve"> projekta izpildi š</w:t>
            </w:r>
            <w:r w:rsidR="001E639F">
              <w:t>ī</w:t>
            </w:r>
            <w:r w:rsidR="00FC0548" w:rsidRPr="002704AD">
              <w:t xml:space="preserve">s sadaļas </w:t>
            </w:r>
            <w:proofErr w:type="spellStart"/>
            <w:r w:rsidR="00FC0548" w:rsidRPr="002704AD">
              <w:t>1.punktā</w:t>
            </w:r>
            <w:proofErr w:type="spellEnd"/>
            <w:r w:rsidR="00FC0548" w:rsidRPr="002704AD">
              <w:t xml:space="preserve"> minētās institūcijas nodrošinās esošo funkciju ietvaros</w:t>
            </w:r>
          </w:p>
        </w:tc>
      </w:tr>
      <w:tr w:rsidR="00FA338D" w:rsidRPr="002704AD" w14:paraId="298F297E" w14:textId="77777777" w:rsidTr="00FE521F">
        <w:trPr>
          <w:trHeight w:val="279"/>
        </w:trPr>
        <w:tc>
          <w:tcPr>
            <w:tcW w:w="396" w:type="dxa"/>
          </w:tcPr>
          <w:p w14:paraId="298F297A" w14:textId="77777777" w:rsidR="00FA338D" w:rsidRPr="002704AD" w:rsidRDefault="00FA338D" w:rsidP="00A95BE7">
            <w:pPr>
              <w:jc w:val="both"/>
            </w:pPr>
            <w:r w:rsidRPr="002704AD">
              <w:t>3.</w:t>
            </w:r>
          </w:p>
        </w:tc>
        <w:tc>
          <w:tcPr>
            <w:tcW w:w="2923" w:type="dxa"/>
          </w:tcPr>
          <w:p w14:paraId="298F297B" w14:textId="77777777" w:rsidR="00FA338D" w:rsidRPr="002704AD" w:rsidRDefault="00FA338D" w:rsidP="003A6C38">
            <w:pPr>
              <w:pStyle w:val="naisf"/>
              <w:spacing w:before="0" w:after="0"/>
              <w:ind w:right="57" w:firstLine="0"/>
              <w:jc w:val="left"/>
            </w:pPr>
            <w:r w:rsidRPr="002704AD">
              <w:t>Projekta izpildes ietekme uz pārvaldes institucionālo struktūru.</w:t>
            </w:r>
          </w:p>
          <w:p w14:paraId="298F297C" w14:textId="77777777" w:rsidR="00FA338D" w:rsidRPr="002704AD" w:rsidRDefault="00FA338D" w:rsidP="003A6C38">
            <w:r w:rsidRPr="002704AD">
              <w:t>Jaunu institūciju izveide</w:t>
            </w:r>
          </w:p>
        </w:tc>
        <w:tc>
          <w:tcPr>
            <w:tcW w:w="6060" w:type="dxa"/>
          </w:tcPr>
          <w:p w14:paraId="298F297D" w14:textId="77777777" w:rsidR="00FA338D" w:rsidRPr="002704AD" w:rsidRDefault="00F0239C" w:rsidP="00A95BE7">
            <w:pPr>
              <w:jc w:val="both"/>
            </w:pPr>
            <w:r w:rsidRPr="002704AD">
              <w:t xml:space="preserve">Noteikumu </w:t>
            </w:r>
            <w:r w:rsidR="00FC0548" w:rsidRPr="002704AD">
              <w:t>projekts šo jomu neskar</w:t>
            </w:r>
          </w:p>
        </w:tc>
      </w:tr>
      <w:tr w:rsidR="00FA338D" w:rsidRPr="002704AD" w14:paraId="298F2983" w14:textId="77777777" w:rsidTr="00FE521F">
        <w:trPr>
          <w:trHeight w:val="279"/>
        </w:trPr>
        <w:tc>
          <w:tcPr>
            <w:tcW w:w="396" w:type="dxa"/>
          </w:tcPr>
          <w:p w14:paraId="298F297F" w14:textId="77777777" w:rsidR="00FA338D" w:rsidRPr="002704AD" w:rsidRDefault="00FA338D" w:rsidP="00A95BE7">
            <w:pPr>
              <w:jc w:val="both"/>
            </w:pPr>
            <w:r w:rsidRPr="002704AD">
              <w:lastRenderedPageBreak/>
              <w:t>4.</w:t>
            </w:r>
          </w:p>
        </w:tc>
        <w:tc>
          <w:tcPr>
            <w:tcW w:w="2923" w:type="dxa"/>
          </w:tcPr>
          <w:p w14:paraId="298F2980" w14:textId="77777777" w:rsidR="00FA338D" w:rsidRPr="002704AD" w:rsidRDefault="00FA338D" w:rsidP="003A6C38">
            <w:pPr>
              <w:pStyle w:val="naisf"/>
              <w:spacing w:before="0" w:after="0"/>
              <w:ind w:right="57" w:firstLine="0"/>
              <w:jc w:val="left"/>
            </w:pPr>
            <w:r w:rsidRPr="002704AD">
              <w:t>Projekta izpildes ietekme uz pārvaldes institucionālo struktūru.</w:t>
            </w:r>
          </w:p>
          <w:p w14:paraId="298F2981" w14:textId="77777777" w:rsidR="00FA338D" w:rsidRPr="002704AD" w:rsidRDefault="00FA338D" w:rsidP="003A6C38">
            <w:r w:rsidRPr="002704AD">
              <w:t>Esošu institūciju likvidācija</w:t>
            </w:r>
          </w:p>
        </w:tc>
        <w:tc>
          <w:tcPr>
            <w:tcW w:w="6060" w:type="dxa"/>
          </w:tcPr>
          <w:p w14:paraId="298F2982" w14:textId="77777777" w:rsidR="00FA338D" w:rsidRPr="002704AD" w:rsidRDefault="00F0239C" w:rsidP="00A95BE7">
            <w:pPr>
              <w:jc w:val="both"/>
            </w:pPr>
            <w:r w:rsidRPr="002704AD">
              <w:t>Noteikumu</w:t>
            </w:r>
            <w:r w:rsidR="00FC0548" w:rsidRPr="002704AD">
              <w:t xml:space="preserve"> projekts šo jomu neskar</w:t>
            </w:r>
          </w:p>
        </w:tc>
      </w:tr>
      <w:tr w:rsidR="00FA338D" w:rsidRPr="002704AD" w14:paraId="298F2988" w14:textId="77777777" w:rsidTr="00FE521F">
        <w:trPr>
          <w:trHeight w:val="279"/>
        </w:trPr>
        <w:tc>
          <w:tcPr>
            <w:tcW w:w="396" w:type="dxa"/>
          </w:tcPr>
          <w:p w14:paraId="298F2984" w14:textId="77777777" w:rsidR="00FA338D" w:rsidRPr="002704AD" w:rsidRDefault="00FA338D" w:rsidP="00A95BE7">
            <w:pPr>
              <w:jc w:val="both"/>
            </w:pPr>
            <w:r w:rsidRPr="002704AD">
              <w:t>5.</w:t>
            </w:r>
          </w:p>
        </w:tc>
        <w:tc>
          <w:tcPr>
            <w:tcW w:w="2923" w:type="dxa"/>
          </w:tcPr>
          <w:p w14:paraId="298F2985" w14:textId="77777777" w:rsidR="00FA338D" w:rsidRPr="002704AD" w:rsidRDefault="00FA338D" w:rsidP="003A6C38">
            <w:pPr>
              <w:pStyle w:val="naisf"/>
              <w:spacing w:before="0" w:after="0"/>
              <w:ind w:right="57" w:firstLine="0"/>
              <w:jc w:val="left"/>
            </w:pPr>
            <w:r w:rsidRPr="002704AD">
              <w:t>Projekta izpildes ietekme uz pārvaldes institucionālo struktūru.</w:t>
            </w:r>
          </w:p>
          <w:p w14:paraId="298F2986" w14:textId="1EE804C2" w:rsidR="00FA338D" w:rsidRPr="002704AD" w:rsidRDefault="00FA338D" w:rsidP="003A6C38">
            <w:r w:rsidRPr="002704AD">
              <w:t>Esoš</w:t>
            </w:r>
            <w:r w:rsidR="003A6C38">
              <w:t>o</w:t>
            </w:r>
            <w:r w:rsidRPr="002704AD">
              <w:t xml:space="preserve"> institūciju reorganizācija</w:t>
            </w:r>
          </w:p>
        </w:tc>
        <w:tc>
          <w:tcPr>
            <w:tcW w:w="6060" w:type="dxa"/>
          </w:tcPr>
          <w:p w14:paraId="298F2987" w14:textId="77777777" w:rsidR="00FA338D" w:rsidRPr="002704AD" w:rsidRDefault="00F0239C" w:rsidP="00A95BE7">
            <w:pPr>
              <w:jc w:val="both"/>
            </w:pPr>
            <w:r w:rsidRPr="002704AD">
              <w:t>Noteikumu</w:t>
            </w:r>
            <w:r w:rsidR="00FC0548" w:rsidRPr="002704AD">
              <w:t xml:space="preserve"> projekts šo jomu neskar</w:t>
            </w:r>
          </w:p>
        </w:tc>
      </w:tr>
      <w:tr w:rsidR="00FA338D" w:rsidRPr="002704AD" w14:paraId="298F298C" w14:textId="77777777" w:rsidTr="00FE521F">
        <w:trPr>
          <w:trHeight w:val="279"/>
        </w:trPr>
        <w:tc>
          <w:tcPr>
            <w:tcW w:w="396" w:type="dxa"/>
          </w:tcPr>
          <w:p w14:paraId="298F2989" w14:textId="77777777" w:rsidR="00FA338D" w:rsidRPr="002704AD" w:rsidRDefault="00FA338D" w:rsidP="00A95BE7">
            <w:pPr>
              <w:jc w:val="both"/>
            </w:pPr>
            <w:r w:rsidRPr="002704AD">
              <w:t>6.</w:t>
            </w:r>
          </w:p>
        </w:tc>
        <w:tc>
          <w:tcPr>
            <w:tcW w:w="2923" w:type="dxa"/>
          </w:tcPr>
          <w:p w14:paraId="298F298A" w14:textId="77777777" w:rsidR="00FA338D" w:rsidRPr="002704AD" w:rsidRDefault="00FA338D" w:rsidP="00A95BE7">
            <w:pPr>
              <w:jc w:val="both"/>
            </w:pPr>
            <w:r w:rsidRPr="002704AD">
              <w:t>Cita informācija</w:t>
            </w:r>
          </w:p>
        </w:tc>
        <w:tc>
          <w:tcPr>
            <w:tcW w:w="6060" w:type="dxa"/>
          </w:tcPr>
          <w:p w14:paraId="298F298B" w14:textId="77777777" w:rsidR="007E018A" w:rsidRPr="002704AD" w:rsidRDefault="00FA338D" w:rsidP="00A95BE7">
            <w:pPr>
              <w:jc w:val="both"/>
            </w:pPr>
            <w:r w:rsidRPr="002704AD">
              <w:t>Nav</w:t>
            </w:r>
          </w:p>
        </w:tc>
      </w:tr>
    </w:tbl>
    <w:p w14:paraId="298F298D" w14:textId="77777777" w:rsidR="00FA338D" w:rsidRDefault="00FA338D" w:rsidP="00A95BE7"/>
    <w:p w14:paraId="298F298E" w14:textId="77777777" w:rsidR="006A320B" w:rsidRDefault="006A320B" w:rsidP="00A95BE7">
      <w:pPr>
        <w:ind w:firstLine="709"/>
        <w:jc w:val="both"/>
        <w:rPr>
          <w:sz w:val="28"/>
          <w:szCs w:val="28"/>
        </w:rPr>
      </w:pPr>
    </w:p>
    <w:p w14:paraId="0C19CA6A" w14:textId="77777777" w:rsidR="00A95BE7" w:rsidRDefault="00A95BE7" w:rsidP="00A95BE7">
      <w:pPr>
        <w:ind w:firstLine="709"/>
        <w:jc w:val="both"/>
        <w:rPr>
          <w:sz w:val="28"/>
          <w:szCs w:val="28"/>
        </w:rPr>
      </w:pPr>
    </w:p>
    <w:p w14:paraId="298F298F" w14:textId="77777777" w:rsidR="00A23075" w:rsidRPr="00A95BE7" w:rsidRDefault="00A23075" w:rsidP="00A95BE7">
      <w:pPr>
        <w:tabs>
          <w:tab w:val="left" w:pos="6804"/>
        </w:tabs>
        <w:ind w:firstLine="720"/>
        <w:jc w:val="both"/>
        <w:rPr>
          <w:sz w:val="28"/>
        </w:rPr>
      </w:pPr>
      <w:r w:rsidRPr="00A95BE7">
        <w:rPr>
          <w:sz w:val="28"/>
        </w:rPr>
        <w:t>Ministru prezidents</w:t>
      </w:r>
      <w:r w:rsidRPr="00A95BE7">
        <w:rPr>
          <w:sz w:val="28"/>
        </w:rPr>
        <w:tab/>
        <w:t>V.Dombrovskis</w:t>
      </w:r>
    </w:p>
    <w:p w14:paraId="298F2990" w14:textId="77777777" w:rsidR="007B159C" w:rsidRPr="00A95BE7" w:rsidRDefault="007B159C" w:rsidP="00A95BE7">
      <w:pPr>
        <w:tabs>
          <w:tab w:val="left" w:pos="6804"/>
        </w:tabs>
        <w:ind w:firstLine="720"/>
        <w:jc w:val="both"/>
        <w:rPr>
          <w:sz w:val="28"/>
        </w:rPr>
      </w:pPr>
    </w:p>
    <w:p w14:paraId="298F2992" w14:textId="77777777" w:rsidR="00A23075" w:rsidRPr="00A95BE7" w:rsidRDefault="00A23075" w:rsidP="00A95BE7">
      <w:pPr>
        <w:tabs>
          <w:tab w:val="left" w:pos="6804"/>
        </w:tabs>
        <w:ind w:firstLine="720"/>
        <w:jc w:val="both"/>
        <w:rPr>
          <w:sz w:val="28"/>
        </w:rPr>
      </w:pPr>
    </w:p>
    <w:p w14:paraId="298F2997" w14:textId="77777777" w:rsidR="00A23075" w:rsidRDefault="00A23075" w:rsidP="00A95BE7">
      <w:pPr>
        <w:tabs>
          <w:tab w:val="left" w:pos="6804"/>
        </w:tabs>
        <w:ind w:firstLine="720"/>
        <w:jc w:val="both"/>
        <w:rPr>
          <w:sz w:val="28"/>
        </w:rPr>
      </w:pPr>
    </w:p>
    <w:p w14:paraId="43ADB9AC" w14:textId="77777777" w:rsidR="00A95BE7" w:rsidRPr="00A95BE7" w:rsidRDefault="00A95BE7" w:rsidP="00A95BE7">
      <w:pPr>
        <w:tabs>
          <w:tab w:val="left" w:pos="6804"/>
        </w:tabs>
        <w:ind w:firstLine="720"/>
        <w:jc w:val="both"/>
        <w:rPr>
          <w:sz w:val="28"/>
        </w:rPr>
      </w:pPr>
    </w:p>
    <w:p w14:paraId="298F2998" w14:textId="77777777" w:rsidR="00A23075" w:rsidRPr="00A95BE7" w:rsidRDefault="00A23075" w:rsidP="00A95BE7">
      <w:pPr>
        <w:tabs>
          <w:tab w:val="left" w:pos="6804"/>
        </w:tabs>
        <w:ind w:firstLine="720"/>
        <w:jc w:val="both"/>
        <w:rPr>
          <w:sz w:val="28"/>
        </w:rPr>
      </w:pPr>
      <w:r w:rsidRPr="00A95BE7">
        <w:rPr>
          <w:sz w:val="28"/>
        </w:rPr>
        <w:t>Vizē:</w:t>
      </w:r>
    </w:p>
    <w:p w14:paraId="298F2999" w14:textId="77777777" w:rsidR="00A23075" w:rsidRPr="00A95BE7" w:rsidRDefault="00A23075" w:rsidP="00A95BE7">
      <w:pPr>
        <w:tabs>
          <w:tab w:val="left" w:pos="6804"/>
        </w:tabs>
        <w:ind w:firstLine="720"/>
        <w:jc w:val="both"/>
        <w:rPr>
          <w:sz w:val="28"/>
        </w:rPr>
      </w:pPr>
      <w:r w:rsidRPr="00A95BE7">
        <w:rPr>
          <w:sz w:val="28"/>
        </w:rPr>
        <w:t>Valsts kancelejas direktore</w:t>
      </w:r>
      <w:r w:rsidRPr="00A95BE7">
        <w:rPr>
          <w:sz w:val="28"/>
          <w:u w:val="single"/>
        </w:rPr>
        <w:tab/>
      </w:r>
      <w:r w:rsidRPr="00A95BE7">
        <w:rPr>
          <w:sz w:val="28"/>
        </w:rPr>
        <w:t>E.Dreimane</w:t>
      </w:r>
    </w:p>
    <w:p w14:paraId="298F299A" w14:textId="77777777" w:rsidR="00FA338D" w:rsidRPr="00A95BE7" w:rsidRDefault="00FA338D" w:rsidP="00A95BE7">
      <w:pPr>
        <w:ind w:firstLine="709"/>
        <w:jc w:val="both"/>
        <w:rPr>
          <w:sz w:val="28"/>
        </w:rPr>
      </w:pPr>
    </w:p>
    <w:p w14:paraId="298F299B" w14:textId="77777777" w:rsidR="007E018A" w:rsidRDefault="007E018A" w:rsidP="00A95BE7">
      <w:pPr>
        <w:pStyle w:val="naisf"/>
        <w:spacing w:before="0" w:after="0"/>
        <w:ind w:firstLine="0"/>
        <w:contextualSpacing/>
        <w:rPr>
          <w:sz w:val="20"/>
          <w:szCs w:val="20"/>
        </w:rPr>
      </w:pPr>
    </w:p>
    <w:p w14:paraId="298F299C" w14:textId="77777777" w:rsidR="00F04EB3" w:rsidRDefault="00F04EB3" w:rsidP="00A95BE7">
      <w:pPr>
        <w:pStyle w:val="naisf"/>
        <w:spacing w:before="0" w:after="0"/>
        <w:ind w:firstLine="0"/>
        <w:contextualSpacing/>
        <w:rPr>
          <w:sz w:val="20"/>
          <w:szCs w:val="20"/>
        </w:rPr>
      </w:pPr>
    </w:p>
    <w:p w14:paraId="298F299D" w14:textId="77777777" w:rsidR="004A5833" w:rsidRDefault="004A5833" w:rsidP="00A95BE7">
      <w:pPr>
        <w:pStyle w:val="naisf"/>
        <w:spacing w:before="0" w:after="0"/>
        <w:ind w:firstLine="0"/>
        <w:contextualSpacing/>
        <w:rPr>
          <w:sz w:val="20"/>
          <w:szCs w:val="20"/>
        </w:rPr>
      </w:pPr>
    </w:p>
    <w:p w14:paraId="298F299E" w14:textId="77777777" w:rsidR="005310A0" w:rsidRDefault="005310A0" w:rsidP="00A95BE7">
      <w:pPr>
        <w:pStyle w:val="naisf"/>
        <w:tabs>
          <w:tab w:val="left" w:pos="4080"/>
        </w:tabs>
        <w:spacing w:before="0" w:after="0"/>
        <w:ind w:firstLine="0"/>
        <w:contextualSpacing/>
        <w:rPr>
          <w:sz w:val="20"/>
          <w:szCs w:val="20"/>
        </w:rPr>
      </w:pPr>
    </w:p>
    <w:p w14:paraId="298F299F" w14:textId="77777777" w:rsidR="000134EB" w:rsidRDefault="000134EB" w:rsidP="00A95BE7">
      <w:pPr>
        <w:pStyle w:val="naisf"/>
        <w:spacing w:before="0" w:after="0"/>
        <w:ind w:firstLine="0"/>
        <w:contextualSpacing/>
        <w:rPr>
          <w:sz w:val="20"/>
          <w:szCs w:val="20"/>
        </w:rPr>
      </w:pPr>
    </w:p>
    <w:p w14:paraId="298F29A0" w14:textId="77777777" w:rsidR="00BA1F23" w:rsidRDefault="00BA1F23" w:rsidP="00A95BE7">
      <w:pPr>
        <w:pStyle w:val="naisf"/>
        <w:spacing w:before="0" w:after="0"/>
        <w:ind w:firstLine="0"/>
        <w:contextualSpacing/>
        <w:rPr>
          <w:sz w:val="20"/>
          <w:szCs w:val="20"/>
        </w:rPr>
      </w:pPr>
    </w:p>
    <w:p w14:paraId="298F29A1" w14:textId="77777777" w:rsidR="00973255" w:rsidRDefault="00271559" w:rsidP="00A95BE7">
      <w:pPr>
        <w:pStyle w:val="naisf"/>
        <w:spacing w:before="0" w:after="0"/>
        <w:ind w:firstLine="0"/>
        <w:contextualSpacing/>
        <w:rPr>
          <w:sz w:val="20"/>
          <w:szCs w:val="20"/>
        </w:rPr>
      </w:pPr>
      <w:r>
        <w:rPr>
          <w:sz w:val="20"/>
          <w:szCs w:val="20"/>
        </w:rPr>
        <w:fldChar w:fldCharType="begin"/>
      </w:r>
      <w:r w:rsidR="00973255">
        <w:rPr>
          <w:sz w:val="20"/>
          <w:szCs w:val="20"/>
        </w:rPr>
        <w:instrText xml:space="preserve"> TIME \@ "dd.MM.yyyy H:mm" </w:instrText>
      </w:r>
      <w:r>
        <w:rPr>
          <w:sz w:val="20"/>
          <w:szCs w:val="20"/>
        </w:rPr>
        <w:fldChar w:fldCharType="separate"/>
      </w:r>
      <w:r w:rsidR="00FE521F">
        <w:rPr>
          <w:noProof/>
          <w:sz w:val="20"/>
          <w:szCs w:val="20"/>
        </w:rPr>
        <w:t>14.05.2013 11:43</w:t>
      </w:r>
      <w:r>
        <w:rPr>
          <w:sz w:val="20"/>
          <w:szCs w:val="20"/>
        </w:rPr>
        <w:fldChar w:fldCharType="end"/>
      </w:r>
    </w:p>
    <w:p w14:paraId="298F29A2" w14:textId="4A5260CB" w:rsidR="00CC4A11" w:rsidRDefault="00973255" w:rsidP="00A95BE7">
      <w:pPr>
        <w:pStyle w:val="naisf"/>
        <w:spacing w:before="0" w:after="0"/>
        <w:ind w:firstLine="0"/>
        <w:contextualSpacing/>
        <w:rPr>
          <w:sz w:val="20"/>
          <w:szCs w:val="20"/>
        </w:rPr>
      </w:pPr>
      <w:r>
        <w:rPr>
          <w:sz w:val="20"/>
          <w:szCs w:val="20"/>
        </w:rPr>
        <w:t>1</w:t>
      </w:r>
      <w:r w:rsidR="00807AAA">
        <w:rPr>
          <w:sz w:val="20"/>
          <w:szCs w:val="20"/>
        </w:rPr>
        <w:t>432</w:t>
      </w:r>
    </w:p>
    <w:p w14:paraId="298F29A3" w14:textId="4634BCA1" w:rsidR="00CC4A11" w:rsidRDefault="00FC0548" w:rsidP="00A95BE7">
      <w:pPr>
        <w:pStyle w:val="naisf"/>
        <w:spacing w:before="0" w:after="0"/>
        <w:ind w:firstLine="0"/>
        <w:contextualSpacing/>
        <w:rPr>
          <w:sz w:val="20"/>
          <w:szCs w:val="20"/>
        </w:rPr>
      </w:pPr>
      <w:r>
        <w:rPr>
          <w:sz w:val="20"/>
          <w:szCs w:val="20"/>
        </w:rPr>
        <w:t>Legzdiņa-</w:t>
      </w:r>
      <w:proofErr w:type="spellStart"/>
      <w:r>
        <w:rPr>
          <w:sz w:val="20"/>
          <w:szCs w:val="20"/>
        </w:rPr>
        <w:t>Joja</w:t>
      </w:r>
      <w:proofErr w:type="spellEnd"/>
      <w:r w:rsidR="00CC4A11" w:rsidRPr="00C15608">
        <w:rPr>
          <w:sz w:val="20"/>
          <w:szCs w:val="20"/>
        </w:rPr>
        <w:t xml:space="preserve"> </w:t>
      </w:r>
      <w:r>
        <w:rPr>
          <w:sz w:val="20"/>
          <w:szCs w:val="20"/>
        </w:rPr>
        <w:t>67082904</w:t>
      </w:r>
    </w:p>
    <w:p w14:paraId="298F29A4" w14:textId="77777777" w:rsidR="00FA338D" w:rsidRPr="00CC4A11" w:rsidRDefault="00FE521F" w:rsidP="00A95BE7">
      <w:pPr>
        <w:pStyle w:val="naisf"/>
        <w:spacing w:before="0" w:after="0"/>
        <w:ind w:firstLine="0"/>
        <w:contextualSpacing/>
        <w:rPr>
          <w:sz w:val="20"/>
          <w:szCs w:val="20"/>
        </w:rPr>
      </w:pPr>
      <w:hyperlink r:id="rId10" w:history="1">
        <w:r w:rsidR="00FC0548" w:rsidRPr="00767C98">
          <w:rPr>
            <w:rStyle w:val="Hyperlink"/>
            <w:sz w:val="20"/>
            <w:szCs w:val="20"/>
          </w:rPr>
          <w:t>zane.legzdina@mk.gov.lv</w:t>
        </w:r>
      </w:hyperlink>
      <w:r w:rsidR="00FC0548">
        <w:rPr>
          <w:sz w:val="20"/>
          <w:szCs w:val="20"/>
        </w:rPr>
        <w:t xml:space="preserve"> </w:t>
      </w:r>
    </w:p>
    <w:sectPr w:rsidR="00FA338D" w:rsidRPr="00CC4A11" w:rsidSect="00A95BE7">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F29A7" w14:textId="77777777" w:rsidR="007C1994" w:rsidRDefault="007C1994">
      <w:r>
        <w:separator/>
      </w:r>
    </w:p>
  </w:endnote>
  <w:endnote w:type="continuationSeparator" w:id="0">
    <w:p w14:paraId="298F29A8" w14:textId="77777777" w:rsidR="007C1994" w:rsidRDefault="007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43E45" w14:textId="77777777" w:rsidR="00A95BE7" w:rsidRPr="00A95BE7" w:rsidRDefault="00A95BE7" w:rsidP="00A95BE7">
    <w:pPr>
      <w:jc w:val="both"/>
      <w:rPr>
        <w:bCs/>
        <w:sz w:val="16"/>
        <w:szCs w:val="16"/>
      </w:rPr>
    </w:pPr>
    <w:proofErr w:type="spellStart"/>
    <w:r w:rsidRPr="00A95BE7">
      <w:rPr>
        <w:sz w:val="16"/>
        <w:szCs w:val="16"/>
      </w:rPr>
      <w:t>MKanot_groz_not_1178_250413</w:t>
    </w:r>
    <w:proofErr w:type="spellEnd"/>
    <w:r w:rsidRPr="00A95BE7">
      <w:rPr>
        <w:sz w:val="16"/>
        <w:szCs w:val="16"/>
      </w:rPr>
      <w:t xml:space="preserve">; </w:t>
    </w:r>
    <w:r w:rsidRPr="00A95BE7">
      <w:rPr>
        <w:spacing w:val="-4"/>
        <w:sz w:val="16"/>
        <w:szCs w:val="16"/>
      </w:rPr>
      <w:t xml:space="preserve">Ministru kabineta noteikumu projekta </w:t>
    </w:r>
    <w:r w:rsidRPr="00A95BE7">
      <w:rPr>
        <w:bCs/>
        <w:sz w:val="16"/>
        <w:szCs w:val="16"/>
      </w:rPr>
      <w:t xml:space="preserve">"Grozījumi Ministru kabineta </w:t>
    </w:r>
    <w:proofErr w:type="spellStart"/>
    <w:r w:rsidRPr="00A95BE7">
      <w:rPr>
        <w:bCs/>
        <w:sz w:val="16"/>
        <w:szCs w:val="16"/>
      </w:rPr>
      <w:t>2009.gada</w:t>
    </w:r>
    <w:proofErr w:type="spellEnd"/>
    <w:r w:rsidRPr="00A95BE7">
      <w:rPr>
        <w:bCs/>
        <w:sz w:val="16"/>
        <w:szCs w:val="16"/>
      </w:rPr>
      <w:t xml:space="preserve"> </w:t>
    </w:r>
    <w:proofErr w:type="spellStart"/>
    <w:r w:rsidRPr="00A95BE7">
      <w:rPr>
        <w:bCs/>
        <w:sz w:val="16"/>
        <w:szCs w:val="16"/>
      </w:rPr>
      <w:t>13.oktobra</w:t>
    </w:r>
    <w:proofErr w:type="spellEnd"/>
    <w:r w:rsidRPr="00A95BE7">
      <w:rPr>
        <w:bCs/>
        <w:sz w:val="16"/>
        <w:szCs w:val="16"/>
      </w:rPr>
      <w:t xml:space="preserve"> noteikumos </w:t>
    </w:r>
    <w:proofErr w:type="spellStart"/>
    <w:r w:rsidRPr="00A95BE7">
      <w:rPr>
        <w:bCs/>
        <w:sz w:val="16"/>
        <w:szCs w:val="16"/>
      </w:rPr>
      <w:t>Nr.1178</w:t>
    </w:r>
    <w:proofErr w:type="spellEnd"/>
    <w:r w:rsidRPr="00A95BE7">
      <w:rPr>
        <w:bCs/>
        <w:sz w:val="16"/>
        <w:szCs w:val="16"/>
      </w:rPr>
      <w:t xml:space="preserve"> "Attīstības plānošanas dokumentu izstrādes un ietekmes izvērtēšanas noteikumi""</w:t>
    </w:r>
    <w:r w:rsidRPr="00A95BE7">
      <w:rPr>
        <w:sz w:val="16"/>
        <w:szCs w:val="16"/>
        <w:lang w:eastAsia="en-US"/>
      </w:rPr>
      <w:t xml:space="preserve"> </w:t>
    </w:r>
    <w:r w:rsidRPr="00A95BE7">
      <w:rPr>
        <w:spacing w:val="-4"/>
        <w:sz w:val="16"/>
        <w:szCs w:val="16"/>
      </w:rPr>
      <w:t>sākotnējās ietekmes novērtējuma ziņojums (anotācija) (24783)</w:t>
    </w:r>
  </w:p>
  <w:p w14:paraId="298F29AD" w14:textId="299578B3" w:rsidR="002A5629" w:rsidRPr="00A95BE7" w:rsidRDefault="002A5629" w:rsidP="00A95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29AE" w14:textId="060B39A3" w:rsidR="002A5629" w:rsidRPr="00A95BE7" w:rsidRDefault="008E48B9" w:rsidP="001818F5">
    <w:pPr>
      <w:jc w:val="both"/>
      <w:rPr>
        <w:bCs/>
        <w:sz w:val="16"/>
        <w:szCs w:val="16"/>
      </w:rPr>
    </w:pPr>
    <w:r w:rsidRPr="00A95BE7">
      <w:rPr>
        <w:sz w:val="16"/>
        <w:szCs w:val="16"/>
      </w:rPr>
      <w:t>MKanot_groz_</w:t>
    </w:r>
    <w:r w:rsidR="001818F5" w:rsidRPr="00A95BE7">
      <w:rPr>
        <w:sz w:val="16"/>
        <w:szCs w:val="16"/>
      </w:rPr>
      <w:t>not_1178</w:t>
    </w:r>
    <w:r w:rsidR="00A73F93" w:rsidRPr="00A95BE7">
      <w:rPr>
        <w:sz w:val="16"/>
        <w:szCs w:val="16"/>
      </w:rPr>
      <w:t>_</w:t>
    </w:r>
    <w:r w:rsidR="00BA1F23" w:rsidRPr="00A95BE7">
      <w:rPr>
        <w:sz w:val="16"/>
        <w:szCs w:val="16"/>
      </w:rPr>
      <w:t>25</w:t>
    </w:r>
    <w:r w:rsidR="00973255" w:rsidRPr="00A95BE7">
      <w:rPr>
        <w:sz w:val="16"/>
        <w:szCs w:val="16"/>
      </w:rPr>
      <w:t>04</w:t>
    </w:r>
    <w:r w:rsidRPr="00A95BE7">
      <w:rPr>
        <w:sz w:val="16"/>
        <w:szCs w:val="16"/>
      </w:rPr>
      <w:t xml:space="preserve">13; </w:t>
    </w:r>
    <w:r w:rsidR="001818F5" w:rsidRPr="00A95BE7">
      <w:rPr>
        <w:spacing w:val="-4"/>
        <w:sz w:val="16"/>
        <w:szCs w:val="16"/>
      </w:rPr>
      <w:t xml:space="preserve">Ministru kabineta noteikumu projekta </w:t>
    </w:r>
    <w:r w:rsidR="001818F5" w:rsidRPr="00A95BE7">
      <w:rPr>
        <w:bCs/>
        <w:sz w:val="16"/>
        <w:szCs w:val="16"/>
      </w:rPr>
      <w:t>"Grozījumi Ministru kabineta 2009.gada 13.oktobra noteikumos Nr.1178 "Attīstības plānošanas dokumentu izstrādes un ietekmes izvērtēšanas noteikumi""</w:t>
    </w:r>
    <w:r w:rsidR="001818F5" w:rsidRPr="00A95BE7">
      <w:rPr>
        <w:sz w:val="16"/>
        <w:szCs w:val="16"/>
        <w:lang w:eastAsia="en-US"/>
      </w:rPr>
      <w:t xml:space="preserve"> </w:t>
    </w:r>
    <w:r w:rsidR="001818F5" w:rsidRPr="00A95BE7">
      <w:rPr>
        <w:spacing w:val="-4"/>
        <w:sz w:val="16"/>
        <w:szCs w:val="16"/>
      </w:rPr>
      <w:t>sākotnējās ietekmes novērtējuma ziņojums (anotācija)</w:t>
    </w:r>
    <w:r w:rsidR="00A95BE7" w:rsidRPr="00A95BE7">
      <w:rPr>
        <w:spacing w:val="-4"/>
        <w:sz w:val="16"/>
        <w:szCs w:val="16"/>
      </w:rPr>
      <w:t xml:space="preserve"> (24783)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F29A5" w14:textId="77777777" w:rsidR="007C1994" w:rsidRDefault="007C1994">
      <w:r>
        <w:separator/>
      </w:r>
    </w:p>
  </w:footnote>
  <w:footnote w:type="continuationSeparator" w:id="0">
    <w:p w14:paraId="298F29A6" w14:textId="77777777" w:rsidR="007C1994" w:rsidRDefault="007C1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29A9" w14:textId="77777777" w:rsidR="002A5629" w:rsidRDefault="00271559" w:rsidP="006562F3">
    <w:pPr>
      <w:pStyle w:val="Header"/>
      <w:framePr w:wrap="around" w:vAnchor="text" w:hAnchor="margin" w:xAlign="center" w:y="1"/>
      <w:rPr>
        <w:rStyle w:val="PageNumber"/>
      </w:rPr>
    </w:pPr>
    <w:r>
      <w:rPr>
        <w:rStyle w:val="PageNumber"/>
      </w:rPr>
      <w:fldChar w:fldCharType="begin"/>
    </w:r>
    <w:r w:rsidR="002A5629">
      <w:rPr>
        <w:rStyle w:val="PageNumber"/>
      </w:rPr>
      <w:instrText xml:space="preserve">PAGE  </w:instrText>
    </w:r>
    <w:r>
      <w:rPr>
        <w:rStyle w:val="PageNumber"/>
      </w:rPr>
      <w:fldChar w:fldCharType="end"/>
    </w:r>
  </w:p>
  <w:p w14:paraId="298F29AA" w14:textId="77777777" w:rsidR="002A5629" w:rsidRDefault="002A5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29AB" w14:textId="77777777" w:rsidR="002A5629" w:rsidRDefault="00271559" w:rsidP="006562F3">
    <w:pPr>
      <w:pStyle w:val="Header"/>
      <w:framePr w:wrap="around" w:vAnchor="text" w:hAnchor="margin" w:xAlign="center" w:y="1"/>
      <w:rPr>
        <w:rStyle w:val="PageNumber"/>
      </w:rPr>
    </w:pPr>
    <w:r>
      <w:rPr>
        <w:rStyle w:val="PageNumber"/>
      </w:rPr>
      <w:fldChar w:fldCharType="begin"/>
    </w:r>
    <w:r w:rsidR="002A5629">
      <w:rPr>
        <w:rStyle w:val="PageNumber"/>
      </w:rPr>
      <w:instrText xml:space="preserve">PAGE  </w:instrText>
    </w:r>
    <w:r>
      <w:rPr>
        <w:rStyle w:val="PageNumber"/>
      </w:rPr>
      <w:fldChar w:fldCharType="separate"/>
    </w:r>
    <w:r w:rsidR="00FE521F">
      <w:rPr>
        <w:rStyle w:val="PageNumber"/>
        <w:noProof/>
      </w:rPr>
      <w:t>5</w:t>
    </w:r>
    <w:r>
      <w:rPr>
        <w:rStyle w:val="PageNumber"/>
      </w:rPr>
      <w:fldChar w:fldCharType="end"/>
    </w:r>
  </w:p>
  <w:p w14:paraId="298F29AC" w14:textId="77777777" w:rsidR="002A5629" w:rsidRDefault="002A5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5BE82029"/>
    <w:multiLevelType w:val="multilevel"/>
    <w:tmpl w:val="03AE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C6550"/>
    <w:multiLevelType w:val="hybridMultilevel"/>
    <w:tmpl w:val="E9E0D8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2F3"/>
    <w:rsid w:val="000076F9"/>
    <w:rsid w:val="00010932"/>
    <w:rsid w:val="00011A13"/>
    <w:rsid w:val="000134EB"/>
    <w:rsid w:val="000147AB"/>
    <w:rsid w:val="000232E2"/>
    <w:rsid w:val="00031834"/>
    <w:rsid w:val="00032788"/>
    <w:rsid w:val="00032CCD"/>
    <w:rsid w:val="0003538A"/>
    <w:rsid w:val="00050A53"/>
    <w:rsid w:val="00055357"/>
    <w:rsid w:val="00057841"/>
    <w:rsid w:val="00082B98"/>
    <w:rsid w:val="0008501C"/>
    <w:rsid w:val="000879C9"/>
    <w:rsid w:val="00090BD4"/>
    <w:rsid w:val="00090F6A"/>
    <w:rsid w:val="00094CBC"/>
    <w:rsid w:val="000A15B9"/>
    <w:rsid w:val="000A1E2F"/>
    <w:rsid w:val="000A2D9A"/>
    <w:rsid w:val="000B55EA"/>
    <w:rsid w:val="000C0552"/>
    <w:rsid w:val="000C2FD4"/>
    <w:rsid w:val="000C3D81"/>
    <w:rsid w:val="000C5CA6"/>
    <w:rsid w:val="000C5EC6"/>
    <w:rsid w:val="000D1D4C"/>
    <w:rsid w:val="000D4DDD"/>
    <w:rsid w:val="000D5EFD"/>
    <w:rsid w:val="000D7093"/>
    <w:rsid w:val="000E6D8C"/>
    <w:rsid w:val="000F0DCC"/>
    <w:rsid w:val="000F335C"/>
    <w:rsid w:val="000F46BC"/>
    <w:rsid w:val="001004EC"/>
    <w:rsid w:val="00113A33"/>
    <w:rsid w:val="001159AC"/>
    <w:rsid w:val="00116345"/>
    <w:rsid w:val="00122115"/>
    <w:rsid w:val="00127270"/>
    <w:rsid w:val="00127706"/>
    <w:rsid w:val="001401C2"/>
    <w:rsid w:val="00144FC1"/>
    <w:rsid w:val="00150D41"/>
    <w:rsid w:val="0015426F"/>
    <w:rsid w:val="00157AA8"/>
    <w:rsid w:val="001678E9"/>
    <w:rsid w:val="001715F1"/>
    <w:rsid w:val="001818F5"/>
    <w:rsid w:val="00181B86"/>
    <w:rsid w:val="00190814"/>
    <w:rsid w:val="001969BD"/>
    <w:rsid w:val="001974EC"/>
    <w:rsid w:val="001A0D90"/>
    <w:rsid w:val="001A1034"/>
    <w:rsid w:val="001B31ED"/>
    <w:rsid w:val="001B40F5"/>
    <w:rsid w:val="001C331C"/>
    <w:rsid w:val="001C63E8"/>
    <w:rsid w:val="001D0F94"/>
    <w:rsid w:val="001E06DA"/>
    <w:rsid w:val="001E341A"/>
    <w:rsid w:val="001E384A"/>
    <w:rsid w:val="001E639F"/>
    <w:rsid w:val="001E65FF"/>
    <w:rsid w:val="001F0A7D"/>
    <w:rsid w:val="001F5548"/>
    <w:rsid w:val="001F79A8"/>
    <w:rsid w:val="00201828"/>
    <w:rsid w:val="002037F6"/>
    <w:rsid w:val="002043B8"/>
    <w:rsid w:val="002048EC"/>
    <w:rsid w:val="002139CF"/>
    <w:rsid w:val="00222385"/>
    <w:rsid w:val="00223905"/>
    <w:rsid w:val="00225880"/>
    <w:rsid w:val="00225EAE"/>
    <w:rsid w:val="002261CF"/>
    <w:rsid w:val="00230205"/>
    <w:rsid w:val="00230CF8"/>
    <w:rsid w:val="00232978"/>
    <w:rsid w:val="00235AAA"/>
    <w:rsid w:val="00236D7E"/>
    <w:rsid w:val="00237191"/>
    <w:rsid w:val="00240E4A"/>
    <w:rsid w:val="002433BF"/>
    <w:rsid w:val="00251D2B"/>
    <w:rsid w:val="00251F9C"/>
    <w:rsid w:val="00252C91"/>
    <w:rsid w:val="0025416C"/>
    <w:rsid w:val="0025693C"/>
    <w:rsid w:val="00257624"/>
    <w:rsid w:val="00260C5D"/>
    <w:rsid w:val="00262E51"/>
    <w:rsid w:val="00265854"/>
    <w:rsid w:val="002704AD"/>
    <w:rsid w:val="00271559"/>
    <w:rsid w:val="002716C1"/>
    <w:rsid w:val="00276901"/>
    <w:rsid w:val="002778B3"/>
    <w:rsid w:val="00290E8A"/>
    <w:rsid w:val="00297367"/>
    <w:rsid w:val="002A1090"/>
    <w:rsid w:val="002A5629"/>
    <w:rsid w:val="002A5BA6"/>
    <w:rsid w:val="002B0133"/>
    <w:rsid w:val="002B3643"/>
    <w:rsid w:val="002B430F"/>
    <w:rsid w:val="002C45EB"/>
    <w:rsid w:val="002C597A"/>
    <w:rsid w:val="002D0EF6"/>
    <w:rsid w:val="002D2F6B"/>
    <w:rsid w:val="002D3468"/>
    <w:rsid w:val="002E0387"/>
    <w:rsid w:val="002E4490"/>
    <w:rsid w:val="002E5A3F"/>
    <w:rsid w:val="002E5EA1"/>
    <w:rsid w:val="002E71A2"/>
    <w:rsid w:val="0030233A"/>
    <w:rsid w:val="00306767"/>
    <w:rsid w:val="00306E83"/>
    <w:rsid w:val="00312F18"/>
    <w:rsid w:val="0031315A"/>
    <w:rsid w:val="003167E8"/>
    <w:rsid w:val="00322D3F"/>
    <w:rsid w:val="00324524"/>
    <w:rsid w:val="003258B3"/>
    <w:rsid w:val="00336159"/>
    <w:rsid w:val="0033751D"/>
    <w:rsid w:val="00344C35"/>
    <w:rsid w:val="003461BF"/>
    <w:rsid w:val="00346B12"/>
    <w:rsid w:val="003568D9"/>
    <w:rsid w:val="003574AD"/>
    <w:rsid w:val="003628AE"/>
    <w:rsid w:val="0036419C"/>
    <w:rsid w:val="00374181"/>
    <w:rsid w:val="00377BBC"/>
    <w:rsid w:val="003902AF"/>
    <w:rsid w:val="0039112F"/>
    <w:rsid w:val="003970C8"/>
    <w:rsid w:val="003A0C41"/>
    <w:rsid w:val="003A1506"/>
    <w:rsid w:val="003A68E5"/>
    <w:rsid w:val="003A6C38"/>
    <w:rsid w:val="003A74E9"/>
    <w:rsid w:val="003B26A6"/>
    <w:rsid w:val="003B6950"/>
    <w:rsid w:val="003C4183"/>
    <w:rsid w:val="003C60A4"/>
    <w:rsid w:val="003D010D"/>
    <w:rsid w:val="003D1ACF"/>
    <w:rsid w:val="003D4097"/>
    <w:rsid w:val="003D4902"/>
    <w:rsid w:val="003D4FFD"/>
    <w:rsid w:val="003D6645"/>
    <w:rsid w:val="003E1D1C"/>
    <w:rsid w:val="003E53EF"/>
    <w:rsid w:val="003E5826"/>
    <w:rsid w:val="00406B35"/>
    <w:rsid w:val="00416BAF"/>
    <w:rsid w:val="00422C63"/>
    <w:rsid w:val="004341B4"/>
    <w:rsid w:val="0043451A"/>
    <w:rsid w:val="0044238D"/>
    <w:rsid w:val="00454480"/>
    <w:rsid w:val="004627BA"/>
    <w:rsid w:val="00465887"/>
    <w:rsid w:val="004743C9"/>
    <w:rsid w:val="004746B0"/>
    <w:rsid w:val="004768EF"/>
    <w:rsid w:val="004813E2"/>
    <w:rsid w:val="004A5833"/>
    <w:rsid w:val="004B68A5"/>
    <w:rsid w:val="004C06EE"/>
    <w:rsid w:val="004C0CE6"/>
    <w:rsid w:val="004C3DB0"/>
    <w:rsid w:val="004E1696"/>
    <w:rsid w:val="004E1F1A"/>
    <w:rsid w:val="004E474D"/>
    <w:rsid w:val="004F67AE"/>
    <w:rsid w:val="00503853"/>
    <w:rsid w:val="00514079"/>
    <w:rsid w:val="0052071D"/>
    <w:rsid w:val="00520799"/>
    <w:rsid w:val="00520E31"/>
    <w:rsid w:val="005310A0"/>
    <w:rsid w:val="005409D4"/>
    <w:rsid w:val="0054286B"/>
    <w:rsid w:val="00542D35"/>
    <w:rsid w:val="00544D38"/>
    <w:rsid w:val="0054776A"/>
    <w:rsid w:val="00547841"/>
    <w:rsid w:val="00554495"/>
    <w:rsid w:val="00555FFD"/>
    <w:rsid w:val="005565A0"/>
    <w:rsid w:val="00560324"/>
    <w:rsid w:val="00560C85"/>
    <w:rsid w:val="00563C1A"/>
    <w:rsid w:val="00564A95"/>
    <w:rsid w:val="0057608E"/>
    <w:rsid w:val="005A19E4"/>
    <w:rsid w:val="005A3757"/>
    <w:rsid w:val="005A449C"/>
    <w:rsid w:val="005A53A8"/>
    <w:rsid w:val="005B3A6E"/>
    <w:rsid w:val="005C47A5"/>
    <w:rsid w:val="005C6994"/>
    <w:rsid w:val="005C6F53"/>
    <w:rsid w:val="005D1B62"/>
    <w:rsid w:val="005D517D"/>
    <w:rsid w:val="005D6453"/>
    <w:rsid w:val="005D6F07"/>
    <w:rsid w:val="005D7756"/>
    <w:rsid w:val="005E2894"/>
    <w:rsid w:val="005E2D40"/>
    <w:rsid w:val="005E7B98"/>
    <w:rsid w:val="005F6419"/>
    <w:rsid w:val="00601C4B"/>
    <w:rsid w:val="00607B1C"/>
    <w:rsid w:val="006128E1"/>
    <w:rsid w:val="00612D32"/>
    <w:rsid w:val="00617DD9"/>
    <w:rsid w:val="006200B7"/>
    <w:rsid w:val="006229BF"/>
    <w:rsid w:val="0062354E"/>
    <w:rsid w:val="00627C56"/>
    <w:rsid w:val="00631832"/>
    <w:rsid w:val="00636ABC"/>
    <w:rsid w:val="006408D7"/>
    <w:rsid w:val="006436B4"/>
    <w:rsid w:val="00650C75"/>
    <w:rsid w:val="00654723"/>
    <w:rsid w:val="006562F3"/>
    <w:rsid w:val="00660958"/>
    <w:rsid w:val="006617E0"/>
    <w:rsid w:val="00670636"/>
    <w:rsid w:val="006715EE"/>
    <w:rsid w:val="00682106"/>
    <w:rsid w:val="006A1E4C"/>
    <w:rsid w:val="006A320B"/>
    <w:rsid w:val="006A7CFB"/>
    <w:rsid w:val="006B02B1"/>
    <w:rsid w:val="006B6CB8"/>
    <w:rsid w:val="006C244B"/>
    <w:rsid w:val="006C64A7"/>
    <w:rsid w:val="006C6D59"/>
    <w:rsid w:val="006D073A"/>
    <w:rsid w:val="006D2797"/>
    <w:rsid w:val="006D330D"/>
    <w:rsid w:val="006D3966"/>
    <w:rsid w:val="006D6461"/>
    <w:rsid w:val="006E0A77"/>
    <w:rsid w:val="006E3E16"/>
    <w:rsid w:val="006F4417"/>
    <w:rsid w:val="006F73EC"/>
    <w:rsid w:val="00707A1B"/>
    <w:rsid w:val="00715A92"/>
    <w:rsid w:val="007167F5"/>
    <w:rsid w:val="007170AE"/>
    <w:rsid w:val="00725D98"/>
    <w:rsid w:val="00725E34"/>
    <w:rsid w:val="00725F61"/>
    <w:rsid w:val="00726563"/>
    <w:rsid w:val="007332BC"/>
    <w:rsid w:val="00737FEE"/>
    <w:rsid w:val="007403AD"/>
    <w:rsid w:val="00752472"/>
    <w:rsid w:val="007644F4"/>
    <w:rsid w:val="00765AAB"/>
    <w:rsid w:val="0077752F"/>
    <w:rsid w:val="00784F74"/>
    <w:rsid w:val="007909BB"/>
    <w:rsid w:val="007919E3"/>
    <w:rsid w:val="00791CC8"/>
    <w:rsid w:val="007926C6"/>
    <w:rsid w:val="007979F3"/>
    <w:rsid w:val="007A0B2A"/>
    <w:rsid w:val="007A573E"/>
    <w:rsid w:val="007A6188"/>
    <w:rsid w:val="007A6E32"/>
    <w:rsid w:val="007B159C"/>
    <w:rsid w:val="007B75E7"/>
    <w:rsid w:val="007C1994"/>
    <w:rsid w:val="007C3854"/>
    <w:rsid w:val="007D0376"/>
    <w:rsid w:val="007D17F8"/>
    <w:rsid w:val="007D1858"/>
    <w:rsid w:val="007D2ED4"/>
    <w:rsid w:val="007E018A"/>
    <w:rsid w:val="00800A74"/>
    <w:rsid w:val="008038A5"/>
    <w:rsid w:val="00804D4D"/>
    <w:rsid w:val="00807AAA"/>
    <w:rsid w:val="00824D0A"/>
    <w:rsid w:val="00830D9C"/>
    <w:rsid w:val="00836AC3"/>
    <w:rsid w:val="00840632"/>
    <w:rsid w:val="008408B6"/>
    <w:rsid w:val="00841E5F"/>
    <w:rsid w:val="00844CE6"/>
    <w:rsid w:val="00853B01"/>
    <w:rsid w:val="00864915"/>
    <w:rsid w:val="008671CF"/>
    <w:rsid w:val="008711FE"/>
    <w:rsid w:val="008717F3"/>
    <w:rsid w:val="00872C01"/>
    <w:rsid w:val="00874451"/>
    <w:rsid w:val="00876495"/>
    <w:rsid w:val="0088027F"/>
    <w:rsid w:val="00881A6E"/>
    <w:rsid w:val="00882125"/>
    <w:rsid w:val="00892830"/>
    <w:rsid w:val="008A0AE7"/>
    <w:rsid w:val="008B0975"/>
    <w:rsid w:val="008B0F92"/>
    <w:rsid w:val="008C0C7F"/>
    <w:rsid w:val="008C19A6"/>
    <w:rsid w:val="008C2AA4"/>
    <w:rsid w:val="008D6AE0"/>
    <w:rsid w:val="008E02D9"/>
    <w:rsid w:val="008E27C4"/>
    <w:rsid w:val="008E48B9"/>
    <w:rsid w:val="008F1A39"/>
    <w:rsid w:val="008F53F2"/>
    <w:rsid w:val="008F71D6"/>
    <w:rsid w:val="008F7F20"/>
    <w:rsid w:val="00900F5E"/>
    <w:rsid w:val="00902A6A"/>
    <w:rsid w:val="009051DD"/>
    <w:rsid w:val="0090743C"/>
    <w:rsid w:val="009079D4"/>
    <w:rsid w:val="00913C69"/>
    <w:rsid w:val="009170EC"/>
    <w:rsid w:val="00917392"/>
    <w:rsid w:val="0092351C"/>
    <w:rsid w:val="00927380"/>
    <w:rsid w:val="00945297"/>
    <w:rsid w:val="00945DC0"/>
    <w:rsid w:val="0094627D"/>
    <w:rsid w:val="00950C4B"/>
    <w:rsid w:val="009538C1"/>
    <w:rsid w:val="00955009"/>
    <w:rsid w:val="00955BC1"/>
    <w:rsid w:val="0096499F"/>
    <w:rsid w:val="00972C18"/>
    <w:rsid w:val="00973255"/>
    <w:rsid w:val="009A09FC"/>
    <w:rsid w:val="009A2160"/>
    <w:rsid w:val="009A5151"/>
    <w:rsid w:val="009B67B4"/>
    <w:rsid w:val="009B6C7E"/>
    <w:rsid w:val="009C1712"/>
    <w:rsid w:val="009C1C78"/>
    <w:rsid w:val="009D366B"/>
    <w:rsid w:val="009D4A0A"/>
    <w:rsid w:val="009D7933"/>
    <w:rsid w:val="009E55E6"/>
    <w:rsid w:val="009E7309"/>
    <w:rsid w:val="009F6CAC"/>
    <w:rsid w:val="00A00081"/>
    <w:rsid w:val="00A006EA"/>
    <w:rsid w:val="00A12F05"/>
    <w:rsid w:val="00A2282A"/>
    <w:rsid w:val="00A23075"/>
    <w:rsid w:val="00A2489F"/>
    <w:rsid w:val="00A26152"/>
    <w:rsid w:val="00A44107"/>
    <w:rsid w:val="00A4449F"/>
    <w:rsid w:val="00A44B0A"/>
    <w:rsid w:val="00A45B2B"/>
    <w:rsid w:val="00A45B4C"/>
    <w:rsid w:val="00A53DF1"/>
    <w:rsid w:val="00A57643"/>
    <w:rsid w:val="00A61740"/>
    <w:rsid w:val="00A62694"/>
    <w:rsid w:val="00A641AA"/>
    <w:rsid w:val="00A73F93"/>
    <w:rsid w:val="00A75CCD"/>
    <w:rsid w:val="00A7607D"/>
    <w:rsid w:val="00A77091"/>
    <w:rsid w:val="00A90694"/>
    <w:rsid w:val="00A93DD1"/>
    <w:rsid w:val="00A95BE7"/>
    <w:rsid w:val="00AA02C9"/>
    <w:rsid w:val="00AA3B01"/>
    <w:rsid w:val="00AA7E11"/>
    <w:rsid w:val="00AB2C11"/>
    <w:rsid w:val="00AC14C5"/>
    <w:rsid w:val="00AC1A08"/>
    <w:rsid w:val="00AC2B3D"/>
    <w:rsid w:val="00AC613B"/>
    <w:rsid w:val="00AC6E03"/>
    <w:rsid w:val="00AD1043"/>
    <w:rsid w:val="00AD2145"/>
    <w:rsid w:val="00AD2FB7"/>
    <w:rsid w:val="00AD705D"/>
    <w:rsid w:val="00AE2156"/>
    <w:rsid w:val="00AF2EA9"/>
    <w:rsid w:val="00AF58FA"/>
    <w:rsid w:val="00B00523"/>
    <w:rsid w:val="00B05863"/>
    <w:rsid w:val="00B05965"/>
    <w:rsid w:val="00B135B4"/>
    <w:rsid w:val="00B13BB5"/>
    <w:rsid w:val="00B13D6D"/>
    <w:rsid w:val="00B207F2"/>
    <w:rsid w:val="00B20919"/>
    <w:rsid w:val="00B2258B"/>
    <w:rsid w:val="00B4345C"/>
    <w:rsid w:val="00B43716"/>
    <w:rsid w:val="00B45B17"/>
    <w:rsid w:val="00B464DA"/>
    <w:rsid w:val="00B46741"/>
    <w:rsid w:val="00B531E4"/>
    <w:rsid w:val="00B66B87"/>
    <w:rsid w:val="00B67D85"/>
    <w:rsid w:val="00B727EE"/>
    <w:rsid w:val="00B734D1"/>
    <w:rsid w:val="00B82925"/>
    <w:rsid w:val="00B83168"/>
    <w:rsid w:val="00B8696C"/>
    <w:rsid w:val="00B873A7"/>
    <w:rsid w:val="00B90194"/>
    <w:rsid w:val="00B90865"/>
    <w:rsid w:val="00B947D3"/>
    <w:rsid w:val="00BA1F23"/>
    <w:rsid w:val="00BA72C7"/>
    <w:rsid w:val="00BA7D02"/>
    <w:rsid w:val="00BA7F8C"/>
    <w:rsid w:val="00BB38A4"/>
    <w:rsid w:val="00BB3E61"/>
    <w:rsid w:val="00BB76A2"/>
    <w:rsid w:val="00BC4ECE"/>
    <w:rsid w:val="00BC68ED"/>
    <w:rsid w:val="00BE1FED"/>
    <w:rsid w:val="00BF0675"/>
    <w:rsid w:val="00BF3A80"/>
    <w:rsid w:val="00BF6620"/>
    <w:rsid w:val="00BF6A88"/>
    <w:rsid w:val="00C029E9"/>
    <w:rsid w:val="00C20699"/>
    <w:rsid w:val="00C23A9F"/>
    <w:rsid w:val="00C24119"/>
    <w:rsid w:val="00C245D4"/>
    <w:rsid w:val="00C275D9"/>
    <w:rsid w:val="00C34EB8"/>
    <w:rsid w:val="00C37B65"/>
    <w:rsid w:val="00C40BFC"/>
    <w:rsid w:val="00C424B2"/>
    <w:rsid w:val="00C44FD5"/>
    <w:rsid w:val="00C5236F"/>
    <w:rsid w:val="00C52A37"/>
    <w:rsid w:val="00C53ACF"/>
    <w:rsid w:val="00C546AC"/>
    <w:rsid w:val="00C551ED"/>
    <w:rsid w:val="00C5661F"/>
    <w:rsid w:val="00C62185"/>
    <w:rsid w:val="00C6495D"/>
    <w:rsid w:val="00C757FE"/>
    <w:rsid w:val="00C9125A"/>
    <w:rsid w:val="00CA1002"/>
    <w:rsid w:val="00CB136C"/>
    <w:rsid w:val="00CB29E5"/>
    <w:rsid w:val="00CB5932"/>
    <w:rsid w:val="00CB73FE"/>
    <w:rsid w:val="00CC08A3"/>
    <w:rsid w:val="00CC0F55"/>
    <w:rsid w:val="00CC3722"/>
    <w:rsid w:val="00CC4A11"/>
    <w:rsid w:val="00CD292E"/>
    <w:rsid w:val="00CD45D7"/>
    <w:rsid w:val="00CD47EB"/>
    <w:rsid w:val="00CD5851"/>
    <w:rsid w:val="00CE4718"/>
    <w:rsid w:val="00CE52CE"/>
    <w:rsid w:val="00CF37E9"/>
    <w:rsid w:val="00D12137"/>
    <w:rsid w:val="00D1761B"/>
    <w:rsid w:val="00D26078"/>
    <w:rsid w:val="00D26444"/>
    <w:rsid w:val="00D34120"/>
    <w:rsid w:val="00D359F4"/>
    <w:rsid w:val="00D367C6"/>
    <w:rsid w:val="00D4233F"/>
    <w:rsid w:val="00D44267"/>
    <w:rsid w:val="00D577A8"/>
    <w:rsid w:val="00D61320"/>
    <w:rsid w:val="00D73923"/>
    <w:rsid w:val="00D96FD9"/>
    <w:rsid w:val="00DA2A37"/>
    <w:rsid w:val="00DA63C8"/>
    <w:rsid w:val="00DB419A"/>
    <w:rsid w:val="00DC07F9"/>
    <w:rsid w:val="00DC0B02"/>
    <w:rsid w:val="00DC0B12"/>
    <w:rsid w:val="00DD3DFE"/>
    <w:rsid w:val="00DD5E14"/>
    <w:rsid w:val="00DD7875"/>
    <w:rsid w:val="00DE1A9D"/>
    <w:rsid w:val="00DE3A5E"/>
    <w:rsid w:val="00DF4CAD"/>
    <w:rsid w:val="00DF59A5"/>
    <w:rsid w:val="00DF618C"/>
    <w:rsid w:val="00E02FAE"/>
    <w:rsid w:val="00E0394B"/>
    <w:rsid w:val="00E052A6"/>
    <w:rsid w:val="00E072B3"/>
    <w:rsid w:val="00E10E02"/>
    <w:rsid w:val="00E163CE"/>
    <w:rsid w:val="00E16E89"/>
    <w:rsid w:val="00E22D92"/>
    <w:rsid w:val="00E25067"/>
    <w:rsid w:val="00E31AF3"/>
    <w:rsid w:val="00E354CC"/>
    <w:rsid w:val="00E37D39"/>
    <w:rsid w:val="00E41C9A"/>
    <w:rsid w:val="00E52B70"/>
    <w:rsid w:val="00E53DA2"/>
    <w:rsid w:val="00E56394"/>
    <w:rsid w:val="00E607FD"/>
    <w:rsid w:val="00E66A05"/>
    <w:rsid w:val="00E71F89"/>
    <w:rsid w:val="00E7701B"/>
    <w:rsid w:val="00E80F25"/>
    <w:rsid w:val="00E865FF"/>
    <w:rsid w:val="00E905DA"/>
    <w:rsid w:val="00E91ACE"/>
    <w:rsid w:val="00E9295B"/>
    <w:rsid w:val="00EA2349"/>
    <w:rsid w:val="00EA56C3"/>
    <w:rsid w:val="00EA78E6"/>
    <w:rsid w:val="00EB0DF3"/>
    <w:rsid w:val="00EB4852"/>
    <w:rsid w:val="00EC0300"/>
    <w:rsid w:val="00EC2D5D"/>
    <w:rsid w:val="00EC2EDD"/>
    <w:rsid w:val="00EC4A64"/>
    <w:rsid w:val="00ED2689"/>
    <w:rsid w:val="00F022D1"/>
    <w:rsid w:val="00F0239C"/>
    <w:rsid w:val="00F025EF"/>
    <w:rsid w:val="00F04392"/>
    <w:rsid w:val="00F04EB3"/>
    <w:rsid w:val="00F05E20"/>
    <w:rsid w:val="00F13A6B"/>
    <w:rsid w:val="00F17B76"/>
    <w:rsid w:val="00F27F0F"/>
    <w:rsid w:val="00F32BF0"/>
    <w:rsid w:val="00F32CAD"/>
    <w:rsid w:val="00F33A6A"/>
    <w:rsid w:val="00F36871"/>
    <w:rsid w:val="00F4235D"/>
    <w:rsid w:val="00F47A66"/>
    <w:rsid w:val="00F51403"/>
    <w:rsid w:val="00F60502"/>
    <w:rsid w:val="00F60A57"/>
    <w:rsid w:val="00F6461D"/>
    <w:rsid w:val="00F7003C"/>
    <w:rsid w:val="00F71AD9"/>
    <w:rsid w:val="00F739F6"/>
    <w:rsid w:val="00F758F5"/>
    <w:rsid w:val="00F77537"/>
    <w:rsid w:val="00F86E82"/>
    <w:rsid w:val="00F959F9"/>
    <w:rsid w:val="00FA12FC"/>
    <w:rsid w:val="00FA338D"/>
    <w:rsid w:val="00FC0548"/>
    <w:rsid w:val="00FC50CB"/>
    <w:rsid w:val="00FC6657"/>
    <w:rsid w:val="00FD0315"/>
    <w:rsid w:val="00FD3C28"/>
    <w:rsid w:val="00FD6855"/>
    <w:rsid w:val="00FD7712"/>
    <w:rsid w:val="00FE521F"/>
    <w:rsid w:val="00FF2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98F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38D"/>
    <w:rPr>
      <w:sz w:val="24"/>
      <w:szCs w:val="24"/>
    </w:rPr>
  </w:style>
  <w:style w:type="paragraph" w:styleId="Heading1">
    <w:name w:val="heading 1"/>
    <w:basedOn w:val="Normal"/>
    <w:next w:val="Normal"/>
    <w:link w:val="Heading1Char"/>
    <w:qFormat/>
    <w:rsid w:val="005E2D40"/>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541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62F3"/>
    <w:pPr>
      <w:spacing w:before="75" w:after="75"/>
      <w:jc w:val="right"/>
    </w:pPr>
  </w:style>
  <w:style w:type="table" w:styleId="TableGrid">
    <w:name w:val="Table Grid"/>
    <w:basedOn w:val="TableNormal"/>
    <w:rsid w:val="0065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6562F3"/>
    <w:pPr>
      <w:spacing w:before="75" w:after="75"/>
    </w:pPr>
  </w:style>
  <w:style w:type="paragraph" w:customStyle="1" w:styleId="naispant">
    <w:name w:val="naispant"/>
    <w:basedOn w:val="Normal"/>
    <w:rsid w:val="006562F3"/>
    <w:pPr>
      <w:spacing w:before="100" w:beforeAutospacing="1" w:after="100" w:afterAutospacing="1"/>
    </w:pPr>
  </w:style>
  <w:style w:type="paragraph" w:styleId="Header">
    <w:name w:val="header"/>
    <w:basedOn w:val="Normal"/>
    <w:rsid w:val="006562F3"/>
    <w:pPr>
      <w:tabs>
        <w:tab w:val="center" w:pos="4153"/>
        <w:tab w:val="right" w:pos="8306"/>
      </w:tabs>
    </w:pPr>
  </w:style>
  <w:style w:type="character" w:styleId="PageNumber">
    <w:name w:val="page number"/>
    <w:basedOn w:val="DefaultParagraphFont"/>
    <w:rsid w:val="006562F3"/>
  </w:style>
  <w:style w:type="paragraph" w:customStyle="1" w:styleId="naisnod">
    <w:name w:val="naisnod"/>
    <w:basedOn w:val="Normal"/>
    <w:rsid w:val="006562F3"/>
    <w:pPr>
      <w:spacing w:before="150" w:after="150"/>
      <w:jc w:val="center"/>
    </w:pPr>
    <w:rPr>
      <w:b/>
      <w:bCs/>
    </w:rPr>
  </w:style>
  <w:style w:type="paragraph" w:customStyle="1" w:styleId="naisf">
    <w:name w:val="naisf"/>
    <w:basedOn w:val="Normal"/>
    <w:rsid w:val="006562F3"/>
    <w:pPr>
      <w:spacing w:before="75" w:after="75"/>
      <w:ind w:firstLine="375"/>
      <w:jc w:val="both"/>
    </w:pPr>
  </w:style>
  <w:style w:type="paragraph" w:customStyle="1" w:styleId="CharChar">
    <w:name w:val="Char Char"/>
    <w:basedOn w:val="Normal"/>
    <w:rsid w:val="006562F3"/>
    <w:pPr>
      <w:spacing w:before="40"/>
    </w:pPr>
    <w:rPr>
      <w:lang w:val="pl-PL" w:eastAsia="pl-PL"/>
    </w:rPr>
  </w:style>
  <w:style w:type="character" w:styleId="Strong">
    <w:name w:val="Strong"/>
    <w:basedOn w:val="DefaultParagraphFont"/>
    <w:qFormat/>
    <w:rsid w:val="006562F3"/>
    <w:rPr>
      <w:b/>
      <w:bCs/>
    </w:rPr>
  </w:style>
  <w:style w:type="paragraph" w:styleId="Footer">
    <w:name w:val="footer"/>
    <w:basedOn w:val="Normal"/>
    <w:link w:val="FooterChar"/>
    <w:rsid w:val="00BA72C7"/>
    <w:pPr>
      <w:tabs>
        <w:tab w:val="center" w:pos="4153"/>
        <w:tab w:val="right" w:pos="8306"/>
      </w:tabs>
    </w:pPr>
  </w:style>
  <w:style w:type="character" w:styleId="Hyperlink">
    <w:name w:val="Hyperlink"/>
    <w:basedOn w:val="DefaultParagraphFont"/>
    <w:rsid w:val="002716C1"/>
    <w:rPr>
      <w:color w:val="0000FF"/>
      <w:u w:val="single"/>
    </w:rPr>
  </w:style>
  <w:style w:type="paragraph" w:customStyle="1" w:styleId="naisc">
    <w:name w:val="naisc"/>
    <w:basedOn w:val="Normal"/>
    <w:rsid w:val="006408D7"/>
    <w:pPr>
      <w:spacing w:before="450" w:after="300"/>
      <w:jc w:val="center"/>
    </w:pPr>
    <w:rPr>
      <w:sz w:val="26"/>
      <w:szCs w:val="26"/>
    </w:rPr>
  </w:style>
  <w:style w:type="paragraph" w:styleId="BodyText">
    <w:name w:val="Body Text"/>
    <w:basedOn w:val="Normal"/>
    <w:link w:val="BodyTextChar"/>
    <w:rsid w:val="00CD292E"/>
    <w:pPr>
      <w:jc w:val="center"/>
    </w:pPr>
    <w:rPr>
      <w:bCs/>
      <w:lang w:val="en-GB" w:eastAsia="en-US"/>
    </w:rPr>
  </w:style>
  <w:style w:type="character" w:customStyle="1" w:styleId="BodyTextChar">
    <w:name w:val="Body Text Char"/>
    <w:basedOn w:val="DefaultParagraphFont"/>
    <w:link w:val="BodyText"/>
    <w:rsid w:val="00CD292E"/>
    <w:rPr>
      <w:bCs/>
      <w:sz w:val="24"/>
      <w:szCs w:val="24"/>
      <w:lang w:val="en-GB" w:eastAsia="en-US"/>
    </w:rPr>
  </w:style>
  <w:style w:type="paragraph" w:customStyle="1" w:styleId="Preformatted">
    <w:name w:val="Preformatted"/>
    <w:basedOn w:val="Normal"/>
    <w:rsid w:val="00CD292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alloonText">
    <w:name w:val="Balloon Text"/>
    <w:basedOn w:val="Normal"/>
    <w:semiHidden/>
    <w:rsid w:val="00AC2B3D"/>
    <w:rPr>
      <w:rFonts w:ascii="Tahoma" w:hAnsi="Tahoma" w:cs="Tahoma"/>
      <w:sz w:val="16"/>
      <w:szCs w:val="16"/>
    </w:rPr>
  </w:style>
  <w:style w:type="character" w:customStyle="1" w:styleId="Heading3Char">
    <w:name w:val="Heading 3 Char"/>
    <w:basedOn w:val="DefaultParagraphFont"/>
    <w:link w:val="Heading3"/>
    <w:uiPriority w:val="9"/>
    <w:rsid w:val="0025416C"/>
    <w:rPr>
      <w:b/>
      <w:bCs/>
      <w:sz w:val="27"/>
      <w:szCs w:val="27"/>
    </w:rPr>
  </w:style>
  <w:style w:type="paragraph" w:styleId="NormalWeb">
    <w:name w:val="Normal (Web)"/>
    <w:basedOn w:val="Normal"/>
    <w:rsid w:val="001715F1"/>
    <w:pPr>
      <w:spacing w:before="100" w:beforeAutospacing="1" w:after="100" w:afterAutospacing="1"/>
    </w:pPr>
  </w:style>
  <w:style w:type="character" w:customStyle="1" w:styleId="FooterChar">
    <w:name w:val="Footer Char"/>
    <w:basedOn w:val="DefaultParagraphFont"/>
    <w:link w:val="Footer"/>
    <w:rsid w:val="001715F1"/>
    <w:rPr>
      <w:sz w:val="24"/>
      <w:szCs w:val="24"/>
      <w:lang w:val="lv-LV" w:eastAsia="lv-LV"/>
    </w:rPr>
  </w:style>
  <w:style w:type="paragraph" w:customStyle="1" w:styleId="naisvisr">
    <w:name w:val="naisvisr"/>
    <w:basedOn w:val="Normal"/>
    <w:uiPriority w:val="99"/>
    <w:rsid w:val="00804D4D"/>
    <w:pPr>
      <w:spacing w:before="150" w:after="150"/>
      <w:jc w:val="center"/>
    </w:pPr>
    <w:rPr>
      <w:b/>
      <w:bCs/>
      <w:sz w:val="28"/>
      <w:szCs w:val="28"/>
    </w:rPr>
  </w:style>
  <w:style w:type="character" w:customStyle="1" w:styleId="Heading1Char">
    <w:name w:val="Heading 1 Char"/>
    <w:basedOn w:val="DefaultParagraphFont"/>
    <w:link w:val="Heading1"/>
    <w:rsid w:val="005E2D40"/>
    <w:rPr>
      <w:rFonts w:ascii="Cambria" w:eastAsia="Times New Roman" w:hAnsi="Cambria" w:cs="Times New Roman"/>
      <w:b/>
      <w:bCs/>
      <w:kern w:val="32"/>
      <w:sz w:val="32"/>
      <w:szCs w:val="32"/>
      <w:lang w:val="lv-LV" w:eastAsia="lv-LV"/>
    </w:rPr>
  </w:style>
  <w:style w:type="paragraph" w:customStyle="1" w:styleId="tv212">
    <w:name w:val="tv212"/>
    <w:basedOn w:val="Normal"/>
    <w:rsid w:val="00C34EB8"/>
    <w:pPr>
      <w:spacing w:before="100" w:beforeAutospacing="1" w:after="100" w:afterAutospacing="1"/>
    </w:pPr>
  </w:style>
  <w:style w:type="paragraph" w:customStyle="1" w:styleId="tv213">
    <w:name w:val="tv213"/>
    <w:basedOn w:val="Normal"/>
    <w:rsid w:val="00C34E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217">
      <w:bodyDiv w:val="1"/>
      <w:marLeft w:val="0"/>
      <w:marRight w:val="0"/>
      <w:marTop w:val="0"/>
      <w:marBottom w:val="0"/>
      <w:divBdr>
        <w:top w:val="none" w:sz="0" w:space="0" w:color="auto"/>
        <w:left w:val="none" w:sz="0" w:space="0" w:color="auto"/>
        <w:bottom w:val="none" w:sz="0" w:space="0" w:color="auto"/>
        <w:right w:val="none" w:sz="0" w:space="0" w:color="auto"/>
      </w:divBdr>
    </w:div>
    <w:div w:id="165830702">
      <w:bodyDiv w:val="1"/>
      <w:marLeft w:val="0"/>
      <w:marRight w:val="0"/>
      <w:marTop w:val="0"/>
      <w:marBottom w:val="0"/>
      <w:divBdr>
        <w:top w:val="none" w:sz="0" w:space="0" w:color="auto"/>
        <w:left w:val="none" w:sz="0" w:space="0" w:color="auto"/>
        <w:bottom w:val="none" w:sz="0" w:space="0" w:color="auto"/>
        <w:right w:val="none" w:sz="0" w:space="0" w:color="auto"/>
      </w:divBdr>
    </w:div>
    <w:div w:id="285704179">
      <w:bodyDiv w:val="1"/>
      <w:marLeft w:val="0"/>
      <w:marRight w:val="0"/>
      <w:marTop w:val="0"/>
      <w:marBottom w:val="0"/>
      <w:divBdr>
        <w:top w:val="none" w:sz="0" w:space="0" w:color="auto"/>
        <w:left w:val="none" w:sz="0" w:space="0" w:color="auto"/>
        <w:bottom w:val="none" w:sz="0" w:space="0" w:color="auto"/>
        <w:right w:val="none" w:sz="0" w:space="0" w:color="auto"/>
      </w:divBdr>
    </w:div>
    <w:div w:id="554389238">
      <w:bodyDiv w:val="1"/>
      <w:marLeft w:val="0"/>
      <w:marRight w:val="0"/>
      <w:marTop w:val="0"/>
      <w:marBottom w:val="0"/>
      <w:divBdr>
        <w:top w:val="none" w:sz="0" w:space="0" w:color="auto"/>
        <w:left w:val="none" w:sz="0" w:space="0" w:color="auto"/>
        <w:bottom w:val="none" w:sz="0" w:space="0" w:color="auto"/>
        <w:right w:val="none" w:sz="0" w:space="0" w:color="auto"/>
      </w:divBdr>
    </w:div>
    <w:div w:id="723455595">
      <w:bodyDiv w:val="1"/>
      <w:marLeft w:val="0"/>
      <w:marRight w:val="0"/>
      <w:marTop w:val="0"/>
      <w:marBottom w:val="0"/>
      <w:divBdr>
        <w:top w:val="none" w:sz="0" w:space="0" w:color="auto"/>
        <w:left w:val="none" w:sz="0" w:space="0" w:color="auto"/>
        <w:bottom w:val="none" w:sz="0" w:space="0" w:color="auto"/>
        <w:right w:val="none" w:sz="0" w:space="0" w:color="auto"/>
      </w:divBdr>
    </w:div>
    <w:div w:id="1071729679">
      <w:bodyDiv w:val="1"/>
      <w:marLeft w:val="0"/>
      <w:marRight w:val="0"/>
      <w:marTop w:val="0"/>
      <w:marBottom w:val="0"/>
      <w:divBdr>
        <w:top w:val="none" w:sz="0" w:space="0" w:color="auto"/>
        <w:left w:val="none" w:sz="0" w:space="0" w:color="auto"/>
        <w:bottom w:val="none" w:sz="0" w:space="0" w:color="auto"/>
        <w:right w:val="none" w:sz="0" w:space="0" w:color="auto"/>
      </w:divBdr>
    </w:div>
    <w:div w:id="1352339927">
      <w:bodyDiv w:val="1"/>
      <w:marLeft w:val="0"/>
      <w:marRight w:val="0"/>
      <w:marTop w:val="0"/>
      <w:marBottom w:val="0"/>
      <w:divBdr>
        <w:top w:val="none" w:sz="0" w:space="0" w:color="auto"/>
        <w:left w:val="none" w:sz="0" w:space="0" w:color="auto"/>
        <w:bottom w:val="none" w:sz="0" w:space="0" w:color="auto"/>
        <w:right w:val="none" w:sz="0" w:space="0" w:color="auto"/>
      </w:divBdr>
    </w:div>
    <w:div w:id="1947884436">
      <w:bodyDiv w:val="1"/>
      <w:marLeft w:val="0"/>
      <w:marRight w:val="0"/>
      <w:marTop w:val="0"/>
      <w:marBottom w:val="0"/>
      <w:divBdr>
        <w:top w:val="none" w:sz="0" w:space="0" w:color="auto"/>
        <w:left w:val="none" w:sz="0" w:space="0" w:color="auto"/>
        <w:bottom w:val="none" w:sz="0" w:space="0" w:color="auto"/>
        <w:right w:val="none" w:sz="0" w:space="0" w:color="auto"/>
      </w:divBdr>
    </w:div>
    <w:div w:id="2080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ne.legzdina@mk.gov.lv" TargetMode="External"/><Relationship Id="rId4" Type="http://schemas.microsoft.com/office/2007/relationships/stylesWithEffects" Target="stylesWithEffects.xml"/><Relationship Id="rId9" Type="http://schemas.openxmlformats.org/officeDocument/2006/relationships/hyperlink" Target="http://www.likumi.lv/doc.php?id=17574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A50-5124-4540-B176-A66EDB46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5</Pages>
  <Words>1432</Words>
  <Characters>10874</Characters>
  <Application>Microsoft Office Word</Application>
  <DocSecurity>0</DocSecurity>
  <Lines>90</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Sākotnējās ietekmes novērtējuma ziņojums (anotācija)</vt:lpstr>
      <vt:lpstr>"Krūmcidoniju atšķirīguma, viendabīguma un stabilitātes pārbaudes metodika" sākotnējās ietekmes novērtējuma ziņojums (anotācijas)</vt:lpstr>
    </vt:vector>
  </TitlesOfParts>
  <Company>zm</Company>
  <LinksUpToDate>false</LinksUpToDate>
  <CharactersWithSpaces>12282</CharactersWithSpaces>
  <SharedDoc>false</SharedDoc>
  <HLinks>
    <vt:vector size="12" baseType="variant">
      <vt:variant>
        <vt:i4>3866649</vt:i4>
      </vt:variant>
      <vt:variant>
        <vt:i4>3</vt:i4>
      </vt:variant>
      <vt:variant>
        <vt:i4>0</vt:i4>
      </vt:variant>
      <vt:variant>
        <vt:i4>5</vt:i4>
      </vt:variant>
      <vt:variant>
        <vt:lpwstr>mailto:zane.legzdina@mk.gov.lv</vt:lpwstr>
      </vt:variant>
      <vt:variant>
        <vt:lpwstr/>
      </vt:variant>
      <vt:variant>
        <vt:i4>7929889</vt:i4>
      </vt:variant>
      <vt:variant>
        <vt:i4>0</vt:i4>
      </vt:variant>
      <vt:variant>
        <vt:i4>0</vt:i4>
      </vt:variant>
      <vt:variant>
        <vt:i4>5</vt:i4>
      </vt:variant>
      <vt:variant>
        <vt:lpwstr>http://www.likumi.lv/doc.php?id=200576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Zane Legzdiņa-Joja</dc:creator>
  <cp:keywords/>
  <dc:description>zane.legzdina@mk.gov.lv, 67082904</dc:description>
  <cp:lastModifiedBy>Lilija Kampāne</cp:lastModifiedBy>
  <cp:revision>45</cp:revision>
  <cp:lastPrinted>2013-05-14T08:43:00Z</cp:lastPrinted>
  <dcterms:created xsi:type="dcterms:W3CDTF">2012-03-08T14:53:00Z</dcterms:created>
  <dcterms:modified xsi:type="dcterms:W3CDTF">2013-05-14T08:43:00Z</dcterms:modified>
</cp:coreProperties>
</file>